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ustomizations.xml" ContentType="application/vnd.ms-word.keyMapCustomization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81BB096">
      <w:pPr>
        <w:rPr>
          <w:rFonts w:hint="eastAsia" w:ascii="Times New Roman" w:hAnsi="Times New Roman" w:eastAsia="仿宋_GB2312" w:cs="Times New Roman"/>
          <w:color w:val="auto"/>
          <w:sz w:val="36"/>
          <w:szCs w:val="36"/>
          <w:highlight w:val="none"/>
          <w:lang w:eastAsia="zh-CN"/>
        </w:rPr>
      </w:pPr>
      <w:r>
        <w:rPr>
          <w:rFonts w:hint="eastAsia" w:ascii="Times New Roman" w:hAnsi="Times New Roman" w:eastAsia="仿宋_GB2312" w:cs="Times New Roman"/>
          <w:color w:val="auto"/>
          <w:sz w:val="36"/>
          <w:szCs w:val="36"/>
          <w:highlight w:val="none"/>
          <w:lang w:eastAsia="zh-CN"/>
        </w:rPr>
        <w:drawing>
          <wp:anchor distT="0" distB="0" distL="114300" distR="114300" simplePos="0" relativeHeight="251670528" behindDoc="0" locked="0" layoutInCell="1" allowOverlap="1">
            <wp:simplePos x="0" y="0"/>
            <wp:positionH relativeFrom="column">
              <wp:posOffset>-939800</wp:posOffset>
            </wp:positionH>
            <wp:positionV relativeFrom="paragraph">
              <wp:posOffset>-1035685</wp:posOffset>
            </wp:positionV>
            <wp:extent cx="7534910" cy="10658475"/>
            <wp:effectExtent l="0" t="0" r="8890" b="9525"/>
            <wp:wrapNone/>
            <wp:docPr id="33" name="图片 33" descr="未命名3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未命名3_00"/>
                    <pic:cNvPicPr>
                      <a:picLocks noChangeAspect="1"/>
                    </pic:cNvPicPr>
                  </pic:nvPicPr>
                  <pic:blipFill>
                    <a:blip r:embed="rId8"/>
                    <a:stretch>
                      <a:fillRect/>
                    </a:stretch>
                  </pic:blipFill>
                  <pic:spPr>
                    <a:xfrm>
                      <a:off x="0" y="0"/>
                      <a:ext cx="7534910" cy="10658475"/>
                    </a:xfrm>
                    <a:prstGeom prst="rect">
                      <a:avLst/>
                    </a:prstGeom>
                  </pic:spPr>
                </pic:pic>
              </a:graphicData>
            </a:graphic>
          </wp:anchor>
        </w:drawing>
      </w:r>
    </w:p>
    <w:p w14:paraId="0059A494">
      <w:pPr>
        <w:rPr>
          <w:rFonts w:hint="default" w:ascii="Times New Roman" w:hAnsi="Times New Roman" w:eastAsia="仿宋_GB2312" w:cs="Times New Roman"/>
          <w:color w:val="auto"/>
          <w:sz w:val="36"/>
          <w:szCs w:val="36"/>
          <w:highlight w:val="none"/>
        </w:rPr>
      </w:pPr>
    </w:p>
    <w:p w14:paraId="44A81B98">
      <w:pPr>
        <w:rPr>
          <w:rFonts w:hint="default" w:ascii="Times New Roman" w:hAnsi="Times New Roman" w:eastAsia="仿宋_GB2312" w:cs="Times New Roman"/>
          <w:color w:val="auto"/>
          <w:sz w:val="36"/>
          <w:szCs w:val="36"/>
          <w:highlight w:val="none"/>
        </w:rPr>
      </w:pPr>
    </w:p>
    <w:p w14:paraId="2EA858E4">
      <w:pPr>
        <w:ind w:left="0" w:leftChars="0" w:firstLine="0" w:firstLineChars="0"/>
        <w:rPr>
          <w:rFonts w:hint="default" w:ascii="Times New Roman" w:hAnsi="Times New Roman" w:eastAsia="仿宋_GB2312" w:cs="Times New Roman"/>
          <w:color w:val="auto"/>
          <w:sz w:val="36"/>
          <w:szCs w:val="36"/>
          <w:highlight w:val="none"/>
        </w:rPr>
      </w:pPr>
    </w:p>
    <w:p w14:paraId="2220AA38">
      <w:pPr>
        <w:rPr>
          <w:rFonts w:hint="default" w:ascii="Times New Roman" w:hAnsi="Times New Roman" w:eastAsia="仿宋_GB2312" w:cs="Times New Roman"/>
          <w:color w:val="auto"/>
          <w:sz w:val="36"/>
          <w:szCs w:val="36"/>
          <w:highlight w:val="none"/>
        </w:rPr>
      </w:pPr>
    </w:p>
    <w:p w14:paraId="6E84FE0D">
      <w:pPr>
        <w:bidi w:val="0"/>
        <w:jc w:val="center"/>
        <w:outlineLvl w:val="0"/>
        <w:rPr>
          <w:rFonts w:hint="eastAsia" w:ascii="方正小标宋_GBK" w:hAnsi="方正小标宋_GBK" w:eastAsia="方正小标宋_GBK" w:cs="方正小标宋_GBK"/>
          <w:color w:val="auto"/>
          <w:sz w:val="72"/>
          <w:szCs w:val="72"/>
        </w:rPr>
      </w:pPr>
      <w:bookmarkStart w:id="0" w:name="_Toc20944"/>
      <w:r>
        <w:rPr>
          <w:rFonts w:hint="eastAsia" w:ascii="方正小标宋_GBK" w:hAnsi="方正小标宋_GBK" w:eastAsia="方正小标宋_GBK" w:cs="方正小标宋_GBK"/>
          <w:color w:val="auto"/>
          <w:sz w:val="72"/>
          <w:szCs w:val="72"/>
        </w:rPr>
        <w:t>建设项目环境影响报告表</w:t>
      </w:r>
      <w:bookmarkEnd w:id="0"/>
    </w:p>
    <w:p w14:paraId="0E4C08FD">
      <w:pPr>
        <w:adjustRightInd w:val="0"/>
        <w:snapToGrid w:val="0"/>
        <w:spacing w:before="192" w:beforeLines="80"/>
        <w:jc w:val="center"/>
        <w:rPr>
          <w:rFonts w:hint="eastAsia" w:ascii="楷体_GB2312" w:hAnsi="Times New Roman" w:eastAsia="楷体_GB2312" w:cs="Times New Roman"/>
          <w:bCs/>
          <w:color w:val="auto"/>
          <w:sz w:val="48"/>
          <w:szCs w:val="48"/>
        </w:rPr>
      </w:pPr>
      <w:r>
        <w:rPr>
          <w:rFonts w:hint="eastAsia" w:ascii="楷体_GB2312" w:hAnsi="Times New Roman" w:eastAsia="楷体_GB2312" w:cs="Times New Roman"/>
          <w:bCs/>
          <w:color w:val="auto"/>
          <w:sz w:val="48"/>
          <w:szCs w:val="48"/>
        </w:rPr>
        <w:t>（</w:t>
      </w:r>
      <w:r>
        <w:rPr>
          <w:rFonts w:hint="eastAsia" w:ascii="楷体_GB2312" w:hAnsi="Times New Roman" w:eastAsia="楷体_GB2312" w:cs="Times New Roman"/>
          <w:bCs/>
          <w:color w:val="auto"/>
          <w:sz w:val="48"/>
          <w:szCs w:val="48"/>
          <w:lang w:val="en-US" w:eastAsia="zh-CN"/>
        </w:rPr>
        <w:t>污染</w:t>
      </w:r>
      <w:r>
        <w:rPr>
          <w:rFonts w:hint="eastAsia" w:ascii="楷体_GB2312" w:hAnsi="Times New Roman" w:eastAsia="楷体_GB2312" w:cs="Times New Roman"/>
          <w:bCs/>
          <w:color w:val="auto"/>
          <w:sz w:val="48"/>
          <w:szCs w:val="48"/>
        </w:rPr>
        <w:t>影响类）</w:t>
      </w:r>
    </w:p>
    <w:p w14:paraId="64661520">
      <w:pPr>
        <w:ind w:firstLine="1040"/>
        <w:rPr>
          <w:rFonts w:hint="default" w:ascii="Times New Roman" w:hAnsi="Times New Roman" w:eastAsia="仿宋" w:cs="Times New Roman"/>
          <w:color w:val="auto"/>
          <w:sz w:val="44"/>
          <w:szCs w:val="44"/>
          <w:highlight w:val="none"/>
        </w:rPr>
      </w:pPr>
    </w:p>
    <w:p w14:paraId="558667E8">
      <w:pPr>
        <w:ind w:firstLine="1040"/>
        <w:rPr>
          <w:rFonts w:hint="default" w:ascii="Times New Roman" w:hAnsi="Times New Roman" w:eastAsia="仿宋" w:cs="Times New Roman"/>
          <w:color w:val="auto"/>
          <w:sz w:val="44"/>
          <w:szCs w:val="44"/>
          <w:highlight w:val="none"/>
        </w:rPr>
      </w:pPr>
    </w:p>
    <w:p w14:paraId="72082163">
      <w:pPr>
        <w:ind w:firstLine="1040"/>
        <w:jc w:val="center"/>
        <w:rPr>
          <w:rFonts w:hint="default" w:ascii="Times New Roman" w:hAnsi="Times New Roman" w:eastAsia="仿宋" w:cs="Times New Roman"/>
          <w:color w:val="auto"/>
          <w:sz w:val="44"/>
          <w:szCs w:val="44"/>
          <w:highlight w:val="none"/>
          <w:lang w:val="en-US" w:eastAsia="zh-CN"/>
        </w:rPr>
      </w:pPr>
    </w:p>
    <w:p w14:paraId="6DAF8F41">
      <w:pPr>
        <w:ind w:firstLine="1040"/>
        <w:rPr>
          <w:rFonts w:hint="default" w:ascii="Times New Roman" w:hAnsi="Times New Roman" w:eastAsia="仿宋" w:cs="Times New Roman"/>
          <w:color w:val="auto"/>
          <w:sz w:val="44"/>
          <w:szCs w:val="44"/>
          <w:highlight w:val="none"/>
        </w:rPr>
      </w:pPr>
    </w:p>
    <w:p w14:paraId="6A6D8C94">
      <w:pPr>
        <w:ind w:firstLine="1040"/>
        <w:rPr>
          <w:rFonts w:hint="default" w:ascii="Times New Roman" w:hAnsi="Times New Roman" w:eastAsia="仿宋" w:cs="Times New Roman"/>
          <w:color w:val="auto"/>
          <w:sz w:val="44"/>
          <w:szCs w:val="44"/>
          <w:highlight w:val="none"/>
        </w:rPr>
      </w:pPr>
    </w:p>
    <w:p w14:paraId="5AE03DFB">
      <w:pPr>
        <w:ind w:firstLine="1040"/>
        <w:rPr>
          <w:rFonts w:hint="default" w:ascii="Times New Roman" w:hAnsi="Times New Roman" w:eastAsia="仿宋" w:cs="Times New Roman"/>
          <w:color w:val="auto"/>
          <w:sz w:val="44"/>
          <w:szCs w:val="44"/>
          <w:highlight w:val="none"/>
        </w:rPr>
      </w:pPr>
    </w:p>
    <w:p w14:paraId="71CA4D5D">
      <w:pPr>
        <w:ind w:firstLine="1040"/>
        <w:rPr>
          <w:rFonts w:hint="default" w:ascii="Times New Roman" w:hAnsi="Times New Roman" w:eastAsia="仿宋" w:cs="Times New Roman"/>
          <w:color w:val="auto"/>
          <w:sz w:val="44"/>
          <w:szCs w:val="44"/>
          <w:highlight w:val="none"/>
        </w:rPr>
      </w:pPr>
    </w:p>
    <w:p w14:paraId="1BF4F303">
      <w:pPr>
        <w:ind w:firstLine="1040"/>
        <w:rPr>
          <w:rFonts w:hint="default" w:ascii="Times New Roman" w:hAnsi="Times New Roman" w:eastAsia="仿宋" w:cs="Times New Roman"/>
          <w:color w:val="auto"/>
          <w:sz w:val="44"/>
          <w:szCs w:val="44"/>
          <w:highlight w:val="none"/>
        </w:rPr>
      </w:pPr>
    </w:p>
    <w:p w14:paraId="0AC249F2">
      <w:pPr>
        <w:adjustRightInd w:val="0"/>
        <w:snapToGrid w:val="0"/>
        <w:spacing w:line="360" w:lineRule="auto"/>
        <w:ind w:left="2110" w:leftChars="304" w:hanging="1472" w:hangingChars="409"/>
        <w:rPr>
          <w:rFonts w:hint="default" w:ascii="Times New Roman" w:hAnsi="Times New Roman" w:eastAsia="仿宋_GB2312" w:cs="Times New Roman"/>
          <w:color w:val="auto"/>
          <w:sz w:val="36"/>
          <w:szCs w:val="36"/>
          <w:highlight w:val="none"/>
          <w:u w:val="single"/>
          <w:lang w:val="en-US"/>
        </w:rPr>
      </w:pPr>
      <w:r>
        <w:rPr>
          <w:rFonts w:hint="default" w:ascii="Times New Roman" w:hAnsi="Times New Roman" w:eastAsia="仿宋_GB2312" w:cs="Times New Roman"/>
          <w:color w:val="auto"/>
          <w:sz w:val="36"/>
          <w:szCs w:val="36"/>
          <w:highlight w:val="none"/>
        </w:rPr>
        <w:t>项目名称：</w:t>
      </w:r>
      <w:r>
        <w:rPr>
          <w:rFonts w:hint="default" w:ascii="Times New Roman" w:hAnsi="Times New Roman" w:eastAsia="仿宋_GB2312" w:cs="Times New Roman"/>
          <w:color w:val="auto"/>
          <w:sz w:val="36"/>
          <w:szCs w:val="36"/>
          <w:highlight w:val="none"/>
          <w:u w:val="single"/>
          <w:lang w:val="en-US" w:eastAsia="zh-CN"/>
        </w:rPr>
        <w:t xml:space="preserve">     </w:t>
      </w:r>
      <w:r>
        <w:rPr>
          <w:rFonts w:hint="eastAsia" w:eastAsia="仿宋_GB2312" w:cs="Times New Roman"/>
          <w:color w:val="auto"/>
          <w:sz w:val="36"/>
          <w:szCs w:val="36"/>
          <w:highlight w:val="none"/>
          <w:u w:val="single"/>
          <w:lang w:eastAsia="zh-CN"/>
        </w:rPr>
        <w:t>福清水质检测中心实验室项目</w:t>
      </w:r>
      <w:r>
        <w:rPr>
          <w:rFonts w:hint="default" w:ascii="Times New Roman" w:hAnsi="Times New Roman" w:eastAsia="仿宋_GB2312" w:cs="Times New Roman"/>
          <w:color w:val="auto"/>
          <w:sz w:val="36"/>
          <w:szCs w:val="36"/>
          <w:highlight w:val="none"/>
          <w:u w:val="single"/>
          <w:lang w:val="en-US" w:eastAsia="zh-CN"/>
        </w:rPr>
        <w:t xml:space="preserve">                       </w:t>
      </w:r>
    </w:p>
    <w:p w14:paraId="0AA6BC29">
      <w:pPr>
        <w:adjustRightInd w:val="0"/>
        <w:snapToGrid w:val="0"/>
        <w:spacing w:line="360" w:lineRule="auto"/>
        <w:ind w:left="2110" w:leftChars="304" w:hanging="1472" w:hangingChars="409"/>
        <w:rPr>
          <w:rFonts w:hint="default" w:ascii="Times New Roman" w:hAnsi="Times New Roman" w:eastAsia="仿宋_GB2312" w:cs="Times New Roman"/>
          <w:color w:val="auto"/>
          <w:sz w:val="36"/>
          <w:szCs w:val="36"/>
          <w:highlight w:val="none"/>
          <w:u w:val="single"/>
        </w:rPr>
      </w:pPr>
      <w:r>
        <w:rPr>
          <w:rFonts w:hint="default" w:ascii="Times New Roman" w:hAnsi="Times New Roman" w:eastAsia="仿宋_GB2312" w:cs="Times New Roman"/>
          <w:color w:val="auto"/>
          <w:sz w:val="36"/>
          <w:szCs w:val="36"/>
          <w:highlight w:val="none"/>
        </w:rPr>
        <w:t>建设单位（盖章）：</w:t>
      </w:r>
      <w:r>
        <w:rPr>
          <w:rFonts w:hint="eastAsia" w:eastAsia="仿宋_GB2312" w:cs="Times New Roman"/>
          <w:color w:val="auto"/>
          <w:sz w:val="36"/>
          <w:szCs w:val="36"/>
          <w:highlight w:val="none"/>
          <w:u w:val="single"/>
          <w:lang w:eastAsia="zh-CN"/>
        </w:rPr>
        <w:t>福建水投集团检测科技有限公司</w:t>
      </w:r>
      <w:r>
        <w:rPr>
          <w:rFonts w:hint="default" w:ascii="Times New Roman" w:hAnsi="Times New Roman" w:eastAsia="仿宋_GB2312" w:cs="Times New Roman"/>
          <w:color w:val="auto"/>
          <w:sz w:val="36"/>
          <w:szCs w:val="36"/>
          <w:highlight w:val="none"/>
          <w:u w:val="single"/>
        </w:rPr>
        <w:t xml:space="preserve">        </w:t>
      </w:r>
    </w:p>
    <w:p w14:paraId="59C31D4E">
      <w:pPr>
        <w:adjustRightInd w:val="0"/>
        <w:snapToGrid w:val="0"/>
        <w:spacing w:line="360" w:lineRule="auto"/>
        <w:ind w:left="2110" w:leftChars="304" w:hanging="1472" w:hangingChars="409"/>
        <w:rPr>
          <w:rFonts w:hint="default" w:ascii="Times New Roman" w:hAnsi="Times New Roman" w:eastAsia="仿宋_GB2312" w:cs="Times New Roman"/>
          <w:color w:val="auto"/>
          <w:sz w:val="36"/>
          <w:szCs w:val="36"/>
          <w:highlight w:val="none"/>
          <w:u w:val="single"/>
          <w:lang w:val="en-US" w:eastAsia="zh-CN"/>
        </w:rPr>
      </w:pPr>
      <w:r>
        <w:rPr>
          <w:rFonts w:hint="default" w:ascii="Times New Roman" w:hAnsi="Times New Roman" w:eastAsia="仿宋_GB2312" w:cs="Times New Roman"/>
          <w:color w:val="auto"/>
          <w:sz w:val="36"/>
          <w:szCs w:val="36"/>
          <w:highlight w:val="none"/>
        </w:rPr>
        <w:t>编制日期：</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202</w:t>
      </w:r>
      <w:r>
        <w:rPr>
          <w:rFonts w:hint="eastAsia" w:eastAsia="仿宋_GB2312" w:cs="Times New Roman"/>
          <w:color w:val="auto"/>
          <w:sz w:val="36"/>
          <w:szCs w:val="36"/>
          <w:highlight w:val="none"/>
          <w:u w:val="single"/>
          <w:lang w:val="en-US" w:eastAsia="zh-CN"/>
        </w:rPr>
        <w:t>5</w:t>
      </w:r>
      <w:r>
        <w:rPr>
          <w:rFonts w:hint="default" w:ascii="Times New Roman" w:hAnsi="Times New Roman" w:eastAsia="仿宋_GB2312" w:cs="Times New Roman"/>
          <w:color w:val="auto"/>
          <w:sz w:val="36"/>
          <w:szCs w:val="36"/>
          <w:highlight w:val="none"/>
          <w:u w:val="single"/>
        </w:rPr>
        <w:t>年</w:t>
      </w:r>
      <w:r>
        <w:rPr>
          <w:rFonts w:hint="eastAsia" w:eastAsia="仿宋_GB2312" w:cs="Times New Roman"/>
          <w:color w:val="auto"/>
          <w:sz w:val="36"/>
          <w:szCs w:val="36"/>
          <w:highlight w:val="none"/>
          <w:u w:val="single"/>
          <w:lang w:val="en-US" w:eastAsia="zh-CN"/>
        </w:rPr>
        <w:t>3</w:t>
      </w:r>
      <w:r>
        <w:rPr>
          <w:rFonts w:hint="default" w:ascii="Times New Roman" w:hAnsi="Times New Roman" w:eastAsia="仿宋_GB2312" w:cs="Times New Roman"/>
          <w:color w:val="auto"/>
          <w:sz w:val="36"/>
          <w:szCs w:val="36"/>
          <w:highlight w:val="none"/>
          <w:u w:val="single"/>
        </w:rPr>
        <w:t>月</w:t>
      </w:r>
      <w:r>
        <w:rPr>
          <w:rFonts w:hint="default" w:ascii="Times New Roman" w:hAnsi="Times New Roman" w:eastAsia="仿宋_GB2312" w:cs="Times New Roman"/>
          <w:color w:val="auto"/>
          <w:sz w:val="36"/>
          <w:szCs w:val="36"/>
          <w:highlight w:val="none"/>
          <w:u w:val="single"/>
          <w:lang w:val="en-US" w:eastAsia="zh-CN"/>
        </w:rPr>
        <w:t xml:space="preserve">     </w:t>
      </w:r>
      <w:r>
        <w:rPr>
          <w:rFonts w:hint="default" w:ascii="Times New Roman" w:hAnsi="Times New Roman" w:eastAsia="仿宋_GB2312" w:cs="Times New Roman"/>
          <w:color w:val="auto"/>
          <w:sz w:val="36"/>
          <w:szCs w:val="36"/>
          <w:highlight w:val="none"/>
          <w:u w:val="single"/>
        </w:rPr>
        <w:t xml:space="preserve">         </w:t>
      </w:r>
      <w:r>
        <w:rPr>
          <w:rFonts w:hint="default" w:ascii="Times New Roman" w:hAnsi="Times New Roman" w:eastAsia="仿宋_GB2312" w:cs="Times New Roman"/>
          <w:color w:val="auto"/>
          <w:sz w:val="36"/>
          <w:szCs w:val="36"/>
          <w:highlight w:val="none"/>
          <w:u w:val="single"/>
          <w:lang w:val="en-US" w:eastAsia="zh-CN"/>
        </w:rPr>
        <w:t xml:space="preserve"> </w:t>
      </w:r>
    </w:p>
    <w:p w14:paraId="4E9744C1">
      <w:pPr>
        <w:adjustRightInd w:val="0"/>
        <w:snapToGrid w:val="0"/>
        <w:spacing w:line="288" w:lineRule="auto"/>
        <w:ind w:firstLine="1040"/>
        <w:rPr>
          <w:rFonts w:hint="default" w:ascii="Times New Roman" w:hAnsi="Times New Roman" w:eastAsia="仿宋_GB2312" w:cs="Times New Roman"/>
          <w:color w:val="auto"/>
          <w:sz w:val="36"/>
          <w:szCs w:val="36"/>
          <w:highlight w:val="none"/>
          <w:u w:val="single"/>
        </w:rPr>
      </w:pPr>
    </w:p>
    <w:p w14:paraId="13C00B94">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55C73DBB">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6AB9DB2C">
      <w:pPr>
        <w:adjustRightInd w:val="0"/>
        <w:snapToGrid w:val="0"/>
        <w:spacing w:line="288" w:lineRule="auto"/>
        <w:ind w:firstLine="1040"/>
        <w:rPr>
          <w:rFonts w:hint="default" w:ascii="Times New Roman" w:hAnsi="Times New Roman" w:eastAsia="仿宋_GB2312" w:cs="Times New Roman"/>
          <w:color w:val="auto"/>
          <w:sz w:val="36"/>
          <w:szCs w:val="36"/>
          <w:highlight w:val="none"/>
        </w:rPr>
      </w:pPr>
    </w:p>
    <w:p w14:paraId="26450C2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outlineLvl w:val="0"/>
        <w:rPr>
          <w:rFonts w:hint="default" w:ascii="Times New Roman" w:hAnsi="Times New Roman" w:eastAsia="楷体_GB2312" w:cs="Times New Roman"/>
          <w:color w:val="auto"/>
          <w:sz w:val="36"/>
          <w:szCs w:val="36"/>
          <w:highlight w:val="none"/>
        </w:rPr>
      </w:pPr>
      <w:bookmarkStart w:id="1" w:name="_Toc3231"/>
      <w:bookmarkStart w:id="2" w:name="_Toc8944"/>
      <w:r>
        <w:rPr>
          <w:rFonts w:hint="default" w:ascii="Times New Roman" w:hAnsi="Times New Roman" w:eastAsia="楷体_GB2312" w:cs="Times New Roman"/>
          <w:color w:val="auto"/>
          <w:sz w:val="36"/>
          <w:szCs w:val="36"/>
          <w:highlight w:val="none"/>
        </w:rPr>
        <w:t>中华人民共和国生态环境部制</w:t>
      </w:r>
      <w:bookmarkEnd w:id="1"/>
      <w:bookmarkEnd w:id="2"/>
    </w:p>
    <w:p w14:paraId="1ABBCE0D">
      <w:pPr>
        <w:adjustRightInd w:val="0"/>
        <w:snapToGrid w:val="0"/>
        <w:spacing w:line="288" w:lineRule="auto"/>
        <w:jc w:val="center"/>
        <w:rPr>
          <w:rFonts w:hint="default" w:ascii="Times New Roman" w:hAnsi="Times New Roman" w:eastAsia="楷体_GB2312" w:cs="Times New Roman"/>
          <w:color w:val="auto"/>
          <w:sz w:val="36"/>
          <w:szCs w:val="36"/>
          <w:highlight w:val="none"/>
        </w:rPr>
        <w:sectPr>
          <w:footerReference r:id="rId3" w:type="default"/>
          <w:pgSz w:w="11906" w:h="16838"/>
          <w:pgMar w:top="1701" w:right="1417"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p>
    <w:p w14:paraId="498C0EB6">
      <w:pPr>
        <w:rPr>
          <w:rFonts w:hint="eastAsia" w:eastAsia="宋体"/>
          <w:color w:val="auto"/>
          <w:lang w:eastAsia="zh-CN"/>
        </w:rPr>
        <w:sectPr>
          <w:pgSz w:w="11906" w:h="16838"/>
          <w:pgMar w:top="1701" w:right="1417"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r>
        <w:rPr>
          <w:rFonts w:hint="eastAsia" w:eastAsia="宋体"/>
          <w:color w:val="auto"/>
          <w:lang w:eastAsia="zh-CN"/>
        </w:rPr>
        <w:drawing>
          <wp:anchor distT="0" distB="0" distL="114300" distR="114300" simplePos="0" relativeHeight="251669504" behindDoc="1" locked="0" layoutInCell="1" allowOverlap="1">
            <wp:simplePos x="0" y="0"/>
            <wp:positionH relativeFrom="column">
              <wp:posOffset>-932815</wp:posOffset>
            </wp:positionH>
            <wp:positionV relativeFrom="paragraph">
              <wp:posOffset>-1028065</wp:posOffset>
            </wp:positionV>
            <wp:extent cx="7475220" cy="10570845"/>
            <wp:effectExtent l="0" t="0" r="0" b="0"/>
            <wp:wrapThrough wrapText="bothSides">
              <wp:wrapPolygon>
                <wp:start x="0" y="0"/>
                <wp:lineTo x="0" y="21565"/>
                <wp:lineTo x="21523" y="21565"/>
                <wp:lineTo x="21523" y="0"/>
                <wp:lineTo x="0" y="0"/>
              </wp:wrapPolygon>
            </wp:wrapThrough>
            <wp:docPr id="48" name="图片 48" descr="未命名2(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未命名2(1)_04"/>
                    <pic:cNvPicPr>
                      <a:picLocks noChangeAspect="1"/>
                    </pic:cNvPicPr>
                  </pic:nvPicPr>
                  <pic:blipFill>
                    <a:blip r:embed="rId9"/>
                    <a:stretch>
                      <a:fillRect/>
                    </a:stretch>
                  </pic:blipFill>
                  <pic:spPr>
                    <a:xfrm>
                      <a:off x="0" y="0"/>
                      <a:ext cx="7475220" cy="10570845"/>
                    </a:xfrm>
                    <a:prstGeom prst="rect">
                      <a:avLst/>
                    </a:prstGeom>
                  </pic:spPr>
                </pic:pic>
              </a:graphicData>
            </a:graphic>
          </wp:anchor>
        </w:drawing>
      </w:r>
    </w:p>
    <w:p w14:paraId="489E7EA7">
      <w:pPr>
        <w:rPr>
          <w:rFonts w:hint="default"/>
          <w:color w:val="auto"/>
        </w:rPr>
      </w:pPr>
    </w:p>
    <w:p w14:paraId="537F66FA">
      <w:pPr>
        <w:rPr>
          <w:rFonts w:hint="default"/>
          <w:color w:val="auto"/>
        </w:rPr>
      </w:pP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-338455</wp:posOffset>
                </wp:positionH>
                <wp:positionV relativeFrom="paragraph">
                  <wp:posOffset>1173480</wp:posOffset>
                </wp:positionV>
                <wp:extent cx="5142865" cy="499110"/>
                <wp:effectExtent l="0" t="0" r="0" b="0"/>
                <wp:wrapNone/>
                <wp:docPr id="10" name="文本框 10"/>
                <wp:cNvGraphicFramePr/>
                <a:graphic xmlns:a="http://schemas.openxmlformats.org/drawingml/2006/main">
                  <a:graphicData uri="http://schemas.microsoft.com/office/word/2010/wordprocessingShape">
                    <wps:wsp>
                      <wps:cNvSpPr txBox="1"/>
                      <wps:spPr>
                        <a:xfrm rot="18900000">
                          <a:off x="1307465" y="3587115"/>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BBD44B">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65pt;margin-top:92.4pt;height:39.3pt;width:404.95pt;rotation:-2949120f;z-index:251663360;mso-width-relative:page;mso-height-relative:page;" filled="f" stroked="f" coordsize="21600,21600" o:gfxdata="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7V2edoAAAALAQAA&#10;DwAAAAAAAAABACAAAAAiAAAAZHJzL2Rvd25yZXYueG1sUEsBAhQAFAAAAAgAh07iQNl0VFJQAgAA&#10;gwQAAA4AAAAAAAAAAQAgAAAAKQEAAGRycy9lMm9Eb2MueG1sUEsFBgAAAAAGAAYAWQEAAOsFAAAA&#10;AA==&#10;">
                <v:fill on="f" focussize="0,0"/>
                <v:stroke on="f" weight="0.5pt"/>
                <v:imagedata o:title=""/>
                <o:lock v:ext="edit" aspectratio="f"/>
                <v:textbox>
                  <w:txbxContent>
                    <w:p w14:paraId="7CBBD44B">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-5080</wp:posOffset>
                </wp:positionH>
                <wp:positionV relativeFrom="paragraph">
                  <wp:posOffset>3869055</wp:posOffset>
                </wp:positionV>
                <wp:extent cx="5142865" cy="499110"/>
                <wp:effectExtent l="0" t="0" r="0" b="0"/>
                <wp:wrapNone/>
                <wp:docPr id="16" name="文本框 16"/>
                <wp:cNvGraphicFramePr/>
                <a:graphic xmlns:a="http://schemas.openxmlformats.org/drawingml/2006/main">
                  <a:graphicData uri="http://schemas.microsoft.com/office/word/2010/wordprocessingShape">
                    <wps:wsp>
                      <wps:cNvSpPr txBox="1"/>
                      <wps:spPr>
                        <a:xfrm rot="18900000">
                          <a:off x="0" y="0"/>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940E55">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4pt;margin-top:304.65pt;height:39.3pt;width:404.95pt;rotation:-2949120f;z-index:251664384;mso-width-relative:page;mso-height-relative:page;" filled="f" stroked="f" coordsize="21600,21600" o:gfxdata="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J/VFtgAAAAJAQAADwAAAAAAAAABACAA&#10;AAAiAAAAZHJzL2Rvd25yZXYueG1sUEsBAhQAFAAAAAgAh07iQIugQx1GAgAAdwQAAA4AAAAAAAAA&#10;AQAgAAAAJwEAAGRycy9lMm9Eb2MueG1sUEsFBgAAAAAGAAYAWQEAAN8FAAAAAA==&#10;">
                <v:fill on="f" focussize="0,0"/>
                <v:stroke on="f" weight="0.5pt"/>
                <v:imagedata o:title=""/>
                <o:lock v:ext="edit" aspectratio="f"/>
                <v:textbox>
                  <w:txbxContent>
                    <w:p w14:paraId="71940E55">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385445</wp:posOffset>
                </wp:positionH>
                <wp:positionV relativeFrom="paragraph">
                  <wp:posOffset>6402705</wp:posOffset>
                </wp:positionV>
                <wp:extent cx="5142865" cy="499110"/>
                <wp:effectExtent l="0" t="0" r="0" b="0"/>
                <wp:wrapNone/>
                <wp:docPr id="19" name="文本框 19"/>
                <wp:cNvGraphicFramePr/>
                <a:graphic xmlns:a="http://schemas.openxmlformats.org/drawingml/2006/main">
                  <a:graphicData uri="http://schemas.microsoft.com/office/word/2010/wordprocessingShape">
                    <wps:wsp>
                      <wps:cNvSpPr txBox="1"/>
                      <wps:spPr>
                        <a:xfrm rot="18900000">
                          <a:off x="0" y="0"/>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AC49B">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35pt;margin-top:504.15pt;height:39.3pt;width:404.95pt;rotation:-2949120f;z-index:251665408;mso-width-relative:page;mso-height-relative:page;" filled="f" stroked="f" coordsize="21600,21600" o:gfxdata="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vaz/PZAAAADAEAAA8AAAAAAAAAAQAg&#10;AAAAIgAAAGRycy9kb3ducmV2LnhtbFBLAQIUABQAAAAIAIdO4kCJF2UaRgIAAHcEAAAOAAAAAAAA&#10;AAEAIAAAACgBAABkcnMvZTJvRG9jLnhtbFBLBQYAAAAABgAGAFkBAADgBQAAAAA=&#10;">
                <v:fill on="f" focussize="0,0"/>
                <v:stroke on="f" weight="0.5pt"/>
                <v:imagedata o:title=""/>
                <o:lock v:ext="edit" aspectratio="f"/>
                <v:textbox>
                  <w:txbxContent>
                    <w:p w14:paraId="3DEAC49B">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r>
        <w:rPr>
          <w:rFonts w:hint="default"/>
          <w:color w:val="auto"/>
        </w:rPr>
        <w:drawing>
          <wp:inline distT="0" distB="0" distL="114300" distR="114300">
            <wp:extent cx="5657850" cy="8001000"/>
            <wp:effectExtent l="0" t="0" r="0" b="0"/>
            <wp:docPr id="2" name="图片 2" descr="营业执照（正本）新210914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营业执照（正本）新210914_00"/>
                    <pic:cNvPicPr>
                      <a:picLocks noChangeAspect="1"/>
                    </pic:cNvPicPr>
                  </pic:nvPicPr>
                  <pic:blipFill>
                    <a:blip r:embed="rId10"/>
                    <a:stretch>
                      <a:fillRect/>
                    </a:stretch>
                  </pic:blipFill>
                  <pic:spPr>
                    <a:xfrm>
                      <a:off x="0" y="0"/>
                      <a:ext cx="5657850" cy="8001000"/>
                    </a:xfrm>
                    <a:prstGeom prst="rect">
                      <a:avLst/>
                    </a:prstGeom>
                  </pic:spPr>
                </pic:pic>
              </a:graphicData>
            </a:graphic>
          </wp:inline>
        </w:drawing>
      </w:r>
    </w:p>
    <w:p w14:paraId="61CE9E70">
      <w:pPr>
        <w:rPr>
          <w:rFonts w:hint="default"/>
          <w:color w:val="auto"/>
        </w:rPr>
      </w:pPr>
      <w:r>
        <w:rPr>
          <w:rFonts w:hint="default"/>
          <w:color w:val="auto"/>
        </w:rPr>
        <w:br w:type="page"/>
      </w:r>
    </w:p>
    <w:p w14:paraId="07DDDE79">
      <w:pPr>
        <w:rPr>
          <w:rFonts w:hint="default"/>
          <w:color w:val="auto"/>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-90805</wp:posOffset>
                </wp:positionH>
                <wp:positionV relativeFrom="paragraph">
                  <wp:posOffset>1475105</wp:posOffset>
                </wp:positionV>
                <wp:extent cx="5142865" cy="499110"/>
                <wp:effectExtent l="0" t="0" r="0" b="0"/>
                <wp:wrapNone/>
                <wp:docPr id="24" name="文本框 24"/>
                <wp:cNvGraphicFramePr/>
                <a:graphic xmlns:a="http://schemas.openxmlformats.org/drawingml/2006/main">
                  <a:graphicData uri="http://schemas.microsoft.com/office/word/2010/wordprocessingShape">
                    <wps:wsp>
                      <wps:cNvSpPr txBox="1"/>
                      <wps:spPr>
                        <a:xfrm rot="18900000">
                          <a:off x="0" y="0"/>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8F117">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15pt;margin-top:116.15pt;height:39.3pt;width:404.95pt;rotation:-2949120f;z-index:251667456;mso-width-relative:page;mso-height-relative:page;" filled="f" stroked="f" coordsize="21600,21600" o:gfxdata="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0PdsAAAALAQAADwAAAAAAAAAB&#10;ACAAAAAiAAAAZHJzL2Rvd25yZXYueG1sUEsBAhQAFAAAAAgAh07iQDPq7w5GAgAAdwQAAA4AAAAA&#10;AAAAAQAgAAAAKgEAAGRycy9lMm9Eb2MueG1sUEsFBgAAAAAGAAYAWQEAAOIFAAAAAA==&#10;">
                <v:fill on="f" focussize="0,0"/>
                <v:stroke on="f" weight="0.5pt"/>
                <v:imagedata o:title=""/>
                <o:lock v:ext="edit" aspectratio="f"/>
                <v:textbox>
                  <w:txbxContent>
                    <w:p w14:paraId="27E8F117">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r>
        <w:rPr>
          <w:color w:val="auto"/>
          <w:sz w:val="21"/>
        </w:rPr>
        <mc:AlternateContent>
          <mc:Choice Requires="wps">
            <w:drawing>
              <wp:anchor distT="0" distB="0" distL="114300" distR="114300" simplePos="0" relativeHeight="251668480" behindDoc="0" locked="0" layoutInCell="1" allowOverlap="1">
                <wp:simplePos x="0" y="0"/>
                <wp:positionH relativeFrom="column">
                  <wp:posOffset>175895</wp:posOffset>
                </wp:positionH>
                <wp:positionV relativeFrom="paragraph">
                  <wp:posOffset>4351655</wp:posOffset>
                </wp:positionV>
                <wp:extent cx="5142865" cy="499110"/>
                <wp:effectExtent l="0" t="0" r="0" b="0"/>
                <wp:wrapNone/>
                <wp:docPr id="28" name="文本框 28"/>
                <wp:cNvGraphicFramePr/>
                <a:graphic xmlns:a="http://schemas.openxmlformats.org/drawingml/2006/main">
                  <a:graphicData uri="http://schemas.microsoft.com/office/word/2010/wordprocessingShape">
                    <wps:wsp>
                      <wps:cNvSpPr txBox="1"/>
                      <wps:spPr>
                        <a:xfrm rot="18900000">
                          <a:off x="0" y="0"/>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0DCAB2">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85pt;margin-top:342.65pt;height:39.3pt;width:404.95pt;rotation:-2949120f;z-index:251668480;mso-width-relative:page;mso-height-relative:page;" filled="f" stroked="f" coordsize="21600,21600" o:gfxdata="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X6cO2gAAAAoBAAAPAAAAAAAAAAEA&#10;IAAAACIAAABkcnMvZG93bnJldi54bWxQSwECFAAUAAAACACHTuJAjtLYZUYCAAB3BAAADgAAAAAA&#10;AAABACAAAAApAQAAZHJzL2Uyb0RvYy54bWxQSwUGAAAAAAYABgBZAQAA4QUAAAAA&#10;">
                <v:fill on="f" focussize="0,0"/>
                <v:stroke on="f" weight="0.5pt"/>
                <v:imagedata o:title=""/>
                <o:lock v:ext="edit" aspectratio="f"/>
                <v:textbox>
                  <w:txbxContent>
                    <w:p w14:paraId="590DCAB2">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r>
        <w:rPr>
          <w:color w:val="auto"/>
          <w:sz w:val="21"/>
        </w:rPr>
        <mc:AlternateContent>
          <mc:Choice Requires="wps">
            <w:drawing>
              <wp:anchor distT="0" distB="0" distL="114300" distR="114300" simplePos="0" relativeHeight="251666432" behindDoc="0" locked="0" layoutInCell="1" allowOverlap="1">
                <wp:simplePos x="0" y="0"/>
                <wp:positionH relativeFrom="column">
                  <wp:posOffset>680720</wp:posOffset>
                </wp:positionH>
                <wp:positionV relativeFrom="paragraph">
                  <wp:posOffset>6732905</wp:posOffset>
                </wp:positionV>
                <wp:extent cx="5142865" cy="499110"/>
                <wp:effectExtent l="0" t="0" r="0" b="0"/>
                <wp:wrapNone/>
                <wp:docPr id="23" name="文本框 23"/>
                <wp:cNvGraphicFramePr/>
                <a:graphic xmlns:a="http://schemas.openxmlformats.org/drawingml/2006/main">
                  <a:graphicData uri="http://schemas.microsoft.com/office/word/2010/wordprocessingShape">
                    <wps:wsp>
                      <wps:cNvSpPr txBox="1"/>
                      <wps:spPr>
                        <a:xfrm rot="18900000">
                          <a:off x="0" y="0"/>
                          <a:ext cx="5142865" cy="4991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52AE9E">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6pt;margin-top:530.15pt;height:39.3pt;width:404.95pt;rotation:-2949120f;z-index:251666432;mso-width-relative:page;mso-height-relative:page;" filled="f" stroked="f" coordsize="21600,21600" o:gfxdata="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CdSG7bAAAADQEAAA8AAAAAAAAA&#10;AQAgAAAAIgAAAGRycy9kb3ducmV2LnhtbFBLAQIUABQAAAAIAIdO4kDYj8PyRwIAAHcEAAAOAAAA&#10;AAAAAAEAIAAAACoBAABkcnMvZTJvRG9jLnhtbFBLBQYAAAAABgAGAFkBAADjBQAAAAA=&#10;">
                <v:fill on="f" focussize="0,0"/>
                <v:stroke on="f" weight="0.5pt"/>
                <v:imagedata o:title=""/>
                <o:lock v:ext="edit" aspectratio="f"/>
                <v:textbox>
                  <w:txbxContent>
                    <w:p w14:paraId="7652AE9E">
                      <w:pPr>
                        <w:rPr>
                          <w:rFonts w:hint="eastAsia" w:ascii="微软雅黑" w:hAnsi="微软雅黑" w:eastAsia="微软雅黑" w:cs="微软雅黑"/>
                          <w:b w:val="0"/>
                          <w:bCs w:val="0"/>
                          <w:sz w:val="36"/>
                          <w:szCs w:val="36"/>
                          <w:lang w:val="en-US" w:eastAsia="zh-CN"/>
                        </w:rPr>
                      </w:pPr>
                      <w:r>
                        <w:rPr>
                          <w:rFonts w:hint="eastAsia" w:ascii="微软雅黑" w:hAnsi="微软雅黑" w:eastAsia="微软雅黑" w:cs="微软雅黑"/>
                          <w:b w:val="0"/>
                          <w:bCs w:val="0"/>
                          <w:sz w:val="36"/>
                          <w:szCs w:val="36"/>
                          <w:lang w:val="en-US" w:eastAsia="zh-CN"/>
                        </w:rPr>
                        <w:t>仅限</w:t>
                      </w:r>
                      <w:r>
                        <w:rPr>
                          <w:rFonts w:hint="eastAsia" w:ascii="微软雅黑" w:hAnsi="微软雅黑" w:eastAsia="微软雅黑" w:cs="微软雅黑"/>
                          <w:b w:val="0"/>
                          <w:bCs w:val="0"/>
                          <w:color w:val="auto"/>
                          <w:sz w:val="36"/>
                          <w:szCs w:val="36"/>
                          <w:highlight w:val="none"/>
                          <w:lang w:val="en-US" w:eastAsia="zh-CN"/>
                        </w:rPr>
                        <w:t>福清水质检测中心实验室项目环评使用</w:t>
                      </w:r>
                    </w:p>
                  </w:txbxContent>
                </v:textbox>
              </v:shape>
            </w:pict>
          </mc:Fallback>
        </mc:AlternateContent>
      </w:r>
    </w:p>
    <w:p w14:paraId="1ECC6122">
      <w:pPr>
        <w:rPr>
          <w:rFonts w:hint="default"/>
          <w:color w:val="auto"/>
        </w:rPr>
      </w:pPr>
    </w:p>
    <w:p w14:paraId="7E6FC10D">
      <w:pPr>
        <w:rPr>
          <w:rFonts w:hint="default"/>
          <w:color w:val="auto"/>
        </w:rPr>
      </w:pPr>
    </w:p>
    <w:p w14:paraId="6DFB4639">
      <w:pPr>
        <w:rPr>
          <w:rFonts w:hint="default"/>
          <w:color w:val="auto"/>
        </w:rPr>
      </w:pPr>
    </w:p>
    <w:p w14:paraId="5A2D6D2C">
      <w:pPr>
        <w:rPr>
          <w:rFonts w:hint="default"/>
          <w:color w:val="auto"/>
        </w:rPr>
      </w:pPr>
      <w:r>
        <w:rPr>
          <w:rFonts w:hint="default"/>
          <w:color w:val="auto"/>
        </w:rPr>
        <w:drawing>
          <wp:inline distT="0" distB="0" distL="114300" distR="114300">
            <wp:extent cx="5685790" cy="3265170"/>
            <wp:effectExtent l="0" t="0" r="10160" b="11430"/>
            <wp:docPr id="29" name="图片 29" descr="陈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陈键_00"/>
                    <pic:cNvPicPr>
                      <a:picLocks noChangeAspect="1"/>
                    </pic:cNvPicPr>
                  </pic:nvPicPr>
                  <pic:blipFill>
                    <a:blip r:embed="rId11"/>
                    <a:srcRect b="45823"/>
                    <a:stretch>
                      <a:fillRect/>
                    </a:stretch>
                  </pic:blipFill>
                  <pic:spPr>
                    <a:xfrm>
                      <a:off x="0" y="0"/>
                      <a:ext cx="5685790" cy="3265170"/>
                    </a:xfrm>
                    <a:prstGeom prst="rect">
                      <a:avLst/>
                    </a:prstGeom>
                  </pic:spPr>
                </pic:pic>
              </a:graphicData>
            </a:graphic>
          </wp:inline>
        </w:drawing>
      </w:r>
    </w:p>
    <w:p w14:paraId="10531C92">
      <w:pPr>
        <w:rPr>
          <w:rFonts w:hint="default"/>
          <w:color w:val="auto"/>
        </w:rPr>
      </w:pPr>
    </w:p>
    <w:p w14:paraId="02FF8816">
      <w:pPr>
        <w:rPr>
          <w:rFonts w:hint="default"/>
          <w:color w:val="auto"/>
        </w:rPr>
      </w:pPr>
    </w:p>
    <w:p w14:paraId="17614D93">
      <w:pPr>
        <w:rPr>
          <w:rFonts w:hint="default"/>
          <w:color w:val="auto"/>
        </w:rPr>
      </w:pPr>
    </w:p>
    <w:p w14:paraId="4B7CCA8F">
      <w:pPr>
        <w:rPr>
          <w:rFonts w:hint="default"/>
          <w:color w:val="auto"/>
        </w:rPr>
      </w:pPr>
    </w:p>
    <w:p w14:paraId="665495F3">
      <w:pPr>
        <w:rPr>
          <w:rFonts w:hint="default"/>
          <w:color w:val="auto"/>
        </w:rPr>
      </w:pPr>
    </w:p>
    <w:p w14:paraId="5377BEC9">
      <w:pPr>
        <w:rPr>
          <w:rFonts w:hint="default"/>
          <w:color w:val="auto"/>
        </w:rPr>
      </w:pPr>
      <w:r>
        <w:rPr>
          <w:rFonts w:hint="default"/>
          <w:color w:val="auto"/>
        </w:rPr>
        <w:drawing>
          <wp:inline distT="0" distB="0" distL="114300" distR="114300">
            <wp:extent cx="5685790" cy="3553460"/>
            <wp:effectExtent l="0" t="0" r="10160" b="8890"/>
            <wp:docPr id="31" name="图片 31" descr="光洋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光洋_00"/>
                    <pic:cNvPicPr>
                      <a:picLocks noChangeAspect="1"/>
                    </pic:cNvPicPr>
                  </pic:nvPicPr>
                  <pic:blipFill>
                    <a:blip r:embed="rId12"/>
                    <a:srcRect b="44772"/>
                    <a:stretch>
                      <a:fillRect/>
                    </a:stretch>
                  </pic:blipFill>
                  <pic:spPr>
                    <a:xfrm>
                      <a:off x="0" y="0"/>
                      <a:ext cx="5685790" cy="3553460"/>
                    </a:xfrm>
                    <a:prstGeom prst="rect">
                      <a:avLst/>
                    </a:prstGeom>
                  </pic:spPr>
                </pic:pic>
              </a:graphicData>
            </a:graphic>
          </wp:inline>
        </w:drawing>
      </w:r>
    </w:p>
    <w:p w14:paraId="75A4FC0C">
      <w:pPr>
        <w:rPr>
          <w:rFonts w:hint="default"/>
          <w:color w:val="auto"/>
        </w:rPr>
      </w:pPr>
    </w:p>
    <w:p w14:paraId="2F081FCB">
      <w:pPr>
        <w:rPr>
          <w:rFonts w:hint="default"/>
          <w:color w:val="auto"/>
        </w:rPr>
      </w:pPr>
      <w:r>
        <w:rPr>
          <w:rFonts w:hint="default"/>
          <w:color w:val="auto"/>
        </w:rPr>
        <w:drawing>
          <wp:inline distT="0" distB="0" distL="114300" distR="114300">
            <wp:extent cx="5554345" cy="8207375"/>
            <wp:effectExtent l="0" t="0" r="8255" b="3175"/>
            <wp:docPr id="32" name="图片 32" descr="承诺书-福清水质检测中心实验室项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承诺书-福清水质检测中心实验室项目_00"/>
                    <pic:cNvPicPr>
                      <a:picLocks noChangeAspect="1"/>
                    </pic:cNvPicPr>
                  </pic:nvPicPr>
                  <pic:blipFill>
                    <a:blip r:embed="rId13"/>
                    <a:srcRect l="8240" t="3640" r="7146" b="7936"/>
                    <a:stretch>
                      <a:fillRect/>
                    </a:stretch>
                  </pic:blipFill>
                  <pic:spPr>
                    <a:xfrm>
                      <a:off x="0" y="0"/>
                      <a:ext cx="5554345" cy="8207375"/>
                    </a:xfrm>
                    <a:prstGeom prst="rect">
                      <a:avLst/>
                    </a:prstGeom>
                  </pic:spPr>
                </pic:pic>
              </a:graphicData>
            </a:graphic>
          </wp:inline>
        </w:drawing>
      </w:r>
    </w:p>
    <w:p w14:paraId="1E746F9A">
      <w:pPr>
        <w:rPr>
          <w:rFonts w:hint="default"/>
          <w:color w:val="auto"/>
        </w:rPr>
      </w:pPr>
    </w:p>
    <w:p w14:paraId="0FEADCE5">
      <w:pPr>
        <w:rPr>
          <w:rFonts w:hint="eastAsia" w:eastAsia="宋体"/>
          <w:color w:val="auto"/>
          <w:lang w:eastAsia="zh-CN"/>
        </w:rPr>
      </w:pPr>
      <w:r>
        <w:rPr>
          <w:rFonts w:hint="eastAsia" w:eastAsia="宋体"/>
          <w:color w:val="auto"/>
          <w:lang w:eastAsia="zh-CN"/>
        </w:rPr>
        <w:drawing>
          <wp:inline distT="0" distB="0" distL="114300" distR="114300">
            <wp:extent cx="5669280" cy="8016875"/>
            <wp:effectExtent l="0" t="0" r="7620" b="3175"/>
            <wp:docPr id="49" name="图片 49" descr="未命名2(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未命名2(1)_03"/>
                    <pic:cNvPicPr>
                      <a:picLocks noChangeAspect="1"/>
                    </pic:cNvPicPr>
                  </pic:nvPicPr>
                  <pic:blipFill>
                    <a:blip r:embed="rId14"/>
                    <a:stretch>
                      <a:fillRect/>
                    </a:stretch>
                  </pic:blipFill>
                  <pic:spPr>
                    <a:xfrm>
                      <a:off x="0" y="0"/>
                      <a:ext cx="5669280" cy="8016875"/>
                    </a:xfrm>
                    <a:prstGeom prst="rect">
                      <a:avLst/>
                    </a:prstGeom>
                  </pic:spPr>
                </pic:pic>
              </a:graphicData>
            </a:graphic>
          </wp:inline>
        </w:drawing>
      </w:r>
    </w:p>
    <w:p w14:paraId="3DC318EA">
      <w:pPr>
        <w:rPr>
          <w:rFonts w:hint="default"/>
          <w:color w:val="auto"/>
        </w:rPr>
      </w:pPr>
    </w:p>
    <w:p w14:paraId="3C28DFFF">
      <w:pPr>
        <w:rPr>
          <w:rFonts w:hint="default"/>
          <w:color w:val="auto"/>
        </w:rPr>
      </w:pPr>
    </w:p>
    <w:p w14:paraId="0550812C">
      <w:pPr>
        <w:rPr>
          <w:rFonts w:hint="default"/>
          <w:color w:val="auto"/>
        </w:rPr>
      </w:pPr>
    </w:p>
    <w:p w14:paraId="02C3DA2B">
      <w:pPr>
        <w:rPr>
          <w:rFonts w:hint="eastAsia" w:eastAsia="宋体"/>
          <w:color w:val="auto"/>
          <w:lang w:eastAsia="zh-CN"/>
        </w:rPr>
      </w:pPr>
      <w:r>
        <w:rPr>
          <w:rFonts w:hint="eastAsia" w:eastAsia="宋体"/>
          <w:color w:val="auto"/>
          <w:lang w:eastAsia="zh-CN"/>
        </w:rPr>
        <w:drawing>
          <wp:inline distT="0" distB="0" distL="114300" distR="114300">
            <wp:extent cx="5669280" cy="8017510"/>
            <wp:effectExtent l="0" t="0" r="7620" b="2540"/>
            <wp:docPr id="36" name="图片 36" descr="未命名2(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未命名2(1)_00"/>
                    <pic:cNvPicPr>
                      <a:picLocks noChangeAspect="1"/>
                    </pic:cNvPicPr>
                  </pic:nvPicPr>
                  <pic:blipFill>
                    <a:blip r:embed="rId15"/>
                    <a:stretch>
                      <a:fillRect/>
                    </a:stretch>
                  </pic:blipFill>
                  <pic:spPr>
                    <a:xfrm>
                      <a:off x="0" y="0"/>
                      <a:ext cx="5669280" cy="8017510"/>
                    </a:xfrm>
                    <a:prstGeom prst="rect">
                      <a:avLst/>
                    </a:prstGeom>
                  </pic:spPr>
                </pic:pic>
              </a:graphicData>
            </a:graphic>
          </wp:inline>
        </w:drawing>
      </w:r>
      <w:r>
        <w:rPr>
          <w:rFonts w:hint="eastAsia" w:eastAsia="宋体"/>
          <w:color w:val="auto"/>
          <w:lang w:eastAsia="zh-CN"/>
        </w:rPr>
        <w:drawing>
          <wp:inline distT="0" distB="0" distL="114300" distR="114300">
            <wp:extent cx="5669280" cy="8017510"/>
            <wp:effectExtent l="0" t="0" r="7620" b="2540"/>
            <wp:docPr id="55" name="图片 55" descr="未命名2(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未命名2(1)_01"/>
                    <pic:cNvPicPr>
                      <a:picLocks noChangeAspect="1"/>
                    </pic:cNvPicPr>
                  </pic:nvPicPr>
                  <pic:blipFill>
                    <a:blip r:embed="rId16"/>
                    <a:stretch>
                      <a:fillRect/>
                    </a:stretch>
                  </pic:blipFill>
                  <pic:spPr>
                    <a:xfrm>
                      <a:off x="0" y="0"/>
                      <a:ext cx="5669280" cy="8017510"/>
                    </a:xfrm>
                    <a:prstGeom prst="rect">
                      <a:avLst/>
                    </a:prstGeom>
                  </pic:spPr>
                </pic:pic>
              </a:graphicData>
            </a:graphic>
          </wp:inline>
        </w:drawing>
      </w:r>
    </w:p>
    <w:p w14:paraId="2941F3C5">
      <w:pPr>
        <w:rPr>
          <w:rFonts w:hint="default"/>
          <w:color w:val="auto"/>
        </w:rPr>
      </w:pPr>
    </w:p>
    <w:p w14:paraId="6361AF6D">
      <w:pPr>
        <w:rPr>
          <w:rFonts w:hint="default"/>
          <w:color w:val="auto"/>
        </w:rPr>
      </w:pPr>
      <w:r>
        <w:rPr>
          <w:rFonts w:hint="default"/>
          <w:color w:val="auto"/>
        </w:rPr>
        <w:br w:type="page"/>
      </w:r>
    </w:p>
    <w:sdt>
      <w:sdtPr>
        <w:rPr>
          <w:rFonts w:ascii="宋体" w:hAnsi="宋体" w:eastAsia="宋体" w:cs="Times New Roman"/>
          <w:b/>
          <w:bCs/>
          <w:color w:val="auto"/>
          <w:kern w:val="2"/>
          <w:sz w:val="32"/>
          <w:szCs w:val="32"/>
          <w:lang w:val="en-US" w:eastAsia="zh-CN" w:bidi="ar-SA"/>
        </w:rPr>
        <w:id w:val="147475548"/>
        <w15:color w:val="DBDBDB"/>
        <w:docPartObj>
          <w:docPartGallery w:val="Table of Contents"/>
          <w:docPartUnique/>
        </w:docPartObj>
      </w:sdtPr>
      <w:sdtEndPr>
        <w:rPr>
          <w:rFonts w:ascii="Times New Roman" w:hAnsi="Times New Roman" w:eastAsia="宋体" w:cs="宋体"/>
          <w:b/>
          <w:bCs/>
          <w:color w:val="auto"/>
          <w:kern w:val="0"/>
          <w:sz w:val="24"/>
          <w:szCs w:val="20"/>
          <w:lang w:val="zh-CN" w:eastAsia="zh-CN" w:bidi="ar-SA"/>
        </w:rPr>
      </w:sdtEndPr>
      <w:sdtContent>
        <w:p w14:paraId="04B6A988">
          <w:pPr>
            <w:keepNext w:val="0"/>
            <w:keepLines w:val="0"/>
            <w:pageBreakBefore w:val="0"/>
            <w:widowControl w:val="0"/>
            <w:kinsoku/>
            <w:wordWrap/>
            <w:overflowPunct/>
            <w:topLinePunct w:val="0"/>
            <w:autoSpaceDE/>
            <w:autoSpaceDN/>
            <w:bidi w:val="0"/>
            <w:adjustRightInd/>
            <w:snapToGrid/>
            <w:spacing w:before="157" w:beforeLines="50" w:after="157" w:afterLines="50" w:line="336" w:lineRule="auto"/>
            <w:ind w:left="0" w:leftChars="0" w:right="0" w:rightChars="0" w:firstLine="0" w:firstLineChars="0"/>
            <w:jc w:val="center"/>
            <w:textAlignment w:val="auto"/>
            <w:rPr>
              <w:b/>
              <w:bCs/>
              <w:color w:val="auto"/>
              <w:sz w:val="32"/>
              <w:szCs w:val="32"/>
            </w:rPr>
          </w:pPr>
          <w:r>
            <w:rPr>
              <w:rFonts w:ascii="宋体" w:hAnsi="宋体" w:eastAsia="宋体"/>
              <w:b/>
              <w:bCs/>
              <w:color w:val="auto"/>
              <w:sz w:val="32"/>
              <w:szCs w:val="32"/>
            </w:rPr>
            <w:t>目</w:t>
          </w:r>
          <w:r>
            <w:rPr>
              <w:rFonts w:hint="eastAsia" w:ascii="宋体" w:hAnsi="宋体" w:eastAsia="宋体"/>
              <w:b/>
              <w:bCs/>
              <w:color w:val="auto"/>
              <w:sz w:val="32"/>
              <w:szCs w:val="32"/>
              <w:lang w:val="en-US" w:eastAsia="zh-CN"/>
            </w:rPr>
            <w:t xml:space="preserve">  </w:t>
          </w:r>
          <w:r>
            <w:rPr>
              <w:rFonts w:ascii="宋体" w:hAnsi="宋体" w:eastAsia="宋体"/>
              <w:b/>
              <w:bCs/>
              <w:color w:val="auto"/>
              <w:sz w:val="32"/>
              <w:szCs w:val="32"/>
            </w:rPr>
            <w:t>录</w:t>
          </w:r>
        </w:p>
        <w:p w14:paraId="479CD643">
          <w:pPr>
            <w:pStyle w:val="23"/>
            <w:tabs>
              <w:tab w:val="right" w:leader="dot" w:pos="8958"/>
            </w:tabs>
            <w:rPr>
              <w:color w:val="auto"/>
            </w:rPr>
          </w:pPr>
          <w:r>
            <w:rPr>
              <w:color w:val="auto"/>
              <w:sz w:val="24"/>
              <w:szCs w:val="24"/>
            </w:rPr>
            <w:fldChar w:fldCharType="begin"/>
          </w:r>
          <w:r>
            <w:rPr>
              <w:color w:val="auto"/>
              <w:sz w:val="24"/>
              <w:szCs w:val="24"/>
            </w:rPr>
            <w:instrText xml:space="preserve">TOC \o "1-2" \h \u </w:instrText>
          </w:r>
          <w:r>
            <w:rPr>
              <w:color w:val="auto"/>
              <w:sz w:val="24"/>
              <w:szCs w:val="24"/>
            </w:rPr>
            <w:fldChar w:fldCharType="separate"/>
          </w:r>
          <w:r>
            <w:rPr>
              <w:color w:val="auto"/>
              <w:szCs w:val="24"/>
            </w:rPr>
            <w:fldChar w:fldCharType="begin"/>
          </w:r>
          <w:r>
            <w:rPr>
              <w:color w:val="auto"/>
              <w:szCs w:val="24"/>
            </w:rPr>
            <w:instrText xml:space="preserve"> HYPERLINK \l _Toc23831 </w:instrText>
          </w:r>
          <w:r>
            <w:rPr>
              <w:color w:val="auto"/>
              <w:szCs w:val="24"/>
            </w:rPr>
            <w:fldChar w:fldCharType="separate"/>
          </w:r>
          <w:r>
            <w:rPr>
              <w:rFonts w:hint="eastAsia" w:ascii="宋体" w:hAnsi="宋体" w:eastAsia="宋体" w:cs="宋体"/>
              <w:bCs/>
              <w:color w:val="auto"/>
              <w:szCs w:val="32"/>
            </w:rPr>
            <w:t xml:space="preserve">一、 </w:t>
          </w:r>
          <w:r>
            <w:rPr>
              <w:rFonts w:hint="default" w:eastAsia="宋体"/>
              <w:color w:val="auto"/>
            </w:rPr>
            <w:t>建设项目基本情况</w:t>
          </w:r>
          <w:r>
            <w:rPr>
              <w:color w:val="auto"/>
            </w:rPr>
            <w:tab/>
          </w:r>
          <w:r>
            <w:rPr>
              <w:color w:val="auto"/>
            </w:rPr>
            <w:fldChar w:fldCharType="begin"/>
          </w:r>
          <w:r>
            <w:rPr>
              <w:color w:val="auto"/>
            </w:rPr>
            <w:instrText xml:space="preserve"> PAGEREF _Toc23831 \h </w:instrText>
          </w:r>
          <w:r>
            <w:rPr>
              <w:color w:val="auto"/>
            </w:rPr>
            <w:fldChar w:fldCharType="separate"/>
          </w:r>
          <w:r>
            <w:rPr>
              <w:color w:val="auto"/>
            </w:rPr>
            <w:t>- 1 -</w:t>
          </w:r>
          <w:r>
            <w:rPr>
              <w:color w:val="auto"/>
            </w:rPr>
            <w:fldChar w:fldCharType="end"/>
          </w:r>
          <w:r>
            <w:rPr>
              <w:color w:val="auto"/>
              <w:szCs w:val="24"/>
            </w:rPr>
            <w:fldChar w:fldCharType="end"/>
          </w:r>
        </w:p>
        <w:p w14:paraId="38449AC9">
          <w:pPr>
            <w:pStyle w:val="25"/>
            <w:tabs>
              <w:tab w:val="right" w:leader="dot" w:pos="8958"/>
            </w:tabs>
            <w:rPr>
              <w:color w:val="auto"/>
            </w:rPr>
          </w:pPr>
          <w:r>
            <w:rPr>
              <w:color w:val="auto"/>
              <w:szCs w:val="24"/>
            </w:rPr>
            <w:fldChar w:fldCharType="begin"/>
          </w:r>
          <w:r>
            <w:rPr>
              <w:color w:val="auto"/>
              <w:szCs w:val="24"/>
            </w:rPr>
            <w:instrText xml:space="preserve"> HYPERLINK \l _Toc20546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1.1 </w:t>
          </w:r>
          <w:r>
            <w:rPr>
              <w:rFonts w:hint="eastAsia"/>
              <w:color w:val="auto"/>
              <w:szCs w:val="32"/>
              <w:lang w:val="en-US" w:eastAsia="zh-CN"/>
            </w:rPr>
            <w:t>与《福清融侨经济技术开发区总体规划(2018-2035年)》及规划环境影响评价的符合性分析</w:t>
          </w:r>
          <w:r>
            <w:rPr>
              <w:color w:val="auto"/>
            </w:rPr>
            <w:tab/>
          </w:r>
          <w:r>
            <w:rPr>
              <w:color w:val="auto"/>
            </w:rPr>
            <w:fldChar w:fldCharType="begin"/>
          </w:r>
          <w:r>
            <w:rPr>
              <w:color w:val="auto"/>
            </w:rPr>
            <w:instrText xml:space="preserve"> PAGEREF _Toc20546 \h </w:instrText>
          </w:r>
          <w:r>
            <w:rPr>
              <w:color w:val="auto"/>
            </w:rPr>
            <w:fldChar w:fldCharType="separate"/>
          </w:r>
          <w:r>
            <w:rPr>
              <w:color w:val="auto"/>
            </w:rPr>
            <w:t>- 3 -</w:t>
          </w:r>
          <w:r>
            <w:rPr>
              <w:color w:val="auto"/>
            </w:rPr>
            <w:fldChar w:fldCharType="end"/>
          </w:r>
          <w:r>
            <w:rPr>
              <w:color w:val="auto"/>
              <w:szCs w:val="24"/>
            </w:rPr>
            <w:fldChar w:fldCharType="end"/>
          </w:r>
        </w:p>
        <w:p w14:paraId="45F44F34">
          <w:pPr>
            <w:pStyle w:val="25"/>
            <w:tabs>
              <w:tab w:val="right" w:leader="dot" w:pos="8958"/>
            </w:tabs>
            <w:rPr>
              <w:color w:val="auto"/>
            </w:rPr>
          </w:pPr>
          <w:r>
            <w:rPr>
              <w:color w:val="auto"/>
              <w:szCs w:val="24"/>
            </w:rPr>
            <w:fldChar w:fldCharType="begin"/>
          </w:r>
          <w:r>
            <w:rPr>
              <w:color w:val="auto"/>
              <w:szCs w:val="24"/>
            </w:rPr>
            <w:instrText xml:space="preserve"> HYPERLINK \l _Toc21323 </w:instrText>
          </w:r>
          <w:r>
            <w:rPr>
              <w:color w:val="auto"/>
              <w:szCs w:val="24"/>
            </w:rPr>
            <w:fldChar w:fldCharType="separate"/>
          </w:r>
          <w:r>
            <w:rPr>
              <w:rFonts w:hint="default" w:ascii="Times New Roman" w:hAnsi="Times New Roman" w:eastAsia="宋体" w:cs="Times New Roman"/>
              <w:bCs/>
              <w:color w:val="auto"/>
              <w:szCs w:val="30"/>
            </w:rPr>
            <w:t xml:space="preserve">1.2 </w:t>
          </w:r>
          <w:r>
            <w:rPr>
              <w:rFonts w:hint="default" w:ascii="Times New Roman" w:hAnsi="Times New Roman" w:cs="Times New Roman"/>
              <w:color w:val="auto"/>
              <w:highlight w:val="none"/>
            </w:rPr>
            <w:t>产业政策符合性分析</w:t>
          </w:r>
          <w:r>
            <w:rPr>
              <w:color w:val="auto"/>
            </w:rPr>
            <w:tab/>
          </w:r>
          <w:r>
            <w:rPr>
              <w:color w:val="auto"/>
            </w:rPr>
            <w:fldChar w:fldCharType="begin"/>
          </w:r>
          <w:r>
            <w:rPr>
              <w:color w:val="auto"/>
            </w:rPr>
            <w:instrText xml:space="preserve"> PAGEREF _Toc21323 \h </w:instrText>
          </w:r>
          <w:r>
            <w:rPr>
              <w:color w:val="auto"/>
            </w:rPr>
            <w:fldChar w:fldCharType="separate"/>
          </w:r>
          <w:r>
            <w:rPr>
              <w:color w:val="auto"/>
            </w:rPr>
            <w:t>- 6 -</w:t>
          </w:r>
          <w:r>
            <w:rPr>
              <w:color w:val="auto"/>
            </w:rPr>
            <w:fldChar w:fldCharType="end"/>
          </w:r>
          <w:r>
            <w:rPr>
              <w:color w:val="auto"/>
              <w:szCs w:val="24"/>
            </w:rPr>
            <w:fldChar w:fldCharType="end"/>
          </w:r>
        </w:p>
        <w:p w14:paraId="230066BA">
          <w:pPr>
            <w:pStyle w:val="25"/>
            <w:tabs>
              <w:tab w:val="right" w:leader="dot" w:pos="8958"/>
            </w:tabs>
            <w:rPr>
              <w:color w:val="auto"/>
            </w:rPr>
          </w:pPr>
          <w:r>
            <w:rPr>
              <w:color w:val="auto"/>
              <w:szCs w:val="24"/>
            </w:rPr>
            <w:fldChar w:fldCharType="begin"/>
          </w:r>
          <w:r>
            <w:rPr>
              <w:color w:val="auto"/>
              <w:szCs w:val="24"/>
            </w:rPr>
            <w:instrText xml:space="preserve"> HYPERLINK \l _Toc12351 </w:instrText>
          </w:r>
          <w:r>
            <w:rPr>
              <w:color w:val="auto"/>
              <w:szCs w:val="24"/>
            </w:rPr>
            <w:fldChar w:fldCharType="separate"/>
          </w:r>
          <w:r>
            <w:rPr>
              <w:rFonts w:hint="default" w:ascii="Times New Roman" w:hAnsi="Times New Roman" w:eastAsia="宋体" w:cs="Times New Roman"/>
              <w:bCs/>
              <w:color w:val="auto"/>
              <w:szCs w:val="30"/>
            </w:rPr>
            <w:t xml:space="preserve">1.3 </w:t>
          </w:r>
          <w:r>
            <w:rPr>
              <w:rFonts w:hint="eastAsia" w:ascii="Times New Roman" w:hAnsi="Times New Roman" w:cs="Times New Roman"/>
              <w:color w:val="auto"/>
              <w:highlight w:val="none"/>
              <w:lang w:val="en-US" w:eastAsia="zh-CN"/>
            </w:rPr>
            <w:t>项目选址合理</w:t>
          </w:r>
          <w:r>
            <w:rPr>
              <w:rFonts w:hint="default" w:ascii="Times New Roman" w:hAnsi="Times New Roman" w:cs="Times New Roman"/>
              <w:color w:val="auto"/>
              <w:highlight w:val="none"/>
            </w:rPr>
            <w:t>性分析</w:t>
          </w:r>
          <w:r>
            <w:rPr>
              <w:color w:val="auto"/>
            </w:rPr>
            <w:tab/>
          </w:r>
          <w:r>
            <w:rPr>
              <w:color w:val="auto"/>
            </w:rPr>
            <w:fldChar w:fldCharType="begin"/>
          </w:r>
          <w:r>
            <w:rPr>
              <w:color w:val="auto"/>
            </w:rPr>
            <w:instrText xml:space="preserve"> PAGEREF _Toc12351 \h </w:instrText>
          </w:r>
          <w:r>
            <w:rPr>
              <w:color w:val="auto"/>
            </w:rPr>
            <w:fldChar w:fldCharType="separate"/>
          </w:r>
          <w:r>
            <w:rPr>
              <w:color w:val="auto"/>
            </w:rPr>
            <w:t>- 6 -</w:t>
          </w:r>
          <w:r>
            <w:rPr>
              <w:color w:val="auto"/>
            </w:rPr>
            <w:fldChar w:fldCharType="end"/>
          </w:r>
          <w:r>
            <w:rPr>
              <w:color w:val="auto"/>
              <w:szCs w:val="24"/>
            </w:rPr>
            <w:fldChar w:fldCharType="end"/>
          </w:r>
        </w:p>
        <w:p w14:paraId="0AB9F7BB">
          <w:pPr>
            <w:pStyle w:val="25"/>
            <w:tabs>
              <w:tab w:val="right" w:leader="dot" w:pos="8958"/>
            </w:tabs>
            <w:rPr>
              <w:color w:val="auto"/>
            </w:rPr>
          </w:pPr>
          <w:r>
            <w:rPr>
              <w:color w:val="auto"/>
              <w:szCs w:val="24"/>
            </w:rPr>
            <w:fldChar w:fldCharType="begin"/>
          </w:r>
          <w:r>
            <w:rPr>
              <w:color w:val="auto"/>
              <w:szCs w:val="24"/>
            </w:rPr>
            <w:instrText xml:space="preserve"> HYPERLINK \l _Toc13352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1.4 </w:t>
          </w:r>
          <w:r>
            <w:rPr>
              <w:rFonts w:hint="eastAsia" w:ascii="Times New Roman" w:hAnsi="Times New Roman" w:cs="Times New Roman"/>
              <w:color w:val="auto"/>
              <w:highlight w:val="none"/>
              <w:lang w:val="en-US" w:eastAsia="zh-CN"/>
            </w:rPr>
            <w:t>环境功能区划符合性分析</w:t>
          </w:r>
          <w:r>
            <w:rPr>
              <w:color w:val="auto"/>
            </w:rPr>
            <w:tab/>
          </w:r>
          <w:r>
            <w:rPr>
              <w:color w:val="auto"/>
            </w:rPr>
            <w:fldChar w:fldCharType="begin"/>
          </w:r>
          <w:r>
            <w:rPr>
              <w:color w:val="auto"/>
            </w:rPr>
            <w:instrText xml:space="preserve"> PAGEREF _Toc13352 \h </w:instrText>
          </w:r>
          <w:r>
            <w:rPr>
              <w:color w:val="auto"/>
            </w:rPr>
            <w:fldChar w:fldCharType="separate"/>
          </w:r>
          <w:r>
            <w:rPr>
              <w:color w:val="auto"/>
            </w:rPr>
            <w:t>- 6 -</w:t>
          </w:r>
          <w:r>
            <w:rPr>
              <w:color w:val="auto"/>
            </w:rPr>
            <w:fldChar w:fldCharType="end"/>
          </w:r>
          <w:r>
            <w:rPr>
              <w:color w:val="auto"/>
              <w:szCs w:val="24"/>
            </w:rPr>
            <w:fldChar w:fldCharType="end"/>
          </w:r>
        </w:p>
        <w:p w14:paraId="325EA13C">
          <w:pPr>
            <w:pStyle w:val="25"/>
            <w:tabs>
              <w:tab w:val="right" w:leader="dot" w:pos="8958"/>
            </w:tabs>
            <w:rPr>
              <w:color w:val="auto"/>
            </w:rPr>
          </w:pPr>
          <w:r>
            <w:rPr>
              <w:color w:val="auto"/>
              <w:szCs w:val="24"/>
            </w:rPr>
            <w:fldChar w:fldCharType="begin"/>
          </w:r>
          <w:r>
            <w:rPr>
              <w:color w:val="auto"/>
              <w:szCs w:val="24"/>
            </w:rPr>
            <w:instrText xml:space="preserve"> HYPERLINK \l _Toc12624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1.5 </w:t>
          </w:r>
          <w:r>
            <w:rPr>
              <w:rFonts w:hint="eastAsia" w:ascii="Times New Roman" w:hAnsi="Times New Roman" w:cs="Times New Roman"/>
              <w:color w:val="auto"/>
              <w:highlight w:val="none"/>
              <w:lang w:val="en-US" w:eastAsia="zh-CN"/>
            </w:rPr>
            <w:t>“三线一单”控制要求的符合性分析</w:t>
          </w:r>
          <w:r>
            <w:rPr>
              <w:color w:val="auto"/>
            </w:rPr>
            <w:tab/>
          </w:r>
          <w:r>
            <w:rPr>
              <w:color w:val="auto"/>
            </w:rPr>
            <w:fldChar w:fldCharType="begin"/>
          </w:r>
          <w:r>
            <w:rPr>
              <w:color w:val="auto"/>
            </w:rPr>
            <w:instrText xml:space="preserve"> PAGEREF _Toc12624 \h </w:instrText>
          </w:r>
          <w:r>
            <w:rPr>
              <w:color w:val="auto"/>
            </w:rPr>
            <w:fldChar w:fldCharType="separate"/>
          </w:r>
          <w:r>
            <w:rPr>
              <w:color w:val="auto"/>
            </w:rPr>
            <w:t>- 6 -</w:t>
          </w:r>
          <w:r>
            <w:rPr>
              <w:color w:val="auto"/>
            </w:rPr>
            <w:fldChar w:fldCharType="end"/>
          </w:r>
          <w:r>
            <w:rPr>
              <w:color w:val="auto"/>
              <w:szCs w:val="24"/>
            </w:rPr>
            <w:fldChar w:fldCharType="end"/>
          </w:r>
        </w:p>
        <w:p w14:paraId="2A3C2621">
          <w:pPr>
            <w:pStyle w:val="25"/>
            <w:tabs>
              <w:tab w:val="right" w:leader="dot" w:pos="8958"/>
            </w:tabs>
            <w:rPr>
              <w:color w:val="auto"/>
            </w:rPr>
          </w:pPr>
          <w:r>
            <w:rPr>
              <w:color w:val="auto"/>
              <w:szCs w:val="24"/>
            </w:rPr>
            <w:fldChar w:fldCharType="begin"/>
          </w:r>
          <w:r>
            <w:rPr>
              <w:color w:val="auto"/>
              <w:szCs w:val="24"/>
            </w:rPr>
            <w:instrText xml:space="preserve"> HYPERLINK \l _Toc21408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1.6 </w:t>
          </w:r>
          <w:r>
            <w:rPr>
              <w:rFonts w:hint="eastAsia" w:ascii="Times New Roman" w:hAnsi="Times New Roman" w:cs="Times New Roman"/>
              <w:color w:val="auto"/>
              <w:highlight w:val="none"/>
              <w:lang w:val="en-US" w:eastAsia="zh-CN"/>
            </w:rPr>
            <w:t>与挥发性有机物污染防治相关政策符合性分析</w:t>
          </w:r>
          <w:r>
            <w:rPr>
              <w:color w:val="auto"/>
            </w:rPr>
            <w:tab/>
          </w:r>
          <w:r>
            <w:rPr>
              <w:color w:val="auto"/>
            </w:rPr>
            <w:fldChar w:fldCharType="begin"/>
          </w:r>
          <w:r>
            <w:rPr>
              <w:color w:val="auto"/>
            </w:rPr>
            <w:instrText xml:space="preserve"> PAGEREF _Toc21408 \h </w:instrText>
          </w:r>
          <w:r>
            <w:rPr>
              <w:color w:val="auto"/>
            </w:rPr>
            <w:fldChar w:fldCharType="separate"/>
          </w:r>
          <w:r>
            <w:rPr>
              <w:color w:val="auto"/>
            </w:rPr>
            <w:t>- 12 -</w:t>
          </w:r>
          <w:r>
            <w:rPr>
              <w:color w:val="auto"/>
            </w:rPr>
            <w:fldChar w:fldCharType="end"/>
          </w:r>
          <w:r>
            <w:rPr>
              <w:color w:val="auto"/>
              <w:szCs w:val="24"/>
            </w:rPr>
            <w:fldChar w:fldCharType="end"/>
          </w:r>
        </w:p>
        <w:p w14:paraId="61928C04">
          <w:pPr>
            <w:pStyle w:val="23"/>
            <w:tabs>
              <w:tab w:val="right" w:leader="dot" w:pos="8958"/>
            </w:tabs>
            <w:rPr>
              <w:color w:val="auto"/>
            </w:rPr>
          </w:pPr>
          <w:r>
            <w:rPr>
              <w:color w:val="auto"/>
              <w:szCs w:val="24"/>
            </w:rPr>
            <w:fldChar w:fldCharType="begin"/>
          </w:r>
          <w:r>
            <w:rPr>
              <w:color w:val="auto"/>
              <w:szCs w:val="24"/>
            </w:rPr>
            <w:instrText xml:space="preserve"> HYPERLINK \l _Toc16900 </w:instrText>
          </w:r>
          <w:r>
            <w:rPr>
              <w:color w:val="auto"/>
              <w:szCs w:val="24"/>
            </w:rPr>
            <w:fldChar w:fldCharType="separate"/>
          </w:r>
          <w:r>
            <w:rPr>
              <w:rFonts w:hint="eastAsia" w:ascii="宋体" w:hAnsi="宋体" w:eastAsia="宋体" w:cs="宋体"/>
              <w:bCs/>
              <w:color w:val="auto"/>
              <w:szCs w:val="32"/>
            </w:rPr>
            <w:t xml:space="preserve">二、 </w:t>
          </w:r>
          <w:r>
            <w:rPr>
              <w:rFonts w:hint="default"/>
              <w:color w:val="auto"/>
            </w:rPr>
            <w:t>建设项目工程分析</w:t>
          </w:r>
          <w:r>
            <w:rPr>
              <w:color w:val="auto"/>
            </w:rPr>
            <w:tab/>
          </w:r>
          <w:r>
            <w:rPr>
              <w:color w:val="auto"/>
            </w:rPr>
            <w:fldChar w:fldCharType="begin"/>
          </w:r>
          <w:r>
            <w:rPr>
              <w:color w:val="auto"/>
            </w:rPr>
            <w:instrText xml:space="preserve"> PAGEREF _Toc16900 \h </w:instrText>
          </w:r>
          <w:r>
            <w:rPr>
              <w:color w:val="auto"/>
            </w:rPr>
            <w:fldChar w:fldCharType="separate"/>
          </w:r>
          <w:r>
            <w:rPr>
              <w:color w:val="auto"/>
            </w:rPr>
            <w:t>- 14 -</w:t>
          </w:r>
          <w:r>
            <w:rPr>
              <w:color w:val="auto"/>
            </w:rPr>
            <w:fldChar w:fldCharType="end"/>
          </w:r>
          <w:r>
            <w:rPr>
              <w:color w:val="auto"/>
              <w:szCs w:val="24"/>
            </w:rPr>
            <w:fldChar w:fldCharType="end"/>
          </w:r>
        </w:p>
        <w:p w14:paraId="7457210C">
          <w:pPr>
            <w:pStyle w:val="25"/>
            <w:tabs>
              <w:tab w:val="right" w:leader="dot" w:pos="8958"/>
            </w:tabs>
            <w:rPr>
              <w:color w:val="auto"/>
            </w:rPr>
          </w:pPr>
          <w:r>
            <w:rPr>
              <w:color w:val="auto"/>
              <w:szCs w:val="24"/>
            </w:rPr>
            <w:fldChar w:fldCharType="begin"/>
          </w:r>
          <w:r>
            <w:rPr>
              <w:color w:val="auto"/>
              <w:szCs w:val="24"/>
            </w:rPr>
            <w:instrText xml:space="preserve"> HYPERLINK \l _Toc20169 </w:instrText>
          </w:r>
          <w:r>
            <w:rPr>
              <w:color w:val="auto"/>
              <w:szCs w:val="24"/>
            </w:rPr>
            <w:fldChar w:fldCharType="separate"/>
          </w:r>
          <w:r>
            <w:rPr>
              <w:rFonts w:hint="default" w:ascii="Times New Roman" w:hAnsi="Times New Roman" w:eastAsia="宋体" w:cs="Times New Roman"/>
              <w:bCs/>
              <w:color w:val="auto"/>
              <w:szCs w:val="30"/>
            </w:rPr>
            <w:t xml:space="preserve">2.1 </w:t>
          </w:r>
          <w:r>
            <w:rPr>
              <w:rFonts w:hint="default" w:ascii="Times New Roman" w:hAnsi="Times New Roman" w:cs="Times New Roman"/>
              <w:color w:val="auto"/>
              <w:highlight w:val="none"/>
            </w:rPr>
            <w:t>项目由来</w:t>
          </w:r>
          <w:r>
            <w:rPr>
              <w:color w:val="auto"/>
            </w:rPr>
            <w:tab/>
          </w:r>
          <w:r>
            <w:rPr>
              <w:color w:val="auto"/>
            </w:rPr>
            <w:fldChar w:fldCharType="begin"/>
          </w:r>
          <w:r>
            <w:rPr>
              <w:color w:val="auto"/>
            </w:rPr>
            <w:instrText xml:space="preserve"> PAGEREF _Toc20169 \h </w:instrText>
          </w:r>
          <w:r>
            <w:rPr>
              <w:color w:val="auto"/>
            </w:rPr>
            <w:fldChar w:fldCharType="separate"/>
          </w:r>
          <w:r>
            <w:rPr>
              <w:color w:val="auto"/>
            </w:rPr>
            <w:t>- 14 -</w:t>
          </w:r>
          <w:r>
            <w:rPr>
              <w:color w:val="auto"/>
            </w:rPr>
            <w:fldChar w:fldCharType="end"/>
          </w:r>
          <w:r>
            <w:rPr>
              <w:color w:val="auto"/>
              <w:szCs w:val="24"/>
            </w:rPr>
            <w:fldChar w:fldCharType="end"/>
          </w:r>
        </w:p>
        <w:p w14:paraId="3774C40F">
          <w:pPr>
            <w:pStyle w:val="25"/>
            <w:tabs>
              <w:tab w:val="right" w:leader="dot" w:pos="8958"/>
            </w:tabs>
            <w:rPr>
              <w:color w:val="auto"/>
            </w:rPr>
          </w:pPr>
          <w:r>
            <w:rPr>
              <w:color w:val="auto"/>
              <w:szCs w:val="24"/>
            </w:rPr>
            <w:fldChar w:fldCharType="begin"/>
          </w:r>
          <w:r>
            <w:rPr>
              <w:color w:val="auto"/>
              <w:szCs w:val="24"/>
            </w:rPr>
            <w:instrText xml:space="preserve"> HYPERLINK \l _Toc22745 </w:instrText>
          </w:r>
          <w:r>
            <w:rPr>
              <w:color w:val="auto"/>
              <w:szCs w:val="24"/>
            </w:rPr>
            <w:fldChar w:fldCharType="separate"/>
          </w:r>
          <w:r>
            <w:rPr>
              <w:rFonts w:hint="default" w:ascii="Times New Roman" w:hAnsi="Times New Roman" w:eastAsia="宋体" w:cs="Times New Roman"/>
              <w:bCs/>
              <w:color w:val="auto"/>
              <w:szCs w:val="30"/>
            </w:rPr>
            <w:t xml:space="preserve">2.2 </w:t>
          </w:r>
          <w:r>
            <w:rPr>
              <w:rFonts w:hint="default" w:ascii="Times New Roman" w:hAnsi="Times New Roman" w:cs="Times New Roman"/>
              <w:color w:val="auto"/>
              <w:highlight w:val="none"/>
            </w:rPr>
            <w:t>项目概况</w:t>
          </w:r>
          <w:r>
            <w:rPr>
              <w:color w:val="auto"/>
            </w:rPr>
            <w:tab/>
          </w:r>
          <w:r>
            <w:rPr>
              <w:color w:val="auto"/>
            </w:rPr>
            <w:fldChar w:fldCharType="begin"/>
          </w:r>
          <w:r>
            <w:rPr>
              <w:color w:val="auto"/>
            </w:rPr>
            <w:instrText xml:space="preserve"> PAGEREF _Toc22745 \h </w:instrText>
          </w:r>
          <w:r>
            <w:rPr>
              <w:color w:val="auto"/>
            </w:rPr>
            <w:fldChar w:fldCharType="separate"/>
          </w:r>
          <w:r>
            <w:rPr>
              <w:color w:val="auto"/>
            </w:rPr>
            <w:t>- 15 -</w:t>
          </w:r>
          <w:r>
            <w:rPr>
              <w:color w:val="auto"/>
            </w:rPr>
            <w:fldChar w:fldCharType="end"/>
          </w:r>
          <w:r>
            <w:rPr>
              <w:color w:val="auto"/>
              <w:szCs w:val="24"/>
            </w:rPr>
            <w:fldChar w:fldCharType="end"/>
          </w:r>
        </w:p>
        <w:p w14:paraId="03A9EC7F">
          <w:pPr>
            <w:pStyle w:val="25"/>
            <w:tabs>
              <w:tab w:val="right" w:leader="dot" w:pos="8958"/>
            </w:tabs>
            <w:rPr>
              <w:color w:val="auto"/>
            </w:rPr>
          </w:pPr>
          <w:r>
            <w:rPr>
              <w:color w:val="auto"/>
              <w:szCs w:val="24"/>
            </w:rPr>
            <w:fldChar w:fldCharType="begin"/>
          </w:r>
          <w:r>
            <w:rPr>
              <w:color w:val="auto"/>
              <w:szCs w:val="24"/>
            </w:rPr>
            <w:instrText xml:space="preserve"> HYPERLINK \l _Toc16635 </w:instrText>
          </w:r>
          <w:r>
            <w:rPr>
              <w:color w:val="auto"/>
              <w:szCs w:val="24"/>
            </w:rPr>
            <w:fldChar w:fldCharType="separate"/>
          </w:r>
          <w:r>
            <w:rPr>
              <w:rFonts w:hint="default" w:ascii="Times New Roman" w:hAnsi="Times New Roman" w:eastAsia="宋体" w:cs="Times New Roman"/>
              <w:bCs/>
              <w:color w:val="auto"/>
              <w:szCs w:val="30"/>
            </w:rPr>
            <w:t xml:space="preserve">2.3 </w:t>
          </w:r>
          <w:r>
            <w:rPr>
              <w:rFonts w:hint="default" w:ascii="Times New Roman" w:hAnsi="Times New Roman" w:cs="Times New Roman"/>
              <w:color w:val="auto"/>
              <w:highlight w:val="none"/>
            </w:rPr>
            <w:t>项目建设内容</w:t>
          </w:r>
          <w:r>
            <w:rPr>
              <w:rFonts w:hint="default" w:ascii="Times New Roman" w:hAnsi="Times New Roman" w:cs="Times New Roman"/>
              <w:color w:val="auto"/>
              <w:highlight w:val="none"/>
            </w:rPr>
            <w:drawing>
              <wp:inline distT="0" distB="0" distL="114300" distR="114300">
                <wp:extent cx="635" cy="0"/>
                <wp:effectExtent l="0" t="0" r="0" b="0"/>
                <wp:docPr id="91" name="图片 15" descr="5d4d756192e6f7dcc479903b567c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5" descr="5d4d756192e6f7dcc479903b567cde9"/>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r>
            <w:rPr>
              <w:color w:val="auto"/>
            </w:rPr>
            <w:tab/>
          </w:r>
          <w:r>
            <w:rPr>
              <w:color w:val="auto"/>
            </w:rPr>
            <w:fldChar w:fldCharType="begin"/>
          </w:r>
          <w:r>
            <w:rPr>
              <w:color w:val="auto"/>
            </w:rPr>
            <w:instrText xml:space="preserve"> PAGEREF _Toc16635 \h </w:instrText>
          </w:r>
          <w:r>
            <w:rPr>
              <w:color w:val="auto"/>
            </w:rPr>
            <w:fldChar w:fldCharType="separate"/>
          </w:r>
          <w:r>
            <w:rPr>
              <w:color w:val="auto"/>
            </w:rPr>
            <w:t>- 17 -</w:t>
          </w:r>
          <w:r>
            <w:rPr>
              <w:color w:val="auto"/>
            </w:rPr>
            <w:fldChar w:fldCharType="end"/>
          </w:r>
          <w:r>
            <w:rPr>
              <w:color w:val="auto"/>
              <w:szCs w:val="24"/>
            </w:rPr>
            <w:fldChar w:fldCharType="end"/>
          </w:r>
        </w:p>
        <w:p w14:paraId="6A539100">
          <w:pPr>
            <w:pStyle w:val="25"/>
            <w:tabs>
              <w:tab w:val="right" w:leader="dot" w:pos="8958"/>
            </w:tabs>
            <w:rPr>
              <w:color w:val="auto"/>
            </w:rPr>
          </w:pPr>
          <w:r>
            <w:rPr>
              <w:color w:val="auto"/>
              <w:szCs w:val="24"/>
            </w:rPr>
            <w:fldChar w:fldCharType="begin"/>
          </w:r>
          <w:r>
            <w:rPr>
              <w:color w:val="auto"/>
              <w:szCs w:val="24"/>
            </w:rPr>
            <w:instrText xml:space="preserve"> HYPERLINK \l _Toc28494 </w:instrText>
          </w:r>
          <w:r>
            <w:rPr>
              <w:color w:val="auto"/>
              <w:szCs w:val="24"/>
            </w:rPr>
            <w:fldChar w:fldCharType="separate"/>
          </w:r>
          <w:r>
            <w:rPr>
              <w:rFonts w:hint="default" w:ascii="Times New Roman" w:hAnsi="Times New Roman" w:eastAsia="宋体" w:cs="Times New Roman"/>
              <w:bCs/>
              <w:color w:val="auto"/>
              <w:szCs w:val="30"/>
            </w:rPr>
            <w:t xml:space="preserve">2.4 </w:t>
          </w:r>
          <w:r>
            <w:rPr>
              <w:rFonts w:hint="default" w:ascii="Times New Roman" w:hAnsi="Times New Roman" w:cs="Times New Roman"/>
              <w:color w:val="auto"/>
              <w:highlight w:val="none"/>
              <w:lang w:val="en-US" w:eastAsia="zh-CN"/>
            </w:rPr>
            <w:t>水平衡</w:t>
          </w:r>
          <w:r>
            <w:rPr>
              <w:color w:val="auto"/>
            </w:rPr>
            <w:tab/>
          </w:r>
          <w:r>
            <w:rPr>
              <w:color w:val="auto"/>
            </w:rPr>
            <w:fldChar w:fldCharType="begin"/>
          </w:r>
          <w:r>
            <w:rPr>
              <w:color w:val="auto"/>
            </w:rPr>
            <w:instrText xml:space="preserve"> PAGEREF _Toc28494 \h </w:instrText>
          </w:r>
          <w:r>
            <w:rPr>
              <w:color w:val="auto"/>
            </w:rPr>
            <w:fldChar w:fldCharType="separate"/>
          </w:r>
          <w:r>
            <w:rPr>
              <w:color w:val="auto"/>
            </w:rPr>
            <w:t>- 54 -</w:t>
          </w:r>
          <w:r>
            <w:rPr>
              <w:color w:val="auto"/>
            </w:rPr>
            <w:fldChar w:fldCharType="end"/>
          </w:r>
          <w:r>
            <w:rPr>
              <w:color w:val="auto"/>
              <w:szCs w:val="24"/>
            </w:rPr>
            <w:fldChar w:fldCharType="end"/>
          </w:r>
        </w:p>
        <w:p w14:paraId="7B96EF04">
          <w:pPr>
            <w:pStyle w:val="25"/>
            <w:tabs>
              <w:tab w:val="right" w:leader="dot" w:pos="8958"/>
            </w:tabs>
            <w:rPr>
              <w:color w:val="auto"/>
            </w:rPr>
          </w:pPr>
          <w:r>
            <w:rPr>
              <w:color w:val="auto"/>
              <w:szCs w:val="24"/>
            </w:rPr>
            <w:fldChar w:fldCharType="begin"/>
          </w:r>
          <w:r>
            <w:rPr>
              <w:color w:val="auto"/>
              <w:szCs w:val="24"/>
            </w:rPr>
            <w:instrText xml:space="preserve"> HYPERLINK \l _Toc799 </w:instrText>
          </w:r>
          <w:r>
            <w:rPr>
              <w:color w:val="auto"/>
              <w:szCs w:val="24"/>
            </w:rPr>
            <w:fldChar w:fldCharType="separate"/>
          </w:r>
          <w:r>
            <w:rPr>
              <w:rFonts w:hint="default" w:ascii="Times New Roman" w:hAnsi="Times New Roman" w:eastAsia="宋体" w:cs="Times New Roman"/>
              <w:bCs/>
              <w:color w:val="auto"/>
              <w:szCs w:val="30"/>
            </w:rPr>
            <w:t xml:space="preserve">2.5 </w:t>
          </w:r>
          <w:r>
            <w:rPr>
              <w:rFonts w:hint="default" w:ascii="Times New Roman" w:hAnsi="Times New Roman" w:cs="Times New Roman"/>
              <w:color w:val="auto"/>
              <w:highlight w:val="none"/>
            </w:rPr>
            <w:t>主要工艺流程及产污环节</w:t>
          </w:r>
          <w:r>
            <w:rPr>
              <w:color w:val="auto"/>
            </w:rPr>
            <w:tab/>
          </w:r>
          <w:r>
            <w:rPr>
              <w:color w:val="auto"/>
            </w:rPr>
            <w:fldChar w:fldCharType="begin"/>
          </w:r>
          <w:r>
            <w:rPr>
              <w:color w:val="auto"/>
            </w:rPr>
            <w:instrText xml:space="preserve"> PAGEREF _Toc799 \h </w:instrText>
          </w:r>
          <w:r>
            <w:rPr>
              <w:color w:val="auto"/>
            </w:rPr>
            <w:fldChar w:fldCharType="separate"/>
          </w:r>
          <w:r>
            <w:rPr>
              <w:color w:val="auto"/>
            </w:rPr>
            <w:t>- 57 -</w:t>
          </w:r>
          <w:r>
            <w:rPr>
              <w:color w:val="auto"/>
            </w:rPr>
            <w:fldChar w:fldCharType="end"/>
          </w:r>
          <w:r>
            <w:rPr>
              <w:color w:val="auto"/>
              <w:szCs w:val="24"/>
            </w:rPr>
            <w:fldChar w:fldCharType="end"/>
          </w:r>
        </w:p>
        <w:p w14:paraId="4CF6A4DD">
          <w:pPr>
            <w:pStyle w:val="23"/>
            <w:tabs>
              <w:tab w:val="right" w:leader="dot" w:pos="8958"/>
            </w:tabs>
            <w:rPr>
              <w:color w:val="auto"/>
            </w:rPr>
          </w:pPr>
          <w:r>
            <w:rPr>
              <w:color w:val="auto"/>
              <w:szCs w:val="24"/>
            </w:rPr>
            <w:fldChar w:fldCharType="begin"/>
          </w:r>
          <w:r>
            <w:rPr>
              <w:color w:val="auto"/>
              <w:szCs w:val="24"/>
            </w:rPr>
            <w:instrText xml:space="preserve"> HYPERLINK \l _Toc12930 </w:instrText>
          </w:r>
          <w:r>
            <w:rPr>
              <w:color w:val="auto"/>
              <w:szCs w:val="24"/>
            </w:rPr>
            <w:fldChar w:fldCharType="separate"/>
          </w:r>
          <w:r>
            <w:rPr>
              <w:rFonts w:hint="eastAsia" w:ascii="宋体" w:hAnsi="宋体" w:eastAsia="宋体" w:cs="宋体"/>
              <w:bCs/>
              <w:color w:val="auto"/>
              <w:szCs w:val="32"/>
            </w:rPr>
            <w:t xml:space="preserve">三、 </w:t>
          </w:r>
          <w:r>
            <w:rPr>
              <w:rFonts w:hint="default"/>
              <w:color w:val="auto"/>
            </w:rPr>
            <w:t>区域环境质量现状、环境保护目标及评价标准</w:t>
          </w:r>
          <w:r>
            <w:rPr>
              <w:color w:val="auto"/>
            </w:rPr>
            <w:tab/>
          </w:r>
          <w:r>
            <w:rPr>
              <w:color w:val="auto"/>
            </w:rPr>
            <w:fldChar w:fldCharType="begin"/>
          </w:r>
          <w:r>
            <w:rPr>
              <w:color w:val="auto"/>
            </w:rPr>
            <w:instrText xml:space="preserve"> PAGEREF _Toc12930 \h </w:instrText>
          </w:r>
          <w:r>
            <w:rPr>
              <w:color w:val="auto"/>
            </w:rPr>
            <w:fldChar w:fldCharType="separate"/>
          </w:r>
          <w:r>
            <w:rPr>
              <w:color w:val="auto"/>
            </w:rPr>
            <w:t>- 62 -</w:t>
          </w:r>
          <w:r>
            <w:rPr>
              <w:color w:val="auto"/>
            </w:rPr>
            <w:fldChar w:fldCharType="end"/>
          </w:r>
          <w:r>
            <w:rPr>
              <w:color w:val="auto"/>
              <w:szCs w:val="24"/>
            </w:rPr>
            <w:fldChar w:fldCharType="end"/>
          </w:r>
        </w:p>
        <w:p w14:paraId="20379C07">
          <w:pPr>
            <w:pStyle w:val="25"/>
            <w:tabs>
              <w:tab w:val="right" w:leader="dot" w:pos="8958"/>
            </w:tabs>
            <w:rPr>
              <w:color w:val="auto"/>
            </w:rPr>
          </w:pPr>
          <w:r>
            <w:rPr>
              <w:color w:val="auto"/>
              <w:szCs w:val="24"/>
            </w:rPr>
            <w:fldChar w:fldCharType="begin"/>
          </w:r>
          <w:r>
            <w:rPr>
              <w:color w:val="auto"/>
              <w:szCs w:val="24"/>
            </w:rPr>
            <w:instrText xml:space="preserve"> HYPERLINK \l _Toc20034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3.1 </w:t>
          </w:r>
          <w:r>
            <w:rPr>
              <w:rFonts w:hint="eastAsia"/>
              <w:color w:val="auto"/>
              <w:lang w:val="en-US" w:eastAsia="zh-CN"/>
            </w:rPr>
            <w:t>大气环境质量现状</w:t>
          </w:r>
          <w:r>
            <w:rPr>
              <w:color w:val="auto"/>
            </w:rPr>
            <w:tab/>
          </w:r>
          <w:r>
            <w:rPr>
              <w:color w:val="auto"/>
            </w:rPr>
            <w:fldChar w:fldCharType="begin"/>
          </w:r>
          <w:r>
            <w:rPr>
              <w:color w:val="auto"/>
            </w:rPr>
            <w:instrText xml:space="preserve"> PAGEREF _Toc20034 \h </w:instrText>
          </w:r>
          <w:r>
            <w:rPr>
              <w:color w:val="auto"/>
            </w:rPr>
            <w:fldChar w:fldCharType="separate"/>
          </w:r>
          <w:r>
            <w:rPr>
              <w:color w:val="auto"/>
            </w:rPr>
            <w:t>- 62 -</w:t>
          </w:r>
          <w:r>
            <w:rPr>
              <w:color w:val="auto"/>
            </w:rPr>
            <w:fldChar w:fldCharType="end"/>
          </w:r>
          <w:r>
            <w:rPr>
              <w:color w:val="auto"/>
              <w:szCs w:val="24"/>
            </w:rPr>
            <w:fldChar w:fldCharType="end"/>
          </w:r>
        </w:p>
        <w:p w14:paraId="4BC48A44">
          <w:pPr>
            <w:pStyle w:val="25"/>
            <w:tabs>
              <w:tab w:val="right" w:leader="dot" w:pos="8958"/>
            </w:tabs>
            <w:rPr>
              <w:color w:val="auto"/>
            </w:rPr>
          </w:pPr>
          <w:r>
            <w:rPr>
              <w:color w:val="auto"/>
              <w:szCs w:val="24"/>
            </w:rPr>
            <w:fldChar w:fldCharType="begin"/>
          </w:r>
          <w:r>
            <w:rPr>
              <w:color w:val="auto"/>
              <w:szCs w:val="24"/>
            </w:rPr>
            <w:instrText xml:space="preserve"> HYPERLINK \l _Toc32248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3.2 </w:t>
          </w:r>
          <w:r>
            <w:rPr>
              <w:rFonts w:hint="eastAsia" w:ascii="Times New Roman" w:hAnsi="Times New Roman" w:cs="Times New Roman"/>
              <w:color w:val="auto"/>
              <w:lang w:val="en-US" w:eastAsia="zh-CN"/>
            </w:rPr>
            <w:t>地表水环境质量现状</w:t>
          </w:r>
          <w:r>
            <w:rPr>
              <w:color w:val="auto"/>
            </w:rPr>
            <w:tab/>
          </w:r>
          <w:r>
            <w:rPr>
              <w:color w:val="auto"/>
            </w:rPr>
            <w:fldChar w:fldCharType="begin"/>
          </w:r>
          <w:r>
            <w:rPr>
              <w:color w:val="auto"/>
            </w:rPr>
            <w:instrText xml:space="preserve"> PAGEREF _Toc32248 \h </w:instrText>
          </w:r>
          <w:r>
            <w:rPr>
              <w:color w:val="auto"/>
            </w:rPr>
            <w:fldChar w:fldCharType="separate"/>
          </w:r>
          <w:r>
            <w:rPr>
              <w:color w:val="auto"/>
            </w:rPr>
            <w:t>- 64 -</w:t>
          </w:r>
          <w:r>
            <w:rPr>
              <w:color w:val="auto"/>
            </w:rPr>
            <w:fldChar w:fldCharType="end"/>
          </w:r>
          <w:r>
            <w:rPr>
              <w:color w:val="auto"/>
              <w:szCs w:val="24"/>
            </w:rPr>
            <w:fldChar w:fldCharType="end"/>
          </w:r>
        </w:p>
        <w:p w14:paraId="3EEDEE13">
          <w:pPr>
            <w:pStyle w:val="25"/>
            <w:tabs>
              <w:tab w:val="right" w:leader="dot" w:pos="8958"/>
            </w:tabs>
            <w:rPr>
              <w:color w:val="auto"/>
            </w:rPr>
          </w:pPr>
          <w:r>
            <w:rPr>
              <w:color w:val="auto"/>
              <w:szCs w:val="24"/>
            </w:rPr>
            <w:fldChar w:fldCharType="begin"/>
          </w:r>
          <w:r>
            <w:rPr>
              <w:color w:val="auto"/>
              <w:szCs w:val="24"/>
            </w:rPr>
            <w:instrText xml:space="preserve"> HYPERLINK \l _Toc9187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3.3 </w:t>
          </w:r>
          <w:r>
            <w:rPr>
              <w:rFonts w:hint="eastAsia" w:ascii="Times New Roman" w:hAnsi="Times New Roman" w:cs="Times New Roman"/>
              <w:color w:val="auto"/>
              <w:lang w:val="en-US" w:eastAsia="zh-CN"/>
            </w:rPr>
            <w:t>声环境质量现状</w:t>
          </w:r>
          <w:r>
            <w:rPr>
              <w:color w:val="auto"/>
            </w:rPr>
            <w:tab/>
          </w:r>
          <w:r>
            <w:rPr>
              <w:color w:val="auto"/>
            </w:rPr>
            <w:fldChar w:fldCharType="begin"/>
          </w:r>
          <w:r>
            <w:rPr>
              <w:color w:val="auto"/>
            </w:rPr>
            <w:instrText xml:space="preserve"> PAGEREF _Toc9187 \h </w:instrText>
          </w:r>
          <w:r>
            <w:rPr>
              <w:color w:val="auto"/>
            </w:rPr>
            <w:fldChar w:fldCharType="separate"/>
          </w:r>
          <w:r>
            <w:rPr>
              <w:color w:val="auto"/>
            </w:rPr>
            <w:t>- 65 -</w:t>
          </w:r>
          <w:r>
            <w:rPr>
              <w:color w:val="auto"/>
            </w:rPr>
            <w:fldChar w:fldCharType="end"/>
          </w:r>
          <w:r>
            <w:rPr>
              <w:color w:val="auto"/>
              <w:szCs w:val="24"/>
            </w:rPr>
            <w:fldChar w:fldCharType="end"/>
          </w:r>
        </w:p>
        <w:p w14:paraId="3DF10208">
          <w:pPr>
            <w:pStyle w:val="25"/>
            <w:tabs>
              <w:tab w:val="right" w:leader="dot" w:pos="8958"/>
            </w:tabs>
            <w:rPr>
              <w:color w:val="auto"/>
            </w:rPr>
          </w:pPr>
          <w:r>
            <w:rPr>
              <w:color w:val="auto"/>
              <w:szCs w:val="24"/>
            </w:rPr>
            <w:fldChar w:fldCharType="begin"/>
          </w:r>
          <w:r>
            <w:rPr>
              <w:color w:val="auto"/>
              <w:szCs w:val="24"/>
            </w:rPr>
            <w:instrText xml:space="preserve"> HYPERLINK \l _Toc6445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3.4 </w:t>
          </w:r>
          <w:r>
            <w:rPr>
              <w:rFonts w:hint="default" w:ascii="Times New Roman" w:hAnsi="Times New Roman" w:cs="Times New Roman"/>
              <w:color w:val="auto"/>
              <w:lang w:val="en-US" w:eastAsia="zh-CN"/>
            </w:rPr>
            <w:t>生态环境</w:t>
          </w:r>
          <w:r>
            <w:rPr>
              <w:color w:val="auto"/>
            </w:rPr>
            <w:tab/>
          </w:r>
          <w:r>
            <w:rPr>
              <w:color w:val="auto"/>
            </w:rPr>
            <w:fldChar w:fldCharType="begin"/>
          </w:r>
          <w:r>
            <w:rPr>
              <w:color w:val="auto"/>
            </w:rPr>
            <w:instrText xml:space="preserve"> PAGEREF _Toc6445 \h </w:instrText>
          </w:r>
          <w:r>
            <w:rPr>
              <w:color w:val="auto"/>
            </w:rPr>
            <w:fldChar w:fldCharType="separate"/>
          </w:r>
          <w:r>
            <w:rPr>
              <w:color w:val="auto"/>
            </w:rPr>
            <w:t>- 66 -</w:t>
          </w:r>
          <w:r>
            <w:rPr>
              <w:color w:val="auto"/>
            </w:rPr>
            <w:fldChar w:fldCharType="end"/>
          </w:r>
          <w:r>
            <w:rPr>
              <w:color w:val="auto"/>
              <w:szCs w:val="24"/>
            </w:rPr>
            <w:fldChar w:fldCharType="end"/>
          </w:r>
        </w:p>
        <w:p w14:paraId="3311922F">
          <w:pPr>
            <w:pStyle w:val="25"/>
            <w:tabs>
              <w:tab w:val="right" w:leader="dot" w:pos="8958"/>
            </w:tabs>
            <w:rPr>
              <w:color w:val="auto"/>
            </w:rPr>
          </w:pPr>
          <w:r>
            <w:rPr>
              <w:color w:val="auto"/>
              <w:szCs w:val="24"/>
            </w:rPr>
            <w:fldChar w:fldCharType="begin"/>
          </w:r>
          <w:r>
            <w:rPr>
              <w:color w:val="auto"/>
              <w:szCs w:val="24"/>
            </w:rPr>
            <w:instrText xml:space="preserve"> HYPERLINK \l _Toc12699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3.5 </w:t>
          </w:r>
          <w:r>
            <w:rPr>
              <w:rFonts w:hint="default" w:ascii="Times New Roman" w:hAnsi="Times New Roman" w:cs="Times New Roman"/>
              <w:color w:val="auto"/>
              <w:lang w:val="en-US" w:eastAsia="zh-CN"/>
            </w:rPr>
            <w:t>地下水、土壤</w:t>
          </w:r>
          <w:r>
            <w:rPr>
              <w:color w:val="auto"/>
            </w:rPr>
            <w:tab/>
          </w:r>
          <w:r>
            <w:rPr>
              <w:color w:val="auto"/>
            </w:rPr>
            <w:fldChar w:fldCharType="begin"/>
          </w:r>
          <w:r>
            <w:rPr>
              <w:color w:val="auto"/>
            </w:rPr>
            <w:instrText xml:space="preserve"> PAGEREF _Toc12699 \h </w:instrText>
          </w:r>
          <w:r>
            <w:rPr>
              <w:color w:val="auto"/>
            </w:rPr>
            <w:fldChar w:fldCharType="separate"/>
          </w:r>
          <w:r>
            <w:rPr>
              <w:color w:val="auto"/>
            </w:rPr>
            <w:t>- 66 -</w:t>
          </w:r>
          <w:r>
            <w:rPr>
              <w:color w:val="auto"/>
            </w:rPr>
            <w:fldChar w:fldCharType="end"/>
          </w:r>
          <w:r>
            <w:rPr>
              <w:color w:val="auto"/>
              <w:szCs w:val="24"/>
            </w:rPr>
            <w:fldChar w:fldCharType="end"/>
          </w:r>
        </w:p>
        <w:p w14:paraId="5ABA466C">
          <w:pPr>
            <w:pStyle w:val="25"/>
            <w:tabs>
              <w:tab w:val="right" w:leader="dot" w:pos="8958"/>
            </w:tabs>
            <w:rPr>
              <w:color w:val="auto"/>
            </w:rPr>
          </w:pPr>
          <w:r>
            <w:rPr>
              <w:color w:val="auto"/>
              <w:szCs w:val="24"/>
            </w:rPr>
            <w:fldChar w:fldCharType="begin"/>
          </w:r>
          <w:r>
            <w:rPr>
              <w:color w:val="auto"/>
              <w:szCs w:val="24"/>
            </w:rPr>
            <w:instrText xml:space="preserve"> HYPERLINK \l _Toc14114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3.6 </w:t>
          </w:r>
          <w:r>
            <w:rPr>
              <w:rFonts w:hint="eastAsia"/>
              <w:color w:val="auto"/>
              <w:lang w:val="en-US" w:eastAsia="zh-CN"/>
            </w:rPr>
            <w:t>环境保护目标</w:t>
          </w:r>
          <w:r>
            <w:rPr>
              <w:color w:val="auto"/>
            </w:rPr>
            <w:tab/>
          </w:r>
          <w:r>
            <w:rPr>
              <w:color w:val="auto"/>
            </w:rPr>
            <w:fldChar w:fldCharType="begin"/>
          </w:r>
          <w:r>
            <w:rPr>
              <w:color w:val="auto"/>
            </w:rPr>
            <w:instrText xml:space="preserve"> PAGEREF _Toc14114 \h </w:instrText>
          </w:r>
          <w:r>
            <w:rPr>
              <w:color w:val="auto"/>
            </w:rPr>
            <w:fldChar w:fldCharType="separate"/>
          </w:r>
          <w:r>
            <w:rPr>
              <w:color w:val="auto"/>
            </w:rPr>
            <w:t>- 66 -</w:t>
          </w:r>
          <w:r>
            <w:rPr>
              <w:color w:val="auto"/>
            </w:rPr>
            <w:fldChar w:fldCharType="end"/>
          </w:r>
          <w:r>
            <w:rPr>
              <w:color w:val="auto"/>
              <w:szCs w:val="24"/>
            </w:rPr>
            <w:fldChar w:fldCharType="end"/>
          </w:r>
        </w:p>
        <w:p w14:paraId="5E29F7A4">
          <w:pPr>
            <w:pStyle w:val="25"/>
            <w:tabs>
              <w:tab w:val="right" w:leader="dot" w:pos="8958"/>
            </w:tabs>
            <w:rPr>
              <w:color w:val="auto"/>
            </w:rPr>
          </w:pPr>
          <w:r>
            <w:rPr>
              <w:color w:val="auto"/>
              <w:szCs w:val="24"/>
            </w:rPr>
            <w:fldChar w:fldCharType="begin"/>
          </w:r>
          <w:r>
            <w:rPr>
              <w:color w:val="auto"/>
              <w:szCs w:val="24"/>
            </w:rPr>
            <w:instrText xml:space="preserve"> HYPERLINK \l _Toc21257 </w:instrText>
          </w:r>
          <w:r>
            <w:rPr>
              <w:color w:val="auto"/>
              <w:szCs w:val="24"/>
            </w:rPr>
            <w:fldChar w:fldCharType="separate"/>
          </w:r>
          <w:r>
            <w:rPr>
              <w:rFonts w:hint="default" w:ascii="Times New Roman" w:hAnsi="Times New Roman" w:eastAsia="宋体" w:cs="Times New Roman"/>
              <w:bCs/>
              <w:color w:val="auto"/>
              <w:szCs w:val="30"/>
            </w:rPr>
            <w:t xml:space="preserve">3.7 </w:t>
          </w:r>
          <w:r>
            <w:rPr>
              <w:rFonts w:hint="eastAsia"/>
              <w:color w:val="auto"/>
              <w:lang w:val="en-US" w:eastAsia="zh-CN"/>
            </w:rPr>
            <w:t>污染物排放控制标准</w:t>
          </w:r>
          <w:r>
            <w:rPr>
              <w:color w:val="auto"/>
            </w:rPr>
            <w:tab/>
          </w:r>
          <w:r>
            <w:rPr>
              <w:color w:val="auto"/>
            </w:rPr>
            <w:fldChar w:fldCharType="begin"/>
          </w:r>
          <w:r>
            <w:rPr>
              <w:color w:val="auto"/>
            </w:rPr>
            <w:instrText xml:space="preserve"> PAGEREF _Toc21257 \h </w:instrText>
          </w:r>
          <w:r>
            <w:rPr>
              <w:color w:val="auto"/>
            </w:rPr>
            <w:fldChar w:fldCharType="separate"/>
          </w:r>
          <w:r>
            <w:rPr>
              <w:color w:val="auto"/>
            </w:rPr>
            <w:t>- 67 -</w:t>
          </w:r>
          <w:r>
            <w:rPr>
              <w:color w:val="auto"/>
            </w:rPr>
            <w:fldChar w:fldCharType="end"/>
          </w:r>
          <w:r>
            <w:rPr>
              <w:color w:val="auto"/>
              <w:szCs w:val="24"/>
            </w:rPr>
            <w:fldChar w:fldCharType="end"/>
          </w:r>
        </w:p>
        <w:p w14:paraId="40698E29">
          <w:pPr>
            <w:pStyle w:val="25"/>
            <w:tabs>
              <w:tab w:val="right" w:leader="dot" w:pos="8958"/>
            </w:tabs>
            <w:rPr>
              <w:color w:val="auto"/>
            </w:rPr>
          </w:pPr>
          <w:r>
            <w:rPr>
              <w:color w:val="auto"/>
              <w:szCs w:val="24"/>
            </w:rPr>
            <w:fldChar w:fldCharType="begin"/>
          </w:r>
          <w:r>
            <w:rPr>
              <w:color w:val="auto"/>
              <w:szCs w:val="24"/>
            </w:rPr>
            <w:instrText xml:space="preserve"> HYPERLINK \l _Toc28434 </w:instrText>
          </w:r>
          <w:r>
            <w:rPr>
              <w:color w:val="auto"/>
              <w:szCs w:val="24"/>
            </w:rPr>
            <w:fldChar w:fldCharType="separate"/>
          </w:r>
          <w:r>
            <w:rPr>
              <w:rFonts w:hint="default" w:ascii="Times New Roman" w:hAnsi="Times New Roman" w:eastAsia="宋体" w:cs="Times New Roman"/>
              <w:bCs/>
              <w:color w:val="auto"/>
              <w:szCs w:val="30"/>
            </w:rPr>
            <w:t xml:space="preserve">3.8 </w:t>
          </w:r>
          <w:r>
            <w:rPr>
              <w:rFonts w:hint="default"/>
              <w:color w:val="auto"/>
            </w:rPr>
            <w:t>总量控制因子</w:t>
          </w:r>
          <w:r>
            <w:rPr>
              <w:color w:val="auto"/>
            </w:rPr>
            <w:tab/>
          </w:r>
          <w:r>
            <w:rPr>
              <w:color w:val="auto"/>
            </w:rPr>
            <w:fldChar w:fldCharType="begin"/>
          </w:r>
          <w:r>
            <w:rPr>
              <w:color w:val="auto"/>
            </w:rPr>
            <w:instrText xml:space="preserve"> PAGEREF _Toc28434 \h </w:instrText>
          </w:r>
          <w:r>
            <w:rPr>
              <w:color w:val="auto"/>
            </w:rPr>
            <w:fldChar w:fldCharType="separate"/>
          </w:r>
          <w:r>
            <w:rPr>
              <w:color w:val="auto"/>
            </w:rPr>
            <w:t>- 70 -</w:t>
          </w:r>
          <w:r>
            <w:rPr>
              <w:color w:val="auto"/>
            </w:rPr>
            <w:fldChar w:fldCharType="end"/>
          </w:r>
          <w:r>
            <w:rPr>
              <w:color w:val="auto"/>
              <w:szCs w:val="24"/>
            </w:rPr>
            <w:fldChar w:fldCharType="end"/>
          </w:r>
        </w:p>
        <w:p w14:paraId="6D6020BB">
          <w:pPr>
            <w:pStyle w:val="23"/>
            <w:tabs>
              <w:tab w:val="right" w:leader="dot" w:pos="8958"/>
            </w:tabs>
            <w:rPr>
              <w:color w:val="auto"/>
            </w:rPr>
          </w:pPr>
          <w:r>
            <w:rPr>
              <w:color w:val="auto"/>
              <w:szCs w:val="24"/>
            </w:rPr>
            <w:fldChar w:fldCharType="begin"/>
          </w:r>
          <w:r>
            <w:rPr>
              <w:color w:val="auto"/>
              <w:szCs w:val="24"/>
            </w:rPr>
            <w:instrText xml:space="preserve"> HYPERLINK \l _Toc11310 </w:instrText>
          </w:r>
          <w:r>
            <w:rPr>
              <w:color w:val="auto"/>
              <w:szCs w:val="24"/>
            </w:rPr>
            <w:fldChar w:fldCharType="separate"/>
          </w:r>
          <w:r>
            <w:rPr>
              <w:rFonts w:hint="eastAsia" w:ascii="宋体" w:hAnsi="宋体" w:eastAsia="宋体" w:cs="宋体"/>
              <w:bCs/>
              <w:color w:val="auto"/>
              <w:szCs w:val="32"/>
            </w:rPr>
            <w:t xml:space="preserve">四、 </w:t>
          </w:r>
          <w:r>
            <w:rPr>
              <w:rFonts w:hint="default"/>
              <w:bCs/>
              <w:color w:val="auto"/>
              <w:lang w:val="en-US" w:eastAsia="zh-CN"/>
            </w:rPr>
            <w:t>主要环境影响和保护措施</w:t>
          </w:r>
          <w:r>
            <w:rPr>
              <w:color w:val="auto"/>
            </w:rPr>
            <w:tab/>
          </w:r>
          <w:r>
            <w:rPr>
              <w:color w:val="auto"/>
            </w:rPr>
            <w:fldChar w:fldCharType="begin"/>
          </w:r>
          <w:r>
            <w:rPr>
              <w:color w:val="auto"/>
            </w:rPr>
            <w:instrText xml:space="preserve"> PAGEREF _Toc11310 \h </w:instrText>
          </w:r>
          <w:r>
            <w:rPr>
              <w:color w:val="auto"/>
            </w:rPr>
            <w:fldChar w:fldCharType="separate"/>
          </w:r>
          <w:r>
            <w:rPr>
              <w:color w:val="auto"/>
            </w:rPr>
            <w:t>- 71 -</w:t>
          </w:r>
          <w:r>
            <w:rPr>
              <w:color w:val="auto"/>
            </w:rPr>
            <w:fldChar w:fldCharType="end"/>
          </w:r>
          <w:r>
            <w:rPr>
              <w:color w:val="auto"/>
              <w:szCs w:val="24"/>
            </w:rPr>
            <w:fldChar w:fldCharType="end"/>
          </w:r>
        </w:p>
        <w:p w14:paraId="307E3F92">
          <w:pPr>
            <w:pStyle w:val="25"/>
            <w:tabs>
              <w:tab w:val="right" w:leader="dot" w:pos="8958"/>
            </w:tabs>
            <w:rPr>
              <w:color w:val="auto"/>
            </w:rPr>
          </w:pPr>
          <w:r>
            <w:rPr>
              <w:color w:val="auto"/>
              <w:szCs w:val="24"/>
            </w:rPr>
            <w:fldChar w:fldCharType="begin"/>
          </w:r>
          <w:r>
            <w:rPr>
              <w:color w:val="auto"/>
              <w:szCs w:val="24"/>
            </w:rPr>
            <w:instrText xml:space="preserve"> HYPERLINK \l _Toc24545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4.1 </w:t>
          </w:r>
          <w:r>
            <w:rPr>
              <w:rFonts w:hint="eastAsia" w:cs="Times New Roman"/>
              <w:color w:val="auto"/>
              <w:highlight w:val="none"/>
              <w:lang w:val="en-US" w:eastAsia="zh-CN"/>
            </w:rPr>
            <w:t>施工期环境保护措施</w:t>
          </w:r>
          <w:r>
            <w:rPr>
              <w:color w:val="auto"/>
            </w:rPr>
            <w:tab/>
          </w:r>
          <w:r>
            <w:rPr>
              <w:color w:val="auto"/>
            </w:rPr>
            <w:fldChar w:fldCharType="begin"/>
          </w:r>
          <w:r>
            <w:rPr>
              <w:color w:val="auto"/>
            </w:rPr>
            <w:instrText xml:space="preserve"> PAGEREF _Toc24545 \h </w:instrText>
          </w:r>
          <w:r>
            <w:rPr>
              <w:color w:val="auto"/>
            </w:rPr>
            <w:fldChar w:fldCharType="separate"/>
          </w:r>
          <w:r>
            <w:rPr>
              <w:color w:val="auto"/>
            </w:rPr>
            <w:t>- 71 -</w:t>
          </w:r>
          <w:r>
            <w:rPr>
              <w:color w:val="auto"/>
            </w:rPr>
            <w:fldChar w:fldCharType="end"/>
          </w:r>
          <w:r>
            <w:rPr>
              <w:color w:val="auto"/>
              <w:szCs w:val="24"/>
            </w:rPr>
            <w:fldChar w:fldCharType="end"/>
          </w:r>
        </w:p>
        <w:p w14:paraId="673BF35A">
          <w:pPr>
            <w:pStyle w:val="25"/>
            <w:tabs>
              <w:tab w:val="right" w:leader="dot" w:pos="8958"/>
            </w:tabs>
            <w:rPr>
              <w:color w:val="auto"/>
            </w:rPr>
          </w:pPr>
          <w:r>
            <w:rPr>
              <w:color w:val="auto"/>
              <w:szCs w:val="24"/>
            </w:rPr>
            <w:fldChar w:fldCharType="begin"/>
          </w:r>
          <w:r>
            <w:rPr>
              <w:color w:val="auto"/>
              <w:szCs w:val="24"/>
            </w:rPr>
            <w:instrText xml:space="preserve"> HYPERLINK \l _Toc26527 </w:instrText>
          </w:r>
          <w:r>
            <w:rPr>
              <w:color w:val="auto"/>
              <w:szCs w:val="24"/>
            </w:rPr>
            <w:fldChar w:fldCharType="separate"/>
          </w:r>
          <w:r>
            <w:rPr>
              <w:rFonts w:hint="default" w:ascii="Times New Roman" w:hAnsi="Times New Roman" w:eastAsia="宋体" w:cs="Times New Roman"/>
              <w:bCs/>
              <w:color w:val="auto"/>
              <w:szCs w:val="30"/>
              <w:lang w:val="en-US" w:eastAsia="zh-CN"/>
            </w:rPr>
            <w:t xml:space="preserve">4.2 </w:t>
          </w:r>
          <w:r>
            <w:rPr>
              <w:rFonts w:hint="default" w:cs="Times New Roman"/>
              <w:color w:val="auto"/>
              <w:highlight w:val="none"/>
              <w:lang w:val="en-US" w:eastAsia="zh-CN"/>
            </w:rPr>
            <w:t>运营期废气影响和保护措施</w:t>
          </w:r>
          <w:r>
            <w:rPr>
              <w:color w:val="auto"/>
            </w:rPr>
            <w:tab/>
          </w:r>
          <w:r>
            <w:rPr>
              <w:color w:val="auto"/>
            </w:rPr>
            <w:fldChar w:fldCharType="begin"/>
          </w:r>
          <w:r>
            <w:rPr>
              <w:color w:val="auto"/>
            </w:rPr>
            <w:instrText xml:space="preserve"> PAGEREF _Toc26527 \h </w:instrText>
          </w:r>
          <w:r>
            <w:rPr>
              <w:color w:val="auto"/>
            </w:rPr>
            <w:fldChar w:fldCharType="separate"/>
          </w:r>
          <w:r>
            <w:rPr>
              <w:color w:val="auto"/>
            </w:rPr>
            <w:t>- 73 -</w:t>
          </w:r>
          <w:r>
            <w:rPr>
              <w:color w:val="auto"/>
            </w:rPr>
            <w:fldChar w:fldCharType="end"/>
          </w:r>
          <w:r>
            <w:rPr>
              <w:color w:val="auto"/>
              <w:szCs w:val="24"/>
            </w:rPr>
            <w:fldChar w:fldCharType="end"/>
          </w:r>
        </w:p>
        <w:p w14:paraId="0639A2A0">
          <w:pPr>
            <w:pStyle w:val="25"/>
            <w:tabs>
              <w:tab w:val="right" w:leader="dot" w:pos="8958"/>
            </w:tabs>
            <w:rPr>
              <w:color w:val="auto"/>
            </w:rPr>
          </w:pPr>
          <w:r>
            <w:rPr>
              <w:color w:val="auto"/>
              <w:szCs w:val="24"/>
            </w:rPr>
            <w:fldChar w:fldCharType="begin"/>
          </w:r>
          <w:r>
            <w:rPr>
              <w:color w:val="auto"/>
              <w:szCs w:val="24"/>
            </w:rPr>
            <w:instrText xml:space="preserve"> HYPERLINK \l _Toc31761 </w:instrText>
          </w:r>
          <w:r>
            <w:rPr>
              <w:color w:val="auto"/>
              <w:szCs w:val="24"/>
            </w:rPr>
            <w:fldChar w:fldCharType="separate"/>
          </w:r>
          <w:r>
            <w:rPr>
              <w:rFonts w:hint="default" w:ascii="Times New Roman" w:hAnsi="Times New Roman" w:eastAsia="宋体" w:cs="Times New Roman"/>
              <w:bCs/>
              <w:color w:val="auto"/>
              <w:szCs w:val="30"/>
            </w:rPr>
            <w:t xml:space="preserve">4.3 </w:t>
          </w:r>
          <w:r>
            <w:rPr>
              <w:rFonts w:hint="eastAsia"/>
              <w:color w:val="auto"/>
              <w:highlight w:val="none"/>
              <w:lang w:val="en-US" w:eastAsia="zh-CN"/>
            </w:rPr>
            <w:t>运营期地表水环境</w:t>
          </w:r>
          <w:r>
            <w:rPr>
              <w:rFonts w:hint="default"/>
              <w:color w:val="auto"/>
              <w:highlight w:val="none"/>
              <w:lang w:val="en-US" w:eastAsia="zh-CN"/>
            </w:rPr>
            <w:t>影响和保护措施</w:t>
          </w:r>
          <w:r>
            <w:rPr>
              <w:color w:val="auto"/>
            </w:rPr>
            <w:tab/>
          </w:r>
          <w:r>
            <w:rPr>
              <w:color w:val="auto"/>
            </w:rPr>
            <w:fldChar w:fldCharType="begin"/>
          </w:r>
          <w:r>
            <w:rPr>
              <w:color w:val="auto"/>
            </w:rPr>
            <w:instrText xml:space="preserve"> PAGEREF _Toc31761 \h </w:instrText>
          </w:r>
          <w:r>
            <w:rPr>
              <w:color w:val="auto"/>
            </w:rPr>
            <w:fldChar w:fldCharType="separate"/>
          </w:r>
          <w:r>
            <w:rPr>
              <w:color w:val="auto"/>
            </w:rPr>
            <w:t>- 83 -</w:t>
          </w:r>
          <w:r>
            <w:rPr>
              <w:color w:val="auto"/>
            </w:rPr>
            <w:fldChar w:fldCharType="end"/>
          </w:r>
          <w:r>
            <w:rPr>
              <w:color w:val="auto"/>
              <w:szCs w:val="24"/>
            </w:rPr>
            <w:fldChar w:fldCharType="end"/>
          </w:r>
        </w:p>
        <w:p w14:paraId="0EAAD9DF">
          <w:pPr>
            <w:pStyle w:val="25"/>
            <w:tabs>
              <w:tab w:val="right" w:leader="dot" w:pos="8958"/>
            </w:tabs>
            <w:rPr>
              <w:color w:val="auto"/>
            </w:rPr>
          </w:pPr>
          <w:r>
            <w:rPr>
              <w:color w:val="auto"/>
              <w:szCs w:val="24"/>
            </w:rPr>
            <w:fldChar w:fldCharType="begin"/>
          </w:r>
          <w:r>
            <w:rPr>
              <w:color w:val="auto"/>
              <w:szCs w:val="24"/>
            </w:rPr>
            <w:instrText xml:space="preserve"> HYPERLINK \l _Toc16172 </w:instrText>
          </w:r>
          <w:r>
            <w:rPr>
              <w:color w:val="auto"/>
              <w:szCs w:val="24"/>
            </w:rPr>
            <w:fldChar w:fldCharType="separate"/>
          </w:r>
          <w:r>
            <w:rPr>
              <w:rFonts w:hint="default" w:ascii="Times New Roman" w:hAnsi="Times New Roman" w:eastAsia="宋体" w:cs="Times New Roman"/>
              <w:bCs/>
              <w:color w:val="auto"/>
              <w:szCs w:val="30"/>
            </w:rPr>
            <w:t xml:space="preserve">4.4 </w:t>
          </w:r>
          <w:r>
            <w:rPr>
              <w:rFonts w:hint="default"/>
              <w:color w:val="auto"/>
            </w:rPr>
            <w:t>运营期声环境</w:t>
          </w:r>
          <w:r>
            <w:rPr>
              <w:rFonts w:hint="default"/>
              <w:color w:val="auto"/>
              <w:lang w:val="en-US" w:eastAsia="zh-CN"/>
            </w:rPr>
            <w:t>影响和保护措施</w:t>
          </w:r>
          <w:r>
            <w:rPr>
              <w:color w:val="auto"/>
            </w:rPr>
            <w:tab/>
          </w:r>
          <w:r>
            <w:rPr>
              <w:color w:val="auto"/>
            </w:rPr>
            <w:fldChar w:fldCharType="begin"/>
          </w:r>
          <w:r>
            <w:rPr>
              <w:color w:val="auto"/>
            </w:rPr>
            <w:instrText xml:space="preserve"> PAGEREF _Toc16172 \h </w:instrText>
          </w:r>
          <w:r>
            <w:rPr>
              <w:color w:val="auto"/>
            </w:rPr>
            <w:fldChar w:fldCharType="separate"/>
          </w:r>
          <w:r>
            <w:rPr>
              <w:color w:val="auto"/>
            </w:rPr>
            <w:t>- 88 -</w:t>
          </w:r>
          <w:r>
            <w:rPr>
              <w:color w:val="auto"/>
            </w:rPr>
            <w:fldChar w:fldCharType="end"/>
          </w:r>
          <w:r>
            <w:rPr>
              <w:color w:val="auto"/>
              <w:szCs w:val="24"/>
            </w:rPr>
            <w:fldChar w:fldCharType="end"/>
          </w:r>
        </w:p>
        <w:p w14:paraId="0EF6691A">
          <w:pPr>
            <w:pStyle w:val="25"/>
            <w:tabs>
              <w:tab w:val="right" w:leader="dot" w:pos="8958"/>
            </w:tabs>
            <w:rPr>
              <w:color w:val="auto"/>
            </w:rPr>
          </w:pPr>
          <w:r>
            <w:rPr>
              <w:color w:val="auto"/>
              <w:szCs w:val="24"/>
            </w:rPr>
            <w:fldChar w:fldCharType="begin"/>
          </w:r>
          <w:r>
            <w:rPr>
              <w:color w:val="auto"/>
              <w:szCs w:val="24"/>
            </w:rPr>
            <w:instrText xml:space="preserve"> HYPERLINK \l _Toc10806 </w:instrText>
          </w:r>
          <w:r>
            <w:rPr>
              <w:color w:val="auto"/>
              <w:szCs w:val="24"/>
            </w:rPr>
            <w:fldChar w:fldCharType="separate"/>
          </w:r>
          <w:r>
            <w:rPr>
              <w:rFonts w:hint="default" w:ascii="Times New Roman" w:hAnsi="Times New Roman" w:eastAsia="宋体" w:cs="Times New Roman"/>
              <w:bCs/>
              <w:color w:val="auto"/>
              <w:szCs w:val="30"/>
            </w:rPr>
            <w:t xml:space="preserve">4.5 </w:t>
          </w:r>
          <w:r>
            <w:rPr>
              <w:rFonts w:hint="eastAsia"/>
              <w:color w:val="auto"/>
              <w:lang w:val="en-US" w:eastAsia="zh-CN"/>
            </w:rPr>
            <w:t>运营期</w:t>
          </w:r>
          <w:r>
            <w:rPr>
              <w:rFonts w:hint="default"/>
              <w:color w:val="auto"/>
            </w:rPr>
            <w:t>固体废物</w:t>
          </w:r>
          <w:r>
            <w:rPr>
              <w:rFonts w:hint="eastAsia"/>
              <w:color w:val="auto"/>
              <w:lang w:val="en-US" w:eastAsia="zh-CN"/>
            </w:rPr>
            <w:t>污染防治</w:t>
          </w:r>
          <w:r>
            <w:rPr>
              <w:color w:val="auto"/>
            </w:rPr>
            <w:tab/>
          </w:r>
          <w:r>
            <w:rPr>
              <w:color w:val="auto"/>
            </w:rPr>
            <w:fldChar w:fldCharType="begin"/>
          </w:r>
          <w:r>
            <w:rPr>
              <w:color w:val="auto"/>
            </w:rPr>
            <w:instrText xml:space="preserve"> PAGEREF _Toc10806 \h </w:instrText>
          </w:r>
          <w:r>
            <w:rPr>
              <w:color w:val="auto"/>
            </w:rPr>
            <w:fldChar w:fldCharType="separate"/>
          </w:r>
          <w:r>
            <w:rPr>
              <w:color w:val="auto"/>
            </w:rPr>
            <w:t>- 91 -</w:t>
          </w:r>
          <w:r>
            <w:rPr>
              <w:color w:val="auto"/>
            </w:rPr>
            <w:fldChar w:fldCharType="end"/>
          </w:r>
          <w:r>
            <w:rPr>
              <w:color w:val="auto"/>
              <w:szCs w:val="24"/>
            </w:rPr>
            <w:fldChar w:fldCharType="end"/>
          </w:r>
        </w:p>
        <w:p w14:paraId="129C78E9">
          <w:pPr>
            <w:pStyle w:val="25"/>
            <w:tabs>
              <w:tab w:val="right" w:leader="dot" w:pos="8958"/>
            </w:tabs>
            <w:rPr>
              <w:color w:val="auto"/>
            </w:rPr>
          </w:pPr>
          <w:r>
            <w:rPr>
              <w:color w:val="auto"/>
              <w:szCs w:val="24"/>
            </w:rPr>
            <w:fldChar w:fldCharType="begin"/>
          </w:r>
          <w:r>
            <w:rPr>
              <w:color w:val="auto"/>
              <w:szCs w:val="24"/>
            </w:rPr>
            <w:instrText xml:space="preserve"> HYPERLINK \l _Toc27383 </w:instrText>
          </w:r>
          <w:r>
            <w:rPr>
              <w:color w:val="auto"/>
              <w:szCs w:val="24"/>
            </w:rPr>
            <w:fldChar w:fldCharType="separate"/>
          </w:r>
          <w:r>
            <w:rPr>
              <w:rFonts w:hint="default" w:ascii="Times New Roman" w:hAnsi="Times New Roman" w:eastAsia="宋体" w:cs="Times New Roman"/>
              <w:bCs/>
              <w:color w:val="auto"/>
              <w:szCs w:val="30"/>
            </w:rPr>
            <w:t xml:space="preserve">4.6 </w:t>
          </w:r>
          <w:r>
            <w:rPr>
              <w:rFonts w:hint="eastAsia"/>
              <w:color w:val="auto"/>
              <w:lang w:val="en-US" w:eastAsia="zh-CN"/>
            </w:rPr>
            <w:t>运营期</w:t>
          </w:r>
          <w:r>
            <w:rPr>
              <w:rFonts w:hint="default"/>
              <w:color w:val="auto"/>
              <w:lang w:val="en-US" w:eastAsia="zh-CN"/>
            </w:rPr>
            <w:t>地下水、土壤</w:t>
          </w:r>
          <w:r>
            <w:rPr>
              <w:rFonts w:hint="eastAsia"/>
              <w:color w:val="auto"/>
              <w:lang w:val="en-US" w:eastAsia="zh-CN"/>
            </w:rPr>
            <w:t>影响分析</w:t>
          </w:r>
          <w:r>
            <w:rPr>
              <w:color w:val="auto"/>
            </w:rPr>
            <w:tab/>
          </w:r>
          <w:r>
            <w:rPr>
              <w:color w:val="auto"/>
            </w:rPr>
            <w:fldChar w:fldCharType="begin"/>
          </w:r>
          <w:r>
            <w:rPr>
              <w:color w:val="auto"/>
            </w:rPr>
            <w:instrText xml:space="preserve"> PAGEREF _Toc27383 \h </w:instrText>
          </w:r>
          <w:r>
            <w:rPr>
              <w:color w:val="auto"/>
            </w:rPr>
            <w:fldChar w:fldCharType="separate"/>
          </w:r>
          <w:r>
            <w:rPr>
              <w:color w:val="auto"/>
            </w:rPr>
            <w:t>- 98 -</w:t>
          </w:r>
          <w:r>
            <w:rPr>
              <w:color w:val="auto"/>
            </w:rPr>
            <w:fldChar w:fldCharType="end"/>
          </w:r>
          <w:r>
            <w:rPr>
              <w:color w:val="auto"/>
              <w:szCs w:val="24"/>
            </w:rPr>
            <w:fldChar w:fldCharType="end"/>
          </w:r>
        </w:p>
        <w:p w14:paraId="6844DAF0">
          <w:pPr>
            <w:pStyle w:val="25"/>
            <w:tabs>
              <w:tab w:val="right" w:leader="dot" w:pos="8958"/>
            </w:tabs>
            <w:rPr>
              <w:color w:val="auto"/>
            </w:rPr>
          </w:pPr>
          <w:r>
            <w:rPr>
              <w:color w:val="auto"/>
              <w:szCs w:val="24"/>
            </w:rPr>
            <w:fldChar w:fldCharType="begin"/>
          </w:r>
          <w:r>
            <w:rPr>
              <w:color w:val="auto"/>
              <w:szCs w:val="24"/>
            </w:rPr>
            <w:instrText xml:space="preserve"> HYPERLINK \l _Toc1606 </w:instrText>
          </w:r>
          <w:r>
            <w:rPr>
              <w:color w:val="auto"/>
              <w:szCs w:val="24"/>
            </w:rPr>
            <w:fldChar w:fldCharType="separate"/>
          </w:r>
          <w:r>
            <w:rPr>
              <w:rFonts w:hint="default" w:ascii="Times New Roman" w:hAnsi="Times New Roman" w:eastAsia="宋体" w:cs="Times New Roman"/>
              <w:bCs/>
              <w:color w:val="auto"/>
              <w:szCs w:val="30"/>
            </w:rPr>
            <w:t xml:space="preserve">4.7 </w:t>
          </w:r>
          <w:r>
            <w:rPr>
              <w:rFonts w:hint="default"/>
              <w:color w:val="auto"/>
            </w:rPr>
            <w:t>环境风险</w:t>
          </w:r>
          <w:r>
            <w:rPr>
              <w:color w:val="auto"/>
            </w:rPr>
            <w:tab/>
          </w:r>
          <w:r>
            <w:rPr>
              <w:color w:val="auto"/>
            </w:rPr>
            <w:fldChar w:fldCharType="begin"/>
          </w:r>
          <w:r>
            <w:rPr>
              <w:color w:val="auto"/>
            </w:rPr>
            <w:instrText xml:space="preserve"> PAGEREF _Toc1606 \h </w:instrText>
          </w:r>
          <w:r>
            <w:rPr>
              <w:color w:val="auto"/>
            </w:rPr>
            <w:fldChar w:fldCharType="separate"/>
          </w:r>
          <w:r>
            <w:rPr>
              <w:color w:val="auto"/>
            </w:rPr>
            <w:t>- 98 -</w:t>
          </w:r>
          <w:r>
            <w:rPr>
              <w:color w:val="auto"/>
            </w:rPr>
            <w:fldChar w:fldCharType="end"/>
          </w:r>
          <w:r>
            <w:rPr>
              <w:color w:val="auto"/>
              <w:szCs w:val="24"/>
            </w:rPr>
            <w:fldChar w:fldCharType="end"/>
          </w:r>
        </w:p>
        <w:p w14:paraId="2AAC5AD2">
          <w:pPr>
            <w:pStyle w:val="23"/>
            <w:tabs>
              <w:tab w:val="right" w:leader="dot" w:pos="8958"/>
            </w:tabs>
            <w:rPr>
              <w:color w:val="auto"/>
            </w:rPr>
          </w:pPr>
          <w:r>
            <w:rPr>
              <w:color w:val="auto"/>
              <w:szCs w:val="24"/>
            </w:rPr>
            <w:fldChar w:fldCharType="begin"/>
          </w:r>
          <w:r>
            <w:rPr>
              <w:color w:val="auto"/>
              <w:szCs w:val="24"/>
            </w:rPr>
            <w:instrText xml:space="preserve"> HYPERLINK \l _Toc12816 </w:instrText>
          </w:r>
          <w:r>
            <w:rPr>
              <w:color w:val="auto"/>
              <w:szCs w:val="24"/>
            </w:rPr>
            <w:fldChar w:fldCharType="separate"/>
          </w:r>
          <w:r>
            <w:rPr>
              <w:rFonts w:hint="eastAsia" w:ascii="宋体" w:hAnsi="宋体" w:eastAsia="宋体" w:cs="宋体"/>
              <w:bCs/>
              <w:color w:val="auto"/>
              <w:szCs w:val="32"/>
            </w:rPr>
            <w:t xml:space="preserve">五、 </w:t>
          </w:r>
          <w:r>
            <w:rPr>
              <w:rFonts w:hint="default"/>
              <w:color w:val="auto"/>
            </w:rPr>
            <w:t>环境保护措施监督检查清单</w:t>
          </w:r>
          <w:r>
            <w:rPr>
              <w:color w:val="auto"/>
            </w:rPr>
            <w:tab/>
          </w:r>
          <w:r>
            <w:rPr>
              <w:color w:val="auto"/>
            </w:rPr>
            <w:fldChar w:fldCharType="begin"/>
          </w:r>
          <w:r>
            <w:rPr>
              <w:color w:val="auto"/>
            </w:rPr>
            <w:instrText xml:space="preserve"> PAGEREF _Toc12816 \h </w:instrText>
          </w:r>
          <w:r>
            <w:rPr>
              <w:color w:val="auto"/>
            </w:rPr>
            <w:fldChar w:fldCharType="separate"/>
          </w:r>
          <w:r>
            <w:rPr>
              <w:color w:val="auto"/>
            </w:rPr>
            <w:t>- 106 -</w:t>
          </w:r>
          <w:r>
            <w:rPr>
              <w:color w:val="auto"/>
            </w:rPr>
            <w:fldChar w:fldCharType="end"/>
          </w:r>
          <w:r>
            <w:rPr>
              <w:color w:val="auto"/>
              <w:szCs w:val="24"/>
            </w:rPr>
            <w:fldChar w:fldCharType="end"/>
          </w:r>
        </w:p>
        <w:p w14:paraId="5354A9BD">
          <w:pPr>
            <w:pStyle w:val="23"/>
            <w:tabs>
              <w:tab w:val="right" w:leader="dot" w:pos="8958"/>
            </w:tabs>
            <w:rPr>
              <w:color w:val="auto"/>
            </w:rPr>
          </w:pPr>
          <w:r>
            <w:rPr>
              <w:color w:val="auto"/>
              <w:szCs w:val="24"/>
            </w:rPr>
            <w:fldChar w:fldCharType="begin"/>
          </w:r>
          <w:r>
            <w:rPr>
              <w:color w:val="auto"/>
              <w:szCs w:val="24"/>
            </w:rPr>
            <w:instrText xml:space="preserve"> HYPERLINK \l _Toc12861 </w:instrText>
          </w:r>
          <w:r>
            <w:rPr>
              <w:color w:val="auto"/>
              <w:szCs w:val="24"/>
            </w:rPr>
            <w:fldChar w:fldCharType="separate"/>
          </w:r>
          <w:r>
            <w:rPr>
              <w:rFonts w:hint="eastAsia" w:ascii="宋体" w:hAnsi="宋体" w:eastAsia="宋体" w:cs="宋体"/>
              <w:bCs/>
              <w:color w:val="auto"/>
              <w:szCs w:val="32"/>
            </w:rPr>
            <w:t xml:space="preserve">六、 </w:t>
          </w:r>
          <w:r>
            <w:rPr>
              <w:rFonts w:hint="default"/>
              <w:color w:val="auto"/>
            </w:rPr>
            <w:t>结论</w:t>
          </w:r>
          <w:r>
            <w:rPr>
              <w:color w:val="auto"/>
            </w:rPr>
            <w:tab/>
          </w:r>
          <w:r>
            <w:rPr>
              <w:color w:val="auto"/>
            </w:rPr>
            <w:fldChar w:fldCharType="begin"/>
          </w:r>
          <w:r>
            <w:rPr>
              <w:color w:val="auto"/>
            </w:rPr>
            <w:instrText xml:space="preserve"> PAGEREF _Toc12861 \h </w:instrText>
          </w:r>
          <w:r>
            <w:rPr>
              <w:color w:val="auto"/>
            </w:rPr>
            <w:fldChar w:fldCharType="separate"/>
          </w:r>
          <w:r>
            <w:rPr>
              <w:color w:val="auto"/>
            </w:rPr>
            <w:t>- 109 -</w:t>
          </w:r>
          <w:r>
            <w:rPr>
              <w:color w:val="auto"/>
            </w:rPr>
            <w:fldChar w:fldCharType="end"/>
          </w:r>
          <w:r>
            <w:rPr>
              <w:color w:val="auto"/>
              <w:szCs w:val="24"/>
            </w:rPr>
            <w:fldChar w:fldCharType="end"/>
          </w:r>
        </w:p>
        <w:p w14:paraId="4CE8BD98">
          <w:pPr>
            <w:pStyle w:val="23"/>
            <w:tabs>
              <w:tab w:val="right" w:leader="dot" w:pos="8958"/>
            </w:tabs>
            <w:rPr>
              <w:color w:val="auto"/>
            </w:rPr>
          </w:pPr>
          <w:r>
            <w:rPr>
              <w:color w:val="auto"/>
              <w:szCs w:val="24"/>
            </w:rPr>
            <w:fldChar w:fldCharType="begin"/>
          </w:r>
          <w:r>
            <w:rPr>
              <w:color w:val="auto"/>
              <w:szCs w:val="24"/>
            </w:rPr>
            <w:instrText xml:space="preserve"> HYPERLINK \l _Toc28936 </w:instrText>
          </w:r>
          <w:r>
            <w:rPr>
              <w:color w:val="auto"/>
              <w:szCs w:val="24"/>
            </w:rPr>
            <w:fldChar w:fldCharType="separate"/>
          </w:r>
          <w:r>
            <w:rPr>
              <w:rFonts w:hint="eastAsia"/>
              <w:bCs/>
              <w:color w:val="auto"/>
              <w:szCs w:val="28"/>
              <w:lang w:val="en-US" w:eastAsia="zh-CN"/>
            </w:rPr>
            <w:t>附表 建设项目污染物排放量汇总表</w:t>
          </w:r>
          <w:r>
            <w:rPr>
              <w:color w:val="auto"/>
            </w:rPr>
            <w:tab/>
          </w:r>
          <w:r>
            <w:rPr>
              <w:color w:val="auto"/>
            </w:rPr>
            <w:fldChar w:fldCharType="begin"/>
          </w:r>
          <w:r>
            <w:rPr>
              <w:color w:val="auto"/>
            </w:rPr>
            <w:instrText xml:space="preserve"> PAGEREF _Toc28936 \h </w:instrText>
          </w:r>
          <w:r>
            <w:rPr>
              <w:color w:val="auto"/>
            </w:rPr>
            <w:fldChar w:fldCharType="separate"/>
          </w:r>
          <w:r>
            <w:rPr>
              <w:color w:val="auto"/>
            </w:rPr>
            <w:t>- 110 -</w:t>
          </w:r>
          <w:r>
            <w:rPr>
              <w:color w:val="auto"/>
            </w:rPr>
            <w:fldChar w:fldCharType="end"/>
          </w:r>
          <w:r>
            <w:rPr>
              <w:color w:val="auto"/>
              <w:szCs w:val="24"/>
            </w:rPr>
            <w:fldChar w:fldCharType="end"/>
          </w:r>
        </w:p>
        <w:p w14:paraId="30ECB18C">
          <w:pPr>
            <w:pStyle w:val="23"/>
            <w:tabs>
              <w:tab w:val="right" w:leader="dot" w:pos="8958"/>
            </w:tabs>
            <w:rPr>
              <w:color w:val="auto"/>
            </w:rPr>
          </w:pPr>
          <w:r>
            <w:rPr>
              <w:color w:val="auto"/>
              <w:szCs w:val="24"/>
            </w:rPr>
            <w:fldChar w:fldCharType="begin"/>
          </w:r>
          <w:r>
            <w:rPr>
              <w:color w:val="auto"/>
              <w:szCs w:val="24"/>
            </w:rPr>
            <w:instrText xml:space="preserve"> HYPERLINK \l _Toc30765 </w:instrText>
          </w:r>
          <w:r>
            <w:rPr>
              <w:color w:val="auto"/>
              <w:szCs w:val="24"/>
            </w:rPr>
            <w:fldChar w:fldCharType="separate"/>
          </w:r>
          <w:r>
            <w:rPr>
              <w:rFonts w:hint="default" w:ascii="Times New Roman" w:hAnsi="Times New Roman" w:eastAsia="宋体" w:cs="Times New Roman"/>
              <w:bCs w:val="0"/>
              <w:color w:val="auto"/>
              <w:szCs w:val="24"/>
              <w:highlight w:val="none"/>
            </w:rPr>
            <w:t>附件</w:t>
          </w:r>
          <w:r>
            <w:rPr>
              <w:rFonts w:hint="eastAsia" w:cs="Times New Roman"/>
              <w:bCs w:val="0"/>
              <w:color w:val="auto"/>
              <w:szCs w:val="24"/>
              <w:highlight w:val="none"/>
              <w:lang w:val="en-US" w:eastAsia="zh-CN"/>
            </w:rPr>
            <w:t>9</w:t>
          </w:r>
          <w:r>
            <w:rPr>
              <w:rFonts w:hint="default" w:ascii="Times New Roman" w:hAnsi="Times New Roman" w:eastAsia="宋体" w:cs="Times New Roman"/>
              <w:bCs w:val="0"/>
              <w:color w:val="auto"/>
              <w:szCs w:val="24"/>
              <w:highlight w:val="none"/>
              <w:lang w:val="en-US" w:eastAsia="zh-CN"/>
            </w:rPr>
            <w:t>：</w:t>
          </w:r>
          <w:r>
            <w:rPr>
              <w:rFonts w:hint="eastAsia" w:ascii="Times New Roman" w:hAnsi="Times New Roman" w:eastAsia="宋体" w:cs="Times New Roman"/>
              <w:bCs w:val="0"/>
              <w:color w:val="auto"/>
              <w:szCs w:val="24"/>
              <w:highlight w:val="none"/>
              <w:lang w:val="en-US" w:eastAsia="zh-CN"/>
            </w:rPr>
            <w:t>关于环评文件公开文本删除的涉及国家秘密、商业秘密等内容的删除依据和理由说明</w:t>
          </w:r>
          <w:r>
            <w:rPr>
              <w:color w:val="auto"/>
            </w:rPr>
            <w:tab/>
          </w:r>
          <w:r>
            <w:rPr>
              <w:color w:val="auto"/>
            </w:rPr>
            <w:fldChar w:fldCharType="begin"/>
          </w:r>
          <w:r>
            <w:rPr>
              <w:color w:val="auto"/>
            </w:rPr>
            <w:instrText xml:space="preserve"> PAGEREF _Toc30765 \h </w:instrText>
          </w:r>
          <w:r>
            <w:rPr>
              <w:color w:val="auto"/>
            </w:rPr>
            <w:fldChar w:fldCharType="separate"/>
          </w:r>
          <w:r>
            <w:rPr>
              <w:color w:val="auto"/>
            </w:rPr>
            <w:t>- 128 -</w:t>
          </w:r>
          <w:r>
            <w:rPr>
              <w:color w:val="auto"/>
            </w:rPr>
            <w:fldChar w:fldCharType="end"/>
          </w:r>
          <w:r>
            <w:rPr>
              <w:color w:val="auto"/>
              <w:szCs w:val="24"/>
            </w:rPr>
            <w:fldChar w:fldCharType="end"/>
          </w:r>
        </w:p>
        <w:p w14:paraId="31D45073">
          <w:pPr>
            <w:pStyle w:val="23"/>
            <w:tabs>
              <w:tab w:val="right" w:leader="dot" w:pos="8958"/>
            </w:tabs>
            <w:rPr>
              <w:color w:val="auto"/>
            </w:rPr>
          </w:pPr>
        </w:p>
        <w:p w14:paraId="0303B761">
          <w:pPr>
            <w:adjustRightInd w:val="0"/>
            <w:snapToGrid w:val="0"/>
            <w:spacing w:line="360" w:lineRule="auto"/>
            <w:jc w:val="center"/>
            <w:rPr>
              <w:rFonts w:ascii="Times New Roman" w:hAnsi="Times New Roman" w:eastAsia="宋体" w:cs="宋体"/>
              <w:b/>
              <w:bCs/>
              <w:color w:val="auto"/>
              <w:kern w:val="0"/>
              <w:sz w:val="24"/>
              <w:szCs w:val="20"/>
              <w:lang w:val="zh-CN" w:eastAsia="zh-CN" w:bidi="ar-SA"/>
            </w:rPr>
          </w:pPr>
          <w:r>
            <w:rPr>
              <w:color w:val="auto"/>
              <w:szCs w:val="24"/>
            </w:rPr>
            <w:fldChar w:fldCharType="end"/>
          </w:r>
        </w:p>
      </w:sdtContent>
    </w:sdt>
    <w:p w14:paraId="1DB9D703">
      <w:pPr>
        <w:adjustRightInd w:val="0"/>
        <w:snapToGrid w:val="0"/>
        <w:spacing w:line="360" w:lineRule="auto"/>
        <w:jc w:val="center"/>
        <w:rPr>
          <w:rFonts w:ascii="宋体" w:hAnsi="宋体" w:eastAsia="宋体" w:cs="Times New Roman"/>
          <w:b/>
          <w:bCs/>
          <w:color w:val="auto"/>
          <w:kern w:val="2"/>
          <w:sz w:val="32"/>
          <w:szCs w:val="32"/>
          <w:lang w:val="en-US" w:eastAsia="zh-CN" w:bidi="ar-SA"/>
        </w:rPr>
      </w:pPr>
    </w:p>
    <w:sdt>
      <w:sdtPr>
        <w:rPr>
          <w:rFonts w:ascii="宋体" w:hAnsi="宋体" w:eastAsia="宋体" w:cs="Times New Roman"/>
          <w:b/>
          <w:bCs/>
          <w:color w:val="auto"/>
          <w:kern w:val="2"/>
          <w:sz w:val="32"/>
          <w:szCs w:val="32"/>
          <w:lang w:val="en-US" w:eastAsia="zh-CN" w:bidi="ar-SA"/>
        </w:rPr>
        <w:id w:val="147476443"/>
        <w:showingPlcHdr/>
        <w15:color w:val="DBDBDB"/>
        <w:docPartObj>
          <w:docPartGallery w:val="Table of Contents"/>
          <w:docPartUnique/>
        </w:docPartObj>
      </w:sdtPr>
      <w:sdtEndPr>
        <w:rPr>
          <w:rFonts w:hint="default" w:ascii="Times New Roman" w:hAnsi="Times New Roman" w:eastAsia="楷体_GB2312" w:cs="Times New Roman"/>
          <w:b/>
          <w:bCs/>
          <w:color w:val="auto"/>
          <w:kern w:val="2"/>
          <w:sz w:val="21"/>
          <w:szCs w:val="36"/>
          <w:highlight w:val="none"/>
          <w:lang w:val="en-US" w:eastAsia="zh-CN" w:bidi="ar-SA"/>
        </w:rPr>
      </w:sdtEndPr>
      <w:sdtContent>
        <w:p w14:paraId="5AFA2AAA">
          <w:pPr>
            <w:adjustRightInd w:val="0"/>
            <w:snapToGrid w:val="0"/>
            <w:spacing w:line="360" w:lineRule="auto"/>
            <w:jc w:val="center"/>
            <w:rPr>
              <w:rFonts w:hint="default" w:ascii="Times New Roman" w:hAnsi="Times New Roman" w:eastAsia="楷体_GB2312" w:cs="Times New Roman"/>
              <w:color w:val="auto"/>
              <w:sz w:val="36"/>
              <w:szCs w:val="36"/>
              <w:highlight w:val="none"/>
            </w:rPr>
            <w:sectPr>
              <w:pgSz w:w="11906" w:h="16838"/>
              <w:pgMar w:top="1701" w:right="1417" w:bottom="1701" w:left="1531" w:header="851" w:footer="1077" w:gutter="0"/>
              <w:pgBorders>
                <w:top w:val="none" w:sz="0" w:space="0"/>
                <w:left w:val="none" w:sz="0" w:space="0"/>
                <w:bottom w:val="none" w:sz="0" w:space="0"/>
                <w:right w:val="none" w:sz="0" w:space="0"/>
              </w:pgBorders>
              <w:pgNumType w:fmt="numberInDash" w:start="3"/>
              <w:cols w:space="720" w:num="1"/>
              <w:docGrid w:linePitch="312" w:charSpace="0"/>
            </w:sectPr>
          </w:pPr>
          <w:r>
            <w:rPr>
              <w:rFonts w:hint="eastAsia" w:ascii="宋体" w:hAnsi="宋体" w:cs="Times New Roman"/>
              <w:b/>
              <w:bCs/>
              <w:color w:val="auto"/>
              <w:kern w:val="2"/>
              <w:sz w:val="32"/>
              <w:szCs w:val="32"/>
              <w:lang w:val="en-US" w:eastAsia="zh-CN" w:bidi="ar-SA"/>
            </w:rPr>
            <w:t xml:space="preserve">     </w:t>
          </w:r>
        </w:p>
      </w:sdtContent>
    </w:sdt>
    <w:p w14:paraId="1ECCFB18">
      <w:pPr>
        <w:pStyle w:val="4"/>
        <w:bidi w:val="0"/>
        <w:spacing w:before="0" w:after="0" w:line="360" w:lineRule="auto"/>
        <w:ind w:left="432" w:leftChars="0" w:hanging="432" w:firstLineChars="0"/>
        <w:rPr>
          <w:rFonts w:hint="default" w:eastAsia="宋体"/>
          <w:b/>
          <w:color w:val="auto"/>
        </w:rPr>
      </w:pPr>
      <w:bookmarkStart w:id="3" w:name="_Toc23831"/>
      <w:bookmarkStart w:id="4" w:name="_Toc1781"/>
      <w:r>
        <w:rPr>
          <w:rFonts w:hint="default" w:eastAsia="宋体"/>
          <w:b/>
          <w:color w:val="auto"/>
        </w:rPr>
        <w:t>建设项目基本情况</w:t>
      </w:r>
      <w:bookmarkEnd w:id="3"/>
      <w:bookmarkEnd w:id="4"/>
    </w:p>
    <w:tbl>
      <w:tblPr>
        <w:tblStyle w:val="28"/>
        <w:tblW w:w="492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490"/>
        <w:gridCol w:w="1600"/>
        <w:gridCol w:w="930"/>
        <w:gridCol w:w="1502"/>
        <w:gridCol w:w="3447"/>
      </w:tblGrid>
      <w:tr w14:paraId="6B5103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572CB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项目名称</w:t>
            </w:r>
          </w:p>
        </w:tc>
        <w:tc>
          <w:tcPr>
            <w:tcW w:w="4169" w:type="pct"/>
            <w:gridSpan w:val="4"/>
            <w:vAlign w:val="center"/>
          </w:tcPr>
          <w:p w14:paraId="767017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福清水质检测中心实验室项目</w:t>
            </w:r>
          </w:p>
        </w:tc>
      </w:tr>
      <w:tr w14:paraId="346E6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40D3F8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项目代码</w:t>
            </w:r>
          </w:p>
        </w:tc>
        <w:tc>
          <w:tcPr>
            <w:tcW w:w="4169" w:type="pct"/>
            <w:gridSpan w:val="4"/>
            <w:vAlign w:val="center"/>
          </w:tcPr>
          <w:p w14:paraId="09DDD5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2501-350181-04-01-946718</w:t>
            </w:r>
          </w:p>
        </w:tc>
      </w:tr>
      <w:tr w14:paraId="37E34B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8" w:hRule="atLeast"/>
          <w:jc w:val="center"/>
        </w:trPr>
        <w:tc>
          <w:tcPr>
            <w:tcW w:w="830" w:type="pct"/>
            <w:tcMar>
              <w:top w:w="16" w:type="dxa"/>
              <w:left w:w="16" w:type="dxa"/>
              <w:right w:w="16" w:type="dxa"/>
            </w:tcMar>
            <w:vAlign w:val="center"/>
          </w:tcPr>
          <w:p w14:paraId="43FB5B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建设单位</w:t>
            </w:r>
          </w:p>
          <w:p w14:paraId="0A49D7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联系人</w:t>
            </w:r>
          </w:p>
        </w:tc>
        <w:tc>
          <w:tcPr>
            <w:tcW w:w="1410" w:type="pct"/>
            <w:gridSpan w:val="2"/>
            <w:vAlign w:val="center"/>
          </w:tcPr>
          <w:p w14:paraId="32DDD3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p>
        </w:tc>
        <w:tc>
          <w:tcPr>
            <w:tcW w:w="837" w:type="pct"/>
            <w:vAlign w:val="center"/>
          </w:tcPr>
          <w:p w14:paraId="27E5F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联系方式</w:t>
            </w:r>
          </w:p>
        </w:tc>
        <w:tc>
          <w:tcPr>
            <w:tcW w:w="1921" w:type="pct"/>
            <w:vAlign w:val="center"/>
          </w:tcPr>
          <w:p w14:paraId="232A0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p>
        </w:tc>
      </w:tr>
      <w:tr w14:paraId="4E7C30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16A067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建设地点</w:t>
            </w:r>
          </w:p>
        </w:tc>
        <w:tc>
          <w:tcPr>
            <w:tcW w:w="4169" w:type="pct"/>
            <w:gridSpan w:val="4"/>
            <w:vAlign w:val="center"/>
          </w:tcPr>
          <w:p w14:paraId="7E2725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u w:val="none"/>
                <w:lang w:eastAsia="zh-CN"/>
              </w:rPr>
              <w:t>福清融侨经济技术开发区（租赁福清洪金机械有限公司办公科研楼4层、5层）</w:t>
            </w:r>
          </w:p>
        </w:tc>
      </w:tr>
      <w:tr w14:paraId="7E1E2F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446D19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highlight w:val="none"/>
              </w:rPr>
              <w:t>地理坐标</w:t>
            </w:r>
          </w:p>
        </w:tc>
        <w:tc>
          <w:tcPr>
            <w:tcW w:w="4169" w:type="pct"/>
            <w:gridSpan w:val="4"/>
            <w:vAlign w:val="center"/>
          </w:tcPr>
          <w:p w14:paraId="3FD9D2D2">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u w:val="single"/>
              </w:rPr>
              <w:t>1</w:t>
            </w:r>
            <w:r>
              <w:rPr>
                <w:rFonts w:hint="eastAsia" w:cs="Times New Roman"/>
                <w:color w:val="auto"/>
                <w:sz w:val="24"/>
                <w:szCs w:val="24"/>
                <w:highlight w:val="none"/>
                <w:u w:val="single"/>
                <w:lang w:val="en-US" w:eastAsia="zh-CN"/>
              </w:rPr>
              <w:t>19</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24</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20.408</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2</w:t>
            </w:r>
            <w:r>
              <w:rPr>
                <w:rFonts w:hint="eastAsia" w:cs="Times New Roman"/>
                <w:color w:val="auto"/>
                <w:sz w:val="24"/>
                <w:szCs w:val="24"/>
                <w:highlight w:val="none"/>
                <w:u w:val="single"/>
                <w:lang w:val="en-US" w:eastAsia="zh-CN"/>
              </w:rPr>
              <w:t>5</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45</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39.012</w:t>
            </w:r>
            <w:r>
              <w:rPr>
                <w:rFonts w:hint="default" w:ascii="Times New Roman" w:hAnsi="Times New Roman" w:cs="Times New Roman"/>
                <w:color w:val="auto"/>
                <w:sz w:val="24"/>
                <w:szCs w:val="24"/>
                <w:highlight w:val="none"/>
              </w:rPr>
              <w:t>秒</w:t>
            </w:r>
            <w:r>
              <w:rPr>
                <w:rFonts w:hint="eastAsia" w:cs="Times New Roman"/>
                <w:color w:val="auto"/>
                <w:sz w:val="24"/>
                <w:szCs w:val="24"/>
                <w:highlight w:val="none"/>
                <w:lang w:eastAsia="zh-CN"/>
              </w:rPr>
              <w:t>）</w:t>
            </w:r>
          </w:p>
        </w:tc>
      </w:tr>
      <w:tr w14:paraId="5A8B6D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3BF5F0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国民经济</w:t>
            </w:r>
          </w:p>
          <w:p w14:paraId="7A9035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410" w:type="pct"/>
            <w:gridSpan w:val="2"/>
            <w:vAlign w:val="center"/>
          </w:tcPr>
          <w:p w14:paraId="03E471B2">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M74</w:t>
            </w:r>
            <w:r>
              <w:rPr>
                <w:rFonts w:hint="eastAsia" w:cs="Times New Roman"/>
                <w:color w:val="auto"/>
                <w:sz w:val="24"/>
                <w:szCs w:val="24"/>
                <w:highlight w:val="none"/>
                <w:lang w:val="en-US" w:eastAsia="zh-CN"/>
              </w:rPr>
              <w:t>52</w:t>
            </w:r>
            <w:r>
              <w:rPr>
                <w:rFonts w:hint="default" w:ascii="Times New Roman" w:hAnsi="Times New Roman" w:cs="Times New Roman"/>
                <w:color w:val="auto"/>
                <w:sz w:val="24"/>
                <w:szCs w:val="24"/>
                <w:highlight w:val="none"/>
                <w:lang w:val="en-US" w:eastAsia="zh-CN"/>
              </w:rPr>
              <w:t>检测服务</w:t>
            </w:r>
          </w:p>
        </w:tc>
        <w:tc>
          <w:tcPr>
            <w:tcW w:w="837" w:type="pct"/>
            <w:vAlign w:val="center"/>
          </w:tcPr>
          <w:p w14:paraId="6A7DE3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719311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行业类别</w:t>
            </w:r>
          </w:p>
        </w:tc>
        <w:tc>
          <w:tcPr>
            <w:tcW w:w="1921" w:type="pct"/>
            <w:vAlign w:val="center"/>
          </w:tcPr>
          <w:p w14:paraId="0D7B8188">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firstLine="0" w:firstLineChars="0"/>
              <w:jc w:val="center"/>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四十五</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val="en-US" w:eastAsia="zh-CN"/>
              </w:rPr>
              <w:t>研究和试验发展</w:t>
            </w:r>
          </w:p>
          <w:p w14:paraId="042F5CBE">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firstLine="0" w:firstLineChars="0"/>
              <w:jc w:val="center"/>
              <w:textAlignment w:val="auto"/>
              <w:rPr>
                <w:rFonts w:hint="default" w:ascii="Times New Roman" w:hAnsi="Times New Roman" w:cs="Times New Roman"/>
                <w:color w:val="auto"/>
                <w:sz w:val="24"/>
                <w:szCs w:val="24"/>
                <w:highlight w:val="none"/>
                <w:lang w:val="en-US"/>
              </w:rPr>
            </w:pPr>
            <w:r>
              <w:rPr>
                <w:rFonts w:hint="default" w:ascii="Times New Roman" w:hAnsi="Times New Roman" w:cs="Times New Roman"/>
                <w:color w:val="auto"/>
                <w:sz w:val="24"/>
                <w:szCs w:val="24"/>
                <w:highlight w:val="none"/>
                <w:lang w:val="en-US" w:eastAsia="zh-CN"/>
              </w:rPr>
              <w:t>98专业实验室、研发（实验）基地</w:t>
            </w:r>
          </w:p>
        </w:tc>
      </w:tr>
      <w:tr w14:paraId="030CCF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1CC696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建设性质</w:t>
            </w:r>
          </w:p>
        </w:tc>
        <w:tc>
          <w:tcPr>
            <w:tcW w:w="1410" w:type="pct"/>
            <w:gridSpan w:val="2"/>
            <w:vAlign w:val="center"/>
          </w:tcPr>
          <w:p w14:paraId="4A8758AC">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52"/>
            </w:r>
            <w:r>
              <w:rPr>
                <w:rFonts w:hint="default" w:ascii="Times New Roman" w:hAnsi="Times New Roman" w:cs="Times New Roman"/>
                <w:color w:val="auto"/>
                <w:sz w:val="24"/>
                <w:szCs w:val="24"/>
                <w:highlight w:val="none"/>
              </w:rPr>
              <w:t>新建（迁建）</w:t>
            </w:r>
          </w:p>
          <w:p w14:paraId="740E131B">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改建</w:t>
            </w:r>
          </w:p>
          <w:p w14:paraId="32939EA4">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扩建</w:t>
            </w:r>
          </w:p>
          <w:p w14:paraId="01EC0FF0">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技术改造</w:t>
            </w:r>
          </w:p>
        </w:tc>
        <w:tc>
          <w:tcPr>
            <w:tcW w:w="837" w:type="pct"/>
            <w:vAlign w:val="center"/>
          </w:tcPr>
          <w:p w14:paraId="61A2D1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建设项目</w:t>
            </w:r>
          </w:p>
          <w:p w14:paraId="16CDD5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申报情形</w:t>
            </w:r>
          </w:p>
        </w:tc>
        <w:tc>
          <w:tcPr>
            <w:tcW w:w="1921" w:type="pct"/>
            <w:vAlign w:val="center"/>
          </w:tcPr>
          <w:p w14:paraId="128B90DB">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52"/>
            </w:r>
            <w:r>
              <w:rPr>
                <w:rFonts w:hint="default" w:ascii="Times New Roman" w:hAnsi="Times New Roman" w:cs="Times New Roman"/>
                <w:color w:val="auto"/>
                <w:sz w:val="24"/>
                <w:szCs w:val="24"/>
                <w:highlight w:val="none"/>
              </w:rPr>
              <w:t>首次申报项目</w:t>
            </w:r>
          </w:p>
          <w:p w14:paraId="50381AAC">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不予批准后再次申报项目</w:t>
            </w:r>
          </w:p>
          <w:p w14:paraId="4C8EEE1D">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超五年重新审核项目</w:t>
            </w:r>
          </w:p>
          <w:p w14:paraId="5A494B5A">
            <w:pPr>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rPr>
              <w:t>重大变动重新报批项目</w:t>
            </w:r>
          </w:p>
        </w:tc>
      </w:tr>
      <w:tr w14:paraId="1C7AFB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260D8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项目审批（核准/备案）部门（选填）</w:t>
            </w:r>
          </w:p>
        </w:tc>
        <w:tc>
          <w:tcPr>
            <w:tcW w:w="1410" w:type="pct"/>
            <w:gridSpan w:val="2"/>
            <w:vAlign w:val="center"/>
          </w:tcPr>
          <w:p w14:paraId="1A7F3DDD">
            <w:pPr>
              <w:pStyle w:val="36"/>
              <w:keepNext w:val="0"/>
              <w:keepLines w:val="0"/>
              <w:pageBreakBefore w:val="0"/>
              <w:widowControl w:val="0"/>
              <w:suppressLineNumbers w:val="0"/>
              <w:kinsoku/>
              <w:wordWrap/>
              <w:overflowPunct/>
              <w:topLinePunct w:val="0"/>
              <w:autoSpaceDE/>
              <w:autoSpaceDN/>
              <w:bidi w:val="0"/>
              <w:spacing w:before="0" w:beforeAutospacing="0" w:after="0" w:afterAutospacing="0" w:line="288" w:lineRule="auto"/>
              <w:ind w:left="42" w:leftChars="20" w:right="42" w:rightChars="2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2"/>
                <w:sz w:val="24"/>
                <w:szCs w:val="24"/>
                <w:highlight w:val="none"/>
                <w:lang w:val="en-US" w:eastAsia="zh-CN" w:bidi="ar-SA"/>
              </w:rPr>
              <w:t>福清市发展和改革局</w:t>
            </w:r>
          </w:p>
        </w:tc>
        <w:tc>
          <w:tcPr>
            <w:tcW w:w="837" w:type="pct"/>
            <w:vAlign w:val="center"/>
          </w:tcPr>
          <w:p w14:paraId="042D7B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项目审批（核准/备案）文号（选填）</w:t>
            </w:r>
          </w:p>
        </w:tc>
        <w:tc>
          <w:tcPr>
            <w:tcW w:w="1921" w:type="pct"/>
            <w:vAlign w:val="center"/>
          </w:tcPr>
          <w:p w14:paraId="7D54D4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闽发改备</w:t>
            </w:r>
            <w:r>
              <w:rPr>
                <w:rFonts w:hint="default" w:ascii="Times New Roman" w:hAnsi="Times New Roman" w:cs="Times New Roman"/>
                <w:color w:val="auto"/>
                <w:sz w:val="24"/>
                <w:szCs w:val="24"/>
                <w:highlight w:val="none"/>
                <w:shd w:val="clear" w:fill="FFFFFF"/>
                <w:lang w:val="en-US" w:eastAsia="zh-CN"/>
              </w:rPr>
              <w:t>[2025]</w:t>
            </w:r>
            <w:r>
              <w:rPr>
                <w:rFonts w:hint="default" w:ascii="Times New Roman" w:hAnsi="Times New Roman" w:cs="Times New Roman"/>
                <w:color w:val="auto"/>
                <w:sz w:val="24"/>
                <w:szCs w:val="24"/>
                <w:highlight w:val="none"/>
                <w:lang w:val="en-US" w:eastAsia="zh-CN"/>
              </w:rPr>
              <w:t>A060073</w:t>
            </w:r>
          </w:p>
        </w:tc>
      </w:tr>
      <w:tr w14:paraId="7B72E2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61F045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w:t>
            </w:r>
          </w:p>
          <w:p w14:paraId="367927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1410" w:type="pct"/>
            <w:gridSpan w:val="2"/>
            <w:vAlign w:val="center"/>
          </w:tcPr>
          <w:p w14:paraId="1DF51D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21</w:t>
            </w:r>
            <w:r>
              <w:rPr>
                <w:rFonts w:hint="default" w:ascii="Times New Roman" w:hAnsi="Times New Roman" w:cs="Times New Roman"/>
                <w:color w:val="auto"/>
                <w:sz w:val="24"/>
                <w:szCs w:val="24"/>
                <w:highlight w:val="none"/>
                <w:lang w:val="en-US" w:eastAsia="zh-CN"/>
              </w:rPr>
              <w:t>00</w:t>
            </w:r>
          </w:p>
        </w:tc>
        <w:tc>
          <w:tcPr>
            <w:tcW w:w="837" w:type="pct"/>
            <w:tcMar>
              <w:top w:w="16" w:type="dxa"/>
              <w:left w:w="16" w:type="dxa"/>
              <w:right w:w="16" w:type="dxa"/>
            </w:tcMar>
            <w:vAlign w:val="center"/>
          </w:tcPr>
          <w:p w14:paraId="667CD7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w:t>
            </w:r>
          </w:p>
          <w:p w14:paraId="7CCF61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（万元）</w:t>
            </w:r>
          </w:p>
        </w:tc>
        <w:tc>
          <w:tcPr>
            <w:tcW w:w="1921" w:type="pct"/>
            <w:vAlign w:val="center"/>
          </w:tcPr>
          <w:p w14:paraId="247FE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42</w:t>
            </w:r>
          </w:p>
        </w:tc>
      </w:tr>
      <w:tr w14:paraId="711E4D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7743EA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1410" w:type="pct"/>
            <w:gridSpan w:val="2"/>
            <w:vAlign w:val="center"/>
          </w:tcPr>
          <w:p w14:paraId="6932FF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w:t>
            </w:r>
          </w:p>
        </w:tc>
        <w:tc>
          <w:tcPr>
            <w:tcW w:w="837" w:type="pct"/>
            <w:tcMar>
              <w:top w:w="16" w:type="dxa"/>
              <w:left w:w="16" w:type="dxa"/>
              <w:right w:w="16" w:type="dxa"/>
            </w:tcMar>
            <w:vAlign w:val="center"/>
          </w:tcPr>
          <w:p w14:paraId="61FB19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施工工期</w:t>
            </w:r>
          </w:p>
        </w:tc>
        <w:tc>
          <w:tcPr>
            <w:tcW w:w="1921" w:type="pct"/>
            <w:vAlign w:val="center"/>
          </w:tcPr>
          <w:p w14:paraId="608D8E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个月</w:t>
            </w:r>
          </w:p>
        </w:tc>
      </w:tr>
      <w:tr w14:paraId="38BCB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830" w:type="pct"/>
            <w:tcMar>
              <w:top w:w="16" w:type="dxa"/>
              <w:left w:w="16" w:type="dxa"/>
              <w:right w:w="16" w:type="dxa"/>
            </w:tcMar>
            <w:vAlign w:val="center"/>
          </w:tcPr>
          <w:p w14:paraId="06DBE5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是否开工建设</w:t>
            </w:r>
          </w:p>
        </w:tc>
        <w:tc>
          <w:tcPr>
            <w:tcW w:w="1410" w:type="pct"/>
            <w:gridSpan w:val="2"/>
            <w:vAlign w:val="center"/>
          </w:tcPr>
          <w:p w14:paraId="6B06A1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52"/>
            </w:r>
            <w:r>
              <w:rPr>
                <w:rFonts w:hint="default" w:ascii="Times New Roman" w:hAnsi="Times New Roman" w:cs="Times New Roman"/>
                <w:color w:val="auto"/>
                <w:sz w:val="24"/>
                <w:szCs w:val="24"/>
                <w:highlight w:val="none"/>
              </w:rPr>
              <w:t>否</w:t>
            </w:r>
          </w:p>
          <w:p w14:paraId="72EE30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shd w:val="clear" w:fill="FFFFFF"/>
              </w:rPr>
              <w:sym w:font="Wingdings 2" w:char="00A3"/>
            </w:r>
            <w:r>
              <w:rPr>
                <w:rFonts w:hint="default" w:ascii="Times New Roman" w:hAnsi="Times New Roman" w:cs="Times New Roman"/>
                <w:color w:val="auto"/>
                <w:sz w:val="24"/>
                <w:szCs w:val="24"/>
                <w:highlight w:val="none"/>
                <w:shd w:val="clear" w:fill="FFFFFF"/>
              </w:rPr>
              <w:t>是</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 xml:space="preserve">               </w:t>
            </w:r>
          </w:p>
        </w:tc>
        <w:tc>
          <w:tcPr>
            <w:tcW w:w="837" w:type="pct"/>
            <w:tcMar>
              <w:top w:w="16" w:type="dxa"/>
              <w:left w:w="16" w:type="dxa"/>
              <w:right w:w="16" w:type="dxa"/>
            </w:tcMar>
            <w:vAlign w:val="center"/>
          </w:tcPr>
          <w:p w14:paraId="046EF1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pacing w:val="-6"/>
                <w:sz w:val="24"/>
                <w:szCs w:val="24"/>
                <w:highlight w:val="none"/>
              </w:rPr>
            </w:pPr>
            <w:r>
              <w:rPr>
                <w:rFonts w:hint="default" w:ascii="Times New Roman" w:hAnsi="Times New Roman" w:cs="Times New Roman"/>
                <w:color w:val="auto"/>
                <w:spacing w:val="-6"/>
                <w:sz w:val="24"/>
                <w:szCs w:val="24"/>
                <w:highlight w:val="none"/>
              </w:rPr>
              <w:t>用地（用海）</w:t>
            </w:r>
          </w:p>
          <w:p w14:paraId="1D835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pacing w:val="-6"/>
                <w:sz w:val="24"/>
                <w:szCs w:val="24"/>
                <w:highlight w:val="none"/>
              </w:rPr>
              <w:t>面积（m</w:t>
            </w:r>
            <w:r>
              <w:rPr>
                <w:rFonts w:hint="default" w:ascii="Times New Roman" w:hAnsi="Times New Roman" w:cs="Times New Roman"/>
                <w:color w:val="auto"/>
                <w:spacing w:val="-6"/>
                <w:sz w:val="24"/>
                <w:szCs w:val="24"/>
                <w:highlight w:val="none"/>
                <w:vertAlign w:val="superscript"/>
              </w:rPr>
              <w:t>2</w:t>
            </w:r>
            <w:r>
              <w:rPr>
                <w:rFonts w:hint="default" w:ascii="Times New Roman" w:hAnsi="Times New Roman" w:cs="Times New Roman"/>
                <w:color w:val="auto"/>
                <w:spacing w:val="-6"/>
                <w:sz w:val="24"/>
                <w:szCs w:val="24"/>
                <w:highlight w:val="none"/>
              </w:rPr>
              <w:t>）</w:t>
            </w:r>
          </w:p>
        </w:tc>
        <w:tc>
          <w:tcPr>
            <w:tcW w:w="1921" w:type="pct"/>
            <w:vAlign w:val="center"/>
          </w:tcPr>
          <w:p w14:paraId="2887A8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8" w:lineRule="auto"/>
              <w:ind w:left="42" w:leftChars="20" w:right="42" w:rightChars="20"/>
              <w:jc w:val="center"/>
              <w:textAlignment w:val="auto"/>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2517.8</w:t>
            </w:r>
          </w:p>
        </w:tc>
      </w:tr>
      <w:tr w14:paraId="596E9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30" w:type="pct"/>
            <w:vMerge w:val="restart"/>
            <w:vAlign w:val="center"/>
          </w:tcPr>
          <w:p w14:paraId="44720F1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专项评价设置情况</w:t>
            </w:r>
          </w:p>
        </w:tc>
        <w:tc>
          <w:tcPr>
            <w:tcW w:w="891" w:type="pct"/>
            <w:vAlign w:val="center"/>
          </w:tcPr>
          <w:p w14:paraId="6D48493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专项类别</w:t>
            </w:r>
          </w:p>
        </w:tc>
        <w:tc>
          <w:tcPr>
            <w:tcW w:w="518" w:type="pct"/>
            <w:vAlign w:val="center"/>
          </w:tcPr>
          <w:p w14:paraId="242F6A4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开展情况</w:t>
            </w:r>
          </w:p>
        </w:tc>
        <w:tc>
          <w:tcPr>
            <w:tcW w:w="2759" w:type="pct"/>
            <w:gridSpan w:val="2"/>
            <w:vAlign w:val="center"/>
          </w:tcPr>
          <w:p w14:paraId="299757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设置说明</w:t>
            </w:r>
          </w:p>
        </w:tc>
      </w:tr>
      <w:tr w14:paraId="17110C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830" w:type="pct"/>
            <w:vMerge w:val="continue"/>
            <w:vAlign w:val="center"/>
          </w:tcPr>
          <w:p w14:paraId="46E1CE4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sz w:val="24"/>
                <w:szCs w:val="24"/>
                <w:highlight w:val="none"/>
              </w:rPr>
            </w:pPr>
          </w:p>
        </w:tc>
        <w:tc>
          <w:tcPr>
            <w:tcW w:w="891" w:type="pct"/>
            <w:vAlign w:val="center"/>
          </w:tcPr>
          <w:p w14:paraId="24A9AE2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大气</w:t>
            </w:r>
          </w:p>
        </w:tc>
        <w:tc>
          <w:tcPr>
            <w:tcW w:w="518" w:type="pct"/>
            <w:vAlign w:val="center"/>
          </w:tcPr>
          <w:p w14:paraId="6482A04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无</w:t>
            </w:r>
          </w:p>
        </w:tc>
        <w:tc>
          <w:tcPr>
            <w:tcW w:w="2759" w:type="pct"/>
            <w:gridSpan w:val="2"/>
            <w:vAlign w:val="center"/>
          </w:tcPr>
          <w:p w14:paraId="49A0DF7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lang w:val="en-US"/>
              </w:rPr>
            </w:pPr>
            <w:r>
              <w:rPr>
                <w:rFonts w:hint="default" w:ascii="Times New Roman" w:hAnsi="Times New Roman" w:cs="Times New Roman"/>
                <w:color w:val="auto"/>
                <w:kern w:val="0"/>
                <w:sz w:val="24"/>
                <w:szCs w:val="24"/>
                <w:highlight w:val="none"/>
                <w:lang w:val="en-US" w:eastAsia="zh-CN"/>
              </w:rPr>
              <w:t>本项目排放的废气</w:t>
            </w:r>
            <w:r>
              <w:rPr>
                <w:rFonts w:hint="eastAsia" w:cs="Times New Roman"/>
                <w:color w:val="auto"/>
                <w:kern w:val="0"/>
                <w:sz w:val="24"/>
                <w:szCs w:val="24"/>
                <w:highlight w:val="none"/>
                <w:lang w:val="en-US" w:eastAsia="zh-CN"/>
              </w:rPr>
              <w:t>不涉及</w:t>
            </w:r>
            <w:r>
              <w:rPr>
                <w:rFonts w:hint="default" w:ascii="Times New Roman" w:hAnsi="Times New Roman" w:cs="Times New Roman"/>
                <w:color w:val="auto"/>
                <w:kern w:val="0"/>
                <w:sz w:val="24"/>
                <w:szCs w:val="24"/>
                <w:highlight w:val="none"/>
                <w:lang w:val="en-US" w:eastAsia="zh-CN"/>
              </w:rPr>
              <w:t>二噁英、苯并[a]芘、氰化物、氯气。</w:t>
            </w:r>
          </w:p>
        </w:tc>
      </w:tr>
      <w:tr w14:paraId="73A6EA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30" w:type="pct"/>
            <w:vMerge w:val="continue"/>
            <w:vAlign w:val="center"/>
          </w:tcPr>
          <w:p w14:paraId="4EEEC1D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p>
        </w:tc>
        <w:tc>
          <w:tcPr>
            <w:tcW w:w="891" w:type="pct"/>
            <w:vAlign w:val="center"/>
          </w:tcPr>
          <w:p w14:paraId="2F582DD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地表水</w:t>
            </w:r>
          </w:p>
        </w:tc>
        <w:tc>
          <w:tcPr>
            <w:tcW w:w="518" w:type="pct"/>
            <w:vAlign w:val="center"/>
          </w:tcPr>
          <w:p w14:paraId="65F513F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无</w:t>
            </w:r>
          </w:p>
        </w:tc>
        <w:tc>
          <w:tcPr>
            <w:tcW w:w="2759" w:type="pct"/>
            <w:gridSpan w:val="2"/>
            <w:vAlign w:val="center"/>
          </w:tcPr>
          <w:p w14:paraId="6663CC6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rPr>
              <w:t>本项目</w:t>
            </w:r>
            <w:r>
              <w:rPr>
                <w:rFonts w:hint="default" w:ascii="Times New Roman" w:hAnsi="Times New Roman" w:cs="Times New Roman"/>
                <w:color w:val="auto"/>
                <w:kern w:val="0"/>
                <w:sz w:val="24"/>
                <w:szCs w:val="24"/>
                <w:highlight w:val="none"/>
                <w:lang w:val="en-US" w:eastAsia="zh-CN"/>
              </w:rPr>
              <w:t>生产废水排入市政污水管网，最终纳入</w:t>
            </w:r>
            <w:r>
              <w:rPr>
                <w:rFonts w:hint="eastAsia" w:cs="Times New Roman"/>
                <w:color w:val="auto"/>
                <w:kern w:val="0"/>
                <w:sz w:val="24"/>
                <w:szCs w:val="24"/>
                <w:highlight w:val="none"/>
                <w:lang w:val="en-US" w:eastAsia="zh-CN"/>
              </w:rPr>
              <w:t>福清市融元污水处理厂</w:t>
            </w:r>
            <w:r>
              <w:rPr>
                <w:rFonts w:hint="default" w:ascii="Times New Roman" w:hAnsi="Times New Roman" w:cs="Times New Roman"/>
                <w:color w:val="auto"/>
                <w:kern w:val="0"/>
                <w:sz w:val="24"/>
                <w:szCs w:val="24"/>
                <w:highlight w:val="none"/>
                <w:lang w:val="en-US" w:eastAsia="zh-CN"/>
              </w:rPr>
              <w:t>，无生产废水直排。</w:t>
            </w:r>
          </w:p>
        </w:tc>
      </w:tr>
      <w:tr w14:paraId="4801B9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30" w:type="pct"/>
            <w:vMerge w:val="continue"/>
            <w:vAlign w:val="center"/>
          </w:tcPr>
          <w:p w14:paraId="34778BD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p>
        </w:tc>
        <w:tc>
          <w:tcPr>
            <w:tcW w:w="891" w:type="pct"/>
            <w:vAlign w:val="center"/>
          </w:tcPr>
          <w:p w14:paraId="10C4C0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环境风险</w:t>
            </w:r>
          </w:p>
        </w:tc>
        <w:tc>
          <w:tcPr>
            <w:tcW w:w="518" w:type="pct"/>
            <w:vAlign w:val="center"/>
          </w:tcPr>
          <w:p w14:paraId="7E2808B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无</w:t>
            </w:r>
          </w:p>
        </w:tc>
        <w:tc>
          <w:tcPr>
            <w:tcW w:w="2759" w:type="pct"/>
            <w:gridSpan w:val="2"/>
            <w:vAlign w:val="center"/>
          </w:tcPr>
          <w:p w14:paraId="2B18091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lang w:val="en-US" w:eastAsia="zh-CN"/>
              </w:rPr>
              <w:t>本项目各类风险物质存储量未超过其临界量。</w:t>
            </w:r>
          </w:p>
        </w:tc>
      </w:tr>
      <w:tr w14:paraId="16A82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830" w:type="pct"/>
            <w:vMerge w:val="continue"/>
            <w:vAlign w:val="center"/>
          </w:tcPr>
          <w:p w14:paraId="71E073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p>
        </w:tc>
        <w:tc>
          <w:tcPr>
            <w:tcW w:w="891" w:type="pct"/>
            <w:vAlign w:val="center"/>
          </w:tcPr>
          <w:p w14:paraId="0E2EE4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生态</w:t>
            </w:r>
          </w:p>
        </w:tc>
        <w:tc>
          <w:tcPr>
            <w:tcW w:w="518" w:type="pct"/>
            <w:vAlign w:val="center"/>
          </w:tcPr>
          <w:p w14:paraId="48992AF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无</w:t>
            </w:r>
          </w:p>
        </w:tc>
        <w:tc>
          <w:tcPr>
            <w:tcW w:w="2759" w:type="pct"/>
            <w:gridSpan w:val="2"/>
            <w:vAlign w:val="center"/>
          </w:tcPr>
          <w:p w14:paraId="1E165C9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本项目用水来自市政自来水管网供水，不属于新增河道取水的项目。</w:t>
            </w:r>
          </w:p>
        </w:tc>
      </w:tr>
      <w:tr w14:paraId="383085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830" w:type="pct"/>
            <w:vMerge w:val="continue"/>
            <w:vAlign w:val="center"/>
          </w:tcPr>
          <w:p w14:paraId="39DFFA8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p>
        </w:tc>
        <w:tc>
          <w:tcPr>
            <w:tcW w:w="891" w:type="pct"/>
            <w:vAlign w:val="center"/>
          </w:tcPr>
          <w:p w14:paraId="623BD00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海洋</w:t>
            </w:r>
          </w:p>
        </w:tc>
        <w:tc>
          <w:tcPr>
            <w:tcW w:w="518" w:type="pct"/>
            <w:vAlign w:val="center"/>
          </w:tcPr>
          <w:p w14:paraId="1C0E4BE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无</w:t>
            </w:r>
          </w:p>
        </w:tc>
        <w:tc>
          <w:tcPr>
            <w:tcW w:w="2759" w:type="pct"/>
            <w:gridSpan w:val="2"/>
            <w:vAlign w:val="center"/>
          </w:tcPr>
          <w:p w14:paraId="3AC2A65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42" w:leftChars="20" w:right="42" w:rightChars="20"/>
              <w:jc w:val="center"/>
              <w:textAlignment w:val="auto"/>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本项目不属于海洋工程建设项目</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不涉及直接向海排放污染物</w:t>
            </w:r>
            <w:r>
              <w:rPr>
                <w:rFonts w:hint="default" w:ascii="Times New Roman" w:hAnsi="Times New Roman" w:cs="Times New Roman"/>
                <w:color w:val="auto"/>
                <w:kern w:val="0"/>
                <w:sz w:val="24"/>
                <w:szCs w:val="24"/>
                <w:highlight w:val="none"/>
              </w:rPr>
              <w:t>。</w:t>
            </w:r>
          </w:p>
        </w:tc>
      </w:tr>
      <w:tr w14:paraId="4A777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30" w:type="pct"/>
            <w:vAlign w:val="center"/>
          </w:tcPr>
          <w:p w14:paraId="626A6273">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规划情况</w:t>
            </w:r>
          </w:p>
        </w:tc>
        <w:tc>
          <w:tcPr>
            <w:tcW w:w="4169" w:type="pct"/>
            <w:gridSpan w:val="4"/>
            <w:vAlign w:val="center"/>
          </w:tcPr>
          <w:p w14:paraId="0884EDB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ascii="Times New Roman" w:hAnsi="Times New Roman" w:cs="宋体"/>
                <w:color w:val="auto"/>
                <w:spacing w:val="0"/>
                <w:kern w:val="21"/>
                <w:sz w:val="24"/>
                <w:szCs w:val="24"/>
              </w:rPr>
            </w:pPr>
            <w:r>
              <w:rPr>
                <w:rFonts w:hint="eastAsia" w:ascii="Times New Roman" w:hAnsi="Times New Roman" w:cs="宋体"/>
                <w:color w:val="auto"/>
                <w:spacing w:val="0"/>
                <w:kern w:val="21"/>
                <w:sz w:val="24"/>
                <w:szCs w:val="24"/>
              </w:rPr>
              <w:t>规划文件名称：《福清融侨经济技术开发区总体规划（2018</w:t>
            </w:r>
            <w:r>
              <w:rPr>
                <w:rFonts w:hint="eastAsia" w:ascii="Times New Roman" w:hAnsi="Times New Roman" w:cs="宋体"/>
                <w:color w:val="auto"/>
                <w:spacing w:val="0"/>
                <w:kern w:val="21"/>
                <w:sz w:val="24"/>
                <w:szCs w:val="24"/>
                <w:shd w:val="clear" w:fill="FFFFFF"/>
              </w:rPr>
              <w:t>-</w:t>
            </w:r>
            <w:r>
              <w:rPr>
                <w:rFonts w:hint="eastAsia" w:ascii="Times New Roman" w:hAnsi="Times New Roman" w:cs="宋体"/>
                <w:color w:val="auto"/>
                <w:spacing w:val="0"/>
                <w:kern w:val="21"/>
                <w:sz w:val="24"/>
                <w:szCs w:val="24"/>
              </w:rPr>
              <w:t>2035年）》</w:t>
            </w:r>
          </w:p>
          <w:p w14:paraId="03C463C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ascii="Times New Roman" w:hAnsi="Times New Roman" w:cs="宋体"/>
                <w:color w:val="auto"/>
                <w:spacing w:val="0"/>
                <w:kern w:val="21"/>
                <w:sz w:val="24"/>
                <w:szCs w:val="24"/>
              </w:rPr>
            </w:pPr>
            <w:r>
              <w:rPr>
                <w:rFonts w:hint="eastAsia" w:ascii="Times New Roman" w:hAnsi="Times New Roman" w:cs="宋体"/>
                <w:color w:val="auto"/>
                <w:spacing w:val="0"/>
                <w:kern w:val="21"/>
                <w:sz w:val="24"/>
                <w:szCs w:val="24"/>
              </w:rPr>
              <w:t>审批机关：福清市人民政府</w:t>
            </w:r>
          </w:p>
          <w:p w14:paraId="08FC73E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color w:val="auto"/>
                <w:kern w:val="0"/>
                <w:sz w:val="24"/>
                <w:szCs w:val="24"/>
                <w:highlight w:val="none"/>
              </w:rPr>
            </w:pPr>
            <w:r>
              <w:rPr>
                <w:rFonts w:hint="eastAsia" w:ascii="Times New Roman" w:hAnsi="Times New Roman" w:cs="宋体"/>
                <w:color w:val="auto"/>
                <w:spacing w:val="0"/>
                <w:kern w:val="21"/>
                <w:sz w:val="24"/>
                <w:szCs w:val="24"/>
              </w:rPr>
              <w:t>审批文件名称及文号：《福清市人民政府关于同意融侨经济技术开发区总体规划（2018</w:t>
            </w:r>
            <w:r>
              <w:rPr>
                <w:rFonts w:hint="eastAsia" w:ascii="Times New Roman" w:hAnsi="Times New Roman" w:cs="宋体"/>
                <w:color w:val="auto"/>
                <w:spacing w:val="0"/>
                <w:kern w:val="21"/>
                <w:sz w:val="24"/>
                <w:szCs w:val="24"/>
                <w:shd w:val="clear" w:fill="FFFFFF"/>
              </w:rPr>
              <w:t>-</w:t>
            </w:r>
            <w:r>
              <w:rPr>
                <w:rFonts w:hint="eastAsia" w:ascii="Times New Roman" w:hAnsi="Times New Roman" w:cs="宋体"/>
                <w:color w:val="auto"/>
                <w:spacing w:val="0"/>
                <w:kern w:val="21"/>
                <w:sz w:val="24"/>
                <w:szCs w:val="24"/>
              </w:rPr>
              <w:t>2035年）编制范围的批复》（融政综〔2019〕189号）</w:t>
            </w:r>
          </w:p>
        </w:tc>
      </w:tr>
      <w:tr w14:paraId="44DBEB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51" w:hRule="atLeast"/>
          <w:jc w:val="center"/>
        </w:trPr>
        <w:tc>
          <w:tcPr>
            <w:tcW w:w="830" w:type="pct"/>
            <w:vAlign w:val="center"/>
          </w:tcPr>
          <w:p w14:paraId="687C04B4">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sz w:val="24"/>
                <w:szCs w:val="24"/>
                <w:highlight w:val="none"/>
              </w:rPr>
              <w:t>规划环境影响评价情况</w:t>
            </w:r>
          </w:p>
        </w:tc>
        <w:tc>
          <w:tcPr>
            <w:tcW w:w="4169" w:type="pct"/>
            <w:gridSpan w:val="4"/>
            <w:vAlign w:val="center"/>
          </w:tcPr>
          <w:p w14:paraId="65D28A3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cs="宋体"/>
                <w:color w:val="auto"/>
                <w:spacing w:val="0"/>
                <w:kern w:val="21"/>
                <w:sz w:val="24"/>
                <w:szCs w:val="24"/>
              </w:rPr>
            </w:pPr>
            <w:r>
              <w:rPr>
                <w:rFonts w:hint="eastAsia" w:ascii="Times New Roman" w:hAnsi="Times New Roman" w:cs="宋体"/>
                <w:color w:val="auto"/>
                <w:spacing w:val="0"/>
                <w:kern w:val="21"/>
                <w:sz w:val="24"/>
                <w:szCs w:val="24"/>
              </w:rPr>
              <w:t>规划环评名称：</w:t>
            </w:r>
            <w:r>
              <w:rPr>
                <w:rFonts w:hint="default" w:ascii="Times New Roman" w:hAnsi="Times New Roman" w:cs="宋体"/>
                <w:color w:val="auto"/>
                <w:spacing w:val="0"/>
                <w:kern w:val="21"/>
                <w:sz w:val="24"/>
                <w:szCs w:val="24"/>
                <w:lang w:val="en-GB"/>
              </w:rPr>
              <w:t>《福清融侨经济技术开发区总体规划环境影响报告书</w:t>
            </w:r>
            <w:r>
              <w:rPr>
                <w:rFonts w:hint="eastAsia" w:cs="宋体"/>
                <w:color w:val="auto"/>
                <w:spacing w:val="0"/>
                <w:kern w:val="21"/>
                <w:sz w:val="24"/>
                <w:szCs w:val="24"/>
                <w:lang w:eastAsia="zh-CN"/>
              </w:rPr>
              <w:t>（</w:t>
            </w:r>
            <w:r>
              <w:rPr>
                <w:rFonts w:hint="default" w:ascii="Times New Roman" w:hAnsi="Times New Roman" w:cs="宋体"/>
                <w:color w:val="auto"/>
                <w:spacing w:val="0"/>
                <w:kern w:val="21"/>
                <w:sz w:val="24"/>
                <w:szCs w:val="24"/>
                <w:lang w:val="en-GB"/>
              </w:rPr>
              <w:t>2018</w:t>
            </w:r>
            <w:r>
              <w:rPr>
                <w:rFonts w:hint="eastAsia" w:ascii="Times New Roman" w:hAnsi="Times New Roman" w:cs="宋体"/>
                <w:color w:val="auto"/>
                <w:spacing w:val="0"/>
                <w:kern w:val="21"/>
                <w:sz w:val="24"/>
                <w:szCs w:val="24"/>
                <w:shd w:val="clear" w:fill="FFFFFF"/>
              </w:rPr>
              <w:t>-</w:t>
            </w:r>
            <w:r>
              <w:rPr>
                <w:rFonts w:hint="default" w:ascii="Times New Roman" w:hAnsi="Times New Roman" w:cs="宋体"/>
                <w:color w:val="auto"/>
                <w:spacing w:val="0"/>
                <w:kern w:val="21"/>
                <w:sz w:val="24"/>
                <w:szCs w:val="24"/>
                <w:lang w:val="en-GB"/>
              </w:rPr>
              <w:t>2035年</w:t>
            </w:r>
            <w:r>
              <w:rPr>
                <w:rFonts w:hint="eastAsia" w:cs="宋体"/>
                <w:color w:val="auto"/>
                <w:spacing w:val="0"/>
                <w:kern w:val="21"/>
                <w:sz w:val="24"/>
                <w:szCs w:val="24"/>
                <w:lang w:eastAsia="zh-CN"/>
              </w:rPr>
              <w:t>）</w:t>
            </w:r>
            <w:r>
              <w:rPr>
                <w:rFonts w:hint="default" w:ascii="Times New Roman" w:hAnsi="Times New Roman" w:cs="宋体"/>
                <w:color w:val="auto"/>
                <w:spacing w:val="0"/>
                <w:kern w:val="21"/>
                <w:sz w:val="24"/>
                <w:szCs w:val="24"/>
                <w:lang w:val="en-GB"/>
              </w:rPr>
              <w:t>》</w:t>
            </w:r>
          </w:p>
          <w:p w14:paraId="29B718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eastAsia" w:ascii="Times New Roman" w:hAnsi="Times New Roman" w:cs="宋体"/>
                <w:color w:val="auto"/>
                <w:spacing w:val="0"/>
                <w:kern w:val="21"/>
                <w:sz w:val="24"/>
                <w:szCs w:val="24"/>
              </w:rPr>
            </w:pPr>
            <w:r>
              <w:rPr>
                <w:rFonts w:hint="eastAsia" w:ascii="Times New Roman" w:hAnsi="Times New Roman" w:cs="宋体"/>
                <w:color w:val="auto"/>
                <w:spacing w:val="0"/>
                <w:kern w:val="21"/>
                <w:sz w:val="24"/>
                <w:szCs w:val="24"/>
              </w:rPr>
              <w:t>召集审查机关：中华人民共和国生态环境部</w:t>
            </w:r>
          </w:p>
          <w:p w14:paraId="5C9AFC6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color w:val="auto"/>
                <w:highlight w:val="none"/>
              </w:rPr>
            </w:pPr>
            <w:r>
              <w:rPr>
                <w:rFonts w:hint="eastAsia" w:ascii="Times New Roman" w:hAnsi="Times New Roman" w:cs="宋体"/>
                <w:color w:val="auto"/>
                <w:spacing w:val="0"/>
                <w:kern w:val="21"/>
                <w:sz w:val="24"/>
                <w:szCs w:val="24"/>
              </w:rPr>
              <w:t>审批文件名称及文号：《福清融侨经济技术开发区总体规划环境影响报告书</w:t>
            </w:r>
            <w:r>
              <w:rPr>
                <w:rFonts w:hint="eastAsia" w:cs="宋体"/>
                <w:color w:val="auto"/>
                <w:spacing w:val="0"/>
                <w:kern w:val="21"/>
                <w:sz w:val="24"/>
                <w:szCs w:val="24"/>
                <w:lang w:eastAsia="zh-CN"/>
              </w:rPr>
              <w:t>（</w:t>
            </w:r>
            <w:r>
              <w:rPr>
                <w:rFonts w:hint="eastAsia" w:ascii="Times New Roman" w:hAnsi="Times New Roman" w:cs="宋体"/>
                <w:color w:val="auto"/>
                <w:spacing w:val="0"/>
                <w:kern w:val="21"/>
                <w:sz w:val="24"/>
                <w:szCs w:val="24"/>
              </w:rPr>
              <w:t>2018</w:t>
            </w:r>
            <w:r>
              <w:rPr>
                <w:rFonts w:hint="eastAsia" w:ascii="Times New Roman" w:hAnsi="Times New Roman" w:cs="宋体"/>
                <w:color w:val="auto"/>
                <w:spacing w:val="0"/>
                <w:kern w:val="21"/>
                <w:sz w:val="24"/>
                <w:szCs w:val="24"/>
                <w:shd w:val="clear" w:fill="FFFFFF"/>
              </w:rPr>
              <w:t>-</w:t>
            </w:r>
            <w:r>
              <w:rPr>
                <w:rFonts w:hint="eastAsia" w:ascii="Times New Roman" w:hAnsi="Times New Roman" w:cs="宋体"/>
                <w:color w:val="auto"/>
                <w:spacing w:val="0"/>
                <w:kern w:val="21"/>
                <w:sz w:val="24"/>
                <w:szCs w:val="24"/>
              </w:rPr>
              <w:t>2035年</w:t>
            </w:r>
            <w:r>
              <w:rPr>
                <w:rFonts w:hint="eastAsia" w:cs="宋体"/>
                <w:color w:val="auto"/>
                <w:spacing w:val="0"/>
                <w:kern w:val="21"/>
                <w:sz w:val="24"/>
                <w:szCs w:val="24"/>
                <w:lang w:eastAsia="zh-CN"/>
              </w:rPr>
              <w:t>）</w:t>
            </w:r>
            <w:r>
              <w:rPr>
                <w:rFonts w:hint="eastAsia" w:ascii="Times New Roman" w:hAnsi="Times New Roman" w:cs="宋体"/>
                <w:color w:val="auto"/>
                <w:spacing w:val="0"/>
                <w:kern w:val="21"/>
                <w:sz w:val="24"/>
                <w:szCs w:val="24"/>
              </w:rPr>
              <w:t>》</w:t>
            </w:r>
            <w:r>
              <w:rPr>
                <w:rFonts w:hint="eastAsia" w:cs="宋体"/>
                <w:color w:val="auto"/>
                <w:spacing w:val="0"/>
                <w:kern w:val="21"/>
                <w:sz w:val="24"/>
                <w:szCs w:val="24"/>
                <w:lang w:eastAsia="zh-CN"/>
              </w:rPr>
              <w:t>（</w:t>
            </w:r>
            <w:r>
              <w:rPr>
                <w:rFonts w:hint="eastAsia" w:ascii="Times New Roman" w:hAnsi="Times New Roman" w:cs="宋体"/>
                <w:color w:val="auto"/>
                <w:spacing w:val="0"/>
                <w:kern w:val="21"/>
                <w:sz w:val="24"/>
                <w:szCs w:val="24"/>
              </w:rPr>
              <w:t>环审〔2020〕80号</w:t>
            </w:r>
            <w:r>
              <w:rPr>
                <w:rFonts w:hint="eastAsia" w:cs="宋体"/>
                <w:color w:val="auto"/>
                <w:spacing w:val="0"/>
                <w:kern w:val="21"/>
                <w:sz w:val="24"/>
                <w:szCs w:val="24"/>
                <w:lang w:eastAsia="zh-CN"/>
              </w:rPr>
              <w:t>）</w:t>
            </w:r>
            <w:r>
              <w:rPr>
                <w:rFonts w:hint="eastAsia" w:ascii="Times New Roman" w:hAnsi="Times New Roman" w:cs="宋体"/>
                <w:color w:val="auto"/>
                <w:spacing w:val="0"/>
                <w:kern w:val="21"/>
                <w:sz w:val="24"/>
                <w:szCs w:val="24"/>
              </w:rPr>
              <w:t>及其审查意见</w:t>
            </w:r>
          </w:p>
        </w:tc>
      </w:tr>
      <w:tr w14:paraId="7DF16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9" w:hRule="atLeast"/>
          <w:jc w:val="center"/>
        </w:trPr>
        <w:tc>
          <w:tcPr>
            <w:tcW w:w="830" w:type="pct"/>
            <w:vAlign w:val="center"/>
          </w:tcPr>
          <w:p w14:paraId="0E4BC1BB">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kern w:val="0"/>
                <w:sz w:val="24"/>
                <w:szCs w:val="24"/>
                <w:highlight w:val="none"/>
              </w:rPr>
              <w:t>规划及规划环境影响评价符合性分析</w:t>
            </w:r>
          </w:p>
        </w:tc>
        <w:tc>
          <w:tcPr>
            <w:tcW w:w="4169" w:type="pct"/>
            <w:gridSpan w:val="4"/>
            <w:vAlign w:val="center"/>
          </w:tcPr>
          <w:p w14:paraId="50360B99">
            <w:pPr>
              <w:pStyle w:val="5"/>
              <w:keepNext/>
              <w:keepLines/>
              <w:suppressLineNumbers w:val="0"/>
              <w:bidi w:val="0"/>
              <w:spacing w:before="120" w:beforeAutospacing="0" w:after="120" w:afterAutospacing="0"/>
              <w:ind w:left="0" w:leftChars="0" w:right="0" w:firstLine="0" w:firstLineChars="0"/>
              <w:jc w:val="both"/>
              <w:rPr>
                <w:rFonts w:hint="default"/>
                <w:color w:val="auto"/>
                <w:szCs w:val="32"/>
                <w:lang w:val="en-US" w:eastAsia="zh-CN"/>
              </w:rPr>
            </w:pPr>
            <w:bookmarkStart w:id="5" w:name="_Toc20546"/>
            <w:r>
              <w:rPr>
                <w:rFonts w:hint="eastAsia"/>
                <w:color w:val="auto"/>
                <w:szCs w:val="32"/>
                <w:lang w:val="en-US" w:eastAsia="zh-CN"/>
              </w:rPr>
              <w:t>与《福清融侨经济技术开发区总体规划</w:t>
            </w:r>
            <w:r>
              <w:rPr>
                <w:rFonts w:hint="eastAsia"/>
                <w:color w:val="auto"/>
                <w:szCs w:val="32"/>
                <w:shd w:val="clear" w:fill="FFFFFF"/>
                <w:lang w:val="en-US" w:eastAsia="zh-CN"/>
              </w:rPr>
              <w:t>(</w:t>
            </w:r>
            <w:r>
              <w:rPr>
                <w:rFonts w:hint="eastAsia"/>
                <w:color w:val="auto"/>
                <w:szCs w:val="32"/>
                <w:lang w:val="en-US" w:eastAsia="zh-CN"/>
              </w:rPr>
              <w:t>2018</w:t>
            </w:r>
            <w:r>
              <w:rPr>
                <w:rFonts w:hint="eastAsia"/>
                <w:color w:val="auto"/>
                <w:szCs w:val="32"/>
                <w:shd w:val="clear" w:fill="FFFFFF"/>
                <w:lang w:val="en-US" w:eastAsia="zh-CN"/>
              </w:rPr>
              <w:t>-</w:t>
            </w:r>
            <w:r>
              <w:rPr>
                <w:rFonts w:hint="eastAsia"/>
                <w:color w:val="auto"/>
                <w:szCs w:val="32"/>
                <w:lang w:val="en-US" w:eastAsia="zh-CN"/>
              </w:rPr>
              <w:t>2035年</w:t>
            </w:r>
            <w:r>
              <w:rPr>
                <w:rFonts w:hint="eastAsia"/>
                <w:color w:val="auto"/>
                <w:szCs w:val="32"/>
                <w:shd w:val="clear" w:fill="FFFFFF"/>
                <w:lang w:val="en-US" w:eastAsia="zh-CN"/>
              </w:rPr>
              <w:t>)</w:t>
            </w:r>
            <w:r>
              <w:rPr>
                <w:rFonts w:hint="eastAsia"/>
                <w:color w:val="auto"/>
                <w:szCs w:val="32"/>
                <w:lang w:val="en-US" w:eastAsia="zh-CN"/>
              </w:rPr>
              <w:t>》及规划环境影响评价的符合性分析</w:t>
            </w:r>
            <w:bookmarkEnd w:id="5"/>
          </w:p>
          <w:p w14:paraId="50AB3266">
            <w:pPr>
              <w:pStyle w:val="75"/>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lang w:val="en-US" w:eastAsia="zh-CN"/>
              </w:rPr>
            </w:pPr>
            <w:r>
              <w:rPr>
                <w:rFonts w:hint="default"/>
                <w:color w:val="auto"/>
              </w:rPr>
              <w:t>本项目</w:t>
            </w:r>
            <w:r>
              <w:rPr>
                <w:rFonts w:hint="eastAsia"/>
                <w:color w:val="auto"/>
                <w:lang w:val="en-US" w:eastAsia="zh-CN"/>
              </w:rPr>
              <w:t>租赁</w:t>
            </w:r>
            <w:r>
              <w:rPr>
                <w:rFonts w:hint="eastAsia" w:cs="Times New Roman"/>
                <w:color w:val="auto"/>
                <w:sz w:val="24"/>
                <w:szCs w:val="24"/>
                <w:highlight w:val="none"/>
                <w:u w:val="none"/>
                <w:lang w:eastAsia="zh-CN"/>
              </w:rPr>
              <w:t>福清洪金机械有限公司</w:t>
            </w:r>
            <w:r>
              <w:rPr>
                <w:rFonts w:hint="default"/>
                <w:color w:val="auto"/>
              </w:rPr>
              <w:t>位于福清市福清融侨经济技术开发区（阳下街道新局村）</w:t>
            </w:r>
            <w:r>
              <w:rPr>
                <w:rFonts w:hint="eastAsia"/>
                <w:color w:val="auto"/>
                <w:lang w:eastAsia="zh-CN"/>
              </w:rPr>
              <w:t>已建设厂房，厂房</w:t>
            </w:r>
            <w:r>
              <w:rPr>
                <w:rFonts w:hint="eastAsia"/>
                <w:color w:val="auto"/>
                <w:lang w:val="en-US" w:eastAsia="zh-CN"/>
              </w:rPr>
              <w:t>租赁合同详见</w:t>
            </w:r>
            <w:r>
              <w:rPr>
                <w:rFonts w:hint="eastAsia"/>
                <w:b w:val="0"/>
                <w:bCs w:val="0"/>
                <w:color w:val="auto"/>
                <w:highlight w:val="none"/>
                <w:lang w:val="en-US" w:eastAsia="zh-CN"/>
              </w:rPr>
              <w:t>附件4</w:t>
            </w:r>
            <w:r>
              <w:rPr>
                <w:rFonts w:hint="eastAsia"/>
                <w:color w:val="auto"/>
                <w:highlight w:val="none"/>
                <w:lang w:val="en-US" w:eastAsia="zh-CN"/>
              </w:rPr>
              <w:t>。</w:t>
            </w:r>
            <w:r>
              <w:rPr>
                <w:rFonts w:hint="eastAsia"/>
                <w:color w:val="auto"/>
                <w:highlight w:val="none"/>
                <w:lang w:eastAsia="zh-CN"/>
              </w:rPr>
              <w:t>根据不动产权证可知，项目所在地用地性质为工业用地，符合用地规划需求，</w:t>
            </w:r>
            <w:r>
              <w:rPr>
                <w:rFonts w:hint="eastAsia"/>
                <w:color w:val="auto"/>
                <w:highlight w:val="none"/>
                <w:lang w:val="en-US" w:eastAsia="zh-CN"/>
              </w:rPr>
              <w:t>详见</w:t>
            </w:r>
            <w:r>
              <w:rPr>
                <w:rFonts w:hint="eastAsia" w:ascii="Times New Roman" w:hAnsi="Times New Roman" w:eastAsia="宋体" w:cs="Times New Roman"/>
                <w:b w:val="0"/>
                <w:bCs w:val="0"/>
                <w:color w:val="auto"/>
                <w:highlight w:val="none"/>
                <w:lang w:val="en-US" w:eastAsia="zh-CN"/>
              </w:rPr>
              <w:t>附件</w:t>
            </w:r>
            <w:r>
              <w:rPr>
                <w:rFonts w:hint="eastAsia" w:cs="Times New Roman"/>
                <w:b w:val="0"/>
                <w:bCs w:val="0"/>
                <w:color w:val="auto"/>
                <w:highlight w:val="none"/>
                <w:lang w:val="en-US" w:eastAsia="zh-CN"/>
              </w:rPr>
              <w:t>6</w:t>
            </w:r>
            <w:r>
              <w:rPr>
                <w:rFonts w:hint="eastAsia" w:ascii="Times New Roman" w:hAnsi="Times New Roman" w:eastAsia="宋体" w:cs="Times New Roman"/>
                <w:color w:val="auto"/>
                <w:highlight w:val="none"/>
                <w:lang w:val="en-US" w:eastAsia="zh-CN"/>
              </w:rPr>
              <w:t>。</w:t>
            </w:r>
          </w:p>
          <w:p w14:paraId="715DB727">
            <w:pPr>
              <w:pStyle w:val="75"/>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GB"/>
              </w:rPr>
              <w:t>《福清融侨经济技术开发区总体规划环境影响报告书</w:t>
            </w:r>
            <w:r>
              <w:rPr>
                <w:rFonts w:hint="eastAsia"/>
                <w:color w:val="auto"/>
                <w:shd w:val="clear" w:fill="FFFFFF"/>
                <w:lang w:val="en-GB"/>
              </w:rPr>
              <w:t>(</w:t>
            </w:r>
            <w:r>
              <w:rPr>
                <w:rFonts w:hint="eastAsia"/>
                <w:color w:val="auto"/>
                <w:lang w:val="en-GB"/>
              </w:rPr>
              <w:t>2018</w:t>
            </w:r>
            <w:r>
              <w:rPr>
                <w:rFonts w:hint="eastAsia"/>
                <w:color w:val="auto"/>
                <w:shd w:val="clear" w:fill="FFFFFF"/>
                <w:lang w:val="en-GB"/>
              </w:rPr>
              <w:t>-</w:t>
            </w:r>
            <w:r>
              <w:rPr>
                <w:rFonts w:hint="eastAsia"/>
                <w:color w:val="auto"/>
                <w:lang w:val="en-GB"/>
              </w:rPr>
              <w:t>2035年</w:t>
            </w:r>
            <w:r>
              <w:rPr>
                <w:rFonts w:hint="eastAsia"/>
                <w:color w:val="auto"/>
                <w:shd w:val="clear" w:fill="FFFFFF"/>
                <w:lang w:val="en-GB"/>
              </w:rPr>
              <w:t>)</w:t>
            </w:r>
            <w:r>
              <w:rPr>
                <w:rFonts w:hint="eastAsia"/>
                <w:color w:val="auto"/>
                <w:lang w:val="en-GB"/>
              </w:rPr>
              <w:t>》及其审查意见</w:t>
            </w:r>
            <w:r>
              <w:rPr>
                <w:rFonts w:hint="eastAsia"/>
                <w:color w:val="auto"/>
                <w:shd w:val="clear" w:fill="FFFFFF"/>
                <w:lang w:val="en-GB"/>
              </w:rPr>
              <w:t>(</w:t>
            </w:r>
            <w:r>
              <w:rPr>
                <w:rFonts w:hint="eastAsia"/>
                <w:color w:val="auto"/>
                <w:lang w:val="en-GB"/>
              </w:rPr>
              <w:t>环审</w:t>
            </w:r>
            <w:r>
              <w:rPr>
                <w:rFonts w:hint="eastAsia" w:ascii="Times New Roman" w:hAnsi="Times New Roman" w:cs="宋体"/>
                <w:color w:val="auto"/>
                <w:spacing w:val="0"/>
                <w:kern w:val="21"/>
                <w:sz w:val="24"/>
                <w:szCs w:val="24"/>
              </w:rPr>
              <w:t>〔2020〕80号</w:t>
            </w:r>
            <w:r>
              <w:rPr>
                <w:rFonts w:hint="eastAsia"/>
                <w:color w:val="auto"/>
                <w:shd w:val="clear" w:fill="FFFFFF"/>
                <w:lang w:val="en-GB"/>
              </w:rPr>
              <w:t>)</w:t>
            </w:r>
            <w:r>
              <w:rPr>
                <w:rFonts w:hint="eastAsia"/>
                <w:color w:val="auto"/>
                <w:lang w:val="en-GB"/>
              </w:rPr>
              <w:t>，</w:t>
            </w:r>
            <w:r>
              <w:rPr>
                <w:rFonts w:hint="eastAsia"/>
                <w:color w:val="auto"/>
                <w:lang w:val="en-US" w:eastAsia="zh-CN"/>
              </w:rPr>
              <w:t>“</w:t>
            </w:r>
            <w:r>
              <w:rPr>
                <w:rFonts w:hint="default"/>
                <w:color w:val="auto"/>
                <w:lang w:val="en-US" w:eastAsia="zh-CN"/>
              </w:rPr>
              <w:t>3+1</w:t>
            </w:r>
            <w:r>
              <w:rPr>
                <w:rFonts w:hint="eastAsia"/>
                <w:color w:val="auto"/>
                <w:lang w:val="en-US" w:eastAsia="zh-CN"/>
              </w:rPr>
              <w:t>”的产业体系具体如下：</w:t>
            </w:r>
          </w:p>
          <w:p w14:paraId="0552F363">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（1）三大支柱产业</w:t>
            </w:r>
          </w:p>
          <w:p w14:paraId="4D4C7337">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电子信息产业：显示科技、云计算、电子元器件、光电科技、计算机与智能终端设备等。</w:t>
            </w:r>
          </w:p>
          <w:p w14:paraId="5EA81A22">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精密汽车部件产业：汽车电气电子装置、动力传动装置、汽车轴承、新能源动力电池等。</w:t>
            </w:r>
          </w:p>
          <w:p w14:paraId="79CEA7ED">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光学产业：光学部件、光</w:t>
            </w:r>
            <w:r>
              <w:rPr>
                <w:rFonts w:hint="eastAsia"/>
                <w:color w:val="auto"/>
                <w:shd w:val="clear" w:fill="FFFFFF"/>
                <w:lang w:val="en-US" w:eastAsia="zh-CN"/>
              </w:rPr>
              <w:t>通讯技术</w:t>
            </w:r>
            <w:r>
              <w:rPr>
                <w:rFonts w:hint="eastAsia"/>
                <w:color w:val="auto"/>
                <w:lang w:val="en-US" w:eastAsia="zh-CN"/>
              </w:rPr>
              <w:t xml:space="preserve">、电子光学、虚拟现实装置等。 </w:t>
            </w:r>
          </w:p>
          <w:p w14:paraId="79CC4733">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在三大支柱产业基础之上，完善与其相关的配套产业。 </w:t>
            </w:r>
          </w:p>
          <w:p w14:paraId="6EC89BB0">
            <w:pPr>
              <w:pStyle w:val="75"/>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 xml:space="preserve">（2）一项新兴产业 </w:t>
            </w:r>
          </w:p>
          <w:p w14:paraId="4735219C">
            <w:pPr>
              <w:pStyle w:val="75"/>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现代服务业：金融商务、总部经济、科技研发、文化创意、物流展销都市型产业与服务型制造业。</w:t>
            </w:r>
          </w:p>
          <w:p w14:paraId="7A892D0C">
            <w:pPr>
              <w:pStyle w:val="14"/>
              <w:keepNext w:val="0"/>
              <w:keepLines w:val="0"/>
              <w:pageBreakBefore w:val="0"/>
              <w:suppressLineNumbers w:val="0"/>
              <w:kinsoku/>
              <w:wordWrap/>
              <w:overflowPunct/>
              <w:topLinePunct w:val="0"/>
              <w:bidi w:val="0"/>
              <w:spacing w:before="0" w:beforeAutospacing="0" w:after="0" w:afterAutospacing="0" w:line="360" w:lineRule="auto"/>
              <w:ind w:left="0" w:right="0" w:firstLine="480" w:firstLineChars="200"/>
              <w:jc w:val="left"/>
              <w:textAlignment w:val="auto"/>
              <w:rPr>
                <w:rFonts w:hint="eastAsia" w:ascii="Times New Roman" w:hAnsi="Times New Roman" w:cs="Times New Roman"/>
                <w:color w:val="auto"/>
                <w:kern w:val="2"/>
                <w:sz w:val="24"/>
                <w:szCs w:val="20"/>
                <w:lang w:val="en-GB" w:eastAsia="zh-CN" w:bidi="ar-SA"/>
              </w:rPr>
            </w:pPr>
            <w:r>
              <w:rPr>
                <w:rFonts w:hint="eastAsia" w:ascii="Times New Roman" w:hAnsi="Times New Roman" w:eastAsia="宋体" w:cs="Times New Roman"/>
                <w:color w:val="auto"/>
                <w:kern w:val="2"/>
                <w:sz w:val="24"/>
                <w:szCs w:val="20"/>
                <w:lang w:val="en-GB" w:eastAsia="zh-CN" w:bidi="ar-SA"/>
              </w:rPr>
              <w:t>本项目为M7452检测服务</w:t>
            </w:r>
            <w:r>
              <w:rPr>
                <w:rFonts w:hint="eastAsia"/>
                <w:color w:val="auto"/>
                <w:sz w:val="24"/>
                <w:szCs w:val="24"/>
                <w:lang w:eastAsia="zh-CN"/>
              </w:rPr>
              <w:t>，</w:t>
            </w:r>
            <w:r>
              <w:rPr>
                <w:rFonts w:hint="eastAsia" w:cs="Times New Roman"/>
                <w:color w:val="auto"/>
                <w:kern w:val="2"/>
                <w:sz w:val="24"/>
                <w:szCs w:val="20"/>
                <w:lang w:val="en-US" w:eastAsia="zh-CN" w:bidi="ar-SA"/>
              </w:rPr>
              <w:t>属于</w:t>
            </w:r>
            <w:r>
              <w:rPr>
                <w:rFonts w:hint="eastAsia" w:ascii="Times New Roman" w:hAnsi="Times New Roman" w:eastAsia="宋体" w:cs="Times New Roman"/>
                <w:color w:val="auto"/>
                <w:kern w:val="2"/>
                <w:sz w:val="24"/>
                <w:szCs w:val="20"/>
                <w:lang w:val="en-GB" w:eastAsia="zh-CN" w:bidi="ar-SA"/>
              </w:rPr>
              <w:t>规划区</w:t>
            </w:r>
            <w:r>
              <w:rPr>
                <w:rFonts w:hint="eastAsia" w:ascii="Times New Roman" w:hAnsi="Times New Roman" w:cs="Times New Roman"/>
                <w:color w:val="auto"/>
                <w:sz w:val="24"/>
                <w:szCs w:val="24"/>
                <w:highlight w:val="none"/>
                <w:lang w:val="en-GB"/>
              </w:rPr>
              <w:t>非</w:t>
            </w:r>
            <w:r>
              <w:rPr>
                <w:rFonts w:hint="eastAsia" w:ascii="Times New Roman" w:hAnsi="Times New Roman" w:eastAsia="宋体" w:cs="Times New Roman"/>
                <w:color w:val="auto"/>
                <w:kern w:val="2"/>
                <w:sz w:val="24"/>
                <w:szCs w:val="20"/>
                <w:lang w:val="en-GB" w:eastAsia="zh-CN" w:bidi="ar-SA"/>
              </w:rPr>
              <w:t>主导产业环境准入行业，</w:t>
            </w:r>
            <w:r>
              <w:rPr>
                <w:rFonts w:hint="eastAsia" w:ascii="Times New Roman" w:hAnsi="Times New Roman" w:cs="Times New Roman"/>
                <w:color w:val="auto"/>
                <w:kern w:val="2"/>
                <w:sz w:val="24"/>
                <w:szCs w:val="20"/>
                <w:lang w:val="en-US" w:eastAsia="zh-CN" w:bidi="ar-SA"/>
              </w:rPr>
              <w:t>不属于禁止准入行业。</w:t>
            </w:r>
            <w:r>
              <w:rPr>
                <w:rFonts w:hint="eastAsia" w:ascii="Times New Roman" w:hAnsi="Times New Roman" w:eastAsia="宋体" w:cs="Times New Roman"/>
                <w:color w:val="auto"/>
                <w:kern w:val="2"/>
                <w:sz w:val="24"/>
                <w:szCs w:val="20"/>
                <w:lang w:val="en-GB" w:eastAsia="zh-CN" w:bidi="ar-SA"/>
              </w:rPr>
              <w:t>对照《福清融侨经济技术开发区总体规划环境影响报告书</w:t>
            </w:r>
            <w:r>
              <w:rPr>
                <w:rFonts w:hint="eastAsia" w:ascii="Times New Roman" w:hAnsi="Times New Roman" w:cs="Times New Roman"/>
                <w:color w:val="auto"/>
                <w:kern w:val="2"/>
                <w:sz w:val="24"/>
                <w:szCs w:val="20"/>
                <w:lang w:val="en-GB" w:eastAsia="zh-CN" w:bidi="ar-SA"/>
              </w:rPr>
              <w:t>（</w:t>
            </w:r>
            <w:r>
              <w:rPr>
                <w:rFonts w:hint="eastAsia" w:ascii="Times New Roman" w:hAnsi="Times New Roman" w:eastAsia="宋体" w:cs="Times New Roman"/>
                <w:color w:val="auto"/>
                <w:kern w:val="2"/>
                <w:sz w:val="24"/>
                <w:szCs w:val="20"/>
                <w:lang w:val="en-GB" w:eastAsia="zh-CN" w:bidi="ar-SA"/>
              </w:rPr>
              <w:t>2018</w:t>
            </w:r>
            <w:r>
              <w:rPr>
                <w:rFonts w:hint="eastAsia" w:ascii="Times New Roman" w:hAnsi="Times New Roman" w:eastAsia="宋体" w:cs="Times New Roman"/>
                <w:color w:val="auto"/>
                <w:kern w:val="2"/>
                <w:sz w:val="24"/>
                <w:szCs w:val="20"/>
                <w:shd w:val="clear" w:fill="FFFFFF"/>
                <w:lang w:val="en-GB" w:eastAsia="zh-CN" w:bidi="ar-SA"/>
              </w:rPr>
              <w:t>-</w:t>
            </w:r>
            <w:r>
              <w:rPr>
                <w:rFonts w:hint="eastAsia" w:ascii="Times New Roman" w:hAnsi="Times New Roman" w:eastAsia="宋体" w:cs="Times New Roman"/>
                <w:color w:val="auto"/>
                <w:kern w:val="2"/>
                <w:sz w:val="24"/>
                <w:szCs w:val="20"/>
                <w:lang w:val="en-GB" w:eastAsia="zh-CN" w:bidi="ar-SA"/>
              </w:rPr>
              <w:t>2035年</w:t>
            </w:r>
            <w:r>
              <w:rPr>
                <w:rFonts w:hint="eastAsia" w:ascii="Times New Roman" w:hAnsi="Times New Roman" w:cs="Times New Roman"/>
                <w:color w:val="auto"/>
                <w:kern w:val="2"/>
                <w:sz w:val="24"/>
                <w:szCs w:val="20"/>
                <w:lang w:val="en-GB" w:eastAsia="zh-CN" w:bidi="ar-SA"/>
              </w:rPr>
              <w:t>）</w:t>
            </w:r>
            <w:r>
              <w:rPr>
                <w:rFonts w:hint="eastAsia" w:ascii="Times New Roman" w:hAnsi="Times New Roman" w:eastAsia="宋体" w:cs="Times New Roman"/>
                <w:color w:val="auto"/>
                <w:kern w:val="2"/>
                <w:sz w:val="24"/>
                <w:szCs w:val="20"/>
                <w:lang w:val="en-GB" w:eastAsia="zh-CN" w:bidi="ar-SA"/>
              </w:rPr>
              <w:t>》中配套及其他行业环境准入要求及其审查小组意见，项目与规划区</w:t>
            </w:r>
            <w:r>
              <w:rPr>
                <w:rFonts w:hint="eastAsia" w:ascii="Times New Roman" w:hAnsi="Times New Roman" w:cs="Times New Roman"/>
                <w:color w:val="auto"/>
                <w:highlight w:val="none"/>
                <w:lang w:val="en-GB"/>
              </w:rPr>
              <w:t>非</w:t>
            </w:r>
            <w:r>
              <w:rPr>
                <w:rFonts w:hint="eastAsia" w:ascii="Times New Roman" w:hAnsi="Times New Roman" w:eastAsia="宋体" w:cs="Times New Roman"/>
                <w:color w:val="auto"/>
                <w:kern w:val="2"/>
                <w:sz w:val="24"/>
                <w:szCs w:val="20"/>
                <w:lang w:val="en-GB" w:eastAsia="zh-CN" w:bidi="ar-SA"/>
              </w:rPr>
              <w:t>主导产业环境准入清单</w:t>
            </w:r>
            <w:r>
              <w:rPr>
                <w:rFonts w:hint="eastAsia" w:ascii="Times New Roman" w:hAnsi="Times New Roman" w:eastAsia="宋体" w:cs="Times New Roman"/>
                <w:color w:val="auto"/>
                <w:kern w:val="2"/>
                <w:sz w:val="24"/>
                <w:szCs w:val="20"/>
                <w:lang w:val="en-US" w:eastAsia="zh-CN" w:bidi="ar-SA"/>
              </w:rPr>
              <w:t>及环评审查意见</w:t>
            </w:r>
            <w:r>
              <w:rPr>
                <w:rFonts w:hint="eastAsia" w:ascii="Times New Roman" w:hAnsi="Times New Roman" w:eastAsia="宋体" w:cs="Times New Roman"/>
                <w:color w:val="auto"/>
                <w:kern w:val="2"/>
                <w:sz w:val="24"/>
                <w:szCs w:val="20"/>
                <w:lang w:val="en-GB" w:eastAsia="zh-CN" w:bidi="ar-SA"/>
              </w:rPr>
              <w:t>符合性分析详见下表</w:t>
            </w:r>
            <w:r>
              <w:rPr>
                <w:rFonts w:hint="eastAsia" w:ascii="Times New Roman" w:hAnsi="Times New Roman" w:cs="Times New Roman"/>
                <w:color w:val="auto"/>
                <w:kern w:val="2"/>
                <w:sz w:val="24"/>
                <w:szCs w:val="20"/>
                <w:lang w:val="en-GB" w:eastAsia="zh-CN" w:bidi="ar-SA"/>
              </w:rPr>
              <w:t>。</w:t>
            </w:r>
          </w:p>
          <w:p w14:paraId="5525BD80">
            <w:pPr>
              <w:pStyle w:val="35"/>
              <w:keepNext w:val="0"/>
              <w:keepLines w:val="0"/>
              <w:suppressLineNumbers w:val="0"/>
              <w:tabs>
                <w:tab w:val="left" w:pos="2126"/>
              </w:tabs>
              <w:spacing w:before="0" w:beforeAutospacing="0" w:after="0" w:afterAutospacing="0"/>
              <w:ind w:right="0"/>
              <w:jc w:val="right"/>
              <w:rPr>
                <w:rFonts w:hint="eastAsia" w:ascii="Times New Roman" w:hAnsi="Times New Roman" w:cs="Times New Roman"/>
                <w:color w:val="auto"/>
                <w:highlight w:val="none"/>
                <w:lang w:eastAsia="zh-CN"/>
              </w:rPr>
            </w:pPr>
            <w:r>
              <w:rPr>
                <w:rFonts w:hint="eastAsia" w:ascii="Times New Roman" w:hAnsi="Times New Roman" w:cs="Times New Roman"/>
                <w:color w:val="auto"/>
                <w:highlight w:val="none"/>
                <w:lang w:val="en-GB"/>
              </w:rPr>
              <w:t>规划区非主导产业环境准入清单</w:t>
            </w:r>
            <w:r>
              <w:rPr>
                <w:rFonts w:hint="eastAsia" w:ascii="Times New Roman" w:hAnsi="Times New Roman" w:cs="Times New Roman"/>
                <w:color w:val="auto"/>
                <w:highlight w:val="none"/>
                <w:lang w:val="en-GB" w:eastAsia="zh-CN"/>
              </w:rPr>
              <w:t>及环评审查意见对照一览表</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767"/>
              <w:gridCol w:w="2926"/>
              <w:gridCol w:w="2917"/>
              <w:gridCol w:w="649"/>
            </w:tblGrid>
            <w:tr w14:paraId="4B1AA41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5013A8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snapToGrid w:val="0"/>
                      <w:color w:val="auto"/>
                      <w:kern w:val="18"/>
                      <w:sz w:val="21"/>
                      <w:szCs w:val="21"/>
                      <w:highlight w:val="none"/>
                    </w:rPr>
                  </w:pPr>
                  <w:r>
                    <w:rPr>
                      <w:rFonts w:hint="eastAsia" w:ascii="Times New Roman" w:hAnsi="Times New Roman" w:eastAsia="宋体"/>
                      <w:b w:val="0"/>
                      <w:bCs w:val="0"/>
                      <w:snapToGrid w:val="0"/>
                      <w:color w:val="auto"/>
                      <w:kern w:val="18"/>
                      <w:sz w:val="21"/>
                      <w:szCs w:val="21"/>
                      <w:highlight w:val="none"/>
                    </w:rPr>
                    <w:t>类别名称</w:t>
                  </w:r>
                </w:p>
              </w:tc>
              <w:tc>
                <w:tcPr>
                  <w:tcW w:w="2015" w:type="pct"/>
                  <w:noWrap w:val="0"/>
                  <w:vAlign w:val="center"/>
                </w:tcPr>
                <w:p w14:paraId="190D32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b w:val="0"/>
                      <w:bCs w:val="0"/>
                      <w:snapToGrid w:val="0"/>
                      <w:color w:val="auto"/>
                      <w:kern w:val="18"/>
                      <w:sz w:val="21"/>
                      <w:szCs w:val="21"/>
                      <w:highlight w:val="none"/>
                    </w:rPr>
                  </w:pPr>
                  <w:r>
                    <w:rPr>
                      <w:rFonts w:hint="default" w:ascii="Times New Roman" w:hAnsi="Times New Roman" w:eastAsia="宋体"/>
                      <w:b w:val="0"/>
                      <w:bCs w:val="0"/>
                      <w:snapToGrid w:val="0"/>
                      <w:color w:val="auto"/>
                      <w:kern w:val="18"/>
                      <w:sz w:val="21"/>
                      <w:szCs w:val="21"/>
                      <w:highlight w:val="none"/>
                    </w:rPr>
                    <w:t>空间布局约束</w:t>
                  </w:r>
                </w:p>
              </w:tc>
              <w:tc>
                <w:tcPr>
                  <w:tcW w:w="2008" w:type="pct"/>
                  <w:noWrap w:val="0"/>
                  <w:vAlign w:val="center"/>
                </w:tcPr>
                <w:p w14:paraId="41EDE00E">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b w:val="0"/>
                      <w:bCs w:val="0"/>
                      <w:color w:val="auto"/>
                      <w:sz w:val="21"/>
                      <w:szCs w:val="21"/>
                      <w:highlight w:val="none"/>
                    </w:rPr>
                  </w:pPr>
                  <w:r>
                    <w:rPr>
                      <w:rFonts w:hint="default" w:ascii="Times New Roman" w:hAnsi="Times New Roman" w:eastAsia="宋体"/>
                      <w:b w:val="0"/>
                      <w:bCs w:val="0"/>
                      <w:color w:val="auto"/>
                      <w:sz w:val="21"/>
                      <w:szCs w:val="21"/>
                      <w:highlight w:val="none"/>
                    </w:rPr>
                    <w:t>本项目情况</w:t>
                  </w:r>
                </w:p>
              </w:tc>
              <w:tc>
                <w:tcPr>
                  <w:tcW w:w="447" w:type="pct"/>
                  <w:noWrap w:val="0"/>
                  <w:vAlign w:val="center"/>
                </w:tcPr>
                <w:p w14:paraId="64C0A58A">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b w:val="0"/>
                      <w:bCs w:val="0"/>
                      <w:color w:val="auto"/>
                      <w:sz w:val="21"/>
                      <w:szCs w:val="21"/>
                      <w:highlight w:val="none"/>
                    </w:rPr>
                  </w:pPr>
                  <w:r>
                    <w:rPr>
                      <w:rFonts w:hint="default" w:ascii="Times New Roman" w:hAnsi="Times New Roman" w:eastAsia="宋体"/>
                      <w:b w:val="0"/>
                      <w:bCs w:val="0"/>
                      <w:color w:val="auto"/>
                      <w:sz w:val="21"/>
                      <w:szCs w:val="21"/>
                      <w:highlight w:val="none"/>
                    </w:rPr>
                    <w:t>符合性</w:t>
                  </w:r>
                </w:p>
              </w:tc>
            </w:tr>
            <w:tr w14:paraId="11681312">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16467C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snapToGrid w:val="0"/>
                      <w:color w:val="auto"/>
                      <w:kern w:val="18"/>
                      <w:sz w:val="21"/>
                      <w:szCs w:val="21"/>
                      <w:highlight w:val="none"/>
                      <w:lang w:eastAsia="zh-CN"/>
                    </w:rPr>
                  </w:pPr>
                  <w:r>
                    <w:rPr>
                      <w:rFonts w:hint="eastAsia" w:ascii="Times New Roman" w:hAnsi="Times New Roman" w:eastAsia="宋体"/>
                      <w:b w:val="0"/>
                      <w:bCs w:val="0"/>
                      <w:snapToGrid w:val="0"/>
                      <w:color w:val="auto"/>
                      <w:kern w:val="18"/>
                      <w:sz w:val="21"/>
                      <w:szCs w:val="21"/>
                      <w:highlight w:val="none"/>
                      <w:lang w:eastAsia="zh-CN"/>
                    </w:rPr>
                    <w:t>产业导向</w:t>
                  </w:r>
                </w:p>
              </w:tc>
              <w:tc>
                <w:tcPr>
                  <w:tcW w:w="2015" w:type="pct"/>
                  <w:noWrap w:val="0"/>
                  <w:vAlign w:val="center"/>
                </w:tcPr>
                <w:p w14:paraId="2B6618DE">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1、符合国家及地方产业政策；</w:t>
                  </w:r>
                </w:p>
                <w:p w14:paraId="25823D22">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2、符合所属行业有关发展规划</w:t>
                  </w:r>
                </w:p>
              </w:tc>
              <w:tc>
                <w:tcPr>
                  <w:tcW w:w="2008" w:type="pct"/>
                  <w:noWrap w:val="0"/>
                  <w:vAlign w:val="center"/>
                </w:tcPr>
                <w:p w14:paraId="3094F600">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b w:val="0"/>
                      <w:bCs w:val="0"/>
                      <w:color w:val="auto"/>
                      <w:sz w:val="21"/>
                      <w:szCs w:val="21"/>
                      <w:highlight w:val="none"/>
                      <w:lang w:eastAsia="zh-CN"/>
                    </w:rPr>
                    <w:t>本项目符合国家及地方产业政策、所属行业有关发展规划，已获得发改立项（</w:t>
                  </w:r>
                  <w:r>
                    <w:rPr>
                      <w:rFonts w:hint="eastAsia" w:cs="Times New Roman"/>
                      <w:b w:val="0"/>
                      <w:bCs w:val="0"/>
                      <w:color w:val="auto"/>
                      <w:sz w:val="21"/>
                      <w:szCs w:val="21"/>
                      <w:highlight w:val="none"/>
                      <w:lang w:eastAsia="zh-CN"/>
                    </w:rPr>
                    <w:t>闽发改备</w:t>
                  </w:r>
                  <w:r>
                    <w:rPr>
                      <w:rFonts w:hint="eastAsia" w:cs="Times New Roman"/>
                      <w:b w:val="0"/>
                      <w:bCs w:val="0"/>
                      <w:color w:val="auto"/>
                      <w:sz w:val="21"/>
                      <w:szCs w:val="21"/>
                      <w:highlight w:val="none"/>
                      <w:shd w:val="clear" w:fill="FFFFFF"/>
                      <w:lang w:eastAsia="zh-CN"/>
                    </w:rPr>
                    <w:t>[2025]</w:t>
                  </w:r>
                  <w:r>
                    <w:rPr>
                      <w:rFonts w:hint="eastAsia" w:cs="Times New Roman"/>
                      <w:b w:val="0"/>
                      <w:bCs w:val="0"/>
                      <w:color w:val="auto"/>
                      <w:sz w:val="21"/>
                      <w:szCs w:val="21"/>
                      <w:highlight w:val="none"/>
                      <w:lang w:eastAsia="zh-CN"/>
                    </w:rPr>
                    <w:t>A060073号</w:t>
                  </w:r>
                  <w:r>
                    <w:rPr>
                      <w:rFonts w:hint="eastAsia" w:ascii="Times New Roman" w:hAnsi="Times New Roman" w:eastAsia="宋体" w:cs="Times New Roman"/>
                      <w:b w:val="0"/>
                      <w:bCs w:val="0"/>
                      <w:color w:val="auto"/>
                      <w:sz w:val="21"/>
                      <w:szCs w:val="21"/>
                      <w:highlight w:val="none"/>
                      <w:lang w:eastAsia="zh-CN"/>
                    </w:rPr>
                    <w:t>）</w:t>
                  </w:r>
                </w:p>
              </w:tc>
              <w:tc>
                <w:tcPr>
                  <w:tcW w:w="447" w:type="pct"/>
                  <w:noWrap w:val="0"/>
                  <w:vAlign w:val="center"/>
                </w:tcPr>
                <w:p w14:paraId="00CD9970">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eastAsia="zh-CN"/>
                    </w:rPr>
                    <w:t>符合</w:t>
                  </w:r>
                </w:p>
              </w:tc>
            </w:tr>
            <w:tr w14:paraId="6D61735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1506" w:hRule="atLeast"/>
              </w:trPr>
              <w:tc>
                <w:tcPr>
                  <w:tcW w:w="528" w:type="pct"/>
                  <w:noWrap w:val="0"/>
                  <w:vAlign w:val="center"/>
                </w:tcPr>
                <w:p w14:paraId="662775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snapToGrid w:val="0"/>
                      <w:color w:val="auto"/>
                      <w:kern w:val="18"/>
                      <w:sz w:val="21"/>
                      <w:szCs w:val="21"/>
                      <w:highlight w:val="none"/>
                      <w:lang w:eastAsia="zh-CN"/>
                    </w:rPr>
                  </w:pPr>
                  <w:r>
                    <w:rPr>
                      <w:rFonts w:hint="eastAsia" w:ascii="Times New Roman" w:hAnsi="Times New Roman" w:eastAsia="宋体"/>
                      <w:b w:val="0"/>
                      <w:bCs w:val="0"/>
                      <w:snapToGrid w:val="0"/>
                      <w:color w:val="auto"/>
                      <w:kern w:val="18"/>
                      <w:sz w:val="21"/>
                      <w:szCs w:val="21"/>
                      <w:highlight w:val="none"/>
                      <w:lang w:eastAsia="zh-CN"/>
                    </w:rPr>
                    <w:t>规划选址</w:t>
                  </w:r>
                </w:p>
              </w:tc>
              <w:tc>
                <w:tcPr>
                  <w:tcW w:w="2015" w:type="pct"/>
                  <w:noWrap w:val="0"/>
                  <w:vAlign w:val="center"/>
                </w:tcPr>
                <w:p w14:paraId="689DB310">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选址符合规划区范围内各单元控制性详细规划</w:t>
                  </w:r>
                </w:p>
              </w:tc>
              <w:tc>
                <w:tcPr>
                  <w:tcW w:w="2008" w:type="pct"/>
                  <w:noWrap w:val="0"/>
                  <w:vAlign w:val="center"/>
                </w:tcPr>
                <w:p w14:paraId="45FAAF58">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项目位于福清融侨经济技术开发区</w:t>
                  </w:r>
                  <w:r>
                    <w:rPr>
                      <w:rFonts w:hint="eastAsia" w:cs="Times New Roman"/>
                      <w:b w:val="0"/>
                      <w:bCs w:val="0"/>
                      <w:color w:val="auto"/>
                      <w:sz w:val="21"/>
                      <w:szCs w:val="21"/>
                      <w:highlight w:val="none"/>
                      <w:lang w:val="en-US" w:eastAsia="zh-CN"/>
                    </w:rPr>
                    <w:t>（租赁福清洪金机械有限公司办公科研楼4层、5层</w:t>
                  </w:r>
                  <w:r>
                    <w:rPr>
                      <w:rFonts w:hint="eastAsia" w:ascii="Times New Roman" w:hAnsi="Times New Roman" w:eastAsia="宋体" w:cs="Times New Roman"/>
                      <w:b w:val="0"/>
                      <w:bCs w:val="0"/>
                      <w:color w:val="auto"/>
                      <w:sz w:val="21"/>
                      <w:szCs w:val="21"/>
                      <w:highlight w:val="none"/>
                      <w:lang w:val="en-US" w:eastAsia="zh-CN"/>
                    </w:rPr>
                    <w:t>），</w:t>
                  </w:r>
                  <w:r>
                    <w:rPr>
                      <w:rFonts w:hint="eastAsia" w:cs="Times New Roman"/>
                      <w:b w:val="0"/>
                      <w:bCs w:val="0"/>
                      <w:color w:val="auto"/>
                      <w:sz w:val="21"/>
                      <w:szCs w:val="21"/>
                      <w:highlight w:val="none"/>
                      <w:lang w:val="en-US" w:eastAsia="zh-CN"/>
                    </w:rPr>
                    <w:t>租赁</w:t>
                  </w:r>
                  <w:r>
                    <w:rPr>
                      <w:rFonts w:hint="eastAsia" w:ascii="Times New Roman" w:hAnsi="Times New Roman" w:eastAsia="宋体" w:cs="Times New Roman"/>
                      <w:b w:val="0"/>
                      <w:bCs w:val="0"/>
                      <w:color w:val="auto"/>
                      <w:sz w:val="21"/>
                      <w:szCs w:val="21"/>
                      <w:highlight w:val="none"/>
                      <w:lang w:val="en-US" w:eastAsia="zh-CN"/>
                    </w:rPr>
                    <w:t>已建厂房，</w:t>
                  </w:r>
                  <w:r>
                    <w:rPr>
                      <w:rFonts w:hint="eastAsia" w:cs="Times New Roman"/>
                      <w:b w:val="0"/>
                      <w:bCs w:val="0"/>
                      <w:color w:val="auto"/>
                      <w:sz w:val="21"/>
                      <w:szCs w:val="21"/>
                      <w:highlight w:val="none"/>
                      <w:lang w:val="en-US" w:eastAsia="zh-CN"/>
                    </w:rPr>
                    <w:t>本项目从事专业检测技术服务，</w:t>
                  </w:r>
                  <w:r>
                    <w:rPr>
                      <w:rFonts w:hint="eastAsia" w:ascii="Times New Roman" w:hAnsi="Times New Roman" w:eastAsia="宋体" w:cs="Times New Roman"/>
                      <w:b w:val="0"/>
                      <w:bCs w:val="0"/>
                      <w:color w:val="auto"/>
                      <w:sz w:val="21"/>
                      <w:szCs w:val="21"/>
                      <w:highlight w:val="none"/>
                      <w:lang w:val="en-US" w:eastAsia="zh-CN"/>
                    </w:rPr>
                    <w:t>符合该单元区规划</w:t>
                  </w:r>
                  <w:r>
                    <w:rPr>
                      <w:rFonts w:hint="eastAsia" w:cs="Times New Roman"/>
                      <w:b w:val="0"/>
                      <w:bCs w:val="0"/>
                      <w:color w:val="auto"/>
                      <w:sz w:val="21"/>
                      <w:szCs w:val="21"/>
                      <w:highlight w:val="none"/>
                      <w:lang w:val="en-US" w:eastAsia="zh-CN"/>
                    </w:rPr>
                    <w:t>。</w:t>
                  </w:r>
                </w:p>
              </w:tc>
              <w:tc>
                <w:tcPr>
                  <w:tcW w:w="447" w:type="pct"/>
                  <w:noWrap w:val="0"/>
                  <w:vAlign w:val="center"/>
                </w:tcPr>
                <w:p w14:paraId="3201ABFB">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eastAsia="zh-CN"/>
                    </w:rPr>
                    <w:t>符合</w:t>
                  </w:r>
                </w:p>
              </w:tc>
            </w:tr>
            <w:tr w14:paraId="416DE1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82" w:hRule="atLeast"/>
              </w:trPr>
              <w:tc>
                <w:tcPr>
                  <w:tcW w:w="528" w:type="pct"/>
                  <w:noWrap w:val="0"/>
                  <w:vAlign w:val="center"/>
                </w:tcPr>
                <w:p w14:paraId="09F2B6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snapToGrid w:val="0"/>
                      <w:color w:val="auto"/>
                      <w:kern w:val="18"/>
                      <w:sz w:val="21"/>
                      <w:szCs w:val="21"/>
                      <w:highlight w:val="none"/>
                      <w:lang w:eastAsia="zh-CN"/>
                    </w:rPr>
                  </w:pPr>
                  <w:r>
                    <w:rPr>
                      <w:rFonts w:hint="eastAsia" w:ascii="Times New Roman" w:hAnsi="Times New Roman" w:eastAsia="宋体"/>
                      <w:b w:val="0"/>
                      <w:bCs w:val="0"/>
                      <w:snapToGrid w:val="0"/>
                      <w:color w:val="auto"/>
                      <w:kern w:val="18"/>
                      <w:sz w:val="21"/>
                      <w:szCs w:val="21"/>
                      <w:highlight w:val="none"/>
                      <w:lang w:eastAsia="zh-CN"/>
                    </w:rPr>
                    <w:t>环境保护</w:t>
                  </w:r>
                </w:p>
              </w:tc>
              <w:tc>
                <w:tcPr>
                  <w:tcW w:w="2015" w:type="pct"/>
                  <w:noWrap w:val="0"/>
                  <w:vAlign w:val="center"/>
                </w:tcPr>
                <w:p w14:paraId="2840F6DA">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1、</w:t>
                  </w:r>
                  <w:r>
                    <w:rPr>
                      <w:rFonts w:hint="eastAsia" w:ascii="Times New Roman" w:hAnsi="Times New Roman" w:eastAsia="宋体"/>
                      <w:b w:val="0"/>
                      <w:bCs w:val="0"/>
                      <w:color w:val="auto"/>
                      <w:sz w:val="21"/>
                      <w:szCs w:val="21"/>
                      <w:highlight w:val="none"/>
                      <w:lang w:val="en-US" w:eastAsia="zh-CN"/>
                    </w:rPr>
                    <w:t>符合行业环境准入要求。</w:t>
                  </w:r>
                </w:p>
                <w:p w14:paraId="3FFC935E">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b w:val="0"/>
                      <w:bCs w:val="0"/>
                      <w:color w:val="auto"/>
                      <w:sz w:val="21"/>
                      <w:szCs w:val="21"/>
                      <w:highlight w:val="none"/>
                      <w:lang w:val="en-US" w:eastAsia="zh-CN"/>
                    </w:rPr>
                    <w:t>2</w:t>
                  </w:r>
                  <w:r>
                    <w:rPr>
                      <w:rFonts w:hint="eastAsia" w:ascii="Times New Roman" w:hAnsi="Times New Roman" w:eastAsia="宋体"/>
                      <w:b w:val="0"/>
                      <w:bCs w:val="0"/>
                      <w:color w:val="auto"/>
                      <w:sz w:val="21"/>
                      <w:szCs w:val="21"/>
                      <w:highlight w:val="none"/>
                      <w:lang w:val="en-US" w:eastAsia="zh-CN"/>
                    </w:rPr>
                    <w:t>、建设项目排放污染物符合国家、省规定的污染物排放标准。</w:t>
                  </w:r>
                </w:p>
                <w:p w14:paraId="268F776D">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3、建设项目新增主要污染物排放量符合总量控制和污染物减排要求。</w:t>
                  </w:r>
                </w:p>
                <w:p w14:paraId="18BCD239">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4、废水集中纳管排放。</w:t>
                  </w:r>
                </w:p>
                <w:p w14:paraId="1441E7AD">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5、实施技改项目的企业近三年未发生重大污染事故，未发生因环境污染引起的群体事件</w:t>
                  </w:r>
                </w:p>
              </w:tc>
              <w:tc>
                <w:tcPr>
                  <w:tcW w:w="2008" w:type="pct"/>
                  <w:noWrap w:val="0"/>
                  <w:vAlign w:val="center"/>
                </w:tcPr>
                <w:p w14:paraId="34A9A8D1">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1、</w:t>
                  </w:r>
                  <w:r>
                    <w:rPr>
                      <w:rFonts w:hint="eastAsia" w:ascii="Times New Roman" w:hAnsi="Times New Roman" w:eastAsia="宋体"/>
                      <w:b w:val="0"/>
                      <w:bCs w:val="0"/>
                      <w:color w:val="auto"/>
                      <w:sz w:val="21"/>
                      <w:szCs w:val="21"/>
                      <w:highlight w:val="none"/>
                      <w:lang w:val="en-GB" w:eastAsia="zh-CN"/>
                    </w:rPr>
                    <w:t>本项目</w:t>
                  </w:r>
                  <w:r>
                    <w:rPr>
                      <w:rFonts w:hint="eastAsia" w:ascii="Times New Roman" w:hAnsi="Times New Roman"/>
                      <w:b w:val="0"/>
                      <w:bCs w:val="0"/>
                      <w:color w:val="auto"/>
                      <w:sz w:val="21"/>
                      <w:szCs w:val="21"/>
                      <w:highlight w:val="none"/>
                      <w:lang w:val="en-US" w:eastAsia="zh-CN"/>
                    </w:rPr>
                    <w:t>为</w:t>
                  </w:r>
                  <w:r>
                    <w:rPr>
                      <w:rFonts w:hint="eastAsia" w:ascii="Times New Roman" w:hAnsi="Times New Roman" w:eastAsia="宋体"/>
                      <w:b w:val="0"/>
                      <w:bCs w:val="0"/>
                      <w:color w:val="auto"/>
                      <w:sz w:val="21"/>
                      <w:szCs w:val="21"/>
                      <w:highlight w:val="none"/>
                      <w:lang w:val="en-GB" w:eastAsia="zh-CN"/>
                    </w:rPr>
                    <w:t>水质检验检测服务</w:t>
                  </w:r>
                  <w:r>
                    <w:rPr>
                      <w:rFonts w:hint="eastAsia"/>
                      <w:b w:val="0"/>
                      <w:bCs w:val="0"/>
                      <w:color w:val="auto"/>
                      <w:sz w:val="21"/>
                      <w:szCs w:val="21"/>
                      <w:highlight w:val="none"/>
                      <w:lang w:val="en-GB" w:eastAsia="zh-CN"/>
                    </w:rPr>
                    <w:t>（M7452检测服务），</w:t>
                  </w:r>
                  <w:r>
                    <w:rPr>
                      <w:rFonts w:hint="eastAsia" w:ascii="Times New Roman" w:hAnsi="Times New Roman" w:eastAsia="宋体"/>
                      <w:b w:val="0"/>
                      <w:bCs w:val="0"/>
                      <w:color w:val="auto"/>
                      <w:sz w:val="21"/>
                      <w:szCs w:val="21"/>
                      <w:highlight w:val="none"/>
                      <w:lang w:val="en-GB" w:eastAsia="zh-CN"/>
                    </w:rPr>
                    <w:t>不在严禁引入的产业范围内</w:t>
                  </w:r>
                  <w:r>
                    <w:rPr>
                      <w:rFonts w:hint="eastAsia" w:ascii="Times New Roman" w:hAnsi="Times New Roman" w:eastAsia="宋体"/>
                      <w:b w:val="0"/>
                      <w:bCs w:val="0"/>
                      <w:color w:val="auto"/>
                      <w:sz w:val="21"/>
                      <w:szCs w:val="21"/>
                      <w:highlight w:val="none"/>
                      <w:lang w:val="en-US" w:eastAsia="zh-CN"/>
                    </w:rPr>
                    <w:t>，符合园区行业环境准入要求；</w:t>
                  </w:r>
                </w:p>
                <w:p w14:paraId="6794445B">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2、经预测分析，项目各污染物经收集处理后可达标排放；</w:t>
                  </w:r>
                </w:p>
                <w:p w14:paraId="2838E3D9">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3、项目主要新增污染物VOCs将按主管部门要求进行总量控制；</w:t>
                  </w:r>
                </w:p>
                <w:p w14:paraId="019C67EA">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4、项目</w:t>
                  </w:r>
                  <w:r>
                    <w:rPr>
                      <w:rFonts w:hint="eastAsia" w:ascii="Times New Roman" w:hAnsi="Times New Roman"/>
                      <w:b w:val="0"/>
                      <w:bCs w:val="0"/>
                      <w:color w:val="auto"/>
                      <w:sz w:val="21"/>
                      <w:szCs w:val="21"/>
                      <w:highlight w:val="none"/>
                      <w:lang w:val="en-US" w:eastAsia="zh-CN"/>
                    </w:rPr>
                    <w:t>清洗废水经过处理达标后与</w:t>
                  </w:r>
                  <w:r>
                    <w:rPr>
                      <w:rFonts w:hint="eastAsia" w:ascii="Times New Roman" w:hAnsi="Times New Roman" w:eastAsia="宋体"/>
                      <w:b w:val="0"/>
                      <w:bCs w:val="0"/>
                      <w:color w:val="auto"/>
                      <w:sz w:val="21"/>
                      <w:szCs w:val="21"/>
                      <w:highlight w:val="none"/>
                      <w:lang w:val="en-US" w:eastAsia="zh-CN"/>
                    </w:rPr>
                    <w:t>生活污水通过</w:t>
                  </w:r>
                  <w:r>
                    <w:rPr>
                      <w:rFonts w:hint="eastAsia" w:ascii="Times New Roman" w:hAnsi="Times New Roman"/>
                      <w:b w:val="0"/>
                      <w:bCs w:val="0"/>
                      <w:color w:val="auto"/>
                      <w:sz w:val="21"/>
                      <w:szCs w:val="21"/>
                      <w:highlight w:val="none"/>
                      <w:lang w:val="en-US" w:eastAsia="zh-CN"/>
                    </w:rPr>
                    <w:t>项目排水口</w:t>
                  </w:r>
                  <w:r>
                    <w:rPr>
                      <w:rFonts w:hint="eastAsia" w:ascii="Times New Roman" w:hAnsi="Times New Roman" w:eastAsia="宋体"/>
                      <w:b w:val="0"/>
                      <w:bCs w:val="0"/>
                      <w:color w:val="auto"/>
                      <w:sz w:val="21"/>
                      <w:szCs w:val="21"/>
                      <w:highlight w:val="none"/>
                      <w:lang w:val="en-US" w:eastAsia="zh-CN"/>
                    </w:rPr>
                    <w:t>纳入市政污水管网</w:t>
                  </w:r>
                  <w:r>
                    <w:rPr>
                      <w:rFonts w:hint="eastAsia" w:ascii="Times New Roman" w:hAnsi="Times New Roman"/>
                      <w:b w:val="0"/>
                      <w:bCs w:val="0"/>
                      <w:color w:val="auto"/>
                      <w:sz w:val="21"/>
                      <w:szCs w:val="21"/>
                      <w:highlight w:val="none"/>
                      <w:lang w:val="en-US" w:eastAsia="zh-CN"/>
                    </w:rPr>
                    <w:t>（城市排水许可见附件</w:t>
                  </w:r>
                  <w:r>
                    <w:rPr>
                      <w:rFonts w:hint="eastAsia"/>
                      <w:b w:val="0"/>
                      <w:bCs w:val="0"/>
                      <w:color w:val="auto"/>
                      <w:sz w:val="21"/>
                      <w:szCs w:val="21"/>
                      <w:highlight w:val="none"/>
                      <w:lang w:val="en-US" w:eastAsia="zh-CN"/>
                    </w:rPr>
                    <w:t>7</w:t>
                  </w:r>
                  <w:r>
                    <w:rPr>
                      <w:rFonts w:hint="eastAsia" w:ascii="Times New Roman" w:hAnsi="Times New Roman"/>
                      <w:b w:val="0"/>
                      <w:bCs w:val="0"/>
                      <w:color w:val="auto"/>
                      <w:sz w:val="21"/>
                      <w:szCs w:val="21"/>
                      <w:highlight w:val="none"/>
                      <w:lang w:val="en-US" w:eastAsia="zh-CN"/>
                    </w:rPr>
                    <w:t>）</w:t>
                  </w:r>
                  <w:r>
                    <w:rPr>
                      <w:rFonts w:hint="eastAsia" w:ascii="Times New Roman" w:hAnsi="Times New Roman" w:eastAsia="宋体"/>
                      <w:b w:val="0"/>
                      <w:bCs w:val="0"/>
                      <w:color w:val="auto"/>
                      <w:sz w:val="21"/>
                      <w:szCs w:val="21"/>
                      <w:highlight w:val="none"/>
                      <w:lang w:val="en-US" w:eastAsia="zh-CN"/>
                    </w:rPr>
                    <w:t>；</w:t>
                  </w:r>
                </w:p>
                <w:p w14:paraId="37A48514">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US" w:eastAsia="zh-CN"/>
                    </w:rPr>
                    <w:t>5、项目为新建项目，配套的环保</w:t>
                  </w:r>
                  <w:r>
                    <w:rPr>
                      <w:rFonts w:hint="eastAsia" w:ascii="Times New Roman" w:hAnsi="Times New Roman" w:eastAsia="宋体"/>
                      <w:b w:val="0"/>
                      <w:bCs w:val="0"/>
                      <w:color w:val="auto"/>
                      <w:sz w:val="21"/>
                      <w:szCs w:val="21"/>
                      <w:highlight w:val="none"/>
                      <w:shd w:val="clear" w:fill="FFFFFF"/>
                      <w:lang w:val="en-US" w:eastAsia="zh-CN"/>
                    </w:rPr>
                    <w:t>监测项目</w:t>
                  </w:r>
                  <w:r>
                    <w:rPr>
                      <w:rFonts w:hint="eastAsia" w:ascii="Times New Roman" w:hAnsi="Times New Roman" w:eastAsia="宋体"/>
                      <w:b w:val="0"/>
                      <w:bCs w:val="0"/>
                      <w:color w:val="auto"/>
                      <w:sz w:val="21"/>
                      <w:szCs w:val="21"/>
                      <w:highlight w:val="none"/>
                      <w:lang w:val="en-US" w:eastAsia="zh-CN"/>
                    </w:rPr>
                    <w:t>，专业技术服务企业</w:t>
                  </w:r>
                  <w:r>
                    <w:rPr>
                      <w:rFonts w:hint="eastAsia"/>
                      <w:b w:val="0"/>
                      <w:bCs w:val="0"/>
                      <w:color w:val="auto"/>
                      <w:sz w:val="21"/>
                      <w:szCs w:val="21"/>
                      <w:highlight w:val="none"/>
                      <w:lang w:val="en-US" w:eastAsia="zh-CN"/>
                    </w:rPr>
                    <w:t>，</w:t>
                  </w:r>
                  <w:r>
                    <w:rPr>
                      <w:rFonts w:hint="eastAsia" w:ascii="Times New Roman" w:hAnsi="Times New Roman" w:eastAsia="宋体"/>
                      <w:b w:val="0"/>
                      <w:bCs w:val="0"/>
                      <w:color w:val="auto"/>
                      <w:sz w:val="21"/>
                      <w:szCs w:val="21"/>
                      <w:highlight w:val="none"/>
                      <w:lang w:val="en-US" w:eastAsia="zh-CN"/>
                    </w:rPr>
                    <w:t>不属于技改项目</w:t>
                  </w:r>
                  <w:r>
                    <w:rPr>
                      <w:rFonts w:hint="eastAsia"/>
                      <w:b w:val="0"/>
                      <w:bCs w:val="0"/>
                      <w:color w:val="auto"/>
                      <w:sz w:val="21"/>
                      <w:szCs w:val="21"/>
                      <w:highlight w:val="none"/>
                      <w:lang w:val="en-US" w:eastAsia="zh-CN"/>
                    </w:rPr>
                    <w:t>。</w:t>
                  </w:r>
                </w:p>
              </w:tc>
              <w:tc>
                <w:tcPr>
                  <w:tcW w:w="447" w:type="pct"/>
                  <w:noWrap w:val="0"/>
                  <w:vAlign w:val="center"/>
                </w:tcPr>
                <w:p w14:paraId="39E44BF2">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b w:val="0"/>
                      <w:bCs w:val="0"/>
                      <w:color w:val="auto"/>
                      <w:sz w:val="21"/>
                      <w:szCs w:val="21"/>
                      <w:highlight w:val="none"/>
                      <w:lang w:eastAsia="zh-CN"/>
                    </w:rPr>
                  </w:pPr>
                  <w:r>
                    <w:rPr>
                      <w:rFonts w:hint="eastAsia" w:ascii="Times New Roman" w:hAnsi="Times New Roman" w:eastAsia="宋体"/>
                      <w:b w:val="0"/>
                      <w:bCs w:val="0"/>
                      <w:color w:val="auto"/>
                      <w:sz w:val="21"/>
                      <w:szCs w:val="21"/>
                      <w:highlight w:val="none"/>
                      <w:lang w:eastAsia="zh-CN"/>
                    </w:rPr>
                    <w:t>符合</w:t>
                  </w:r>
                </w:p>
              </w:tc>
            </w:tr>
            <w:tr w14:paraId="5B5C237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225A97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空间布局约束</w:t>
                  </w:r>
                </w:p>
              </w:tc>
              <w:tc>
                <w:tcPr>
                  <w:tcW w:w="2015" w:type="pct"/>
                  <w:noWrap w:val="0"/>
                  <w:vAlign w:val="center"/>
                </w:tcPr>
                <w:p w14:paraId="13D7ED08">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b w:val="0"/>
                      <w:bCs w:val="0"/>
                      <w:color w:val="auto"/>
                      <w:sz w:val="21"/>
                      <w:szCs w:val="21"/>
                      <w:highlight w:val="none"/>
                      <w:lang w:val="en-US" w:eastAsia="zh-CN"/>
                    </w:rPr>
                    <w:t>禁止新建：</w:t>
                  </w:r>
                </w:p>
                <w:p w14:paraId="78317971">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b w:val="0"/>
                      <w:bCs w:val="0"/>
                      <w:color w:val="auto"/>
                      <w:sz w:val="21"/>
                      <w:szCs w:val="21"/>
                      <w:highlight w:val="none"/>
                      <w:lang w:val="en-US" w:eastAsia="zh-CN"/>
                    </w:rPr>
                    <w:t>1、禁止新建，含电镀工艺、冶炼工艺、电解铝的项目，现有生产能力一定期限内搬迁；</w:t>
                  </w:r>
                </w:p>
                <w:p w14:paraId="73D9C20B">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b w:val="0"/>
                      <w:bCs w:val="0"/>
                      <w:color w:val="auto"/>
                      <w:sz w:val="21"/>
                      <w:szCs w:val="21"/>
                      <w:highlight w:val="none"/>
                      <w:lang w:val="en-US" w:eastAsia="zh-CN"/>
                    </w:rPr>
                  </w:pPr>
                  <w:r>
                    <w:rPr>
                      <w:rFonts w:hint="default" w:ascii="Times New Roman" w:hAnsi="Times New Roman" w:eastAsia="宋体"/>
                      <w:b w:val="0"/>
                      <w:bCs w:val="0"/>
                      <w:color w:val="auto"/>
                      <w:sz w:val="21"/>
                      <w:szCs w:val="21"/>
                      <w:highlight w:val="none"/>
                      <w:lang w:val="en-US" w:eastAsia="zh-CN"/>
                    </w:rPr>
                    <w:t>2、包装印刷业禁止使用不符合环保要求的油墨、胶黏剂。</w:t>
                  </w:r>
                </w:p>
              </w:tc>
              <w:tc>
                <w:tcPr>
                  <w:tcW w:w="2008" w:type="pct"/>
                  <w:noWrap w:val="0"/>
                  <w:vAlign w:val="center"/>
                </w:tcPr>
                <w:p w14:paraId="00D59E57">
                  <w:pPr>
                    <w:keepNext w:val="0"/>
                    <w:keepLines w:val="0"/>
                    <w:pageBreakBefore w:val="0"/>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b w:val="0"/>
                      <w:bCs w:val="0"/>
                      <w:color w:val="auto"/>
                      <w:sz w:val="21"/>
                      <w:szCs w:val="21"/>
                      <w:highlight w:val="none"/>
                      <w:lang w:val="en-US" w:eastAsia="zh-CN"/>
                    </w:rPr>
                  </w:pPr>
                  <w:r>
                    <w:rPr>
                      <w:rFonts w:hint="eastAsia" w:ascii="Times New Roman" w:hAnsi="Times New Roman" w:eastAsia="宋体"/>
                      <w:b w:val="0"/>
                      <w:bCs w:val="0"/>
                      <w:color w:val="auto"/>
                      <w:sz w:val="21"/>
                      <w:szCs w:val="21"/>
                      <w:highlight w:val="none"/>
                      <w:lang w:val="en-GB" w:eastAsia="zh-CN"/>
                    </w:rPr>
                    <w:t>本项目为水质检验检测服务</w:t>
                  </w:r>
                  <w:r>
                    <w:rPr>
                      <w:rFonts w:hint="eastAsia"/>
                      <w:b w:val="0"/>
                      <w:bCs w:val="0"/>
                      <w:color w:val="auto"/>
                      <w:sz w:val="21"/>
                      <w:szCs w:val="21"/>
                      <w:highlight w:val="none"/>
                      <w:lang w:val="en-GB" w:eastAsia="zh-CN"/>
                    </w:rPr>
                    <w:t>（M7452检测服务）</w:t>
                  </w:r>
                  <w:r>
                    <w:rPr>
                      <w:rFonts w:hint="eastAsia" w:ascii="Times New Roman" w:hAnsi="Times New Roman" w:eastAsia="宋体"/>
                      <w:b w:val="0"/>
                      <w:bCs w:val="0"/>
                      <w:color w:val="auto"/>
                      <w:sz w:val="21"/>
                      <w:szCs w:val="21"/>
                      <w:highlight w:val="none"/>
                      <w:lang w:val="en-GB" w:eastAsia="zh-CN"/>
                    </w:rPr>
                    <w:t>，</w:t>
                  </w:r>
                  <w:r>
                    <w:rPr>
                      <w:rFonts w:hint="eastAsia"/>
                      <w:b w:val="0"/>
                      <w:bCs w:val="0"/>
                      <w:color w:val="auto"/>
                      <w:sz w:val="21"/>
                      <w:szCs w:val="21"/>
                      <w:highlight w:val="none"/>
                      <w:lang w:val="en-US" w:eastAsia="zh-CN"/>
                    </w:rPr>
                    <w:t>生产工艺</w:t>
                  </w:r>
                  <w:r>
                    <w:rPr>
                      <w:rFonts w:hint="eastAsia" w:ascii="Times New Roman" w:hAnsi="Times New Roman" w:eastAsia="宋体"/>
                      <w:b w:val="0"/>
                      <w:bCs w:val="0"/>
                      <w:color w:val="auto"/>
                      <w:sz w:val="21"/>
                      <w:szCs w:val="21"/>
                      <w:highlight w:val="none"/>
                      <w:lang w:val="en-US" w:eastAsia="zh-CN"/>
                    </w:rPr>
                    <w:t>不涉及</w:t>
                  </w:r>
                  <w:r>
                    <w:rPr>
                      <w:rFonts w:hint="default" w:ascii="Times New Roman" w:hAnsi="Times New Roman" w:eastAsia="宋体"/>
                      <w:b w:val="0"/>
                      <w:bCs w:val="0"/>
                      <w:color w:val="auto"/>
                      <w:sz w:val="21"/>
                      <w:szCs w:val="21"/>
                      <w:highlight w:val="none"/>
                      <w:lang w:val="en-US" w:eastAsia="zh-CN"/>
                    </w:rPr>
                    <w:t>电镀工艺、冶炼工艺、电解铝工艺</w:t>
                  </w:r>
                  <w:r>
                    <w:rPr>
                      <w:rFonts w:hint="eastAsia" w:ascii="Times New Roman" w:hAnsi="Times New Roman" w:eastAsia="宋体"/>
                      <w:b w:val="0"/>
                      <w:bCs w:val="0"/>
                      <w:color w:val="auto"/>
                      <w:sz w:val="21"/>
                      <w:szCs w:val="21"/>
                      <w:highlight w:val="none"/>
                      <w:lang w:val="en-US" w:eastAsia="zh-CN"/>
                    </w:rPr>
                    <w:t>；</w:t>
                  </w:r>
                  <w:r>
                    <w:rPr>
                      <w:rFonts w:hint="eastAsia" w:ascii="Times New Roman" w:hAnsi="Times New Roman"/>
                      <w:b w:val="0"/>
                      <w:bCs w:val="0"/>
                      <w:color w:val="auto"/>
                      <w:sz w:val="21"/>
                      <w:szCs w:val="21"/>
                      <w:highlight w:val="none"/>
                      <w:lang w:val="en-US" w:eastAsia="zh-CN"/>
                    </w:rPr>
                    <w:t>未使用</w:t>
                  </w:r>
                  <w:r>
                    <w:rPr>
                      <w:rFonts w:hint="default" w:ascii="Times New Roman" w:hAnsi="Times New Roman" w:eastAsia="宋体"/>
                      <w:b w:val="0"/>
                      <w:bCs w:val="0"/>
                      <w:color w:val="auto"/>
                      <w:sz w:val="21"/>
                      <w:szCs w:val="21"/>
                      <w:highlight w:val="none"/>
                      <w:lang w:val="en-US" w:eastAsia="zh-CN"/>
                    </w:rPr>
                    <w:t>油墨、胶黏剂</w:t>
                  </w:r>
                  <w:r>
                    <w:rPr>
                      <w:rFonts w:hint="eastAsia" w:ascii="Times New Roman" w:hAnsi="Times New Roman" w:eastAsia="宋体"/>
                      <w:b w:val="0"/>
                      <w:bCs w:val="0"/>
                      <w:color w:val="auto"/>
                      <w:sz w:val="21"/>
                      <w:szCs w:val="21"/>
                      <w:highlight w:val="none"/>
                      <w:lang w:val="en-US" w:eastAsia="zh-CN"/>
                    </w:rPr>
                    <w:t>。</w:t>
                  </w:r>
                </w:p>
              </w:tc>
              <w:tc>
                <w:tcPr>
                  <w:tcW w:w="447" w:type="pct"/>
                  <w:noWrap w:val="0"/>
                  <w:vAlign w:val="center"/>
                </w:tcPr>
                <w:p w14:paraId="23960132">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340" w:lineRule="exact"/>
                    <w:ind w:left="0" w:right="0"/>
                    <w:jc w:val="both"/>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r w14:paraId="3A097F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040875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snapToGrid w:val="0"/>
                      <w:color w:val="auto"/>
                      <w:kern w:val="18"/>
                      <w:sz w:val="21"/>
                      <w:szCs w:val="21"/>
                      <w:highlight w:val="none"/>
                      <w:lang w:eastAsia="zh-CN"/>
                    </w:rPr>
                    <w:t>环境风险防控</w:t>
                  </w:r>
                </w:p>
              </w:tc>
              <w:tc>
                <w:tcPr>
                  <w:tcW w:w="2015" w:type="pct"/>
                  <w:noWrap w:val="0"/>
                  <w:vAlign w:val="center"/>
                </w:tcPr>
                <w:p w14:paraId="6CC67A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rPr>
                  </w:pPr>
                  <w:r>
                    <w:rPr>
                      <w:rFonts w:hint="eastAsia" w:ascii="Times New Roman" w:hAnsi="Times New Roman" w:eastAsia="宋体"/>
                      <w:snapToGrid w:val="0"/>
                      <w:color w:val="auto"/>
                      <w:kern w:val="18"/>
                      <w:sz w:val="21"/>
                      <w:szCs w:val="21"/>
                      <w:highlight w:val="none"/>
                    </w:rPr>
                    <w:t>1、必须规范配套应急池，建设企业、园区和周边水系三级环境风险防控工程，确保有效拦截、降污和倒流；受园区排污影响的周边水系应建设应急闸门，防止泄漏物和消防水等排入外环境。</w:t>
                  </w:r>
                </w:p>
                <w:p w14:paraId="550935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rPr>
                  </w:pPr>
                  <w:r>
                    <w:rPr>
                      <w:rFonts w:hint="eastAsia" w:ascii="Times New Roman" w:hAnsi="Times New Roman" w:eastAsia="宋体"/>
                      <w:snapToGrid w:val="0"/>
                      <w:color w:val="auto"/>
                      <w:kern w:val="18"/>
                      <w:sz w:val="21"/>
                      <w:szCs w:val="21"/>
                      <w:highlight w:val="none"/>
                    </w:rPr>
                    <w:t>2、开发区内污水处理设施应采取必要的防渗处理，不得污染地下水环境。</w:t>
                  </w:r>
                </w:p>
              </w:tc>
              <w:tc>
                <w:tcPr>
                  <w:tcW w:w="2008" w:type="pct"/>
                  <w:noWrap w:val="0"/>
                  <w:vAlign w:val="center"/>
                </w:tcPr>
                <w:p w14:paraId="57F6D8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cs="Times New Roman"/>
                      <w:color w:val="auto"/>
                      <w:highlight w:val="none"/>
                      <w:lang w:val="en-US" w:eastAsia="zh-CN"/>
                    </w:rPr>
                    <w:t>本项目</w:t>
                  </w:r>
                  <w:r>
                    <w:rPr>
                      <w:rFonts w:hint="eastAsia" w:ascii="Times New Roman" w:hAnsi="Times New Roman"/>
                      <w:b w:val="0"/>
                      <w:bCs w:val="0"/>
                      <w:color w:val="auto"/>
                      <w:sz w:val="21"/>
                      <w:szCs w:val="21"/>
                      <w:highlight w:val="none"/>
                      <w:lang w:val="en-US" w:eastAsia="zh-CN"/>
                    </w:rPr>
                    <w:t>清洗废水经过废水处理设施处理达标后与</w:t>
                  </w:r>
                  <w:r>
                    <w:rPr>
                      <w:rFonts w:hint="eastAsia" w:ascii="Times New Roman" w:hAnsi="Times New Roman" w:eastAsia="宋体"/>
                      <w:b w:val="0"/>
                      <w:bCs w:val="0"/>
                      <w:color w:val="auto"/>
                      <w:sz w:val="21"/>
                      <w:szCs w:val="21"/>
                      <w:highlight w:val="none"/>
                      <w:lang w:val="en-US" w:eastAsia="zh-CN"/>
                    </w:rPr>
                    <w:t>生活污水</w:t>
                  </w:r>
                  <w:r>
                    <w:rPr>
                      <w:rFonts w:hint="eastAsia" w:cs="Times New Roman"/>
                      <w:color w:val="auto"/>
                      <w:highlight w:val="none"/>
                      <w:lang w:val="en-US" w:eastAsia="zh-CN"/>
                    </w:rPr>
                    <w:t>接入市政污水管网</w:t>
                  </w:r>
                  <w:r>
                    <w:rPr>
                      <w:rFonts w:hint="eastAsia" w:ascii="Times New Roman" w:hAnsi="Times New Roman" w:eastAsia="宋体" w:cs="Times New Roman"/>
                      <w:color w:val="auto"/>
                      <w:highlight w:val="none"/>
                      <w:lang w:val="en-US" w:eastAsia="zh-CN"/>
                    </w:rPr>
                    <w:t>进入</w:t>
                  </w:r>
                  <w:r>
                    <w:rPr>
                      <w:rFonts w:hint="eastAsia" w:cs="Times New Roman"/>
                      <w:color w:val="auto"/>
                      <w:highlight w:val="none"/>
                      <w:lang w:val="en-US" w:eastAsia="zh-CN"/>
                    </w:rPr>
                    <w:t>福清市融元污水处理厂统</w:t>
                  </w:r>
                  <w:r>
                    <w:rPr>
                      <w:rFonts w:hint="eastAsia" w:ascii="Times New Roman" w:hAnsi="Times New Roman" w:eastAsia="宋体" w:cs="Times New Roman"/>
                      <w:color w:val="auto"/>
                      <w:highlight w:val="none"/>
                      <w:lang w:val="en-US" w:eastAsia="zh-CN"/>
                    </w:rPr>
                    <w:t>一处理，污水不外排入附近水体，且污水处理设施采取了一定的防渗措施，防止污染地下水环境。</w:t>
                  </w:r>
                </w:p>
              </w:tc>
              <w:tc>
                <w:tcPr>
                  <w:tcW w:w="447" w:type="pct"/>
                  <w:noWrap w:val="0"/>
                  <w:vAlign w:val="center"/>
                </w:tcPr>
                <w:p w14:paraId="7F744E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snapToGrid w:val="0"/>
                      <w:color w:val="auto"/>
                      <w:kern w:val="18"/>
                      <w:sz w:val="21"/>
                      <w:szCs w:val="21"/>
                      <w:highlight w:val="none"/>
                      <w:lang w:eastAsia="zh-CN"/>
                    </w:rPr>
                    <w:t>符合</w:t>
                  </w:r>
                </w:p>
              </w:tc>
            </w:tr>
            <w:tr w14:paraId="0AA88BD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4966EE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snapToGrid w:val="0"/>
                      <w:color w:val="auto"/>
                      <w:kern w:val="18"/>
                      <w:sz w:val="21"/>
                      <w:szCs w:val="21"/>
                      <w:highlight w:val="none"/>
                      <w:lang w:eastAsia="zh-CN"/>
                    </w:rPr>
                    <w:t>污染物排放管控</w:t>
                  </w:r>
                </w:p>
              </w:tc>
              <w:tc>
                <w:tcPr>
                  <w:tcW w:w="2015" w:type="pct"/>
                  <w:noWrap w:val="0"/>
                  <w:vAlign w:val="center"/>
                </w:tcPr>
                <w:p w14:paraId="004A873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rPr>
                  </w:pPr>
                  <w:r>
                    <w:rPr>
                      <w:rFonts w:hint="eastAsia" w:ascii="Times New Roman" w:hAnsi="Times New Roman" w:eastAsia="宋体"/>
                      <w:snapToGrid w:val="0"/>
                      <w:color w:val="auto"/>
                      <w:kern w:val="18"/>
                      <w:sz w:val="21"/>
                      <w:szCs w:val="21"/>
                      <w:highlight w:val="none"/>
                    </w:rPr>
                    <w:t>1、新、改、扩建项目新增大气污染物（现阶段指SO</w:t>
                  </w:r>
                  <w:r>
                    <w:rPr>
                      <w:rFonts w:hint="eastAsia" w:ascii="Times New Roman" w:hAnsi="Times New Roman" w:eastAsia="宋体"/>
                      <w:snapToGrid w:val="0"/>
                      <w:color w:val="auto"/>
                      <w:kern w:val="18"/>
                      <w:sz w:val="21"/>
                      <w:szCs w:val="21"/>
                      <w:highlight w:val="none"/>
                      <w:vertAlign w:val="subscript"/>
                    </w:rPr>
                    <w:t>2</w:t>
                  </w:r>
                  <w:r>
                    <w:rPr>
                      <w:rFonts w:hint="eastAsia" w:ascii="Times New Roman" w:hAnsi="Times New Roman" w:eastAsia="宋体"/>
                      <w:snapToGrid w:val="0"/>
                      <w:color w:val="auto"/>
                      <w:kern w:val="18"/>
                      <w:sz w:val="21"/>
                      <w:szCs w:val="21"/>
                      <w:highlight w:val="none"/>
                    </w:rPr>
                    <w:t>、NOx）排放量实行1.5倍削减替代（不含使用天然气、液化石油气等作为燃料的非火电锅炉和工业炉窑）。</w:t>
                  </w:r>
                </w:p>
                <w:p w14:paraId="080C6E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rPr>
                  </w:pPr>
                  <w:r>
                    <w:rPr>
                      <w:rFonts w:hint="eastAsia" w:ascii="Times New Roman" w:hAnsi="Times New Roman" w:eastAsia="宋体"/>
                      <w:snapToGrid w:val="0"/>
                      <w:color w:val="auto"/>
                      <w:kern w:val="18"/>
                      <w:sz w:val="21"/>
                      <w:szCs w:val="21"/>
                      <w:highlight w:val="none"/>
                    </w:rPr>
                    <w:t>2、新、改、扩建项目新增VOCs排放量实行倍量削减替代。</w:t>
                  </w:r>
                </w:p>
                <w:p w14:paraId="33A7587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rPr>
                  </w:pPr>
                  <w:r>
                    <w:rPr>
                      <w:rFonts w:hint="eastAsia" w:ascii="Times New Roman" w:hAnsi="Times New Roman" w:eastAsia="宋体"/>
                      <w:snapToGrid w:val="0"/>
                      <w:color w:val="auto"/>
                      <w:kern w:val="18"/>
                      <w:sz w:val="21"/>
                      <w:szCs w:val="21"/>
                      <w:highlight w:val="none"/>
                    </w:rPr>
                    <w:t>3、工业企业废水全部纳管进入</w:t>
                  </w:r>
                  <w:r>
                    <w:rPr>
                      <w:rFonts w:hint="eastAsia"/>
                      <w:snapToGrid w:val="0"/>
                      <w:color w:val="auto"/>
                      <w:kern w:val="18"/>
                      <w:sz w:val="21"/>
                      <w:szCs w:val="21"/>
                      <w:highlight w:val="none"/>
                      <w:shd w:val="clear" w:fill="FFFFFF"/>
                      <w:lang w:eastAsia="zh-CN"/>
                    </w:rPr>
                    <w:t>污水处理厂</w:t>
                  </w:r>
                  <w:r>
                    <w:rPr>
                      <w:rFonts w:hint="eastAsia" w:ascii="Times New Roman" w:hAnsi="Times New Roman" w:eastAsia="宋体"/>
                      <w:snapToGrid w:val="0"/>
                      <w:color w:val="auto"/>
                      <w:kern w:val="18"/>
                      <w:sz w:val="21"/>
                      <w:szCs w:val="21"/>
                      <w:highlight w:val="none"/>
                    </w:rPr>
                    <w:t>集中处理后达标排放。</w:t>
                  </w:r>
                </w:p>
              </w:tc>
              <w:tc>
                <w:tcPr>
                  <w:tcW w:w="2008" w:type="pct"/>
                  <w:noWrap w:val="0"/>
                  <w:vAlign w:val="center"/>
                </w:tcPr>
                <w:p w14:paraId="007F83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snapToGrid w:val="0"/>
                      <w:color w:val="auto"/>
                      <w:kern w:val="18"/>
                      <w:sz w:val="21"/>
                      <w:szCs w:val="21"/>
                      <w:highlight w:val="none"/>
                      <w:lang w:val="en-US" w:eastAsia="zh-CN"/>
                    </w:rPr>
                    <w:t>1、项目不涉及</w:t>
                  </w:r>
                  <w:r>
                    <w:rPr>
                      <w:rFonts w:hint="eastAsia" w:ascii="Times New Roman" w:hAnsi="Times New Roman" w:eastAsia="宋体"/>
                      <w:snapToGrid w:val="0"/>
                      <w:color w:val="auto"/>
                      <w:kern w:val="18"/>
                      <w:sz w:val="21"/>
                      <w:szCs w:val="21"/>
                      <w:highlight w:val="none"/>
                    </w:rPr>
                    <w:t>SO</w:t>
                  </w:r>
                  <w:r>
                    <w:rPr>
                      <w:rFonts w:hint="eastAsia" w:ascii="Times New Roman" w:hAnsi="Times New Roman" w:eastAsia="宋体"/>
                      <w:snapToGrid w:val="0"/>
                      <w:color w:val="auto"/>
                      <w:kern w:val="18"/>
                      <w:sz w:val="21"/>
                      <w:szCs w:val="21"/>
                      <w:highlight w:val="none"/>
                      <w:vertAlign w:val="subscript"/>
                    </w:rPr>
                    <w:t>2</w:t>
                  </w:r>
                  <w:r>
                    <w:rPr>
                      <w:rFonts w:hint="eastAsia" w:ascii="Times New Roman" w:hAnsi="Times New Roman" w:eastAsia="宋体"/>
                      <w:snapToGrid w:val="0"/>
                      <w:color w:val="auto"/>
                      <w:kern w:val="18"/>
                      <w:sz w:val="21"/>
                      <w:szCs w:val="21"/>
                      <w:highlight w:val="none"/>
                    </w:rPr>
                    <w:t>、NOx</w:t>
                  </w:r>
                  <w:r>
                    <w:rPr>
                      <w:rFonts w:hint="eastAsia" w:ascii="Times New Roman" w:hAnsi="Times New Roman" w:eastAsia="宋体"/>
                      <w:snapToGrid w:val="0"/>
                      <w:color w:val="auto"/>
                      <w:kern w:val="18"/>
                      <w:sz w:val="21"/>
                      <w:szCs w:val="21"/>
                      <w:highlight w:val="none"/>
                      <w:lang w:eastAsia="zh-CN"/>
                    </w:rPr>
                    <w:t>排放；</w:t>
                  </w:r>
                </w:p>
                <w:p w14:paraId="2C0EF6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eastAsia" w:ascii="Times New Roman" w:hAnsi="Times New Roman" w:eastAsia="宋体"/>
                      <w:snapToGrid w:val="0"/>
                      <w:color w:val="auto"/>
                      <w:kern w:val="18"/>
                      <w:sz w:val="21"/>
                      <w:szCs w:val="21"/>
                      <w:highlight w:val="none"/>
                      <w:lang w:val="en-US" w:eastAsia="zh-CN"/>
                    </w:rPr>
                  </w:pPr>
                  <w:r>
                    <w:rPr>
                      <w:rFonts w:hint="eastAsia" w:ascii="Times New Roman" w:hAnsi="Times New Roman" w:eastAsia="宋体"/>
                      <w:snapToGrid w:val="0"/>
                      <w:color w:val="auto"/>
                      <w:kern w:val="18"/>
                      <w:sz w:val="21"/>
                      <w:szCs w:val="21"/>
                      <w:highlight w:val="none"/>
                      <w:lang w:val="en-US" w:eastAsia="zh-CN"/>
                    </w:rPr>
                    <w:t>2、</w:t>
                  </w:r>
                  <w:r>
                    <w:rPr>
                      <w:rFonts w:hint="eastAsia" w:ascii="Times New Roman" w:hAnsi="Times New Roman" w:eastAsia="宋体"/>
                      <w:snapToGrid w:val="0"/>
                      <w:color w:val="auto"/>
                      <w:kern w:val="18"/>
                      <w:sz w:val="21"/>
                      <w:szCs w:val="21"/>
                      <w:highlight w:val="none"/>
                      <w:lang w:eastAsia="zh-CN"/>
                    </w:rPr>
                    <w:t>新增</w:t>
                  </w:r>
                  <w:r>
                    <w:rPr>
                      <w:rFonts w:hint="eastAsia" w:ascii="Times New Roman" w:hAnsi="Times New Roman" w:eastAsia="宋体"/>
                      <w:snapToGrid w:val="0"/>
                      <w:color w:val="auto"/>
                      <w:kern w:val="18"/>
                      <w:sz w:val="21"/>
                      <w:szCs w:val="21"/>
                      <w:highlight w:val="none"/>
                      <w:lang w:val="en-US" w:eastAsia="zh-CN"/>
                    </w:rPr>
                    <w:t>VOCs指标将按照主管部门要求申请倍量削减替代；</w:t>
                  </w:r>
                </w:p>
                <w:p w14:paraId="1FFAA5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outlineLvl w:val="9"/>
                    <w:rPr>
                      <w:rFonts w:hint="default" w:ascii="Times New Roman" w:hAnsi="Times New Roman" w:eastAsia="宋体"/>
                      <w:snapToGrid w:val="0"/>
                      <w:color w:val="auto"/>
                      <w:kern w:val="18"/>
                      <w:sz w:val="21"/>
                      <w:szCs w:val="21"/>
                      <w:highlight w:val="none"/>
                      <w:lang w:val="en-US" w:eastAsia="zh-CN"/>
                    </w:rPr>
                  </w:pPr>
                  <w:r>
                    <w:rPr>
                      <w:rFonts w:hint="eastAsia" w:ascii="Times New Roman" w:hAnsi="Times New Roman" w:eastAsia="宋体"/>
                      <w:snapToGrid w:val="0"/>
                      <w:color w:val="auto"/>
                      <w:kern w:val="18"/>
                      <w:sz w:val="21"/>
                      <w:szCs w:val="21"/>
                      <w:highlight w:val="none"/>
                      <w:lang w:val="en-US" w:eastAsia="zh-CN"/>
                    </w:rPr>
                    <w:t>3、</w:t>
                  </w:r>
                  <w:r>
                    <w:rPr>
                      <w:rFonts w:hint="eastAsia" w:ascii="Times New Roman" w:hAnsi="Times New Roman" w:eastAsia="宋体" w:cs="Times New Roman"/>
                      <w:color w:val="auto"/>
                      <w:highlight w:val="none"/>
                      <w:lang w:val="en-US" w:eastAsia="zh-CN"/>
                    </w:rPr>
                    <w:t>本项目</w:t>
                  </w:r>
                  <w:r>
                    <w:rPr>
                      <w:rFonts w:hint="eastAsia" w:ascii="Times New Roman" w:hAnsi="Times New Roman"/>
                      <w:b w:val="0"/>
                      <w:bCs w:val="0"/>
                      <w:color w:val="auto"/>
                      <w:sz w:val="21"/>
                      <w:szCs w:val="21"/>
                      <w:highlight w:val="none"/>
                      <w:lang w:val="en-US" w:eastAsia="zh-CN"/>
                    </w:rPr>
                    <w:t>为</w:t>
                  </w:r>
                  <w:r>
                    <w:rPr>
                      <w:rFonts w:hint="eastAsia" w:ascii="Times New Roman" w:hAnsi="Times New Roman" w:eastAsia="宋体"/>
                      <w:b w:val="0"/>
                      <w:bCs w:val="0"/>
                      <w:color w:val="auto"/>
                      <w:sz w:val="21"/>
                      <w:szCs w:val="21"/>
                      <w:highlight w:val="none"/>
                      <w:lang w:val="en-GB" w:eastAsia="zh-CN"/>
                    </w:rPr>
                    <w:t>水质检验检测服务</w:t>
                  </w:r>
                  <w:r>
                    <w:rPr>
                      <w:rFonts w:hint="eastAsia"/>
                      <w:b w:val="0"/>
                      <w:bCs w:val="0"/>
                      <w:color w:val="auto"/>
                      <w:sz w:val="21"/>
                      <w:szCs w:val="21"/>
                      <w:highlight w:val="none"/>
                      <w:lang w:val="en-GB" w:eastAsia="zh-CN"/>
                    </w:rPr>
                    <w:t>（M7452检测服务），</w:t>
                  </w:r>
                  <w:r>
                    <w:rPr>
                      <w:rFonts w:hint="eastAsia"/>
                      <w:b w:val="0"/>
                      <w:bCs w:val="0"/>
                      <w:color w:val="auto"/>
                      <w:sz w:val="21"/>
                      <w:szCs w:val="21"/>
                      <w:highlight w:val="none"/>
                      <w:lang w:val="en-US" w:eastAsia="zh-CN"/>
                    </w:rPr>
                    <w:t>非工业生产企业。</w:t>
                  </w:r>
                </w:p>
              </w:tc>
              <w:tc>
                <w:tcPr>
                  <w:tcW w:w="447" w:type="pct"/>
                  <w:noWrap w:val="0"/>
                  <w:vAlign w:val="center"/>
                </w:tcPr>
                <w:p w14:paraId="25D9D23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snapToGrid w:val="0"/>
                      <w:color w:val="auto"/>
                      <w:kern w:val="18"/>
                      <w:sz w:val="21"/>
                      <w:szCs w:val="21"/>
                      <w:highlight w:val="none"/>
                      <w:lang w:eastAsia="zh-CN"/>
                    </w:rPr>
                  </w:pPr>
                  <w:r>
                    <w:rPr>
                      <w:rFonts w:hint="eastAsia" w:ascii="Times New Roman" w:hAnsi="Times New Roman" w:eastAsia="宋体"/>
                      <w:snapToGrid w:val="0"/>
                      <w:color w:val="auto"/>
                      <w:kern w:val="18"/>
                      <w:sz w:val="21"/>
                      <w:szCs w:val="21"/>
                      <w:highlight w:val="none"/>
                      <w:lang w:eastAsia="zh-CN"/>
                    </w:rPr>
                    <w:t>符合</w:t>
                  </w:r>
                </w:p>
              </w:tc>
            </w:tr>
            <w:tr w14:paraId="4871005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869" w:hRule="atLeast"/>
              </w:trPr>
              <w:tc>
                <w:tcPr>
                  <w:tcW w:w="2543" w:type="pct"/>
                  <w:gridSpan w:val="2"/>
                  <w:noWrap w:val="0"/>
                  <w:vAlign w:val="center"/>
                </w:tcPr>
                <w:p w14:paraId="233745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snapToGrid w:val="0"/>
                      <w:color w:val="auto"/>
                      <w:kern w:val="18"/>
                      <w:sz w:val="21"/>
                      <w:szCs w:val="21"/>
                      <w:highlight w:val="none"/>
                      <w:lang w:val="en-US" w:eastAsia="zh-CN" w:bidi="ar-SA"/>
                    </w:rPr>
                  </w:pPr>
                  <w:r>
                    <w:rPr>
                      <w:rFonts w:hint="eastAsia" w:ascii="Times New Roman" w:hAnsi="Times New Roman" w:eastAsia="宋体"/>
                      <w:b/>
                      <w:bCs/>
                      <w:color w:val="auto"/>
                      <w:sz w:val="21"/>
                      <w:szCs w:val="21"/>
                      <w:highlight w:val="none"/>
                    </w:rPr>
                    <w:t>关于《福清融侨经济技术开发区总体规划（2018-2035 年）环境影响报告书》的审查意见</w:t>
                  </w:r>
                  <w:r>
                    <w:rPr>
                      <w:rFonts w:hint="eastAsia" w:ascii="Times New Roman" w:hAnsi="Times New Roman" w:eastAsia="宋体"/>
                      <w:b/>
                      <w:bCs/>
                      <w:color w:val="auto"/>
                      <w:sz w:val="21"/>
                      <w:szCs w:val="21"/>
                      <w:highlight w:val="none"/>
                      <w:shd w:val="clear" w:fill="FFFFFF"/>
                    </w:rPr>
                    <w:t>(</w:t>
                  </w:r>
                  <w:r>
                    <w:rPr>
                      <w:rFonts w:hint="eastAsia" w:ascii="Times New Roman" w:hAnsi="Times New Roman" w:eastAsia="宋体"/>
                      <w:b/>
                      <w:bCs/>
                      <w:color w:val="auto"/>
                      <w:sz w:val="21"/>
                      <w:szCs w:val="21"/>
                      <w:highlight w:val="none"/>
                    </w:rPr>
                    <w:t>环审</w:t>
                  </w:r>
                  <w:r>
                    <w:rPr>
                      <w:rFonts w:hint="eastAsia"/>
                      <w:b/>
                      <w:bCs/>
                      <w:color w:val="auto"/>
                      <w:sz w:val="21"/>
                      <w:szCs w:val="21"/>
                      <w:highlight w:val="none"/>
                      <w:lang w:eastAsia="zh-CN"/>
                    </w:rPr>
                    <w:t>〔</w:t>
                  </w:r>
                  <w:r>
                    <w:rPr>
                      <w:rFonts w:hint="eastAsia" w:ascii="Times New Roman" w:hAnsi="Times New Roman" w:eastAsia="宋体"/>
                      <w:b/>
                      <w:bCs/>
                      <w:color w:val="auto"/>
                      <w:sz w:val="21"/>
                      <w:szCs w:val="21"/>
                      <w:highlight w:val="none"/>
                    </w:rPr>
                    <w:t>2020</w:t>
                  </w:r>
                  <w:r>
                    <w:rPr>
                      <w:rFonts w:hint="eastAsia"/>
                      <w:b/>
                      <w:bCs/>
                      <w:color w:val="auto"/>
                      <w:sz w:val="21"/>
                      <w:szCs w:val="21"/>
                      <w:highlight w:val="none"/>
                      <w:lang w:eastAsia="zh-CN"/>
                    </w:rPr>
                    <w:t>〕</w:t>
                  </w:r>
                  <w:r>
                    <w:rPr>
                      <w:rFonts w:hint="eastAsia" w:ascii="Times New Roman" w:hAnsi="Times New Roman" w:eastAsia="宋体"/>
                      <w:b/>
                      <w:bCs/>
                      <w:color w:val="auto"/>
                      <w:sz w:val="21"/>
                      <w:szCs w:val="21"/>
                      <w:highlight w:val="none"/>
                    </w:rPr>
                    <w:t>80号</w:t>
                  </w:r>
                  <w:r>
                    <w:rPr>
                      <w:rFonts w:hint="eastAsia" w:ascii="Times New Roman" w:hAnsi="Times New Roman" w:eastAsia="宋体"/>
                      <w:b/>
                      <w:bCs/>
                      <w:color w:val="auto"/>
                      <w:sz w:val="21"/>
                      <w:szCs w:val="21"/>
                      <w:highlight w:val="none"/>
                      <w:shd w:val="clear" w:fill="FFFFFF"/>
                    </w:rPr>
                    <w:t>)</w:t>
                  </w:r>
                  <w:r>
                    <w:rPr>
                      <w:rFonts w:hint="eastAsia" w:ascii="Times New Roman" w:hAnsi="Times New Roman" w:eastAsia="宋体"/>
                      <w:b/>
                      <w:bCs/>
                      <w:color w:val="auto"/>
                      <w:sz w:val="21"/>
                      <w:szCs w:val="21"/>
                      <w:highlight w:val="none"/>
                    </w:rPr>
                    <w:t>摘录</w:t>
                  </w:r>
                </w:p>
              </w:tc>
              <w:tc>
                <w:tcPr>
                  <w:tcW w:w="2008" w:type="pct"/>
                  <w:noWrap w:val="0"/>
                  <w:vAlign w:val="center"/>
                </w:tcPr>
                <w:p w14:paraId="3CD026C2">
                  <w:pPr>
                    <w:keepNext w:val="0"/>
                    <w:keepLines w:val="0"/>
                    <w:pageBreakBefore w:val="0"/>
                    <w:widowControl/>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snapToGrid w:val="0"/>
                      <w:color w:val="auto"/>
                      <w:kern w:val="18"/>
                      <w:sz w:val="21"/>
                      <w:szCs w:val="21"/>
                      <w:highlight w:val="none"/>
                      <w:lang w:val="en-US" w:eastAsia="zh-CN" w:bidi="ar-SA"/>
                    </w:rPr>
                  </w:pPr>
                  <w:r>
                    <w:rPr>
                      <w:rFonts w:hint="eastAsia" w:ascii="Times New Roman" w:hAnsi="Times New Roman" w:eastAsia="宋体"/>
                      <w:b/>
                      <w:bCs/>
                      <w:color w:val="auto"/>
                      <w:sz w:val="21"/>
                      <w:szCs w:val="21"/>
                      <w:highlight w:val="none"/>
                    </w:rPr>
                    <w:t>本项目情况</w:t>
                  </w:r>
                </w:p>
              </w:tc>
              <w:tc>
                <w:tcPr>
                  <w:tcW w:w="447" w:type="pct"/>
                  <w:noWrap w:val="0"/>
                  <w:vAlign w:val="center"/>
                </w:tcPr>
                <w:p w14:paraId="7904AD03">
                  <w:pPr>
                    <w:keepNext w:val="0"/>
                    <w:keepLines w:val="0"/>
                    <w:pageBreakBefore w:val="0"/>
                    <w:widowControl/>
                    <w:suppressLineNumbers w:val="0"/>
                    <w:tabs>
                      <w:tab w:val="left" w:pos="3420"/>
                    </w:tabs>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cs="Times New Roman"/>
                      <w:b/>
                      <w:bCs/>
                      <w:snapToGrid w:val="0"/>
                      <w:color w:val="auto"/>
                      <w:kern w:val="18"/>
                      <w:sz w:val="21"/>
                      <w:szCs w:val="21"/>
                      <w:highlight w:val="none"/>
                      <w:lang w:val="en-US" w:eastAsia="zh-CN" w:bidi="ar-SA"/>
                    </w:rPr>
                  </w:pPr>
                  <w:r>
                    <w:rPr>
                      <w:rFonts w:hint="eastAsia" w:ascii="Times New Roman" w:hAnsi="Times New Roman" w:eastAsia="宋体"/>
                      <w:b/>
                      <w:bCs/>
                      <w:color w:val="auto"/>
                      <w:sz w:val="21"/>
                      <w:szCs w:val="21"/>
                      <w:highlight w:val="none"/>
                    </w:rPr>
                    <w:t>符合性</w:t>
                  </w:r>
                </w:p>
              </w:tc>
            </w:tr>
            <w:tr w14:paraId="21939C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97" w:hRule="atLeast"/>
              </w:trPr>
              <w:tc>
                <w:tcPr>
                  <w:tcW w:w="528" w:type="pct"/>
                  <w:noWrap w:val="0"/>
                  <w:vAlign w:val="center"/>
                </w:tcPr>
                <w:p w14:paraId="70AF77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outlineLvl w:val="9"/>
                    <w:rPr>
                      <w:rFonts w:hint="eastAsia" w:ascii="Times New Roman" w:hAnsi="Times New Roman" w:eastAsia="宋体"/>
                      <w:snapToGrid w:val="0"/>
                      <w:color w:val="auto"/>
                      <w:kern w:val="18"/>
                      <w:sz w:val="21"/>
                      <w:szCs w:val="21"/>
                      <w:highlight w:val="none"/>
                      <w:lang w:eastAsia="zh-CN"/>
                    </w:rPr>
                  </w:pPr>
                  <w:r>
                    <w:rPr>
                      <w:rFonts w:hint="default"/>
                      <w:color w:val="auto"/>
                      <w:kern w:val="0"/>
                      <w:sz w:val="21"/>
                      <w:szCs w:val="21"/>
                      <w:lang w:bidi="ar"/>
                    </w:rPr>
                    <w:t>审查意见</w:t>
                  </w:r>
                </w:p>
              </w:tc>
              <w:tc>
                <w:tcPr>
                  <w:tcW w:w="2015" w:type="pct"/>
                  <w:noWrap w:val="0"/>
                  <w:vAlign w:val="center"/>
                </w:tcPr>
                <w:p w14:paraId="32DDC6FD">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rPr>
                    <w:t>落实《报告书》生态环境准入要求，强化现有及入区企业挥发性有机物排放控制，禁止新增排放涉重污染物项目入区、禁止与主导产业不相关且污染物排放量大的项目入区；</w:t>
                  </w:r>
                </w:p>
              </w:tc>
              <w:tc>
                <w:tcPr>
                  <w:tcW w:w="2008" w:type="pct"/>
                  <w:noWrap w:val="0"/>
                  <w:vAlign w:val="center"/>
                </w:tcPr>
                <w:p w14:paraId="05BB5407">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18"/>
                      <w:sz w:val="21"/>
                      <w:szCs w:val="21"/>
                      <w:lang w:val="en-US" w:eastAsia="zh-CN" w:bidi="ar-SA"/>
                    </w:rPr>
                  </w:pPr>
                  <w:r>
                    <w:rPr>
                      <w:rFonts w:hint="default"/>
                      <w:color w:val="auto"/>
                      <w:sz w:val="21"/>
                      <w:szCs w:val="21"/>
                    </w:rPr>
                    <w:t>本项目</w:t>
                  </w:r>
                  <w:r>
                    <w:rPr>
                      <w:rFonts w:hint="eastAsia"/>
                      <w:color w:val="auto"/>
                      <w:sz w:val="21"/>
                      <w:szCs w:val="21"/>
                      <w:lang w:val="en-US" w:eastAsia="zh-CN"/>
                    </w:rPr>
                    <w:t>对含有挥发性有机物废气</w:t>
                  </w:r>
                  <w:r>
                    <w:rPr>
                      <w:rFonts w:hint="eastAsia"/>
                      <w:color w:val="auto"/>
                      <w:sz w:val="21"/>
                      <w:szCs w:val="21"/>
                    </w:rPr>
                    <w:t>采取</w:t>
                  </w:r>
                  <w:r>
                    <w:rPr>
                      <w:rFonts w:hint="eastAsia"/>
                      <w:color w:val="auto"/>
                      <w:sz w:val="21"/>
                      <w:szCs w:val="21"/>
                      <w:shd w:val="clear" w:fill="FFFFFF"/>
                      <w:lang w:val="en-US" w:eastAsia="zh-CN"/>
                    </w:rPr>
                    <w:t>活性碳</w:t>
                  </w:r>
                  <w:r>
                    <w:rPr>
                      <w:rFonts w:hint="eastAsia"/>
                      <w:color w:val="auto"/>
                      <w:sz w:val="21"/>
                      <w:szCs w:val="21"/>
                      <w:lang w:val="en-US" w:eastAsia="zh-CN"/>
                    </w:rPr>
                    <w:t>吸附措施</w:t>
                  </w:r>
                  <w:r>
                    <w:rPr>
                      <w:rFonts w:hint="eastAsia"/>
                      <w:color w:val="auto"/>
                      <w:sz w:val="21"/>
                      <w:szCs w:val="21"/>
                    </w:rPr>
                    <w:t>减少挥发性有机物的排放，且本项目</w:t>
                  </w:r>
                  <w:r>
                    <w:rPr>
                      <w:rFonts w:hint="eastAsia" w:ascii="Times New Roman" w:hAnsi="Times New Roman"/>
                      <w:b w:val="0"/>
                      <w:bCs w:val="0"/>
                      <w:color w:val="auto"/>
                      <w:sz w:val="21"/>
                      <w:szCs w:val="21"/>
                      <w:highlight w:val="none"/>
                      <w:lang w:val="en-US" w:eastAsia="zh-CN"/>
                    </w:rPr>
                    <w:t>为</w:t>
                  </w:r>
                  <w:r>
                    <w:rPr>
                      <w:rFonts w:hint="eastAsia" w:ascii="Times New Roman" w:hAnsi="Times New Roman" w:eastAsia="宋体"/>
                      <w:b w:val="0"/>
                      <w:bCs w:val="0"/>
                      <w:color w:val="auto"/>
                      <w:sz w:val="21"/>
                      <w:szCs w:val="21"/>
                      <w:highlight w:val="none"/>
                      <w:lang w:val="en-GB" w:eastAsia="zh-CN"/>
                    </w:rPr>
                    <w:t>水质检验检测服务</w:t>
                  </w:r>
                  <w:r>
                    <w:rPr>
                      <w:rFonts w:hint="eastAsia"/>
                      <w:b w:val="0"/>
                      <w:bCs w:val="0"/>
                      <w:color w:val="auto"/>
                      <w:sz w:val="21"/>
                      <w:szCs w:val="21"/>
                      <w:highlight w:val="none"/>
                      <w:lang w:val="en-GB" w:eastAsia="zh-CN"/>
                    </w:rPr>
                    <w:t>（M7452检测服务），</w:t>
                  </w:r>
                  <w:r>
                    <w:rPr>
                      <w:rFonts w:hint="eastAsia"/>
                      <w:b w:val="0"/>
                      <w:bCs w:val="0"/>
                      <w:color w:val="auto"/>
                      <w:sz w:val="21"/>
                      <w:szCs w:val="21"/>
                      <w:highlight w:val="none"/>
                      <w:lang w:val="en-US" w:eastAsia="zh-CN"/>
                    </w:rPr>
                    <w:t>实验废液委托资质单位进行处置，</w:t>
                  </w:r>
                  <w:r>
                    <w:rPr>
                      <w:rFonts w:hint="eastAsia"/>
                      <w:color w:val="auto"/>
                      <w:sz w:val="21"/>
                      <w:szCs w:val="21"/>
                    </w:rPr>
                    <w:t>不</w:t>
                  </w:r>
                  <w:r>
                    <w:rPr>
                      <w:rFonts w:hint="default"/>
                      <w:color w:val="auto"/>
                      <w:sz w:val="21"/>
                      <w:szCs w:val="21"/>
                    </w:rPr>
                    <w:t>涉及重</w:t>
                  </w:r>
                  <w:r>
                    <w:rPr>
                      <w:rFonts w:hint="eastAsia"/>
                      <w:color w:val="auto"/>
                      <w:sz w:val="21"/>
                      <w:szCs w:val="21"/>
                      <w:lang w:val="en-US" w:eastAsia="zh-CN"/>
                    </w:rPr>
                    <w:t>金属</w:t>
                  </w:r>
                  <w:r>
                    <w:rPr>
                      <w:rFonts w:hint="default"/>
                      <w:color w:val="auto"/>
                      <w:sz w:val="21"/>
                      <w:szCs w:val="21"/>
                    </w:rPr>
                    <w:t>污染物的排放</w:t>
                  </w:r>
                </w:p>
              </w:tc>
              <w:tc>
                <w:tcPr>
                  <w:tcW w:w="447" w:type="pct"/>
                  <w:noWrap w:val="0"/>
                  <w:vAlign w:val="center"/>
                </w:tcPr>
                <w:p w14:paraId="500F9DBE">
                  <w:pPr>
                    <w:keepNext w:val="0"/>
                    <w:keepLines w:val="0"/>
                    <w:widowControl/>
                    <w:suppressLineNumbers w:val="0"/>
                    <w:spacing w:before="0" w:beforeAutospacing="0" w:after="0" w:afterAutospacing="0" w:line="340" w:lineRule="exact"/>
                    <w:ind w:left="0" w:right="0"/>
                    <w:jc w:val="center"/>
                    <w:rPr>
                      <w:rFonts w:hint="eastAsia" w:ascii="Times New Roman" w:hAnsi="Times New Roman" w:eastAsia="宋体" w:cs="Times New Roman"/>
                      <w:snapToGrid w:val="0"/>
                      <w:color w:val="auto"/>
                      <w:kern w:val="18"/>
                      <w:sz w:val="21"/>
                      <w:szCs w:val="21"/>
                      <w:lang w:val="en-US" w:eastAsia="zh-CN" w:bidi="ar-SA"/>
                    </w:rPr>
                  </w:pPr>
                  <w:r>
                    <w:rPr>
                      <w:rFonts w:hint="default"/>
                      <w:snapToGrid w:val="0"/>
                      <w:color w:val="auto"/>
                      <w:kern w:val="18"/>
                      <w:sz w:val="21"/>
                      <w:szCs w:val="21"/>
                    </w:rPr>
                    <w:t>符合</w:t>
                  </w:r>
                </w:p>
              </w:tc>
            </w:tr>
          </w:tbl>
          <w:p w14:paraId="3A229978">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rPr>
            </w:pPr>
            <w:r>
              <w:rPr>
                <w:rFonts w:hint="default" w:eastAsia="宋体"/>
                <w:bCs w:val="0"/>
                <w:color w:val="auto"/>
                <w:kern w:val="2"/>
                <w:sz w:val="24"/>
                <w:szCs w:val="24"/>
              </w:rPr>
              <w:t>综上，项目符合《福清融侨经济技术开发区总体规划环境影响报告书</w:t>
            </w:r>
            <w:r>
              <w:rPr>
                <w:rFonts w:hint="default" w:eastAsia="宋体"/>
                <w:bCs w:val="0"/>
                <w:color w:val="auto"/>
                <w:kern w:val="2"/>
                <w:sz w:val="24"/>
                <w:szCs w:val="24"/>
                <w:shd w:val="clear" w:fill="FFFFFF"/>
              </w:rPr>
              <w:t>(</w:t>
            </w:r>
            <w:r>
              <w:rPr>
                <w:rFonts w:hint="default" w:eastAsia="宋体"/>
                <w:bCs w:val="0"/>
                <w:color w:val="auto"/>
                <w:kern w:val="2"/>
                <w:sz w:val="24"/>
                <w:szCs w:val="24"/>
              </w:rPr>
              <w:t>2018</w:t>
            </w:r>
            <w:r>
              <w:rPr>
                <w:rFonts w:hint="default" w:eastAsia="宋体"/>
                <w:bCs w:val="0"/>
                <w:color w:val="auto"/>
                <w:kern w:val="2"/>
                <w:sz w:val="24"/>
                <w:szCs w:val="24"/>
                <w:shd w:val="clear" w:fill="FFFFFF"/>
              </w:rPr>
              <w:t>-</w:t>
            </w:r>
            <w:r>
              <w:rPr>
                <w:rFonts w:hint="default" w:eastAsia="宋体"/>
                <w:bCs w:val="0"/>
                <w:color w:val="auto"/>
                <w:kern w:val="2"/>
                <w:sz w:val="24"/>
                <w:szCs w:val="24"/>
              </w:rPr>
              <w:t>2035年</w:t>
            </w:r>
            <w:r>
              <w:rPr>
                <w:rFonts w:hint="default" w:eastAsia="宋体"/>
                <w:bCs w:val="0"/>
                <w:color w:val="auto"/>
                <w:kern w:val="2"/>
                <w:sz w:val="24"/>
                <w:szCs w:val="24"/>
                <w:shd w:val="clear" w:fill="FFFFFF"/>
              </w:rPr>
              <w:t>)</w:t>
            </w:r>
            <w:r>
              <w:rPr>
                <w:rFonts w:hint="default" w:eastAsia="宋体"/>
                <w:bCs w:val="0"/>
                <w:color w:val="auto"/>
                <w:kern w:val="2"/>
                <w:sz w:val="24"/>
                <w:szCs w:val="24"/>
              </w:rPr>
              <w:t>》及其</w:t>
            </w:r>
            <w:r>
              <w:rPr>
                <w:rFonts w:hint="eastAsia"/>
                <w:bCs w:val="0"/>
                <w:color w:val="auto"/>
                <w:kern w:val="2"/>
                <w:sz w:val="24"/>
                <w:szCs w:val="24"/>
                <w:lang w:val="en-US" w:eastAsia="zh-CN"/>
              </w:rPr>
              <w:t>环境影响评价</w:t>
            </w:r>
            <w:r>
              <w:rPr>
                <w:rFonts w:hint="default" w:eastAsia="宋体"/>
                <w:bCs w:val="0"/>
                <w:color w:val="auto"/>
                <w:kern w:val="2"/>
                <w:sz w:val="24"/>
                <w:szCs w:val="24"/>
              </w:rPr>
              <w:t>中的相关要求。</w:t>
            </w:r>
          </w:p>
          <w:p w14:paraId="2E88608F">
            <w:pPr>
              <w:pStyle w:val="36"/>
              <w:keepNext w:val="0"/>
              <w:keepLines w:val="0"/>
              <w:suppressLineNumbers w:val="0"/>
              <w:bidi w:val="0"/>
              <w:spacing w:before="0" w:beforeAutospacing="0" w:after="0" w:afterAutospacing="0"/>
              <w:ind w:left="0" w:right="0"/>
              <w:rPr>
                <w:rFonts w:hint="default"/>
                <w:color w:val="auto"/>
              </w:rPr>
            </w:pPr>
          </w:p>
          <w:p w14:paraId="2158FB4D">
            <w:pPr>
              <w:pStyle w:val="36"/>
              <w:keepNext w:val="0"/>
              <w:keepLines w:val="0"/>
              <w:suppressLineNumbers w:val="0"/>
              <w:bidi w:val="0"/>
              <w:spacing w:before="0" w:beforeAutospacing="0" w:after="0" w:afterAutospacing="0"/>
              <w:ind w:left="0" w:right="0"/>
              <w:rPr>
                <w:rFonts w:hint="default"/>
                <w:color w:val="auto"/>
              </w:rPr>
            </w:pPr>
          </w:p>
          <w:p w14:paraId="464BCC30">
            <w:pPr>
              <w:pStyle w:val="36"/>
              <w:keepNext w:val="0"/>
              <w:keepLines w:val="0"/>
              <w:suppressLineNumbers w:val="0"/>
              <w:bidi w:val="0"/>
              <w:spacing w:before="0" w:beforeAutospacing="0" w:after="0" w:afterAutospacing="0"/>
              <w:ind w:left="0" w:right="0"/>
              <w:rPr>
                <w:rFonts w:hint="default"/>
                <w:color w:val="auto"/>
              </w:rPr>
            </w:pPr>
          </w:p>
          <w:p w14:paraId="558FC8F5">
            <w:pPr>
              <w:pStyle w:val="36"/>
              <w:keepNext w:val="0"/>
              <w:keepLines w:val="0"/>
              <w:suppressLineNumbers w:val="0"/>
              <w:bidi w:val="0"/>
              <w:spacing w:before="0" w:beforeAutospacing="0" w:after="0" w:afterAutospacing="0"/>
              <w:ind w:left="0" w:right="0"/>
              <w:rPr>
                <w:rFonts w:hint="default"/>
                <w:color w:val="auto"/>
              </w:rPr>
            </w:pPr>
          </w:p>
          <w:p w14:paraId="4286615A">
            <w:pPr>
              <w:pStyle w:val="36"/>
              <w:keepNext w:val="0"/>
              <w:keepLines w:val="0"/>
              <w:suppressLineNumbers w:val="0"/>
              <w:bidi w:val="0"/>
              <w:spacing w:before="0" w:beforeAutospacing="0" w:after="0" w:afterAutospacing="0"/>
              <w:ind w:left="0" w:right="0"/>
              <w:rPr>
                <w:rFonts w:hint="default"/>
                <w:color w:val="auto"/>
              </w:rPr>
            </w:pPr>
          </w:p>
          <w:p w14:paraId="44E655F0">
            <w:pPr>
              <w:pStyle w:val="36"/>
              <w:keepNext w:val="0"/>
              <w:keepLines w:val="0"/>
              <w:suppressLineNumbers w:val="0"/>
              <w:bidi w:val="0"/>
              <w:spacing w:before="0" w:beforeAutospacing="0" w:after="0" w:afterAutospacing="0"/>
              <w:ind w:left="0" w:right="0"/>
              <w:rPr>
                <w:rFonts w:hint="default"/>
                <w:color w:val="auto"/>
              </w:rPr>
            </w:pPr>
          </w:p>
          <w:p w14:paraId="0297D2D5">
            <w:pPr>
              <w:pStyle w:val="36"/>
              <w:keepNext w:val="0"/>
              <w:keepLines w:val="0"/>
              <w:suppressLineNumbers w:val="0"/>
              <w:bidi w:val="0"/>
              <w:spacing w:before="0" w:beforeAutospacing="0" w:after="0" w:afterAutospacing="0"/>
              <w:ind w:left="0" w:right="0"/>
              <w:rPr>
                <w:rFonts w:hint="default"/>
                <w:color w:val="auto"/>
              </w:rPr>
            </w:pPr>
          </w:p>
          <w:p w14:paraId="53D4D3B6">
            <w:pPr>
              <w:pStyle w:val="36"/>
              <w:keepNext w:val="0"/>
              <w:keepLines w:val="0"/>
              <w:suppressLineNumbers w:val="0"/>
              <w:bidi w:val="0"/>
              <w:spacing w:before="0" w:beforeAutospacing="0" w:after="0" w:afterAutospacing="0"/>
              <w:ind w:left="0" w:right="0"/>
              <w:rPr>
                <w:rFonts w:hint="default"/>
                <w:color w:val="auto"/>
              </w:rPr>
            </w:pPr>
          </w:p>
          <w:p w14:paraId="2CBBAA0A">
            <w:pPr>
              <w:pStyle w:val="36"/>
              <w:keepNext w:val="0"/>
              <w:keepLines w:val="0"/>
              <w:suppressLineNumbers w:val="0"/>
              <w:bidi w:val="0"/>
              <w:spacing w:before="0" w:beforeAutospacing="0" w:after="0" w:afterAutospacing="0"/>
              <w:ind w:left="0" w:right="0"/>
              <w:rPr>
                <w:rFonts w:hint="default"/>
                <w:color w:val="auto"/>
              </w:rPr>
            </w:pPr>
          </w:p>
          <w:p w14:paraId="41BD7E9C">
            <w:pPr>
              <w:pStyle w:val="36"/>
              <w:keepNext w:val="0"/>
              <w:keepLines w:val="0"/>
              <w:suppressLineNumbers w:val="0"/>
              <w:bidi w:val="0"/>
              <w:spacing w:before="0" w:beforeAutospacing="0" w:after="0" w:afterAutospacing="0"/>
              <w:ind w:left="0" w:right="0"/>
              <w:rPr>
                <w:rFonts w:hint="default"/>
                <w:color w:val="auto"/>
              </w:rPr>
            </w:pPr>
          </w:p>
          <w:p w14:paraId="1ECB0037">
            <w:pPr>
              <w:pStyle w:val="36"/>
              <w:keepNext w:val="0"/>
              <w:keepLines w:val="0"/>
              <w:suppressLineNumbers w:val="0"/>
              <w:bidi w:val="0"/>
              <w:spacing w:before="0" w:beforeAutospacing="0" w:after="0" w:afterAutospacing="0"/>
              <w:ind w:left="0" w:right="0"/>
              <w:rPr>
                <w:rFonts w:hint="default"/>
                <w:color w:val="auto"/>
              </w:rPr>
            </w:pPr>
          </w:p>
          <w:p w14:paraId="35B0D74E">
            <w:pPr>
              <w:pStyle w:val="36"/>
              <w:keepNext w:val="0"/>
              <w:keepLines w:val="0"/>
              <w:suppressLineNumbers w:val="0"/>
              <w:bidi w:val="0"/>
              <w:spacing w:before="0" w:beforeAutospacing="0" w:after="0" w:afterAutospacing="0"/>
              <w:ind w:left="0" w:right="0"/>
              <w:rPr>
                <w:rFonts w:hint="default"/>
                <w:color w:val="auto"/>
              </w:rPr>
            </w:pPr>
          </w:p>
          <w:p w14:paraId="7A507F24">
            <w:pPr>
              <w:pStyle w:val="36"/>
              <w:keepNext w:val="0"/>
              <w:keepLines w:val="0"/>
              <w:suppressLineNumbers w:val="0"/>
              <w:bidi w:val="0"/>
              <w:spacing w:before="0" w:beforeAutospacing="0" w:after="0" w:afterAutospacing="0"/>
              <w:ind w:left="0" w:right="0"/>
              <w:rPr>
                <w:rFonts w:hint="default"/>
                <w:color w:val="auto"/>
              </w:rPr>
            </w:pPr>
          </w:p>
          <w:p w14:paraId="7E9F8D44">
            <w:pPr>
              <w:pStyle w:val="36"/>
              <w:keepNext w:val="0"/>
              <w:keepLines w:val="0"/>
              <w:suppressLineNumbers w:val="0"/>
              <w:bidi w:val="0"/>
              <w:spacing w:before="0" w:beforeAutospacing="0" w:after="0" w:afterAutospacing="0"/>
              <w:ind w:left="0" w:right="0"/>
              <w:rPr>
                <w:rFonts w:hint="default"/>
                <w:color w:val="auto"/>
              </w:rPr>
            </w:pPr>
          </w:p>
          <w:p w14:paraId="50CB0E21">
            <w:pPr>
              <w:pStyle w:val="36"/>
              <w:keepNext w:val="0"/>
              <w:keepLines w:val="0"/>
              <w:suppressLineNumbers w:val="0"/>
              <w:bidi w:val="0"/>
              <w:spacing w:before="0" w:beforeAutospacing="0" w:after="0" w:afterAutospacing="0"/>
              <w:ind w:left="0" w:right="0"/>
              <w:rPr>
                <w:rFonts w:hint="default"/>
                <w:color w:val="auto"/>
              </w:rPr>
            </w:pPr>
          </w:p>
          <w:p w14:paraId="1CA301E5">
            <w:pPr>
              <w:pStyle w:val="36"/>
              <w:keepNext w:val="0"/>
              <w:keepLines w:val="0"/>
              <w:suppressLineNumbers w:val="0"/>
              <w:bidi w:val="0"/>
              <w:spacing w:before="0" w:beforeAutospacing="0" w:after="0" w:afterAutospacing="0"/>
              <w:ind w:left="0" w:right="0"/>
              <w:rPr>
                <w:rFonts w:hint="default"/>
                <w:color w:val="auto"/>
              </w:rPr>
            </w:pPr>
          </w:p>
          <w:p w14:paraId="7A60C428">
            <w:pPr>
              <w:pStyle w:val="36"/>
              <w:keepNext w:val="0"/>
              <w:keepLines w:val="0"/>
              <w:suppressLineNumbers w:val="0"/>
              <w:bidi w:val="0"/>
              <w:spacing w:before="0" w:beforeAutospacing="0" w:after="0" w:afterAutospacing="0"/>
              <w:ind w:left="0" w:right="0"/>
              <w:rPr>
                <w:rFonts w:hint="default"/>
                <w:color w:val="auto"/>
              </w:rPr>
            </w:pPr>
          </w:p>
          <w:p w14:paraId="763D0A19">
            <w:pPr>
              <w:pStyle w:val="36"/>
              <w:keepNext w:val="0"/>
              <w:keepLines w:val="0"/>
              <w:suppressLineNumbers w:val="0"/>
              <w:bidi w:val="0"/>
              <w:spacing w:before="0" w:beforeAutospacing="0" w:after="0" w:afterAutospacing="0"/>
              <w:ind w:left="0" w:right="0"/>
              <w:rPr>
                <w:rFonts w:hint="default"/>
                <w:color w:val="auto"/>
              </w:rPr>
            </w:pPr>
          </w:p>
          <w:p w14:paraId="1E2E1403">
            <w:pPr>
              <w:pStyle w:val="36"/>
              <w:keepNext w:val="0"/>
              <w:keepLines w:val="0"/>
              <w:suppressLineNumbers w:val="0"/>
              <w:bidi w:val="0"/>
              <w:spacing w:before="0" w:beforeAutospacing="0" w:after="0" w:afterAutospacing="0"/>
              <w:ind w:left="0" w:right="0"/>
              <w:rPr>
                <w:rFonts w:hint="default"/>
                <w:color w:val="auto"/>
              </w:rPr>
            </w:pPr>
          </w:p>
          <w:p w14:paraId="5FA9CD1F">
            <w:pPr>
              <w:pStyle w:val="36"/>
              <w:keepNext w:val="0"/>
              <w:keepLines w:val="0"/>
              <w:suppressLineNumbers w:val="0"/>
              <w:bidi w:val="0"/>
              <w:spacing w:before="0" w:beforeAutospacing="0" w:after="0" w:afterAutospacing="0"/>
              <w:ind w:left="0" w:right="0"/>
              <w:rPr>
                <w:rFonts w:hint="default"/>
                <w:color w:val="auto"/>
              </w:rPr>
            </w:pPr>
          </w:p>
          <w:p w14:paraId="09A86749">
            <w:pPr>
              <w:pStyle w:val="36"/>
              <w:keepNext w:val="0"/>
              <w:keepLines w:val="0"/>
              <w:suppressLineNumbers w:val="0"/>
              <w:spacing w:before="0" w:beforeAutospacing="0" w:after="0" w:afterAutospacing="0"/>
              <w:ind w:left="0" w:right="0" w:firstLine="0" w:firstLineChars="0"/>
              <w:rPr>
                <w:rFonts w:hint="default" w:ascii="Times New Roman" w:hAnsi="Times New Roman" w:cs="Times New Roman"/>
                <w:color w:val="auto"/>
                <w:highlight w:val="none"/>
              </w:rPr>
            </w:pPr>
          </w:p>
        </w:tc>
      </w:tr>
      <w:tr w14:paraId="5792D7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640" w:hRule="atLeast"/>
          <w:jc w:val="center"/>
        </w:trPr>
        <w:tc>
          <w:tcPr>
            <w:tcW w:w="830" w:type="pct"/>
            <w:vAlign w:val="center"/>
          </w:tcPr>
          <w:p w14:paraId="5A6F8AC9">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其他符合性分析</w:t>
            </w:r>
          </w:p>
        </w:tc>
        <w:tc>
          <w:tcPr>
            <w:tcW w:w="4169" w:type="pct"/>
            <w:gridSpan w:val="4"/>
            <w:vAlign w:val="center"/>
          </w:tcPr>
          <w:p w14:paraId="0FA43E44">
            <w:pPr>
              <w:pStyle w:val="5"/>
              <w:keepNext w:val="0"/>
              <w:keepLines w:val="0"/>
              <w:suppressLineNumbers w:val="0"/>
              <w:tabs>
                <w:tab w:val="left" w:pos="0"/>
              </w:tabs>
              <w:spacing w:before="0" w:beforeAutospacing="0" w:after="0" w:afterAutospacing="0"/>
              <w:ind w:left="0" w:right="0"/>
              <w:rPr>
                <w:rFonts w:hint="default" w:ascii="Times New Roman" w:hAnsi="Times New Roman" w:cs="Times New Roman"/>
                <w:color w:val="auto"/>
                <w:sz w:val="24"/>
                <w:szCs w:val="20"/>
                <w:highlight w:val="none"/>
              </w:rPr>
            </w:pPr>
            <w:bookmarkStart w:id="6" w:name="_Toc21323"/>
            <w:r>
              <w:rPr>
                <w:rFonts w:hint="default" w:ascii="Times New Roman" w:hAnsi="Times New Roman" w:cs="Times New Roman"/>
                <w:color w:val="auto"/>
                <w:highlight w:val="none"/>
              </w:rPr>
              <w:t>产业政策符合性分析</w:t>
            </w:r>
            <w:bookmarkEnd w:id="6"/>
          </w:p>
          <w:p w14:paraId="7C8077D7">
            <w:pPr>
              <w:pStyle w:val="36"/>
              <w:keepNext w:val="0"/>
              <w:keepLines w:val="0"/>
              <w:suppressLineNumbers w:val="0"/>
              <w:bidi w:val="0"/>
              <w:spacing w:before="0" w:beforeAutospacing="0" w:after="0" w:afterAutospacing="0"/>
              <w:ind w:left="0" w:right="0"/>
              <w:rPr>
                <w:rFonts w:hint="eastAsia"/>
                <w:color w:val="auto"/>
              </w:rPr>
            </w:pPr>
            <w:r>
              <w:rPr>
                <w:rFonts w:hint="default" w:ascii="Times New Roman" w:hAnsi="Times New Roman" w:cs="Times New Roman"/>
                <w:color w:val="auto"/>
                <w:highlight w:val="none"/>
                <w:lang w:val="en-US" w:eastAsia="zh-CN"/>
              </w:rPr>
              <w:t>本项目为</w:t>
            </w:r>
            <w:r>
              <w:rPr>
                <w:rFonts w:hint="eastAsia" w:cs="Times New Roman"/>
                <w:color w:val="auto"/>
                <w:highlight w:val="none"/>
                <w:lang w:val="en-US" w:eastAsia="zh-CN"/>
              </w:rPr>
              <w:t>水质</w:t>
            </w:r>
            <w:r>
              <w:rPr>
                <w:rFonts w:hint="default" w:ascii="Times New Roman" w:hAnsi="Times New Roman" w:cs="Times New Roman"/>
                <w:color w:val="auto"/>
                <w:highlight w:val="none"/>
                <w:lang w:val="en-US" w:eastAsia="zh-CN"/>
              </w:rPr>
              <w:t>检测专业实验室，属于专业技术服务业，</w:t>
            </w:r>
            <w:r>
              <w:rPr>
                <w:rFonts w:hint="eastAsia" w:cs="Times New Roman"/>
                <w:color w:val="auto"/>
                <w:highlight w:val="none"/>
                <w:lang w:val="en-US" w:eastAsia="zh-CN"/>
              </w:rPr>
              <w:t>对照</w:t>
            </w:r>
            <w:r>
              <w:rPr>
                <w:rFonts w:hint="default" w:ascii="Times New Roman" w:hAnsi="Times New Roman" w:cs="Times New Roman"/>
                <w:color w:val="auto"/>
                <w:highlight w:val="none"/>
                <w:lang w:val="en-US" w:eastAsia="zh-CN"/>
              </w:rPr>
              <w:t>《产业结构调整指导目录（</w:t>
            </w:r>
            <w:r>
              <w:rPr>
                <w:rFonts w:hint="eastAsia" w:cs="Times New Roman"/>
                <w:color w:val="auto"/>
                <w:highlight w:val="none"/>
                <w:lang w:val="en-US" w:eastAsia="zh-CN"/>
              </w:rPr>
              <w:t>2024</w:t>
            </w:r>
            <w:r>
              <w:rPr>
                <w:rFonts w:hint="default" w:ascii="Times New Roman" w:hAnsi="Times New Roman" w:cs="Times New Roman"/>
                <w:color w:val="auto"/>
                <w:highlight w:val="none"/>
                <w:lang w:val="en-US" w:eastAsia="zh-CN"/>
              </w:rPr>
              <w:t>年本）》等，</w:t>
            </w:r>
            <w:r>
              <w:rPr>
                <w:rFonts w:hint="eastAsia" w:cs="Times New Roman"/>
                <w:color w:val="auto"/>
                <w:highlight w:val="none"/>
                <w:lang w:val="en-US" w:eastAsia="zh-CN"/>
              </w:rPr>
              <w:t>本</w:t>
            </w:r>
            <w:r>
              <w:rPr>
                <w:rFonts w:hint="default" w:ascii="Times New Roman" w:hAnsi="Times New Roman" w:cs="Times New Roman"/>
                <w:color w:val="auto"/>
                <w:highlight w:val="none"/>
                <w:lang w:val="en-US" w:eastAsia="zh-CN"/>
              </w:rPr>
              <w:t>项目属于鼓励类</w:t>
            </w:r>
            <w:r>
              <w:rPr>
                <w:rFonts w:hint="eastAsia" w:ascii="宋体" w:hAnsi="宋体" w:eastAsia="宋体" w:cs="宋体"/>
                <w:color w:val="auto"/>
                <w:highlight w:val="none"/>
                <w:lang w:val="en-US" w:eastAsia="zh-CN"/>
              </w:rPr>
              <w:t>中“</w:t>
            </w:r>
            <w:r>
              <w:rPr>
                <w:rFonts w:hint="default" w:ascii="Times New Roman" w:hAnsi="Times New Roman" w:eastAsia="宋体" w:cs="Times New Roman"/>
                <w:color w:val="auto"/>
                <w:highlight w:val="none"/>
                <w:lang w:val="en-US" w:eastAsia="zh-CN"/>
              </w:rPr>
              <w:t>三</w:t>
            </w:r>
            <w:r>
              <w:rPr>
                <w:rFonts w:hint="default" w:ascii="Times New Roman" w:hAnsi="Times New Roman" w:cs="Times New Roman"/>
                <w:color w:val="auto"/>
                <w:highlight w:val="none"/>
                <w:lang w:val="en-US" w:eastAsia="zh-CN"/>
              </w:rPr>
              <w:t>十</w:t>
            </w:r>
            <w:r>
              <w:rPr>
                <w:rFonts w:hint="eastAsia" w:cs="Times New Roman"/>
                <w:color w:val="auto"/>
                <w:highlight w:val="none"/>
                <w:lang w:val="en-US" w:eastAsia="zh-CN"/>
              </w:rPr>
              <w:t>一</w:t>
            </w:r>
            <w:r>
              <w:rPr>
                <w:rFonts w:hint="default" w:ascii="Times New Roman" w:hAnsi="Times New Roman" w:cs="Times New Roman"/>
                <w:color w:val="auto"/>
                <w:highlight w:val="none"/>
                <w:lang w:val="en-US" w:eastAsia="zh-CN"/>
              </w:rPr>
              <w:t>、科技服务业：1、工业设计、气象、生物及医药、新材料、新能源、节能、环保、测绘、海洋等专业科技服务，标准化服务、计量测试、质量认证和检验检测服务，科技普</w:t>
            </w:r>
            <w:r>
              <w:rPr>
                <w:rFonts w:hint="eastAsia" w:ascii="宋体" w:hAnsi="宋体" w:eastAsia="宋体" w:cs="宋体"/>
                <w:color w:val="auto"/>
                <w:highlight w:val="none"/>
                <w:lang w:val="en-US" w:eastAsia="zh-CN"/>
              </w:rPr>
              <w:t>及”，</w:t>
            </w:r>
            <w:r>
              <w:rPr>
                <w:rFonts w:hint="eastAsia"/>
                <w:color w:val="auto"/>
                <w:lang w:val="en-US" w:eastAsia="zh-CN"/>
              </w:rPr>
              <w:t>且该项目于</w:t>
            </w:r>
            <w:r>
              <w:rPr>
                <w:rFonts w:hint="eastAsia"/>
                <w:color w:val="auto"/>
                <w:highlight w:val="none"/>
                <w:lang w:val="en-US" w:eastAsia="zh-CN"/>
              </w:rPr>
              <w:t>2025年1月24日取得福清市发展和改革局的备案（</w:t>
            </w:r>
            <w:r>
              <w:rPr>
                <w:rFonts w:hint="default" w:ascii="Times New Roman" w:hAnsi="Times New Roman" w:cs="Times New Roman"/>
                <w:color w:val="auto"/>
                <w:sz w:val="24"/>
                <w:szCs w:val="24"/>
                <w:highlight w:val="none"/>
                <w:lang w:val="en-US" w:eastAsia="zh-CN"/>
              </w:rPr>
              <w:t>闽发改备</w:t>
            </w:r>
            <w:r>
              <w:rPr>
                <w:rFonts w:hint="default" w:ascii="Times New Roman" w:hAnsi="Times New Roman" w:cs="Times New Roman"/>
                <w:color w:val="auto"/>
                <w:sz w:val="24"/>
                <w:szCs w:val="24"/>
                <w:highlight w:val="none"/>
                <w:shd w:val="clear" w:fill="FFFFFF"/>
                <w:lang w:val="en-US" w:eastAsia="zh-CN"/>
              </w:rPr>
              <w:t>[2025]</w:t>
            </w:r>
            <w:r>
              <w:rPr>
                <w:rFonts w:hint="default" w:ascii="Times New Roman" w:hAnsi="Times New Roman" w:cs="Times New Roman"/>
                <w:color w:val="auto"/>
                <w:sz w:val="24"/>
                <w:szCs w:val="24"/>
                <w:highlight w:val="none"/>
                <w:lang w:val="en-US" w:eastAsia="zh-CN"/>
              </w:rPr>
              <w:t>A060073</w:t>
            </w:r>
            <w:r>
              <w:rPr>
                <w:rFonts w:hint="eastAsia"/>
                <w:color w:val="auto"/>
                <w:highlight w:val="none"/>
                <w:lang w:val="en-US" w:eastAsia="zh-CN"/>
              </w:rPr>
              <w:t>号，详见附件2）。</w:t>
            </w:r>
            <w:r>
              <w:rPr>
                <w:rFonts w:hint="eastAsia" w:ascii="宋体" w:hAnsi="宋体" w:eastAsia="宋体" w:cs="宋体"/>
                <w:color w:val="auto"/>
                <w:highlight w:val="none"/>
                <w:lang w:val="en-US" w:eastAsia="zh-CN"/>
              </w:rPr>
              <w:t>因此</w:t>
            </w:r>
            <w:r>
              <w:rPr>
                <w:rFonts w:hint="default" w:ascii="Times New Roman" w:hAnsi="Times New Roman" w:cs="Times New Roman"/>
                <w:color w:val="auto"/>
                <w:highlight w:val="none"/>
                <w:lang w:val="en-US" w:eastAsia="zh-CN"/>
              </w:rPr>
              <w:t>符合国家</w:t>
            </w:r>
            <w:r>
              <w:rPr>
                <w:rFonts w:hint="eastAsia" w:cs="Times New Roman"/>
                <w:color w:val="auto"/>
                <w:highlight w:val="none"/>
                <w:lang w:val="en-US" w:eastAsia="zh-CN"/>
              </w:rPr>
              <w:t>和地方</w:t>
            </w:r>
            <w:r>
              <w:rPr>
                <w:rFonts w:hint="default" w:ascii="Times New Roman" w:hAnsi="Times New Roman" w:cs="Times New Roman"/>
                <w:color w:val="auto"/>
                <w:highlight w:val="none"/>
                <w:lang w:val="en-US" w:eastAsia="zh-CN"/>
              </w:rPr>
              <w:t>当前产业政策。</w:t>
            </w:r>
          </w:p>
          <w:p w14:paraId="23EC4011">
            <w:pPr>
              <w:pStyle w:val="5"/>
              <w:keepNext w:val="0"/>
              <w:keepLines w:val="0"/>
              <w:suppressLineNumbers w:val="0"/>
              <w:tabs>
                <w:tab w:val="left" w:pos="0"/>
              </w:tabs>
              <w:spacing w:before="0" w:beforeAutospacing="0" w:after="0" w:afterAutospacing="0"/>
              <w:ind w:left="0" w:right="0"/>
              <w:rPr>
                <w:rFonts w:hint="default" w:ascii="Times New Roman" w:hAnsi="Times New Roman" w:cs="Times New Roman"/>
                <w:color w:val="auto"/>
                <w:highlight w:val="none"/>
              </w:rPr>
            </w:pPr>
            <w:bookmarkStart w:id="7" w:name="_Toc12351"/>
            <w:r>
              <w:rPr>
                <w:rFonts w:hint="eastAsia" w:ascii="Times New Roman" w:hAnsi="Times New Roman" w:cs="Times New Roman"/>
                <w:color w:val="auto"/>
                <w:highlight w:val="none"/>
                <w:lang w:val="en-US" w:eastAsia="zh-CN"/>
              </w:rPr>
              <w:t>项目选址合理</w:t>
            </w:r>
            <w:r>
              <w:rPr>
                <w:rFonts w:hint="default" w:ascii="Times New Roman" w:hAnsi="Times New Roman" w:cs="Times New Roman"/>
                <w:color w:val="auto"/>
                <w:highlight w:val="none"/>
              </w:rPr>
              <w:t>性分析</w:t>
            </w:r>
            <w:bookmarkEnd w:id="7"/>
          </w:p>
          <w:p w14:paraId="7C7BF52E">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default"/>
                <w:color w:val="auto"/>
                <w:highlight w:val="none"/>
              </w:rPr>
              <w:t>本项目位于</w:t>
            </w:r>
            <w:r>
              <w:rPr>
                <w:rFonts w:hint="eastAsia"/>
                <w:color w:val="auto"/>
                <w:highlight w:val="none"/>
                <w:lang w:eastAsia="zh-CN"/>
              </w:rPr>
              <w:t>福清融侨经济技术开发区（</w:t>
            </w:r>
            <w:r>
              <w:rPr>
                <w:rFonts w:hint="eastAsia" w:cs="Times New Roman"/>
                <w:color w:val="auto"/>
                <w:sz w:val="24"/>
                <w:szCs w:val="24"/>
                <w:highlight w:val="none"/>
                <w:u w:val="none"/>
                <w:lang w:eastAsia="zh-CN"/>
              </w:rPr>
              <w:t>福清洪金机械有限公司办公科研楼4层、5层</w:t>
            </w:r>
            <w:r>
              <w:rPr>
                <w:rFonts w:hint="eastAsia"/>
                <w:color w:val="auto"/>
                <w:highlight w:val="none"/>
                <w:lang w:eastAsia="zh-CN"/>
              </w:rPr>
              <w:t>）（</w:t>
            </w:r>
            <w:r>
              <w:rPr>
                <w:rFonts w:hint="eastAsia"/>
                <w:color w:val="auto"/>
                <w:highlight w:val="none"/>
                <w:lang w:val="en-US" w:eastAsia="zh-CN"/>
              </w:rPr>
              <w:t>租赁合同详见附件4</w:t>
            </w:r>
            <w:r>
              <w:rPr>
                <w:rFonts w:hint="eastAsia"/>
                <w:color w:val="auto"/>
                <w:highlight w:val="none"/>
                <w:lang w:eastAsia="zh-CN"/>
              </w:rPr>
              <w:t>）</w:t>
            </w:r>
            <w:r>
              <w:rPr>
                <w:rFonts w:hint="default"/>
                <w:color w:val="auto"/>
                <w:highlight w:val="none"/>
              </w:rPr>
              <w:t>，</w:t>
            </w:r>
            <w:r>
              <w:rPr>
                <w:rFonts w:hint="eastAsia"/>
                <w:color w:val="auto"/>
              </w:rPr>
              <w:t>根据业主提</w:t>
            </w:r>
            <w:r>
              <w:rPr>
                <w:rFonts w:hint="eastAsia"/>
                <w:color w:val="auto"/>
                <w:lang w:eastAsia="zh-CN"/>
              </w:rPr>
              <w:t>供的</w:t>
            </w:r>
            <w:r>
              <w:rPr>
                <w:rFonts w:hint="eastAsia"/>
                <w:color w:val="auto"/>
                <w:lang w:val="en-US" w:eastAsia="zh-CN"/>
              </w:rPr>
              <w:t>不动产</w:t>
            </w:r>
            <w:r>
              <w:rPr>
                <w:rFonts w:hint="eastAsia"/>
                <w:color w:val="auto"/>
              </w:rPr>
              <w:t>权证</w:t>
            </w:r>
            <w:r>
              <w:rPr>
                <w:rFonts w:hint="eastAsia"/>
                <w:color w:val="auto"/>
                <w:lang w:eastAsia="zh-CN"/>
              </w:rPr>
              <w:t>“</w:t>
            </w:r>
            <w:r>
              <w:rPr>
                <w:rFonts w:hint="eastAsia"/>
                <w:color w:val="auto"/>
                <w:lang w:val="en-US" w:eastAsia="zh-CN"/>
              </w:rPr>
              <w:t>闽（2020）福清市不动产权第0013762号</w:t>
            </w:r>
            <w:r>
              <w:rPr>
                <w:rFonts w:hint="eastAsia"/>
                <w:color w:val="auto"/>
                <w:lang w:eastAsia="zh-CN"/>
              </w:rPr>
              <w:t>”</w:t>
            </w:r>
            <w:r>
              <w:rPr>
                <w:rFonts w:hint="eastAsia"/>
                <w:color w:val="auto"/>
              </w:rPr>
              <w:t>项目</w:t>
            </w:r>
            <w:r>
              <w:rPr>
                <w:rFonts w:hint="eastAsia"/>
                <w:color w:val="auto"/>
                <w:lang w:val="en-US" w:eastAsia="zh-CN"/>
              </w:rPr>
              <w:t>用地</w:t>
            </w:r>
            <w:r>
              <w:rPr>
                <w:rFonts w:hint="eastAsia"/>
                <w:color w:val="auto"/>
              </w:rPr>
              <w:t>用途属于</w:t>
            </w:r>
            <w:r>
              <w:rPr>
                <w:rFonts w:hint="eastAsia"/>
                <w:color w:val="auto"/>
                <w:lang w:val="en-US" w:eastAsia="zh-CN"/>
              </w:rPr>
              <w:t>工业用地</w:t>
            </w:r>
            <w:r>
              <w:rPr>
                <w:rFonts w:hint="eastAsia"/>
                <w:color w:val="auto"/>
              </w:rPr>
              <w:t>，</w:t>
            </w:r>
            <w:r>
              <w:rPr>
                <w:rFonts w:hint="eastAsia"/>
                <w:color w:val="auto"/>
                <w:lang w:val="en-US" w:eastAsia="zh-CN"/>
              </w:rPr>
              <w:t>企业</w:t>
            </w:r>
            <w:r>
              <w:rPr>
                <w:rFonts w:hint="default"/>
                <w:color w:val="auto"/>
              </w:rPr>
              <w:t>主要</w:t>
            </w:r>
            <w:r>
              <w:rPr>
                <w:rFonts w:hint="eastAsia"/>
                <w:color w:val="auto"/>
                <w:lang w:val="en-US" w:eastAsia="zh-CN"/>
              </w:rPr>
              <w:t>从事</w:t>
            </w:r>
            <w:r>
              <w:rPr>
                <w:rFonts w:hint="eastAsia" w:cs="Times New Roman"/>
                <w:color w:val="auto"/>
                <w:highlight w:val="none"/>
                <w:lang w:val="en-US" w:eastAsia="zh-CN"/>
              </w:rPr>
              <w:t>水质</w:t>
            </w:r>
            <w:r>
              <w:rPr>
                <w:rFonts w:hint="default" w:ascii="Times New Roman" w:hAnsi="Times New Roman" w:cs="Times New Roman"/>
                <w:color w:val="auto"/>
                <w:highlight w:val="none"/>
                <w:lang w:val="en-US" w:eastAsia="zh-CN"/>
              </w:rPr>
              <w:t>检测</w:t>
            </w:r>
            <w:r>
              <w:rPr>
                <w:rFonts w:hint="default"/>
                <w:color w:val="auto"/>
              </w:rPr>
              <w:t>，属于</w:t>
            </w:r>
            <w:r>
              <w:rPr>
                <w:rFonts w:hint="default" w:ascii="Times New Roman" w:hAnsi="Times New Roman" w:cs="Times New Roman"/>
                <w:color w:val="auto"/>
                <w:highlight w:val="none"/>
                <w:lang w:val="en-US" w:eastAsia="zh-CN"/>
              </w:rPr>
              <w:t>专业技术服务</w:t>
            </w:r>
            <w:r>
              <w:rPr>
                <w:rFonts w:hint="default"/>
                <w:color w:val="auto"/>
              </w:rPr>
              <w:t>企业，因此，项目选址符合</w:t>
            </w:r>
            <w:r>
              <w:rPr>
                <w:rFonts w:hint="eastAsia"/>
                <w:color w:val="auto"/>
              </w:rPr>
              <w:t>《福清融侨经济技术开发区总体规划（2018</w:t>
            </w:r>
            <w:r>
              <w:rPr>
                <w:rFonts w:hint="eastAsia"/>
                <w:color w:val="auto"/>
                <w:shd w:val="clear" w:fill="FFFFFF"/>
              </w:rPr>
              <w:t>-</w:t>
            </w:r>
            <w:r>
              <w:rPr>
                <w:rFonts w:hint="eastAsia"/>
                <w:color w:val="auto"/>
              </w:rPr>
              <w:t>2035年）》</w:t>
            </w:r>
            <w:r>
              <w:rPr>
                <w:rFonts w:hint="default"/>
                <w:color w:val="auto"/>
              </w:rPr>
              <w:t>要求，故项目选址合理。</w:t>
            </w:r>
          </w:p>
          <w:p w14:paraId="7102305E">
            <w:pPr>
              <w:pStyle w:val="5"/>
              <w:keepNext w:val="0"/>
              <w:keepLines w:val="0"/>
              <w:suppressLineNumbers w:val="0"/>
              <w:tabs>
                <w:tab w:val="left" w:pos="0"/>
              </w:tabs>
              <w:spacing w:before="0" w:beforeAutospacing="0" w:after="0" w:afterAutospacing="0"/>
              <w:ind w:left="0" w:right="0"/>
              <w:rPr>
                <w:rFonts w:hint="eastAsia" w:ascii="Times New Roman" w:hAnsi="Times New Roman" w:cs="Times New Roman"/>
                <w:color w:val="auto"/>
                <w:highlight w:val="none"/>
                <w:lang w:val="en-US" w:eastAsia="zh-CN"/>
              </w:rPr>
            </w:pPr>
            <w:bookmarkStart w:id="8" w:name="_Toc13352"/>
            <w:r>
              <w:rPr>
                <w:rFonts w:hint="eastAsia" w:ascii="Times New Roman" w:hAnsi="Times New Roman" w:cs="Times New Roman"/>
                <w:color w:val="auto"/>
                <w:highlight w:val="none"/>
                <w:lang w:val="en-US" w:eastAsia="zh-CN"/>
              </w:rPr>
              <w:t>环境功能区划符合性分析</w:t>
            </w:r>
            <w:bookmarkEnd w:id="8"/>
          </w:p>
          <w:p w14:paraId="6A1A116D">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default"/>
                <w:color w:val="auto"/>
              </w:rPr>
              <w:t>项目位于</w:t>
            </w:r>
            <w:r>
              <w:rPr>
                <w:rFonts w:hint="eastAsia" w:cs="宋体"/>
                <w:color w:val="auto"/>
                <w:spacing w:val="0"/>
                <w:kern w:val="21"/>
                <w:sz w:val="24"/>
                <w:szCs w:val="24"/>
                <w:lang w:val="en-US" w:eastAsia="zh-CN"/>
              </w:rPr>
              <w:t>福清融侨经济技术开发区</w:t>
            </w:r>
            <w:r>
              <w:rPr>
                <w:rFonts w:hint="eastAsia"/>
                <w:color w:val="auto"/>
                <w:highlight w:val="none"/>
                <w:lang w:eastAsia="zh-CN"/>
              </w:rPr>
              <w:t>（</w:t>
            </w:r>
            <w:r>
              <w:rPr>
                <w:rFonts w:hint="eastAsia" w:cs="Times New Roman"/>
                <w:color w:val="auto"/>
                <w:sz w:val="24"/>
                <w:szCs w:val="24"/>
                <w:highlight w:val="none"/>
                <w:u w:val="none"/>
                <w:lang w:eastAsia="zh-CN"/>
              </w:rPr>
              <w:t>福清洪金机械有限公司办公科研楼4层、5层</w:t>
            </w:r>
            <w:r>
              <w:rPr>
                <w:rFonts w:hint="eastAsia"/>
                <w:color w:val="auto"/>
                <w:highlight w:val="none"/>
                <w:lang w:eastAsia="zh-CN"/>
              </w:rPr>
              <w:t>）</w:t>
            </w:r>
            <w:r>
              <w:rPr>
                <w:rFonts w:hint="default"/>
                <w:color w:val="auto"/>
              </w:rPr>
              <w:t>，根据现场勘查，周边以工业企业为主，项目</w:t>
            </w:r>
            <w:r>
              <w:rPr>
                <w:rFonts w:hint="eastAsia"/>
                <w:color w:val="auto"/>
                <w:lang w:eastAsia="zh-CN"/>
              </w:rPr>
              <w:t>周边环境</w:t>
            </w:r>
            <w:r>
              <w:rPr>
                <w:rFonts w:hint="default"/>
                <w:color w:val="auto"/>
              </w:rPr>
              <w:t>示意图</w:t>
            </w:r>
            <w:r>
              <w:rPr>
                <w:rFonts w:hint="eastAsia"/>
                <w:color w:val="auto"/>
                <w:lang w:val="en-US" w:eastAsia="zh-CN"/>
              </w:rPr>
              <w:t>与</w:t>
            </w:r>
            <w:r>
              <w:rPr>
                <w:rFonts w:hint="default"/>
                <w:color w:val="auto"/>
                <w:highlight w:val="none"/>
              </w:rPr>
              <w:t>项目周边环境现状图</w:t>
            </w:r>
            <w:r>
              <w:rPr>
                <w:rFonts w:hint="default"/>
                <w:color w:val="auto"/>
              </w:rPr>
              <w:t>详见</w:t>
            </w:r>
            <w:r>
              <w:rPr>
                <w:rFonts w:hint="default"/>
                <w:color w:val="auto"/>
                <w:highlight w:val="none"/>
              </w:rPr>
              <w:t>附图</w:t>
            </w:r>
            <w:r>
              <w:rPr>
                <w:rFonts w:hint="eastAsia"/>
                <w:color w:val="auto"/>
                <w:highlight w:val="none"/>
                <w:lang w:val="en-US" w:eastAsia="zh-CN"/>
              </w:rPr>
              <w:t>2</w:t>
            </w:r>
            <w:r>
              <w:rPr>
                <w:rFonts w:hint="default"/>
                <w:color w:val="auto"/>
                <w:highlight w:val="none"/>
              </w:rPr>
              <w:t>；</w:t>
            </w:r>
            <w:r>
              <w:rPr>
                <w:rFonts w:hint="default"/>
                <w:color w:val="auto"/>
              </w:rPr>
              <w:t>建设单位在落实本评价提出的各项污染治理措施的前提下，可实现污染物达标排放，且各污染物排放源强较低，运营期产生的</w:t>
            </w:r>
            <w:r>
              <w:rPr>
                <w:rFonts w:hint="eastAsia"/>
                <w:color w:val="auto"/>
                <w:lang w:eastAsia="zh-CN"/>
              </w:rPr>
              <w:t>“</w:t>
            </w:r>
            <w:r>
              <w:rPr>
                <w:rFonts w:hint="default"/>
                <w:color w:val="auto"/>
              </w:rPr>
              <w:t>三废</w:t>
            </w:r>
            <w:r>
              <w:rPr>
                <w:rFonts w:hint="eastAsia"/>
                <w:color w:val="auto"/>
                <w:lang w:eastAsia="zh-CN"/>
              </w:rPr>
              <w:t>”</w:t>
            </w:r>
            <w:r>
              <w:rPr>
                <w:rFonts w:hint="default"/>
                <w:color w:val="auto"/>
              </w:rPr>
              <w:t>及噪声对周边环境影响</w:t>
            </w:r>
            <w:r>
              <w:rPr>
                <w:rFonts w:hint="eastAsia"/>
                <w:color w:val="auto"/>
                <w:lang w:val="en-US" w:eastAsia="zh-CN"/>
              </w:rPr>
              <w:t>较小</w:t>
            </w:r>
            <w:r>
              <w:rPr>
                <w:rFonts w:hint="default"/>
                <w:color w:val="auto"/>
              </w:rPr>
              <w:t>，因此，项目建设与周边环境基本相容。</w:t>
            </w:r>
          </w:p>
          <w:p w14:paraId="45C7B7EF">
            <w:pPr>
              <w:pStyle w:val="20"/>
              <w:keepNext w:val="0"/>
              <w:keepLines w:val="0"/>
              <w:suppressLineNumbers w:val="0"/>
              <w:bidi w:val="0"/>
              <w:spacing w:before="0" w:beforeAutospacing="0" w:after="0" w:afterAutospacing="0"/>
              <w:ind w:left="0" w:right="0" w:firstLine="480" w:firstLineChars="200"/>
              <w:jc w:val="both"/>
              <w:rPr>
                <w:rFonts w:hint="default" w:ascii="Times New Roman" w:hAnsi="Times New Roman" w:cs="宋体"/>
                <w:color w:val="auto"/>
                <w:spacing w:val="0"/>
                <w:kern w:val="21"/>
                <w:szCs w:val="24"/>
              </w:rPr>
            </w:pPr>
            <w:r>
              <w:rPr>
                <w:rFonts w:hint="default"/>
                <w:color w:val="auto"/>
              </w:rPr>
              <w:t>本评价要求建设单位合理设计厂区平面布置，完善废水、废气、噪声及</w:t>
            </w:r>
            <w:r>
              <w:rPr>
                <w:rFonts w:hint="eastAsia"/>
                <w:color w:val="auto"/>
                <w:lang w:eastAsia="zh-CN"/>
              </w:rPr>
              <w:t>固体废物</w:t>
            </w:r>
            <w:r>
              <w:rPr>
                <w:rFonts w:hint="default"/>
                <w:color w:val="auto"/>
              </w:rPr>
              <w:t>治理的环保措施，保证项目产生的废水、废气、噪声及</w:t>
            </w:r>
            <w:r>
              <w:rPr>
                <w:rFonts w:hint="eastAsia"/>
                <w:color w:val="auto"/>
                <w:lang w:eastAsia="zh-CN"/>
              </w:rPr>
              <w:t>固体废物</w:t>
            </w:r>
            <w:r>
              <w:rPr>
                <w:rFonts w:hint="default"/>
                <w:color w:val="auto"/>
              </w:rPr>
              <w:t>都能实现达标排放，最大程度降低项目对</w:t>
            </w:r>
            <w:r>
              <w:rPr>
                <w:rFonts w:hint="eastAsia"/>
                <w:color w:val="auto"/>
                <w:lang w:val="en-US" w:eastAsia="zh-CN"/>
              </w:rPr>
              <w:t>所在区域环境</w:t>
            </w:r>
            <w:r>
              <w:rPr>
                <w:rFonts w:hint="default"/>
                <w:color w:val="auto"/>
              </w:rPr>
              <w:t>的影响。</w:t>
            </w:r>
          </w:p>
          <w:p w14:paraId="2AAE65FC">
            <w:pPr>
              <w:pStyle w:val="5"/>
              <w:keepNext w:val="0"/>
              <w:keepLines w:val="0"/>
              <w:suppressLineNumbers w:val="0"/>
              <w:tabs>
                <w:tab w:val="left" w:pos="0"/>
              </w:tabs>
              <w:spacing w:before="0" w:beforeAutospacing="0" w:after="0" w:afterAutospacing="0"/>
              <w:ind w:left="0" w:right="0"/>
              <w:rPr>
                <w:rFonts w:hint="eastAsia" w:ascii="Times New Roman" w:hAnsi="Times New Roman" w:cs="Times New Roman"/>
                <w:color w:val="auto"/>
                <w:highlight w:val="none"/>
                <w:lang w:val="en-US" w:eastAsia="zh-CN"/>
              </w:rPr>
            </w:pPr>
            <w:bookmarkStart w:id="9" w:name="_Toc12624"/>
            <w:r>
              <w:rPr>
                <w:rFonts w:hint="eastAsia" w:ascii="Times New Roman" w:hAnsi="Times New Roman" w:cs="Times New Roman"/>
                <w:color w:val="auto"/>
                <w:highlight w:val="none"/>
                <w:lang w:val="en-US" w:eastAsia="zh-CN"/>
              </w:rPr>
              <w:t>“三线一单”控制要求的符合性分析</w:t>
            </w:r>
            <w:bookmarkEnd w:id="9"/>
          </w:p>
          <w:p w14:paraId="296FCC94">
            <w:pPr>
              <w:pStyle w:val="20"/>
              <w:keepNext w:val="0"/>
              <w:keepLines w:val="0"/>
              <w:suppressLineNumbers w:val="0"/>
              <w:bidi w:val="0"/>
              <w:spacing w:before="0" w:beforeAutospacing="0" w:after="0" w:afterAutospacing="0"/>
              <w:ind w:left="0" w:right="0" w:firstLine="480" w:firstLineChars="200"/>
              <w:jc w:val="both"/>
              <w:rPr>
                <w:rFonts w:hint="eastAsia"/>
                <w:color w:val="auto"/>
                <w:lang w:eastAsia="zh-CN"/>
              </w:rPr>
            </w:pPr>
            <w:bookmarkStart w:id="10" w:name="_Toc27236"/>
            <w:bookmarkStart w:id="11" w:name="_Toc3746"/>
            <w:bookmarkStart w:id="12" w:name="_Toc7228"/>
            <w:bookmarkStart w:id="13" w:name="_Toc3067"/>
            <w:bookmarkStart w:id="14" w:name="_Toc16029"/>
            <w:r>
              <w:rPr>
                <w:rFonts w:hint="eastAsia"/>
                <w:color w:val="auto"/>
                <w:lang w:eastAsia="zh-CN"/>
              </w:rPr>
              <w:t>（</w:t>
            </w:r>
            <w:r>
              <w:rPr>
                <w:rFonts w:hint="eastAsia"/>
                <w:color w:val="auto"/>
              </w:rPr>
              <w:t>1</w:t>
            </w:r>
            <w:r>
              <w:rPr>
                <w:rFonts w:hint="eastAsia"/>
                <w:color w:val="auto"/>
                <w:lang w:eastAsia="zh-CN"/>
              </w:rPr>
              <w:t>）</w:t>
            </w:r>
            <w:r>
              <w:rPr>
                <w:rFonts w:hint="default"/>
                <w:color w:val="auto"/>
              </w:rPr>
              <w:t>与</w:t>
            </w:r>
            <w:r>
              <w:rPr>
                <w:rFonts w:hint="default"/>
                <w:color w:val="auto"/>
                <w:lang w:val="en-GB"/>
              </w:rPr>
              <w:t>《福建省人民政府关于实施</w:t>
            </w:r>
            <w:r>
              <w:rPr>
                <w:rFonts w:hint="eastAsia"/>
                <w:color w:val="auto"/>
                <w:lang w:val="en-GB" w:eastAsia="zh-CN"/>
              </w:rPr>
              <w:t>“</w:t>
            </w:r>
            <w:r>
              <w:rPr>
                <w:rFonts w:hint="default"/>
                <w:color w:val="auto"/>
                <w:lang w:val="en-GB"/>
              </w:rPr>
              <w:t>三线一单</w:t>
            </w:r>
            <w:r>
              <w:rPr>
                <w:rFonts w:hint="eastAsia"/>
                <w:color w:val="auto"/>
                <w:lang w:val="en-GB" w:eastAsia="zh-CN"/>
              </w:rPr>
              <w:t>”</w:t>
            </w:r>
            <w:r>
              <w:rPr>
                <w:rFonts w:hint="default"/>
                <w:color w:val="auto"/>
                <w:lang w:val="en-GB"/>
              </w:rPr>
              <w:t>生态环境分区管控的通知》</w:t>
            </w:r>
            <w:r>
              <w:rPr>
                <w:rFonts w:hint="default"/>
                <w:color w:val="auto"/>
              </w:rPr>
              <w:t>符合性分析</w:t>
            </w:r>
            <w:r>
              <w:rPr>
                <w:rFonts w:hint="eastAsia"/>
                <w:color w:val="auto"/>
                <w:lang w:eastAsia="zh-CN"/>
              </w:rPr>
              <w:t>。</w:t>
            </w:r>
          </w:p>
          <w:p w14:paraId="0024FBFF">
            <w:pPr>
              <w:pStyle w:val="20"/>
              <w:keepNext w:val="0"/>
              <w:keepLines w:val="0"/>
              <w:suppressLineNumbers w:val="0"/>
              <w:bidi w:val="0"/>
              <w:spacing w:before="0" w:beforeAutospacing="0" w:after="0" w:afterAutospacing="0"/>
              <w:ind w:left="0" w:right="0" w:firstLine="480" w:firstLineChars="200"/>
              <w:jc w:val="both"/>
              <w:rPr>
                <w:rFonts w:hint="eastAsia"/>
                <w:color w:val="auto"/>
                <w:lang w:val="en-US" w:eastAsia="zh-CN"/>
              </w:rPr>
            </w:pPr>
            <w:r>
              <w:rPr>
                <w:rFonts w:hint="eastAsia"/>
                <w:color w:val="auto"/>
              </w:rPr>
              <w:t>项目与</w:t>
            </w:r>
            <w:r>
              <w:rPr>
                <w:rFonts w:hint="default"/>
                <w:color w:val="auto"/>
              </w:rPr>
              <w:t>《福建省人民政府关于实施</w:t>
            </w:r>
            <w:r>
              <w:rPr>
                <w:rFonts w:hint="eastAsia"/>
                <w:color w:val="auto"/>
                <w:lang w:eastAsia="zh-CN"/>
              </w:rPr>
              <w:t>“</w:t>
            </w:r>
            <w:r>
              <w:rPr>
                <w:rFonts w:hint="default"/>
                <w:color w:val="auto"/>
              </w:rPr>
              <w:t>三线一单</w:t>
            </w:r>
            <w:r>
              <w:rPr>
                <w:rFonts w:hint="eastAsia"/>
                <w:color w:val="auto"/>
                <w:lang w:eastAsia="zh-CN"/>
              </w:rPr>
              <w:t>”</w:t>
            </w:r>
            <w:r>
              <w:rPr>
                <w:rFonts w:hint="default"/>
                <w:color w:val="auto"/>
              </w:rPr>
              <w:t>生态环境分区管控的通知》</w:t>
            </w:r>
            <w:r>
              <w:rPr>
                <w:rFonts w:hint="eastAsia"/>
                <w:color w:val="auto"/>
                <w:lang w:eastAsia="zh-CN"/>
              </w:rPr>
              <w:t>（</w:t>
            </w:r>
            <w:r>
              <w:rPr>
                <w:rFonts w:hint="default"/>
                <w:color w:val="auto"/>
              </w:rPr>
              <w:t>闽政</w:t>
            </w:r>
            <w:r>
              <w:rPr>
                <w:rFonts w:hint="eastAsia"/>
                <w:color w:val="auto"/>
                <w:lang w:eastAsia="zh-CN"/>
              </w:rPr>
              <w:t>〔</w:t>
            </w:r>
            <w:r>
              <w:rPr>
                <w:rFonts w:hint="default"/>
                <w:color w:val="auto"/>
              </w:rPr>
              <w:t>2020</w:t>
            </w:r>
            <w:r>
              <w:rPr>
                <w:rFonts w:hint="eastAsia"/>
                <w:color w:val="auto"/>
                <w:lang w:eastAsia="zh-CN"/>
              </w:rPr>
              <w:t>〕</w:t>
            </w:r>
            <w:r>
              <w:rPr>
                <w:rFonts w:hint="default"/>
                <w:color w:val="auto"/>
              </w:rPr>
              <w:t>12号</w:t>
            </w:r>
            <w:r>
              <w:rPr>
                <w:rFonts w:hint="eastAsia"/>
                <w:color w:val="auto"/>
                <w:lang w:eastAsia="zh-CN"/>
              </w:rPr>
              <w:t>）</w:t>
            </w:r>
            <w:r>
              <w:rPr>
                <w:rFonts w:hint="default"/>
                <w:color w:val="auto"/>
              </w:rPr>
              <w:t>相关要求分析见</w:t>
            </w:r>
            <w:r>
              <w:rPr>
                <w:rFonts w:hint="eastAsia"/>
                <w:color w:val="auto"/>
                <w:lang w:val="en-US" w:eastAsia="zh-CN"/>
              </w:rPr>
              <w:t>下</w:t>
            </w:r>
            <w:r>
              <w:rPr>
                <w:rFonts w:hint="default"/>
                <w:color w:val="auto"/>
              </w:rPr>
              <w:t>表</w:t>
            </w:r>
            <w:r>
              <w:rPr>
                <w:rFonts w:hint="eastAsia"/>
                <w:color w:val="auto"/>
                <w:lang w:val="en-US" w:eastAsia="zh-CN"/>
              </w:rPr>
              <w:t>。</w:t>
            </w:r>
          </w:p>
          <w:p w14:paraId="5A81F5B5">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jc w:val="center"/>
              <w:textAlignment w:val="auto"/>
              <w:rPr>
                <w:rFonts w:hint="eastAsia" w:ascii="Times New Roman" w:hAnsi="Times New Roman" w:cs="Times New Roman"/>
                <w:color w:val="auto"/>
                <w:highlight w:val="none"/>
                <w:lang w:val="en-GB"/>
              </w:rPr>
            </w:pPr>
            <w:r>
              <w:rPr>
                <w:rFonts w:hint="eastAsia" w:ascii="Times New Roman" w:hAnsi="Times New Roman" w:cs="Times New Roman"/>
                <w:color w:val="auto"/>
                <w:highlight w:val="none"/>
                <w:lang w:val="en-GB"/>
              </w:rPr>
              <w:t>与全省生态环境总体准入要求的符合性分析</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636"/>
              <w:gridCol w:w="464"/>
              <w:gridCol w:w="3467"/>
              <w:gridCol w:w="2121"/>
              <w:gridCol w:w="571"/>
            </w:tblGrid>
            <w:tr w14:paraId="7E5F03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70" w:hRule="atLeast"/>
                <w:jc w:val="center"/>
              </w:trPr>
              <w:tc>
                <w:tcPr>
                  <w:tcW w:w="438" w:type="pct"/>
                  <w:noWrap w:val="0"/>
                  <w:vAlign w:val="center"/>
                </w:tcPr>
                <w:p w14:paraId="7C3C46E7">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适用范围</w:t>
                  </w:r>
                </w:p>
              </w:tc>
              <w:tc>
                <w:tcPr>
                  <w:tcW w:w="2707" w:type="pct"/>
                  <w:gridSpan w:val="2"/>
                  <w:noWrap w:val="0"/>
                  <w:vAlign w:val="center"/>
                </w:tcPr>
                <w:p w14:paraId="7124872F">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准入要求</w:t>
                  </w:r>
                </w:p>
              </w:tc>
              <w:tc>
                <w:tcPr>
                  <w:tcW w:w="1461" w:type="pct"/>
                  <w:noWrap w:val="0"/>
                  <w:vAlign w:val="center"/>
                </w:tcPr>
                <w:p w14:paraId="664B46DA">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本项目情况</w:t>
                  </w:r>
                </w:p>
              </w:tc>
              <w:tc>
                <w:tcPr>
                  <w:tcW w:w="392" w:type="pct"/>
                  <w:noWrap w:val="0"/>
                  <w:vAlign w:val="center"/>
                </w:tcPr>
                <w:p w14:paraId="0226DD7D">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符合性</w:t>
                  </w:r>
                </w:p>
              </w:tc>
            </w:tr>
            <w:tr w14:paraId="30D385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5769" w:hRule="atLeast"/>
                <w:jc w:val="center"/>
              </w:trPr>
              <w:tc>
                <w:tcPr>
                  <w:tcW w:w="438" w:type="pct"/>
                  <w:vMerge w:val="restart"/>
                  <w:noWrap w:val="0"/>
                  <w:vAlign w:val="center"/>
                </w:tcPr>
                <w:p w14:paraId="6BBC71E4">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全省陆域</w:t>
                  </w:r>
                </w:p>
              </w:tc>
              <w:tc>
                <w:tcPr>
                  <w:tcW w:w="319" w:type="pct"/>
                  <w:noWrap w:val="0"/>
                  <w:vAlign w:val="center"/>
                </w:tcPr>
                <w:p w14:paraId="17759A56">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空间布局约束</w:t>
                  </w:r>
                </w:p>
              </w:tc>
              <w:tc>
                <w:tcPr>
                  <w:tcW w:w="2388" w:type="pct"/>
                  <w:noWrap w:val="0"/>
                  <w:vAlign w:val="center"/>
                </w:tcPr>
                <w:p w14:paraId="40BA7FB7">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1、石化、汽车、船舶、冶金、水泥、制浆造纸、印染等重点产业，要符合全省规划布局要求。</w:t>
                  </w:r>
                </w:p>
                <w:p w14:paraId="6E88AF72">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2、严控钢铁、水泥、平板玻璃等产能过剩行业新增产能，新增产能应实施产能等量或减量置换。</w:t>
                  </w:r>
                </w:p>
                <w:p w14:paraId="6EF85B76">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3、除列入国家规划的大型煤电和符合相关要求的等容量替代项目，以及以供热为主的热电联产项目外，原则上不再建设新的煤电项目。</w:t>
                  </w:r>
                </w:p>
                <w:p w14:paraId="36B5BA94">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4、氟化工产业应集中布局在《关于促进我省氟化工产业绿色高效发展的若干意见》中确定的园区，在上述园区之外不再新建氟化工项目，园区之外现有氟化工项目不再扩大规模。</w:t>
                  </w:r>
                </w:p>
                <w:p w14:paraId="6FEC4736">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5、禁止在水环境质量不能稳定达标的区域内，建设新增相应不达标污染物指标排放量的工业项目。</w:t>
                  </w:r>
                </w:p>
              </w:tc>
              <w:tc>
                <w:tcPr>
                  <w:tcW w:w="1461" w:type="pct"/>
                  <w:noWrap w:val="0"/>
                  <w:vAlign w:val="center"/>
                </w:tcPr>
                <w:p w14:paraId="7C714611">
                  <w:pPr>
                    <w:pStyle w:val="78"/>
                    <w:keepNext w:val="0"/>
                    <w:keepLines w:val="0"/>
                    <w:suppressLineNumbers w:val="0"/>
                    <w:bidi w:val="0"/>
                    <w:spacing w:before="0" w:beforeAutospacing="0" w:after="0" w:afterAutospacing="0"/>
                    <w:ind w:left="0" w:right="0"/>
                    <w:jc w:val="both"/>
                    <w:rPr>
                      <w:rFonts w:hint="eastAsia" w:eastAsia="宋体"/>
                      <w:color w:val="auto"/>
                      <w:lang w:eastAsia="zh-CN"/>
                    </w:rPr>
                  </w:pPr>
                  <w:r>
                    <w:rPr>
                      <w:rFonts w:hint="default"/>
                      <w:color w:val="auto"/>
                    </w:rPr>
                    <w:t>本项目主要</w:t>
                  </w:r>
                  <w:r>
                    <w:rPr>
                      <w:rFonts w:hint="eastAsia"/>
                      <w:color w:val="auto"/>
                      <w:lang w:val="en-US" w:eastAsia="zh-CN"/>
                    </w:rPr>
                    <w:t>从事水质检验检测服务</w:t>
                  </w:r>
                  <w:r>
                    <w:rPr>
                      <w:rFonts w:hint="default"/>
                      <w:color w:val="auto"/>
                    </w:rPr>
                    <w:t>，</w:t>
                  </w:r>
                  <w:r>
                    <w:rPr>
                      <w:rFonts w:hint="eastAsia"/>
                      <w:color w:val="auto"/>
                    </w:rPr>
                    <w:t>项目所在区域</w:t>
                  </w:r>
                  <w:r>
                    <w:rPr>
                      <w:rFonts w:hint="default"/>
                      <w:color w:val="auto"/>
                    </w:rPr>
                    <w:t>水环境质量能稳定达标</w:t>
                  </w:r>
                  <w:r>
                    <w:rPr>
                      <w:rFonts w:hint="eastAsia"/>
                      <w:color w:val="auto"/>
                    </w:rPr>
                    <w:t>，</w:t>
                  </w:r>
                  <w:r>
                    <w:rPr>
                      <w:rFonts w:hint="default"/>
                      <w:color w:val="auto"/>
                    </w:rPr>
                    <w:t>项目建设与空间布局约束要求不相冲突</w:t>
                  </w:r>
                  <w:r>
                    <w:rPr>
                      <w:rFonts w:hint="eastAsia"/>
                      <w:color w:val="auto"/>
                      <w:lang w:eastAsia="zh-CN"/>
                    </w:rPr>
                    <w:t>。</w:t>
                  </w:r>
                </w:p>
              </w:tc>
              <w:tc>
                <w:tcPr>
                  <w:tcW w:w="392" w:type="pct"/>
                  <w:noWrap w:val="0"/>
                  <w:vAlign w:val="center"/>
                </w:tcPr>
                <w:p w14:paraId="158C2206">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r w14:paraId="0D648B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6207" w:hRule="atLeast"/>
                <w:jc w:val="center"/>
              </w:trPr>
              <w:tc>
                <w:tcPr>
                  <w:tcW w:w="438" w:type="pct"/>
                  <w:vMerge w:val="continue"/>
                  <w:noWrap w:val="0"/>
                  <w:vAlign w:val="center"/>
                </w:tcPr>
                <w:p w14:paraId="0CBEEE3F">
                  <w:pPr>
                    <w:pStyle w:val="78"/>
                    <w:keepNext w:val="0"/>
                    <w:keepLines w:val="0"/>
                    <w:suppressLineNumbers w:val="0"/>
                    <w:bidi w:val="0"/>
                    <w:spacing w:before="0" w:beforeAutospacing="0" w:after="0" w:afterAutospacing="0"/>
                    <w:ind w:left="0" w:right="0"/>
                    <w:jc w:val="center"/>
                    <w:rPr>
                      <w:rFonts w:hint="default"/>
                      <w:color w:val="auto"/>
                    </w:rPr>
                  </w:pPr>
                </w:p>
              </w:tc>
              <w:tc>
                <w:tcPr>
                  <w:tcW w:w="319" w:type="pct"/>
                  <w:noWrap w:val="0"/>
                  <w:vAlign w:val="center"/>
                </w:tcPr>
                <w:p w14:paraId="677B68A6">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污染物排放管控</w:t>
                  </w:r>
                </w:p>
              </w:tc>
              <w:tc>
                <w:tcPr>
                  <w:tcW w:w="2388" w:type="pct"/>
                  <w:noWrap w:val="0"/>
                  <w:vAlign w:val="center"/>
                </w:tcPr>
                <w:p w14:paraId="05322EC2">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1、建设项目新增的主要污染物排放量应按要求实行等量或倍量替代。涉及总磷排放的建设项目应按照要求实行总磷排放量倍量或等量削减替代。涉及重金属重点行业建设项目新增的重点重金属污染物应按要求实行</w:t>
                  </w:r>
                  <w:r>
                    <w:rPr>
                      <w:rFonts w:hint="eastAsia"/>
                      <w:color w:val="auto"/>
                      <w:lang w:eastAsia="zh-CN"/>
                    </w:rPr>
                    <w:t>“</w:t>
                  </w:r>
                  <w:r>
                    <w:rPr>
                      <w:rFonts w:hint="default"/>
                      <w:color w:val="auto"/>
                    </w:rPr>
                    <w:t>减量置换</w:t>
                  </w:r>
                  <w:r>
                    <w:rPr>
                      <w:rFonts w:hint="eastAsia"/>
                      <w:color w:val="auto"/>
                      <w:lang w:eastAsia="zh-CN"/>
                    </w:rPr>
                    <w:t>”</w:t>
                  </w:r>
                  <w:r>
                    <w:rPr>
                      <w:rFonts w:hint="default"/>
                      <w:color w:val="auto"/>
                    </w:rPr>
                    <w:t>或等量替换"。涉新增VOC</w:t>
                  </w:r>
                  <w:r>
                    <w:rPr>
                      <w:rFonts w:hint="eastAsia"/>
                      <w:color w:val="auto"/>
                      <w:lang w:val="en-US" w:eastAsia="zh-CN"/>
                    </w:rPr>
                    <w:t>s</w:t>
                  </w:r>
                  <w:r>
                    <w:rPr>
                      <w:rFonts w:hint="default"/>
                      <w:color w:val="auto"/>
                    </w:rPr>
                    <w:t>排放项目，VOCS排放实行区域内等量替代。福州、厦门、漳州、泉州、莆田、宁德等6个重点控制区可实施倍量替代。</w:t>
                  </w:r>
                </w:p>
                <w:p w14:paraId="52099D9B">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2、新建水泥、有色金属项目应执行大气污染物特别排放限值，钢铁项目应执行超低排放指标要求，火电项目应达到超低排放限值。</w:t>
                  </w:r>
                </w:p>
                <w:p w14:paraId="44C09C35">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3、尾水排入近岸海域汇水区域、</w:t>
                  </w:r>
                  <w:r>
                    <w:rPr>
                      <w:rFonts w:hint="eastAsia"/>
                      <w:color w:val="auto"/>
                      <w:lang w:eastAsia="zh-CN"/>
                    </w:rPr>
                    <w:t>“</w:t>
                  </w:r>
                  <w:r>
                    <w:rPr>
                      <w:rFonts w:hint="default"/>
                      <w:color w:val="auto"/>
                    </w:rPr>
                    <w:t>六江两溪</w:t>
                  </w:r>
                  <w:r>
                    <w:rPr>
                      <w:rFonts w:hint="eastAsia"/>
                      <w:color w:val="auto"/>
                      <w:lang w:eastAsia="zh-CN"/>
                    </w:rPr>
                    <w:t>”</w:t>
                  </w:r>
                  <w:r>
                    <w:rPr>
                      <w:rFonts w:hint="default"/>
                      <w:color w:val="auto"/>
                    </w:rPr>
                    <w:t>流域以及湖泊、水库等封闭、半封闭水域的城镇污水处理设施执行不低于一级 A 排放标准。</w:t>
                  </w:r>
                </w:p>
              </w:tc>
              <w:tc>
                <w:tcPr>
                  <w:tcW w:w="1461" w:type="pct"/>
                  <w:noWrap w:val="0"/>
                  <w:vAlign w:val="center"/>
                </w:tcPr>
                <w:p w14:paraId="32547521">
                  <w:pPr>
                    <w:pStyle w:val="78"/>
                    <w:keepNext w:val="0"/>
                    <w:keepLines w:val="0"/>
                    <w:suppressLineNumbers w:val="0"/>
                    <w:bidi w:val="0"/>
                    <w:spacing w:before="0" w:beforeAutospacing="0" w:after="0" w:afterAutospacing="0"/>
                    <w:ind w:left="0" w:right="0"/>
                    <w:jc w:val="both"/>
                    <w:rPr>
                      <w:rFonts w:hint="eastAsia"/>
                      <w:color w:val="auto"/>
                      <w:sz w:val="21"/>
                      <w:szCs w:val="21"/>
                    </w:rPr>
                  </w:pPr>
                  <w:r>
                    <w:rPr>
                      <w:rFonts w:hint="default"/>
                      <w:color w:val="auto"/>
                      <w:sz w:val="21"/>
                      <w:szCs w:val="21"/>
                    </w:rPr>
                    <w:t>1、项目位于</w:t>
                  </w:r>
                  <w:r>
                    <w:rPr>
                      <w:rFonts w:hint="eastAsia" w:cs="宋体"/>
                      <w:color w:val="auto"/>
                      <w:spacing w:val="0"/>
                      <w:kern w:val="21"/>
                      <w:sz w:val="21"/>
                      <w:szCs w:val="21"/>
                      <w:lang w:val="en-US" w:eastAsia="zh-CN"/>
                    </w:rPr>
                    <w:t>福清融侨经济技术开发区</w:t>
                  </w:r>
                  <w:r>
                    <w:rPr>
                      <w:rFonts w:hint="eastAsia" w:cs="宋体"/>
                      <w:color w:val="auto"/>
                      <w:spacing w:val="0"/>
                      <w:kern w:val="21"/>
                      <w:sz w:val="21"/>
                      <w:szCs w:val="21"/>
                      <w:shd w:val="clear" w:fill="FFFFFF"/>
                      <w:lang w:val="en-US" w:eastAsia="zh-CN"/>
                    </w:rPr>
                    <w:t>(</w:t>
                  </w:r>
                  <w:r>
                    <w:rPr>
                      <w:rFonts w:hint="eastAsia" w:cs="宋体"/>
                      <w:color w:val="auto"/>
                      <w:spacing w:val="0"/>
                      <w:kern w:val="21"/>
                      <w:sz w:val="21"/>
                      <w:szCs w:val="21"/>
                      <w:lang w:val="en-US" w:eastAsia="zh-CN"/>
                    </w:rPr>
                    <w:t>福清洪金机械有限公司办公科研楼4层、5层</w:t>
                  </w:r>
                  <w:r>
                    <w:rPr>
                      <w:rFonts w:hint="eastAsia" w:cs="宋体"/>
                      <w:color w:val="auto"/>
                      <w:spacing w:val="0"/>
                      <w:kern w:val="21"/>
                      <w:sz w:val="21"/>
                      <w:szCs w:val="21"/>
                      <w:shd w:val="clear" w:fill="FFFFFF"/>
                      <w:lang w:val="en-US" w:eastAsia="zh-CN"/>
                    </w:rPr>
                    <w:t>)</w:t>
                  </w:r>
                  <w:r>
                    <w:rPr>
                      <w:rFonts w:hint="default"/>
                      <w:color w:val="auto"/>
                      <w:sz w:val="21"/>
                      <w:szCs w:val="21"/>
                    </w:rPr>
                    <w:t>，属于其规定的污染物管控区域。项目</w:t>
                  </w:r>
                  <w:r>
                    <w:rPr>
                      <w:rFonts w:hint="eastAsia"/>
                      <w:color w:val="auto"/>
                      <w:sz w:val="21"/>
                      <w:szCs w:val="21"/>
                    </w:rPr>
                    <w:t>涉及</w:t>
                  </w:r>
                  <w:r>
                    <w:rPr>
                      <w:rFonts w:hint="default"/>
                      <w:color w:val="auto"/>
                      <w:sz w:val="21"/>
                      <w:szCs w:val="21"/>
                    </w:rPr>
                    <w:t>VOC</w:t>
                  </w:r>
                  <w:r>
                    <w:rPr>
                      <w:rFonts w:hint="eastAsia"/>
                      <w:color w:val="auto"/>
                      <w:sz w:val="21"/>
                      <w:szCs w:val="21"/>
                      <w:lang w:val="en-US" w:eastAsia="zh-CN"/>
                    </w:rPr>
                    <w:t>s</w:t>
                  </w:r>
                  <w:r>
                    <w:rPr>
                      <w:rFonts w:hint="default"/>
                      <w:color w:val="auto"/>
                      <w:sz w:val="21"/>
                      <w:szCs w:val="21"/>
                    </w:rPr>
                    <w:t>排放</w:t>
                  </w:r>
                  <w:r>
                    <w:rPr>
                      <w:rFonts w:hint="eastAsia"/>
                      <w:color w:val="auto"/>
                      <w:sz w:val="21"/>
                      <w:szCs w:val="21"/>
                    </w:rPr>
                    <w:t>，需</w:t>
                  </w:r>
                  <w:r>
                    <w:rPr>
                      <w:rFonts w:hint="default"/>
                      <w:color w:val="auto"/>
                      <w:sz w:val="21"/>
                      <w:szCs w:val="21"/>
                    </w:rPr>
                    <w:t>实施倍量替代</w:t>
                  </w:r>
                  <w:r>
                    <w:rPr>
                      <w:rFonts w:hint="eastAsia"/>
                      <w:color w:val="auto"/>
                      <w:sz w:val="21"/>
                      <w:szCs w:val="21"/>
                    </w:rPr>
                    <w:t>。</w:t>
                  </w:r>
                </w:p>
                <w:p w14:paraId="13453020">
                  <w:pPr>
                    <w:pStyle w:val="78"/>
                    <w:keepNext w:val="0"/>
                    <w:keepLines w:val="0"/>
                    <w:suppressLineNumbers w:val="0"/>
                    <w:bidi w:val="0"/>
                    <w:spacing w:before="0" w:beforeAutospacing="0" w:after="0" w:afterAutospacing="0"/>
                    <w:ind w:left="0" w:right="0"/>
                    <w:jc w:val="both"/>
                    <w:rPr>
                      <w:rFonts w:hint="default"/>
                      <w:color w:val="auto"/>
                      <w:sz w:val="21"/>
                      <w:szCs w:val="21"/>
                    </w:rPr>
                  </w:pPr>
                  <w:r>
                    <w:rPr>
                      <w:rFonts w:hint="default"/>
                      <w:color w:val="auto"/>
                      <w:sz w:val="21"/>
                      <w:szCs w:val="21"/>
                    </w:rPr>
                    <w:t>2、项目主要</w:t>
                  </w:r>
                  <w:r>
                    <w:rPr>
                      <w:rFonts w:hint="eastAsia"/>
                      <w:color w:val="auto"/>
                      <w:sz w:val="21"/>
                      <w:szCs w:val="21"/>
                      <w:lang w:val="en-US" w:eastAsia="zh-CN"/>
                    </w:rPr>
                    <w:t>从事</w:t>
                  </w:r>
                  <w:r>
                    <w:rPr>
                      <w:rFonts w:hint="eastAsia"/>
                      <w:color w:val="auto"/>
                      <w:lang w:val="en-US" w:eastAsia="zh-CN"/>
                    </w:rPr>
                    <w:t>水质检验检测服务</w:t>
                  </w:r>
                  <w:r>
                    <w:rPr>
                      <w:rFonts w:hint="default"/>
                      <w:color w:val="auto"/>
                      <w:sz w:val="21"/>
                      <w:szCs w:val="21"/>
                    </w:rPr>
                    <w:t>，不涉及水泥、有色金属、钢铁、火电项目。</w:t>
                  </w:r>
                </w:p>
                <w:p w14:paraId="2A0869A1">
                  <w:pPr>
                    <w:pStyle w:val="78"/>
                    <w:keepNext w:val="0"/>
                    <w:keepLines w:val="0"/>
                    <w:suppressLineNumbers w:val="0"/>
                    <w:bidi w:val="0"/>
                    <w:spacing w:before="0" w:beforeAutospacing="0" w:after="0" w:afterAutospacing="0"/>
                    <w:ind w:left="0" w:right="0"/>
                    <w:jc w:val="both"/>
                    <w:rPr>
                      <w:rFonts w:hint="eastAsia" w:eastAsia="宋体"/>
                      <w:color w:val="auto"/>
                      <w:lang w:eastAsia="zh-CN"/>
                    </w:rPr>
                  </w:pPr>
                  <w:r>
                    <w:rPr>
                      <w:rFonts w:hint="default"/>
                      <w:color w:val="auto"/>
                      <w:sz w:val="21"/>
                      <w:szCs w:val="21"/>
                    </w:rPr>
                    <w:t>3、项目</w:t>
                  </w:r>
                  <w:r>
                    <w:rPr>
                      <w:rFonts w:hint="eastAsia"/>
                      <w:color w:val="auto"/>
                      <w:sz w:val="21"/>
                      <w:szCs w:val="21"/>
                      <w:lang w:val="en-US" w:eastAsia="zh-CN"/>
                    </w:rPr>
                    <w:t>清洗废水经过废水处理设施处理达标后与生活污水</w:t>
                  </w:r>
                  <w:r>
                    <w:rPr>
                      <w:rFonts w:hint="default"/>
                      <w:color w:val="auto"/>
                      <w:sz w:val="21"/>
                      <w:szCs w:val="21"/>
                    </w:rPr>
                    <w:t>排入市政污水管网，尾水排放达一级A排放标准</w:t>
                  </w:r>
                  <w:r>
                    <w:rPr>
                      <w:rFonts w:hint="eastAsia"/>
                      <w:color w:val="auto"/>
                      <w:sz w:val="21"/>
                      <w:szCs w:val="21"/>
                      <w:lang w:eastAsia="zh-CN"/>
                    </w:rPr>
                    <w:t>。</w:t>
                  </w:r>
                </w:p>
              </w:tc>
              <w:tc>
                <w:tcPr>
                  <w:tcW w:w="392" w:type="pct"/>
                  <w:noWrap w:val="0"/>
                  <w:vAlign w:val="center"/>
                </w:tcPr>
                <w:p w14:paraId="7B219F8E">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w:t>
                  </w:r>
                </w:p>
              </w:tc>
            </w:tr>
          </w:tbl>
          <w:p w14:paraId="446BB6F1">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eastAsia"/>
                <w:color w:val="auto"/>
                <w:lang w:eastAsia="zh-CN"/>
              </w:rPr>
              <w:t>（</w:t>
            </w:r>
            <w:r>
              <w:rPr>
                <w:rFonts w:hint="eastAsia"/>
                <w:color w:val="auto"/>
              </w:rPr>
              <w:t>2</w:t>
            </w:r>
            <w:r>
              <w:rPr>
                <w:rFonts w:hint="eastAsia"/>
                <w:color w:val="auto"/>
                <w:lang w:eastAsia="zh-CN"/>
              </w:rPr>
              <w:t>）</w:t>
            </w:r>
            <w:r>
              <w:rPr>
                <w:rFonts w:hint="default"/>
                <w:color w:val="auto"/>
              </w:rPr>
              <w:t>与</w:t>
            </w:r>
            <w:r>
              <w:rPr>
                <w:rFonts w:hint="default"/>
                <w:color w:val="auto"/>
                <w:lang w:val="en-GB"/>
              </w:rPr>
              <w:t>《福州市人民政府关于实施</w:t>
            </w:r>
            <w:r>
              <w:rPr>
                <w:rFonts w:hint="eastAsia"/>
                <w:color w:val="auto"/>
                <w:lang w:val="en-GB" w:eastAsia="zh-CN"/>
              </w:rPr>
              <w:t>“</w:t>
            </w:r>
            <w:r>
              <w:rPr>
                <w:rFonts w:hint="default"/>
                <w:color w:val="auto"/>
                <w:lang w:val="en-GB"/>
              </w:rPr>
              <w:t>三线一单</w:t>
            </w:r>
            <w:r>
              <w:rPr>
                <w:rFonts w:hint="eastAsia"/>
                <w:color w:val="auto"/>
                <w:lang w:val="en-GB" w:eastAsia="zh-CN"/>
              </w:rPr>
              <w:t>”</w:t>
            </w:r>
            <w:r>
              <w:rPr>
                <w:rFonts w:hint="default"/>
                <w:color w:val="auto"/>
                <w:lang w:val="en-GB"/>
              </w:rPr>
              <w:t>生态分区管控的通知》</w:t>
            </w:r>
            <w:r>
              <w:rPr>
                <w:rFonts w:hint="default"/>
                <w:color w:val="auto"/>
              </w:rPr>
              <w:t>符合性分析</w:t>
            </w:r>
          </w:p>
          <w:p w14:paraId="0C9F61B5">
            <w:pPr>
              <w:keepNext w:val="0"/>
              <w:keepLines w:val="0"/>
              <w:suppressLineNumbers w:val="0"/>
              <w:spacing w:before="0" w:beforeAutospacing="0" w:after="0" w:afterAutospacing="0" w:line="360" w:lineRule="auto"/>
              <w:ind w:left="0" w:right="0" w:firstLine="482" w:firstLineChars="200"/>
              <w:rPr>
                <w:rFonts w:hint="default" w:ascii="Times New Roman" w:hAnsi="Times New Roman" w:eastAsia="宋体" w:cs="Times New Roman"/>
                <w:b/>
                <w:bCs/>
                <w:color w:val="auto"/>
                <w:sz w:val="24"/>
                <w:szCs w:val="24"/>
                <w:highlight w:val="none"/>
              </w:rPr>
            </w:pPr>
            <w:r>
              <w:rPr>
                <w:rFonts w:hint="eastAsia"/>
                <w:b/>
                <w:bCs/>
                <w:color w:val="auto"/>
                <w:sz w:val="24"/>
                <w:highlight w:val="none"/>
              </w:rPr>
              <w:t>1.</w:t>
            </w:r>
            <w:r>
              <w:rPr>
                <w:rFonts w:hint="default" w:ascii="Times New Roman" w:hAnsi="Times New Roman" w:eastAsia="宋体" w:cs="Times New Roman"/>
                <w:b/>
                <w:bCs/>
                <w:color w:val="auto"/>
                <w:sz w:val="24"/>
                <w:szCs w:val="24"/>
                <w:highlight w:val="none"/>
              </w:rPr>
              <w:t>生态保护红线符合性分析</w:t>
            </w:r>
          </w:p>
          <w:p w14:paraId="32D328FB">
            <w:pPr>
              <w:pStyle w:val="20"/>
              <w:keepNext w:val="0"/>
              <w:keepLines w:val="0"/>
              <w:suppressLineNumbers w:val="0"/>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对照</w:t>
            </w:r>
            <w:r>
              <w:rPr>
                <w:rFonts w:hint="default" w:ascii="Times New Roman" w:hAnsi="Times New Roman" w:eastAsia="宋体" w:cs="Times New Roman"/>
                <w:color w:val="auto"/>
                <w:sz w:val="24"/>
                <w:szCs w:val="20"/>
                <w:lang w:val="en-US" w:eastAsia="zh-CN"/>
              </w:rPr>
              <w:t>福州市人民政府办公厅关于印发《福州市生态环境分区管控方案（2023年更新）》的通知</w:t>
            </w:r>
            <w:r>
              <w:rPr>
                <w:rFonts w:hint="eastAsia" w:ascii="Times New Roman" w:hAnsi="Times New Roman" w:eastAsia="宋体" w:cs="Times New Roman"/>
                <w:color w:val="auto"/>
                <w:sz w:val="24"/>
                <w:szCs w:val="20"/>
                <w:lang w:val="en-US" w:eastAsia="zh-CN"/>
              </w:rPr>
              <w:t>（榕政办规〔2024〕20号）</w:t>
            </w:r>
            <w:r>
              <w:rPr>
                <w:rFonts w:hint="default" w:ascii="Times New Roman" w:hAnsi="Times New Roman" w:eastAsia="宋体" w:cs="Times New Roman"/>
                <w:color w:val="auto"/>
                <w:sz w:val="24"/>
                <w:szCs w:val="20"/>
              </w:rPr>
              <w:t>，本项目位于</w:t>
            </w:r>
            <w:r>
              <w:rPr>
                <w:rFonts w:hint="eastAsia" w:ascii="Times New Roman" w:hAnsi="Times New Roman" w:eastAsia="宋体" w:cs="Times New Roman"/>
                <w:color w:val="auto"/>
                <w:sz w:val="24"/>
                <w:szCs w:val="20"/>
                <w:lang w:val="en-US" w:eastAsia="zh-CN"/>
              </w:rPr>
              <w:t>福清融侨经济技术开发区</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rPr>
              <w:t>根据本项目</w:t>
            </w:r>
            <w:r>
              <w:rPr>
                <w:rFonts w:hint="eastAsia" w:ascii="Times New Roman" w:hAnsi="Times New Roman" w:eastAsia="宋体" w:cs="Times New Roman"/>
                <w:color w:val="auto"/>
                <w:sz w:val="24"/>
                <w:szCs w:val="20"/>
                <w:lang w:val="en-US" w:eastAsia="zh-CN"/>
              </w:rPr>
              <w:t>三线一</w:t>
            </w:r>
            <w:r>
              <w:rPr>
                <w:rFonts w:hint="eastAsia" w:ascii="Times New Roman" w:hAnsi="Times New Roman" w:eastAsia="宋体" w:cs="Times New Roman"/>
                <w:color w:val="auto"/>
                <w:sz w:val="24"/>
                <w:lang w:val="en-US" w:eastAsia="zh-CN"/>
              </w:rPr>
              <w:t>单综合查询报告（附件</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szCs w:val="20"/>
              </w:rPr>
              <w:t>，本项目占地范围不涉及生态保护红线，</w:t>
            </w:r>
            <w:r>
              <w:rPr>
                <w:rFonts w:hint="default" w:ascii="Times New Roman" w:hAnsi="Times New Roman" w:eastAsia="宋体" w:cs="Times New Roman"/>
                <w:color w:val="auto"/>
                <w:sz w:val="24"/>
                <w:szCs w:val="20"/>
              </w:rPr>
              <w:t>项目建设符合生态红线控制的要求</w:t>
            </w:r>
            <w:r>
              <w:rPr>
                <w:rFonts w:hint="eastAsia" w:ascii="Times New Roman" w:hAnsi="Times New Roman" w:eastAsia="宋体" w:cs="Times New Roman"/>
                <w:color w:val="auto"/>
                <w:sz w:val="24"/>
                <w:szCs w:val="20"/>
              </w:rPr>
              <w:t>。</w:t>
            </w:r>
          </w:p>
          <w:p w14:paraId="1D682BEF">
            <w:pPr>
              <w:pStyle w:val="14"/>
              <w:keepNext w:val="0"/>
              <w:keepLines w:val="0"/>
              <w:widowControl w:val="0"/>
              <w:suppressLineNumbers w:val="0"/>
              <w:shd w:val="clear" w:color="auto" w:fill="auto"/>
              <w:topLinePunct/>
              <w:spacing w:before="0" w:beforeAutospacing="0" w:after="0" w:afterAutospacing="0" w:line="360" w:lineRule="auto"/>
              <w:ind w:left="0" w:right="0" w:firstLine="480"/>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环境质量底线符合性分析</w:t>
            </w:r>
          </w:p>
          <w:p w14:paraId="00385A31">
            <w:pPr>
              <w:pStyle w:val="20"/>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①水环境质量底线</w:t>
            </w:r>
          </w:p>
          <w:p w14:paraId="070D3510">
            <w:pPr>
              <w:pStyle w:val="20"/>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项目所在区域属于《福州市人民政府关于实施“三线一单”生态分区管控的通知》中划定的水环境</w:t>
            </w:r>
            <w:r>
              <w:rPr>
                <w:rFonts w:hint="eastAsia" w:ascii="Times New Roman" w:hAnsi="Times New Roman" w:eastAsia="宋体" w:cs="Times New Roman"/>
                <w:color w:val="auto"/>
                <w:sz w:val="24"/>
                <w:szCs w:val="20"/>
                <w:lang w:val="en-US" w:eastAsia="zh-CN"/>
              </w:rPr>
              <w:t>工业污染重点</w:t>
            </w:r>
            <w:r>
              <w:rPr>
                <w:rFonts w:hint="default" w:ascii="Times New Roman" w:hAnsi="Times New Roman" w:eastAsia="宋体" w:cs="Times New Roman"/>
                <w:color w:val="auto"/>
                <w:sz w:val="24"/>
                <w:szCs w:val="20"/>
                <w:lang w:val="en-US" w:eastAsia="zh-CN"/>
              </w:rPr>
              <w:t>管控区。水环境质量底线目标为：到2025年，国省控断面水质优良</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达到或优于Ⅲ类</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比例总体达到90.0%，福清海口桥断面水质稳定达到Ⅳ类；县级以上集中式饮用水水源水质达标率达100%。到2030年，国省控断面水质优良</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达到或优于Ⅲ类</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比例总体达到90.0%；县级以上城市建成区黑臭水体总体得到消除；县级以上集中式饮用水水源水质达标率达100%。到2035年，国省考断面水质优良</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达到或优于Ⅲ类</w:t>
            </w:r>
            <w:r>
              <w:rPr>
                <w:rFonts w:hint="eastAsia" w:ascii="Times New Roman" w:hAnsi="Times New Roman" w:eastAsia="宋体" w:cs="Times New Roman"/>
                <w:color w:val="auto"/>
                <w:sz w:val="24"/>
                <w:szCs w:val="20"/>
                <w:shd w:val="clear" w:fill="FFFFFF"/>
                <w:lang w:val="en-US" w:eastAsia="zh-CN"/>
              </w:rPr>
              <w:t>)</w:t>
            </w:r>
            <w:r>
              <w:rPr>
                <w:rFonts w:hint="default" w:ascii="Times New Roman" w:hAnsi="Times New Roman" w:eastAsia="宋体" w:cs="Times New Roman"/>
                <w:color w:val="auto"/>
                <w:sz w:val="24"/>
                <w:szCs w:val="20"/>
                <w:lang w:val="en-US" w:eastAsia="zh-CN"/>
              </w:rPr>
              <w:t>比例总体达到95.0%；生态系统实现良性循环。</w:t>
            </w:r>
          </w:p>
          <w:p w14:paraId="2495BF1A">
            <w:pPr>
              <w:pStyle w:val="20"/>
              <w:keepNext w:val="0"/>
              <w:keepLines w:val="0"/>
              <w:suppressLineNumbers w:val="0"/>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本项目</w:t>
            </w:r>
            <w:r>
              <w:rPr>
                <w:rFonts w:hint="eastAsia"/>
                <w:color w:val="auto"/>
                <w:lang w:eastAsia="zh-CN"/>
              </w:rPr>
              <w:t>实验器具清洗废水</w:t>
            </w:r>
            <w:r>
              <w:rPr>
                <w:rFonts w:hint="eastAsia" w:ascii="Times New Roman" w:hAnsi="Times New Roman" w:eastAsia="宋体" w:cs="Times New Roman"/>
                <w:color w:val="auto"/>
                <w:lang w:val="en-US" w:eastAsia="zh-CN"/>
              </w:rPr>
              <w:t>处理后与仪器排水、剩余水样、制纯浓水及</w:t>
            </w:r>
            <w:r>
              <w:rPr>
                <w:rFonts w:hint="default" w:ascii="Times New Roman" w:hAnsi="Times New Roman" w:eastAsia="宋体" w:cs="Times New Roman"/>
                <w:color w:val="auto"/>
                <w:lang w:val="en-US" w:eastAsia="zh-CN"/>
              </w:rPr>
              <w:t>职工</w:t>
            </w:r>
            <w:r>
              <w:rPr>
                <w:rFonts w:hint="eastAsia" w:ascii="Times New Roman" w:hAnsi="Times New Roman" w:eastAsia="宋体" w:cs="Times New Roman"/>
                <w:color w:val="auto"/>
                <w:lang w:val="en-US" w:eastAsia="zh-CN"/>
              </w:rPr>
              <w:t>生活污水经厂区现有的化粪池处理达标后</w:t>
            </w:r>
            <w:r>
              <w:rPr>
                <w:rFonts w:hint="default" w:ascii="Times New Roman" w:hAnsi="Times New Roman" w:eastAsia="宋体" w:cs="Times New Roman"/>
                <w:color w:val="auto"/>
                <w:lang w:val="en-US" w:eastAsia="zh-CN"/>
              </w:rPr>
              <w:t>排入市政污水管网</w:t>
            </w:r>
            <w:r>
              <w:rPr>
                <w:rFonts w:hint="default" w:ascii="Times New Roman" w:hAnsi="Times New Roman" w:eastAsia="宋体" w:cs="Times New Roman"/>
                <w:color w:val="auto"/>
                <w:sz w:val="24"/>
                <w:szCs w:val="20"/>
                <w:lang w:val="en-US" w:eastAsia="zh-CN"/>
              </w:rPr>
              <w:t>接入</w:t>
            </w:r>
            <w:r>
              <w:rPr>
                <w:rFonts w:hint="eastAsia" w:ascii="Times New Roman" w:hAnsi="Times New Roman" w:eastAsia="宋体" w:cs="Times New Roman"/>
                <w:color w:val="auto"/>
                <w:sz w:val="24"/>
                <w:szCs w:val="20"/>
                <w:lang w:val="en-US" w:eastAsia="zh-CN"/>
              </w:rPr>
              <w:t>福清市融元污水处理厂</w:t>
            </w:r>
            <w:r>
              <w:rPr>
                <w:rFonts w:hint="default" w:ascii="Times New Roman" w:hAnsi="Times New Roman" w:eastAsia="宋体" w:cs="Times New Roman"/>
                <w:color w:val="auto"/>
                <w:sz w:val="24"/>
                <w:szCs w:val="20"/>
                <w:lang w:val="en-US" w:eastAsia="zh-CN"/>
              </w:rPr>
              <w:t>集中处理，</w:t>
            </w:r>
            <w:r>
              <w:rPr>
                <w:rFonts w:hint="eastAsia" w:ascii="Times New Roman" w:hAnsi="Times New Roman" w:eastAsia="宋体" w:cs="Times New Roman"/>
                <w:color w:val="auto"/>
                <w:sz w:val="24"/>
                <w:szCs w:val="20"/>
                <w:lang w:val="en-US" w:eastAsia="zh-CN"/>
              </w:rPr>
              <w:t>项目废水不直接排入周边地表水体，不会改变区域水环境质量现状，因此，</w:t>
            </w:r>
            <w:r>
              <w:rPr>
                <w:rFonts w:hint="default" w:ascii="Times New Roman" w:hAnsi="Times New Roman" w:eastAsia="宋体" w:cs="Times New Roman"/>
                <w:color w:val="auto"/>
                <w:sz w:val="24"/>
                <w:szCs w:val="20"/>
                <w:lang w:val="en-US" w:eastAsia="zh-CN"/>
              </w:rPr>
              <w:t>项目建设不会突破区域水环境质量底线。</w:t>
            </w:r>
          </w:p>
          <w:p w14:paraId="41FC1E7B">
            <w:pPr>
              <w:pStyle w:val="20"/>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②大气环境质量底线</w:t>
            </w:r>
          </w:p>
          <w:p w14:paraId="12DD34BE">
            <w:pPr>
              <w:pStyle w:val="20"/>
              <w:keepNext w:val="0"/>
              <w:keepLines w:val="0"/>
              <w:suppressLineNumbers w:val="0"/>
              <w:bidi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根据《福州市人民政府关于实施</w:t>
            </w:r>
            <w:r>
              <w:rPr>
                <w:rFonts w:hint="eastAsia" w:ascii="Times New Roman" w:hAnsi="Times New Roman" w:eastAsia="宋体"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三线一单</w:t>
            </w:r>
            <w:r>
              <w:rPr>
                <w:rFonts w:hint="eastAsia" w:ascii="Times New Roman" w:hAnsi="Times New Roman" w:eastAsia="宋体"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生态分区管控的通知》，项目所在地为大气环境管控分区中的高排放重点管控区。大气环境质量底线目标为：到2025年，地级以上城市空气质量PM2.5年平均浓度不高于23μg/m</w:t>
            </w:r>
            <w:r>
              <w:rPr>
                <w:rFonts w:hint="default" w:ascii="Times New Roman" w:hAnsi="Times New Roman" w:eastAsia="宋体" w:cs="Times New Roman"/>
                <w:color w:val="auto"/>
                <w:sz w:val="24"/>
                <w:szCs w:val="20"/>
                <w:vertAlign w:val="superscript"/>
                <w:lang w:val="en-US" w:eastAsia="zh-CN"/>
              </w:rPr>
              <w:t>3</w:t>
            </w:r>
            <w:r>
              <w:rPr>
                <w:rFonts w:hint="default" w:ascii="Times New Roman" w:hAnsi="Times New Roman" w:eastAsia="宋体" w:cs="Times New Roman"/>
                <w:color w:val="auto"/>
                <w:sz w:val="24"/>
                <w:szCs w:val="20"/>
                <w:lang w:val="en-US" w:eastAsia="zh-CN"/>
              </w:rPr>
              <w:t>。到2035年，县级以上地区空气质量PM2.5年平均浓度不高于18μg/m</w:t>
            </w:r>
            <w:r>
              <w:rPr>
                <w:rFonts w:hint="default" w:ascii="Times New Roman" w:hAnsi="Times New Roman" w:eastAsia="宋体" w:cs="Times New Roman"/>
                <w:color w:val="auto"/>
                <w:sz w:val="24"/>
                <w:szCs w:val="20"/>
                <w:vertAlign w:val="superscript"/>
                <w:lang w:val="en-US" w:eastAsia="zh-CN"/>
              </w:rPr>
              <w:t>3</w:t>
            </w:r>
            <w:r>
              <w:rPr>
                <w:rFonts w:hint="default" w:ascii="Times New Roman" w:hAnsi="Times New Roman" w:eastAsia="宋体" w:cs="Times New Roman"/>
                <w:color w:val="auto"/>
                <w:sz w:val="24"/>
                <w:szCs w:val="20"/>
                <w:lang w:val="en-US" w:eastAsia="zh-CN"/>
              </w:rPr>
              <w:t>。</w:t>
            </w:r>
          </w:p>
          <w:p w14:paraId="47C79639">
            <w:pPr>
              <w:pStyle w:val="20"/>
              <w:keepNext w:val="0"/>
              <w:keepLines w:val="0"/>
              <w:suppressLineNumbers w:val="0"/>
              <w:bidi w:val="0"/>
              <w:spacing w:before="0" w:beforeAutospacing="0" w:after="0" w:afterAutospacing="0" w:line="360" w:lineRule="auto"/>
              <w:ind w:left="0" w:right="0" w:firstLine="480" w:firstLineChars="200"/>
              <w:jc w:val="both"/>
              <w:rPr>
                <w:rFonts w:hint="eastAsia"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lang w:val="en-US" w:eastAsia="zh-CN"/>
              </w:rPr>
              <w:t>项目</w:t>
            </w:r>
            <w:r>
              <w:rPr>
                <w:rFonts w:hint="eastAsia" w:ascii="Times New Roman" w:hAnsi="Times New Roman" w:eastAsia="宋体" w:cs="Times New Roman"/>
                <w:color w:val="auto"/>
                <w:sz w:val="24"/>
                <w:szCs w:val="20"/>
                <w:lang w:val="en-US" w:eastAsia="zh-CN"/>
              </w:rPr>
              <w:t>水样检测过程产生的有机废气经活性炭吸附处理，酸性废气经碱液喷淋塔处理</w:t>
            </w:r>
            <w:r>
              <w:rPr>
                <w:rFonts w:hint="default" w:ascii="Times New Roman" w:hAnsi="Times New Roman" w:eastAsia="宋体" w:cs="Times New Roman"/>
                <w:color w:val="auto"/>
                <w:sz w:val="24"/>
                <w:szCs w:val="20"/>
                <w:lang w:val="en-US" w:eastAsia="zh-CN"/>
              </w:rPr>
              <w:t>达标后</w:t>
            </w:r>
            <w:r>
              <w:rPr>
                <w:rFonts w:hint="eastAsia" w:ascii="Times New Roman" w:hAnsi="Times New Roman" w:eastAsia="宋体" w:cs="Times New Roman"/>
                <w:color w:val="auto"/>
                <w:sz w:val="24"/>
                <w:szCs w:val="20"/>
                <w:lang w:val="en-US" w:eastAsia="zh-CN"/>
              </w:rPr>
              <w:t>排放，</w:t>
            </w:r>
            <w:r>
              <w:rPr>
                <w:rFonts w:hint="default" w:ascii="Times New Roman" w:hAnsi="Times New Roman" w:eastAsia="宋体" w:cs="Times New Roman"/>
                <w:color w:val="auto"/>
                <w:sz w:val="24"/>
                <w:szCs w:val="20"/>
                <w:lang w:val="en-US" w:eastAsia="zh-CN"/>
              </w:rPr>
              <w:t>对周围大气环境影响较小</w:t>
            </w:r>
            <w:r>
              <w:rPr>
                <w:rFonts w:hint="eastAsia" w:ascii="Times New Roman" w:hAnsi="Times New Roman" w:eastAsia="宋体" w:cs="Times New Roman"/>
                <w:color w:val="auto"/>
                <w:sz w:val="24"/>
                <w:szCs w:val="20"/>
                <w:lang w:val="en-US" w:eastAsia="zh-CN"/>
              </w:rPr>
              <w:t>，</w:t>
            </w:r>
            <w:r>
              <w:rPr>
                <w:rFonts w:hint="default" w:ascii="Times New Roman" w:hAnsi="Times New Roman" w:eastAsia="宋体" w:cs="Times New Roman"/>
                <w:color w:val="auto"/>
                <w:sz w:val="24"/>
                <w:szCs w:val="20"/>
                <w:lang w:val="en-US" w:eastAsia="zh-CN"/>
              </w:rPr>
              <w:t>不会突破区域大气环境质量底线。</w:t>
            </w:r>
          </w:p>
          <w:p w14:paraId="047CD6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③土壤环境风险防控底线</w:t>
            </w:r>
          </w:p>
          <w:p w14:paraId="1D23B9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根据《福州市人民政府关于实施“三线一单”生态分区管控的通知》，项目所在地为</w:t>
            </w:r>
            <w:r>
              <w:rPr>
                <w:rFonts w:hint="eastAsia" w:ascii="Times New Roman" w:hAnsi="Times New Roman" w:eastAsia="宋体" w:cs="Times New Roman"/>
                <w:color w:val="auto"/>
                <w:sz w:val="24"/>
                <w:szCs w:val="24"/>
                <w:lang w:val="en-US" w:eastAsia="zh-CN"/>
              </w:rPr>
              <w:t>土壤污染风险管控分区</w:t>
            </w:r>
            <w:r>
              <w:rPr>
                <w:rFonts w:hint="default" w:ascii="Times New Roman" w:hAnsi="Times New Roman" w:eastAsia="宋体" w:cs="Times New Roman"/>
                <w:color w:val="auto"/>
                <w:sz w:val="24"/>
                <w:szCs w:val="24"/>
                <w:lang w:val="en-US" w:eastAsia="zh-CN"/>
              </w:rPr>
              <w:t>中的建设用地污染风险重点管控区。</w:t>
            </w:r>
            <w:r>
              <w:rPr>
                <w:rFonts w:hint="eastAsia" w:ascii="Times New Roman" w:hAnsi="Times New Roman" w:eastAsia="宋体" w:cs="Times New Roman"/>
                <w:color w:val="auto"/>
                <w:sz w:val="24"/>
                <w:szCs w:val="24"/>
                <w:lang w:val="en-US" w:eastAsia="zh-CN"/>
              </w:rPr>
              <w:t>土壤</w:t>
            </w:r>
            <w:r>
              <w:rPr>
                <w:rFonts w:hint="default" w:ascii="Times New Roman" w:hAnsi="Times New Roman" w:eastAsia="宋体" w:cs="Times New Roman"/>
                <w:color w:val="auto"/>
                <w:sz w:val="24"/>
                <w:szCs w:val="24"/>
                <w:lang w:val="en-US" w:eastAsia="zh-CN"/>
              </w:rPr>
              <w:t>环境质量底线目标为：</w:t>
            </w:r>
            <w:r>
              <w:rPr>
                <w:rFonts w:hint="eastAsia" w:ascii="Times New Roman" w:hAnsi="Times New Roman" w:eastAsia="宋体" w:cs="Times New Roman"/>
                <w:color w:val="auto"/>
                <w:sz w:val="24"/>
                <w:szCs w:val="24"/>
                <w:lang w:val="en-US" w:eastAsia="zh-CN"/>
              </w:rPr>
              <w:t>到2025年，全省土壤环境质量保持稳定，土壤环境风险得到管控，受污染耕地安全利用率达到93％，污染地块安全利用率达到93％。到2035年，全省土壤环境质量稳中向好，土壤环境风险得到全面管控，受污染耕地安全利用率达95％以上，污染地块安全利用率达95％以上。</w:t>
            </w:r>
          </w:p>
          <w:p w14:paraId="7C7E6E5E">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eastAsia" w:ascii="Times New Roman" w:hAnsi="Times New Roman" w:eastAsia="宋体" w:cs="Times New Roman"/>
                <w:color w:val="auto"/>
                <w:sz w:val="24"/>
                <w:szCs w:val="24"/>
                <w:lang w:val="en-US" w:eastAsia="zh-CN"/>
              </w:rPr>
              <w:t>项目位于福清融侨经济技术开发区，租赁福清洪金机械有限</w:t>
            </w:r>
            <w:r>
              <w:rPr>
                <w:rFonts w:hint="eastAsia" w:cs="Times New Roman"/>
                <w:color w:val="auto"/>
                <w:sz w:val="24"/>
                <w:szCs w:val="24"/>
                <w:lang w:val="en-US" w:eastAsia="zh-CN"/>
              </w:rPr>
              <w:t>公司办公科研楼</w:t>
            </w:r>
            <w:r>
              <w:rPr>
                <w:rFonts w:hint="eastAsia" w:ascii="Times New Roman" w:hAnsi="Times New Roman" w:eastAsia="宋体" w:cs="Times New Roman"/>
                <w:color w:val="auto"/>
                <w:sz w:val="24"/>
                <w:szCs w:val="24"/>
                <w:lang w:val="en-US" w:eastAsia="zh-CN"/>
              </w:rPr>
              <w:t>4层、5层</w:t>
            </w:r>
            <w:r>
              <w:rPr>
                <w:rFonts w:hint="eastAsia" w:ascii="Times New Roman" w:hAnsi="Times New Roman" w:cs="Times New Roman"/>
                <w:color w:val="auto"/>
                <w:sz w:val="24"/>
                <w:szCs w:val="24"/>
                <w:lang w:val="en-US" w:eastAsia="zh-CN"/>
              </w:rPr>
              <w:t>从事水样检测。</w:t>
            </w:r>
            <w:r>
              <w:rPr>
                <w:rFonts w:hint="eastAsia" w:ascii="Times New Roman" w:hAnsi="Times New Roman" w:eastAsia="宋体" w:cs="Times New Roman"/>
                <w:color w:val="auto"/>
                <w:sz w:val="24"/>
                <w:szCs w:val="24"/>
                <w:lang w:val="en-US" w:eastAsia="zh-CN"/>
              </w:rPr>
              <w:t>项目</w:t>
            </w:r>
            <w:r>
              <w:rPr>
                <w:rFonts w:hint="eastAsia" w:ascii="Times New Roman" w:hAnsi="Times New Roman" w:cs="Times New Roman"/>
                <w:color w:val="auto"/>
                <w:sz w:val="24"/>
                <w:szCs w:val="24"/>
                <w:lang w:val="en-US" w:eastAsia="zh-CN"/>
              </w:rPr>
              <w:t>厂房未与土壤直接接触且</w:t>
            </w:r>
            <w:r>
              <w:rPr>
                <w:rFonts w:hint="eastAsia" w:ascii="Times New Roman" w:hAnsi="Times New Roman" w:eastAsia="宋体" w:cs="Times New Roman"/>
                <w:color w:val="auto"/>
                <w:sz w:val="24"/>
                <w:szCs w:val="24"/>
                <w:lang w:val="en-US" w:eastAsia="zh-CN"/>
              </w:rPr>
              <w:t>地面全部硬化，危险暂存间、废水处理设施等严格按照要求进行分区防渗防控，不存在土壤环境风险，符合土壤环境风险防控底线要求。</w:t>
            </w:r>
          </w:p>
          <w:p w14:paraId="0E0992F4">
            <w:pPr>
              <w:pStyle w:val="14"/>
              <w:keepNext w:val="0"/>
              <w:keepLines w:val="0"/>
              <w:widowControl w:val="0"/>
              <w:suppressLineNumbers w:val="0"/>
              <w:shd w:val="clear" w:color="auto" w:fill="auto"/>
              <w:topLinePunct/>
              <w:spacing w:before="0" w:beforeAutospacing="0" w:after="0" w:afterAutospacing="0" w:line="360" w:lineRule="auto"/>
              <w:ind w:left="0" w:right="0" w:firstLine="480"/>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资源利用上线符合性分析</w:t>
            </w:r>
          </w:p>
          <w:p w14:paraId="7304CD0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sz w:val="24"/>
                <w:szCs w:val="20"/>
                <w:lang w:val="en-US" w:eastAsia="zh-CN"/>
              </w:rPr>
              <w:t>①</w:t>
            </w:r>
            <w:r>
              <w:rPr>
                <w:rFonts w:hint="eastAsia" w:ascii="Times New Roman" w:hAnsi="Times New Roman" w:eastAsia="宋体" w:cs="Times New Roman"/>
                <w:color w:val="auto"/>
                <w:kern w:val="0"/>
                <w:sz w:val="24"/>
                <w:szCs w:val="24"/>
                <w:highlight w:val="none"/>
                <w:lang w:val="en-US" w:eastAsia="zh-CN"/>
              </w:rPr>
              <w:t>水资源利用</w:t>
            </w:r>
            <w:r>
              <w:rPr>
                <w:rFonts w:hint="eastAsia" w:ascii="Times New Roman" w:hAnsi="Times New Roman" w:eastAsia="宋体" w:cs="Times New Roman"/>
                <w:color w:val="auto"/>
                <w:kern w:val="0"/>
                <w:sz w:val="24"/>
                <w:szCs w:val="24"/>
                <w:highlight w:val="none"/>
                <w:shd w:val="clear" w:fill="FFFFFF"/>
                <w:lang w:val="en-US" w:eastAsia="zh-CN"/>
              </w:rPr>
              <w:t>上线</w:t>
            </w:r>
          </w:p>
          <w:p w14:paraId="784B35B2">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根据《福州市人民政府关于实施“三线一单”生态分区管控的通知》，水资源利用上线要求为：衔接水资源管理</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三条红线</w:t>
            </w:r>
            <w:r>
              <w:rPr>
                <w:rFonts w:hint="eastAsia" w:ascii="Times New Roman" w:hAnsi="Times New Roman"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highlight w:val="none"/>
                <w:lang w:val="en-US" w:eastAsia="zh-CN"/>
              </w:rPr>
              <w:t>，控制目标以省政府下达为准。</w:t>
            </w:r>
            <w:r>
              <w:rPr>
                <w:rFonts w:hint="eastAsia" w:ascii="Times New Roman" w:hAnsi="Times New Roman" w:eastAsia="宋体" w:cs="Times New Roman"/>
                <w:color w:val="auto"/>
                <w:kern w:val="0"/>
                <w:sz w:val="24"/>
                <w:szCs w:val="24"/>
                <w:highlight w:val="none"/>
                <w:lang w:val="en-US" w:eastAsia="zh-CN"/>
              </w:rPr>
              <w:t>项目水资源上线现状评价从水资源承载能力、水资源利用效率和生态需水量保障程度三方面综合分析，确定全省地市层面范围均为一般管控区，即全市水资源利用不会突破水资源利用上线。</w:t>
            </w:r>
          </w:p>
          <w:p w14:paraId="1F896635">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项目运营期用水均来自市政供水，项目用水量不大，与福州市水资源利用上线管控要求相符，因此项目建设不会突破水资源利用上线。</w:t>
            </w:r>
          </w:p>
          <w:p w14:paraId="49C7DEB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②土地资源利用上线</w:t>
            </w:r>
          </w:p>
          <w:p w14:paraId="1926DAF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根据《福州市人民政府关于实施“三线一单”生态分区管控的通知》，土地资源利用上线要求为：衔接土地利用总体规划等文件要求，控制目标以省政府下达为准。</w:t>
            </w:r>
          </w:p>
          <w:p w14:paraId="31B5D558">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本项目利用已建厂房进行生产，未新增占地，且用地符合《福清融侨经济技术开发区总体规划（2018</w:t>
            </w:r>
            <w:r>
              <w:rPr>
                <w:rFonts w:hint="eastAsia" w:ascii="Times New Roman" w:hAnsi="Times New Roman" w:eastAsia="宋体" w:cs="Times New Roman"/>
                <w:color w:val="auto"/>
                <w:kern w:val="0"/>
                <w:sz w:val="24"/>
                <w:szCs w:val="24"/>
                <w:highlight w:val="none"/>
                <w:shd w:val="clear" w:fill="FFFFFF"/>
                <w:lang w:val="en-US" w:eastAsia="zh-CN"/>
              </w:rPr>
              <w:t>-</w:t>
            </w:r>
            <w:r>
              <w:rPr>
                <w:rFonts w:hint="eastAsia" w:ascii="Times New Roman" w:hAnsi="Times New Roman" w:eastAsia="宋体" w:cs="Times New Roman"/>
                <w:color w:val="auto"/>
                <w:kern w:val="0"/>
                <w:sz w:val="24"/>
                <w:szCs w:val="24"/>
                <w:highlight w:val="none"/>
                <w:lang w:val="en-US" w:eastAsia="zh-CN"/>
              </w:rPr>
              <w:t>2035年）》要求，符合土地资源利用上线管控要求，因此项目建设不会突破土地资源利用上线。</w:t>
            </w:r>
          </w:p>
          <w:p w14:paraId="222BD003">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③能源资源利用</w:t>
            </w:r>
            <w:r>
              <w:rPr>
                <w:rFonts w:hint="eastAsia" w:ascii="Times New Roman" w:hAnsi="Times New Roman" w:eastAsia="宋体" w:cs="Times New Roman"/>
                <w:color w:val="auto"/>
                <w:kern w:val="0"/>
                <w:sz w:val="24"/>
                <w:szCs w:val="24"/>
                <w:highlight w:val="none"/>
                <w:shd w:val="clear" w:fill="FFFFFF"/>
                <w:lang w:val="en-US" w:eastAsia="zh-CN"/>
              </w:rPr>
              <w:t>上线</w:t>
            </w:r>
          </w:p>
          <w:p w14:paraId="49D004D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根据《福州市人民政府关于实施“三线一单”生态分区管控的通知》，能源资源利用上线要求为：衔接碳达峰方案、节能减排、能源规划等文件要求，控制目标以省政府下达为准。</w:t>
            </w:r>
          </w:p>
          <w:p w14:paraId="59F7784B">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项目设备使用电能作为能源，不涉及高污染燃料，项目与福州市能源资源利用</w:t>
            </w:r>
            <w:r>
              <w:rPr>
                <w:rFonts w:hint="eastAsia" w:ascii="Times New Roman" w:hAnsi="Times New Roman" w:eastAsia="宋体" w:cs="Times New Roman"/>
                <w:color w:val="auto"/>
                <w:kern w:val="0"/>
                <w:sz w:val="24"/>
                <w:szCs w:val="24"/>
                <w:highlight w:val="none"/>
                <w:shd w:val="clear" w:fill="FFFFFF"/>
                <w:lang w:val="en-US" w:eastAsia="zh-CN"/>
              </w:rPr>
              <w:t>上线</w:t>
            </w:r>
            <w:r>
              <w:rPr>
                <w:rFonts w:hint="eastAsia" w:ascii="Times New Roman" w:hAnsi="Times New Roman" w:eastAsia="宋体" w:cs="Times New Roman"/>
                <w:color w:val="auto"/>
                <w:kern w:val="0"/>
                <w:sz w:val="24"/>
                <w:szCs w:val="24"/>
                <w:highlight w:val="none"/>
                <w:lang w:val="en-US" w:eastAsia="zh-CN"/>
              </w:rPr>
              <w:t>要求相符。</w:t>
            </w:r>
          </w:p>
          <w:p w14:paraId="4F4C1BAB">
            <w:pPr>
              <w:pStyle w:val="14"/>
              <w:keepNext w:val="0"/>
              <w:keepLines w:val="0"/>
              <w:widowControl w:val="0"/>
              <w:suppressLineNumbers w:val="0"/>
              <w:shd w:val="clear" w:color="auto" w:fill="auto"/>
              <w:topLinePunct/>
              <w:spacing w:before="0" w:beforeAutospacing="0" w:after="0" w:afterAutospacing="0" w:line="360" w:lineRule="auto"/>
              <w:ind w:left="0" w:right="0" w:firstLine="480"/>
              <w:jc w:val="both"/>
              <w:rPr>
                <w:rFonts w:hint="default"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lang w:val="en-US" w:eastAsia="zh-CN"/>
              </w:rPr>
              <w:t>4.生态环境准入清单</w:t>
            </w:r>
          </w:p>
          <w:p w14:paraId="0B749800">
            <w:pPr>
              <w:pStyle w:val="20"/>
              <w:keepNext w:val="0"/>
              <w:keepLines w:val="0"/>
              <w:suppressLineNumbers w:val="0"/>
              <w:bidi w:val="0"/>
              <w:spacing w:before="0" w:beforeAutospacing="0" w:after="0" w:afterAutospacing="0"/>
              <w:ind w:left="0" w:right="0" w:firstLine="480" w:firstLineChars="200"/>
              <w:jc w:val="both"/>
              <w:rPr>
                <w:rFonts w:hint="eastAsia"/>
                <w:color w:val="auto"/>
                <w:lang w:eastAsia="zh-CN"/>
              </w:rPr>
            </w:pPr>
            <w:r>
              <w:rPr>
                <w:rFonts w:hint="eastAsia" w:ascii="Times New Roman" w:hAnsi="Times New Roman" w:eastAsia="宋体" w:cs="Times New Roman"/>
                <w:color w:val="auto"/>
                <w:kern w:val="0"/>
                <w:sz w:val="24"/>
                <w:highlight w:val="none"/>
                <w:lang w:eastAsia="zh-CN"/>
              </w:rPr>
              <w:t>查询福建省生态环境分区管控数据应用平台</w:t>
            </w:r>
            <w:r>
              <w:rPr>
                <w:rFonts w:hint="eastAsia"/>
                <w:color w:val="auto"/>
                <w:kern w:val="0"/>
                <w:sz w:val="24"/>
                <w:highlight w:val="none"/>
              </w:rPr>
              <w:t>，</w:t>
            </w:r>
            <w:r>
              <w:rPr>
                <w:rFonts w:hint="default" w:ascii="Times New Roman" w:hAnsi="Times New Roman" w:eastAsia="宋体" w:cs="Times New Roman"/>
                <w:color w:val="auto"/>
                <w:sz w:val="24"/>
                <w:szCs w:val="20"/>
              </w:rPr>
              <w:t>项目所在</w:t>
            </w:r>
            <w:r>
              <w:rPr>
                <w:rFonts w:hint="eastAsia" w:ascii="Times New Roman" w:hAnsi="Times New Roman" w:eastAsia="宋体" w:cs="Times New Roman"/>
                <w:color w:val="auto"/>
                <w:sz w:val="24"/>
                <w:szCs w:val="20"/>
              </w:rPr>
              <w:t>环境管控单元</w:t>
            </w:r>
            <w:r>
              <w:rPr>
                <w:rFonts w:hint="default" w:ascii="Times New Roman" w:hAnsi="Times New Roman" w:eastAsia="宋体" w:cs="Times New Roman"/>
                <w:color w:val="auto"/>
                <w:sz w:val="24"/>
                <w:szCs w:val="20"/>
              </w:rPr>
              <w:t>为福州市陆域环境管控单元—福清市生态环境准入清单—福清融侨经济技术开发区</w:t>
            </w:r>
            <w:r>
              <w:rPr>
                <w:rFonts w:hint="eastAsia" w:ascii="Times New Roman" w:hAnsi="Times New Roman" w:eastAsia="宋体" w:cs="Times New Roman"/>
                <w:color w:val="auto"/>
                <w:sz w:val="24"/>
                <w:szCs w:val="20"/>
                <w:lang w:val="en-US" w:eastAsia="zh-CN"/>
              </w:rPr>
              <w:t>（单元编号</w:t>
            </w:r>
            <w:r>
              <w:rPr>
                <w:rFonts w:hint="default" w:ascii="Times New Roman" w:hAnsi="Times New Roman" w:eastAsia="宋体" w:cs="Times New Roman"/>
                <w:color w:val="auto"/>
                <w:sz w:val="24"/>
                <w:szCs w:val="20"/>
              </w:rPr>
              <w:t>ZH3501812000</w:t>
            </w:r>
            <w:r>
              <w:rPr>
                <w:rFonts w:hint="eastAsia" w:ascii="Times New Roman" w:hAnsi="Times New Roman" w:eastAsia="宋体" w:cs="Times New Roman"/>
                <w:color w:val="auto"/>
                <w:sz w:val="24"/>
                <w:szCs w:val="20"/>
                <w:lang w:val="en-US" w:eastAsia="zh-CN"/>
              </w:rPr>
              <w:t>8</w:t>
            </w:r>
            <w:r>
              <w:rPr>
                <w:rFonts w:hint="eastAsia" w:ascii="Times New Roman" w:hAnsi="Times New Roman" w:eastAsia="宋体" w:cs="Times New Roman"/>
                <w:color w:val="auto"/>
                <w:sz w:val="24"/>
                <w:szCs w:val="20"/>
                <w:lang w:eastAsia="zh-CN"/>
              </w:rPr>
              <w:t>，</w:t>
            </w:r>
            <w:r>
              <w:rPr>
                <w:rFonts w:hint="eastAsia" w:ascii="Times New Roman" w:hAnsi="Times New Roman" w:eastAsia="宋体" w:cs="Times New Roman"/>
                <w:color w:val="auto"/>
                <w:sz w:val="24"/>
                <w:szCs w:val="20"/>
                <w:lang w:val="en-US" w:eastAsia="zh-CN"/>
              </w:rPr>
              <w:t>三线一</w:t>
            </w:r>
            <w:r>
              <w:rPr>
                <w:rFonts w:hint="eastAsia" w:ascii="Times New Roman" w:hAnsi="Times New Roman" w:eastAsia="宋体" w:cs="Times New Roman"/>
                <w:color w:val="auto"/>
                <w:sz w:val="24"/>
                <w:lang w:val="en-US" w:eastAsia="zh-CN"/>
              </w:rPr>
              <w:t>单综合查询报告见附件</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lang w:val="en-US" w:eastAsia="zh-CN"/>
              </w:rPr>
              <w:t>），</w:t>
            </w:r>
            <w:r>
              <w:rPr>
                <w:rFonts w:hint="default"/>
                <w:color w:val="auto"/>
                <w:kern w:val="0"/>
                <w:sz w:val="24"/>
                <w:highlight w:val="none"/>
              </w:rPr>
              <w:t>项目与环境管控单元准入要求符合性</w:t>
            </w:r>
            <w:r>
              <w:rPr>
                <w:rFonts w:hint="eastAsia"/>
                <w:color w:val="auto"/>
                <w:kern w:val="0"/>
                <w:sz w:val="24"/>
                <w:highlight w:val="none"/>
              </w:rPr>
              <w:t>分析</w:t>
            </w:r>
            <w:r>
              <w:rPr>
                <w:rFonts w:hint="default"/>
                <w:color w:val="auto"/>
                <w:kern w:val="0"/>
                <w:sz w:val="24"/>
                <w:highlight w:val="none"/>
              </w:rPr>
              <w:t>详见</w:t>
            </w:r>
            <w:r>
              <w:rPr>
                <w:rFonts w:hint="eastAsia"/>
                <w:color w:val="auto"/>
                <w:lang w:val="en-US" w:eastAsia="zh-CN"/>
              </w:rPr>
              <w:t>下</w:t>
            </w:r>
            <w:r>
              <w:rPr>
                <w:rFonts w:hint="default"/>
                <w:color w:val="auto"/>
              </w:rPr>
              <w:t>表</w:t>
            </w:r>
            <w:r>
              <w:rPr>
                <w:rFonts w:hint="eastAsia"/>
                <w:color w:val="auto"/>
                <w:lang w:eastAsia="zh-CN"/>
              </w:rPr>
              <w:t>。</w:t>
            </w:r>
          </w:p>
          <w:p w14:paraId="3F19B6EF">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p>
          <w:p w14:paraId="2C014D6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 w:val="24"/>
                <w:szCs w:val="24"/>
                <w:highlight w:val="none"/>
                <w:lang w:val="en-US" w:eastAsia="zh-CN"/>
              </w:rPr>
            </w:pPr>
          </w:p>
          <w:p w14:paraId="4F0A971B">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jc w:val="center"/>
              <w:textAlignment w:val="auto"/>
              <w:rPr>
                <w:rFonts w:hint="eastAsia" w:ascii="Times New Roman" w:hAnsi="Times New Roman" w:cs="Times New Roman"/>
                <w:color w:val="auto"/>
                <w:highlight w:val="none"/>
                <w:lang w:val="en-GB"/>
              </w:rPr>
            </w:pPr>
            <w:r>
              <w:rPr>
                <w:rFonts w:hint="eastAsia" w:ascii="Times New Roman" w:hAnsi="Times New Roman" w:cs="Times New Roman"/>
                <w:color w:val="auto"/>
                <w:highlight w:val="none"/>
                <w:lang w:val="en-GB" w:eastAsia="zh-CN"/>
              </w:rPr>
              <w:t>与福州市生态环境总体准入要求的符合性分析</w:t>
            </w:r>
          </w:p>
          <w:tbl>
            <w:tblPr>
              <w:tblStyle w:val="28"/>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646"/>
              <w:gridCol w:w="690"/>
              <w:gridCol w:w="2710"/>
              <w:gridCol w:w="1948"/>
              <w:gridCol w:w="536"/>
            </w:tblGrid>
            <w:tr w14:paraId="62C02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501" w:type="pct"/>
                  <w:noWrap w:val="0"/>
                  <w:tcMar>
                    <w:top w:w="0" w:type="dxa"/>
                    <w:left w:w="51" w:type="dxa"/>
                    <w:bottom w:w="0" w:type="dxa"/>
                    <w:right w:w="51" w:type="dxa"/>
                  </w:tcMar>
                  <w:vAlign w:val="center"/>
                </w:tcPr>
                <w:p w14:paraId="622AA2E0">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环境管控单元</w:t>
                  </w:r>
                </w:p>
                <w:p w14:paraId="5C2C9743">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编码</w:t>
                  </w:r>
                </w:p>
              </w:tc>
              <w:tc>
                <w:tcPr>
                  <w:tcW w:w="445" w:type="pct"/>
                  <w:noWrap w:val="0"/>
                  <w:tcMar>
                    <w:top w:w="0" w:type="dxa"/>
                    <w:left w:w="51" w:type="dxa"/>
                    <w:bottom w:w="0" w:type="dxa"/>
                    <w:right w:w="51" w:type="dxa"/>
                  </w:tcMar>
                  <w:vAlign w:val="center"/>
                </w:tcPr>
                <w:p w14:paraId="790F58C5">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环境管控单元名称</w:t>
                  </w:r>
                </w:p>
              </w:tc>
              <w:tc>
                <w:tcPr>
                  <w:tcW w:w="2342" w:type="pct"/>
                  <w:gridSpan w:val="2"/>
                  <w:noWrap w:val="0"/>
                  <w:tcMar>
                    <w:top w:w="0" w:type="dxa"/>
                    <w:left w:w="51" w:type="dxa"/>
                    <w:bottom w:w="0" w:type="dxa"/>
                    <w:right w:w="51" w:type="dxa"/>
                  </w:tcMar>
                  <w:vAlign w:val="center"/>
                </w:tcPr>
                <w:p w14:paraId="78E3EC35">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管控要求</w:t>
                  </w:r>
                </w:p>
              </w:tc>
              <w:tc>
                <w:tcPr>
                  <w:tcW w:w="1341" w:type="pct"/>
                  <w:noWrap w:val="0"/>
                  <w:tcMar>
                    <w:top w:w="0" w:type="dxa"/>
                    <w:left w:w="51" w:type="dxa"/>
                    <w:bottom w:w="0" w:type="dxa"/>
                    <w:right w:w="51" w:type="dxa"/>
                  </w:tcMar>
                  <w:vAlign w:val="center"/>
                </w:tcPr>
                <w:p w14:paraId="7BE82B01">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本项目情况</w:t>
                  </w:r>
                </w:p>
              </w:tc>
              <w:tc>
                <w:tcPr>
                  <w:tcW w:w="369" w:type="pct"/>
                  <w:noWrap w:val="0"/>
                  <w:tcMar>
                    <w:top w:w="0" w:type="dxa"/>
                    <w:left w:w="51" w:type="dxa"/>
                    <w:bottom w:w="0" w:type="dxa"/>
                    <w:right w:w="51" w:type="dxa"/>
                  </w:tcMar>
                  <w:vAlign w:val="center"/>
                </w:tcPr>
                <w:p w14:paraId="7DC0BC5C">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符合性</w:t>
                  </w:r>
                </w:p>
              </w:tc>
            </w:tr>
            <w:tr w14:paraId="5C8477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8" w:hRule="atLeast"/>
                <w:jc w:val="center"/>
              </w:trPr>
              <w:tc>
                <w:tcPr>
                  <w:tcW w:w="501" w:type="pct"/>
                  <w:vMerge w:val="restart"/>
                  <w:noWrap w:val="0"/>
                  <w:tcMar>
                    <w:top w:w="0" w:type="dxa"/>
                    <w:left w:w="51" w:type="dxa"/>
                    <w:bottom w:w="0" w:type="dxa"/>
                    <w:right w:w="51" w:type="dxa"/>
                  </w:tcMar>
                  <w:vAlign w:val="center"/>
                </w:tcPr>
                <w:p w14:paraId="45278F1F">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rPr>
                    <w:t>ZH35018120008</w:t>
                  </w:r>
                </w:p>
              </w:tc>
              <w:tc>
                <w:tcPr>
                  <w:tcW w:w="445" w:type="pct"/>
                  <w:vMerge w:val="restart"/>
                  <w:noWrap w:val="0"/>
                  <w:tcMar>
                    <w:top w:w="0" w:type="dxa"/>
                    <w:left w:w="51" w:type="dxa"/>
                    <w:bottom w:w="0" w:type="dxa"/>
                    <w:right w:w="51" w:type="dxa"/>
                  </w:tcMar>
                  <w:vAlign w:val="center"/>
                </w:tcPr>
                <w:p w14:paraId="5D9C0A83">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rPr>
                    <w:t>福清市重点管控单元1</w:t>
                  </w:r>
                </w:p>
              </w:tc>
              <w:tc>
                <w:tcPr>
                  <w:tcW w:w="475" w:type="pct"/>
                  <w:noWrap w:val="0"/>
                  <w:tcMar>
                    <w:top w:w="0" w:type="dxa"/>
                    <w:left w:w="51" w:type="dxa"/>
                    <w:bottom w:w="0" w:type="dxa"/>
                    <w:right w:w="51" w:type="dxa"/>
                  </w:tcMar>
                  <w:vAlign w:val="center"/>
                </w:tcPr>
                <w:p w14:paraId="554B0831">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空间布局约束</w:t>
                  </w:r>
                </w:p>
              </w:tc>
              <w:tc>
                <w:tcPr>
                  <w:tcW w:w="1866" w:type="pct"/>
                  <w:noWrap w:val="0"/>
                  <w:tcMar>
                    <w:top w:w="0" w:type="dxa"/>
                    <w:left w:w="51" w:type="dxa"/>
                    <w:bottom w:w="0" w:type="dxa"/>
                    <w:right w:w="51" w:type="dxa"/>
                  </w:tcMar>
                  <w:vAlign w:val="center"/>
                </w:tcPr>
                <w:p w14:paraId="7C4BD8B4">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rPr>
                    <w:t>1.严禁在城镇人口密集区新建危险化学品生产企业；现有不符合安全和卫生防护距离要求的危险化学品生产企业2025年底前完成就地改造达标、搬迁进入规范化工园区或关闭退出。城市建成区内现有有色金属、印染、原料药制造、化工等污染较重的企业应有序搬迁改造或依法关闭。2.严格控制包装印刷、工业涂装、制鞋等高VOCs排放的项目建设，相关新建项目必须进入工业园区。3.禁止开发利用未经评估和无害化处理的列入建设用地污染地块名录及开发利用负面清单的土地。</w:t>
                  </w:r>
                </w:p>
              </w:tc>
              <w:tc>
                <w:tcPr>
                  <w:tcW w:w="1341" w:type="pct"/>
                  <w:noWrap w:val="0"/>
                  <w:tcMar>
                    <w:top w:w="0" w:type="dxa"/>
                    <w:left w:w="51" w:type="dxa"/>
                    <w:bottom w:w="0" w:type="dxa"/>
                    <w:right w:w="51" w:type="dxa"/>
                  </w:tcMar>
                  <w:vAlign w:val="center"/>
                </w:tcPr>
                <w:p w14:paraId="41D074DC">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本项目</w:t>
                  </w:r>
                  <w:r>
                    <w:rPr>
                      <w:rFonts w:hint="eastAsia" w:ascii="Times New Roman" w:hAnsi="Times New Roman" w:eastAsia="宋体"/>
                      <w:b w:val="0"/>
                      <w:bCs w:val="0"/>
                      <w:color w:val="auto"/>
                      <w:sz w:val="21"/>
                      <w:szCs w:val="21"/>
                      <w:highlight w:val="none"/>
                      <w:lang w:val="en-US" w:eastAsia="zh-CN"/>
                    </w:rPr>
                    <w:t>属于M7452检测服务</w:t>
                  </w:r>
                  <w:r>
                    <w:rPr>
                      <w:rFonts w:hint="default"/>
                      <w:color w:val="auto"/>
                    </w:rPr>
                    <w:t>，主要</w:t>
                  </w:r>
                  <w:r>
                    <w:rPr>
                      <w:rFonts w:hint="eastAsia"/>
                      <w:color w:val="auto"/>
                      <w:lang w:val="en-GB"/>
                    </w:rPr>
                    <w:t>从事</w:t>
                  </w:r>
                  <w:r>
                    <w:rPr>
                      <w:rFonts w:hint="eastAsia"/>
                      <w:color w:val="auto"/>
                      <w:lang w:val="en-US" w:eastAsia="zh-CN"/>
                    </w:rPr>
                    <w:t>水质检验检测服务</w:t>
                  </w:r>
                  <w:r>
                    <w:rPr>
                      <w:rFonts w:hint="default"/>
                      <w:color w:val="auto"/>
                    </w:rPr>
                    <w:t>，</w:t>
                  </w:r>
                  <w:r>
                    <w:rPr>
                      <w:rFonts w:hint="eastAsia"/>
                      <w:color w:val="auto"/>
                    </w:rPr>
                    <w:t>不涉及禁止引入行业。项目位于</w:t>
                  </w:r>
                  <w:r>
                    <w:rPr>
                      <w:rFonts w:hint="eastAsia" w:cs="宋体"/>
                      <w:color w:val="auto"/>
                      <w:spacing w:val="0"/>
                      <w:kern w:val="21"/>
                      <w:sz w:val="21"/>
                      <w:szCs w:val="21"/>
                      <w:lang w:val="en-US" w:eastAsia="zh-CN"/>
                    </w:rPr>
                    <w:t>福清融侨经济技术开发区（福清洪金机械有限公司办公科研楼4层、5层）</w:t>
                  </w:r>
                  <w:r>
                    <w:rPr>
                      <w:rFonts w:hint="default"/>
                      <w:color w:val="auto"/>
                      <w:sz w:val="21"/>
                      <w:szCs w:val="21"/>
                    </w:rPr>
                    <w:t>，</w:t>
                  </w:r>
                  <w:r>
                    <w:rPr>
                      <w:rFonts w:hint="eastAsia"/>
                      <w:color w:val="auto"/>
                      <w:sz w:val="21"/>
                      <w:szCs w:val="21"/>
                      <w:lang w:val="en-US" w:eastAsia="zh-CN"/>
                    </w:rPr>
                    <w:t>不涉及</w:t>
                  </w:r>
                  <w:r>
                    <w:rPr>
                      <w:rFonts w:hint="default"/>
                      <w:color w:val="auto"/>
                      <w:sz w:val="21"/>
                      <w:szCs w:val="21"/>
                    </w:rPr>
                    <w:t>禁止开发利用未经评估和无害化处理的列入建设用地污染地块名录及开发利用负面清单的土地</w:t>
                  </w:r>
                  <w:r>
                    <w:rPr>
                      <w:rFonts w:hint="eastAsia"/>
                      <w:color w:val="auto"/>
                      <w:sz w:val="21"/>
                      <w:szCs w:val="21"/>
                    </w:rPr>
                    <w:t>。</w:t>
                  </w:r>
                </w:p>
              </w:tc>
              <w:tc>
                <w:tcPr>
                  <w:tcW w:w="369" w:type="pct"/>
                  <w:noWrap w:val="0"/>
                  <w:tcMar>
                    <w:top w:w="0" w:type="dxa"/>
                    <w:left w:w="51" w:type="dxa"/>
                    <w:bottom w:w="0" w:type="dxa"/>
                    <w:right w:w="51" w:type="dxa"/>
                  </w:tcMar>
                  <w:vAlign w:val="center"/>
                </w:tcPr>
                <w:p w14:paraId="35E400AE">
                  <w:pPr>
                    <w:pStyle w:val="78"/>
                    <w:keepNext w:val="0"/>
                    <w:keepLines w:val="0"/>
                    <w:suppressLineNumbers w:val="0"/>
                    <w:bidi w:val="0"/>
                    <w:spacing w:before="0" w:beforeAutospacing="0" w:after="0" w:afterAutospacing="0"/>
                    <w:ind w:left="0" w:right="0"/>
                    <w:jc w:val="center"/>
                    <w:rPr>
                      <w:rFonts w:hint="eastAsia"/>
                      <w:color w:val="auto"/>
                    </w:rPr>
                  </w:pPr>
                  <w:r>
                    <w:rPr>
                      <w:rFonts w:hint="eastAsia"/>
                      <w:color w:val="auto"/>
                    </w:rPr>
                    <w:t>符合</w:t>
                  </w:r>
                </w:p>
              </w:tc>
            </w:tr>
            <w:tr w14:paraId="07761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05" w:hRule="atLeast"/>
                <w:jc w:val="center"/>
              </w:trPr>
              <w:tc>
                <w:tcPr>
                  <w:tcW w:w="501" w:type="pct"/>
                  <w:vMerge w:val="continue"/>
                  <w:noWrap w:val="0"/>
                  <w:tcMar>
                    <w:top w:w="0" w:type="dxa"/>
                    <w:left w:w="51" w:type="dxa"/>
                    <w:bottom w:w="0" w:type="dxa"/>
                    <w:right w:w="51" w:type="dxa"/>
                  </w:tcMar>
                  <w:vAlign w:val="center"/>
                </w:tcPr>
                <w:p w14:paraId="309C747D">
                  <w:pPr>
                    <w:pStyle w:val="78"/>
                    <w:keepNext w:val="0"/>
                    <w:keepLines w:val="0"/>
                    <w:suppressLineNumbers w:val="0"/>
                    <w:bidi w:val="0"/>
                    <w:spacing w:before="0" w:beforeAutospacing="0" w:after="0" w:afterAutospacing="0"/>
                    <w:ind w:left="0" w:right="0"/>
                    <w:jc w:val="center"/>
                    <w:rPr>
                      <w:rFonts w:hint="default"/>
                      <w:color w:val="auto"/>
                    </w:rPr>
                  </w:pPr>
                </w:p>
              </w:tc>
              <w:tc>
                <w:tcPr>
                  <w:tcW w:w="445" w:type="pct"/>
                  <w:vMerge w:val="continue"/>
                  <w:noWrap w:val="0"/>
                  <w:tcMar>
                    <w:top w:w="0" w:type="dxa"/>
                    <w:left w:w="51" w:type="dxa"/>
                    <w:bottom w:w="0" w:type="dxa"/>
                    <w:right w:w="51" w:type="dxa"/>
                  </w:tcMar>
                  <w:vAlign w:val="center"/>
                </w:tcPr>
                <w:p w14:paraId="1C838B2A">
                  <w:pPr>
                    <w:pStyle w:val="78"/>
                    <w:keepNext w:val="0"/>
                    <w:keepLines w:val="0"/>
                    <w:suppressLineNumbers w:val="0"/>
                    <w:bidi w:val="0"/>
                    <w:spacing w:before="0" w:beforeAutospacing="0" w:after="0" w:afterAutospacing="0"/>
                    <w:ind w:left="0" w:right="0"/>
                    <w:jc w:val="center"/>
                    <w:rPr>
                      <w:rFonts w:hint="default"/>
                      <w:color w:val="auto"/>
                    </w:rPr>
                  </w:pPr>
                </w:p>
              </w:tc>
              <w:tc>
                <w:tcPr>
                  <w:tcW w:w="475" w:type="pct"/>
                  <w:noWrap w:val="0"/>
                  <w:tcMar>
                    <w:top w:w="0" w:type="dxa"/>
                    <w:left w:w="51" w:type="dxa"/>
                    <w:bottom w:w="0" w:type="dxa"/>
                    <w:right w:w="51" w:type="dxa"/>
                  </w:tcMar>
                  <w:vAlign w:val="center"/>
                </w:tcPr>
                <w:p w14:paraId="0CD25510">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污染物排放管控</w:t>
                  </w:r>
                </w:p>
              </w:tc>
              <w:tc>
                <w:tcPr>
                  <w:tcW w:w="1866" w:type="pct"/>
                  <w:noWrap w:val="0"/>
                  <w:tcMar>
                    <w:top w:w="0" w:type="dxa"/>
                    <w:left w:w="51" w:type="dxa"/>
                    <w:bottom w:w="0" w:type="dxa"/>
                    <w:right w:w="51" w:type="dxa"/>
                  </w:tcMar>
                  <w:vAlign w:val="center"/>
                </w:tcPr>
                <w:p w14:paraId="2822BB09">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rPr>
                    <w:t>落实新增二氧化硫、氮氧化物和VOCs排放总量控制要求。</w:t>
                  </w:r>
                </w:p>
              </w:tc>
              <w:tc>
                <w:tcPr>
                  <w:tcW w:w="1341" w:type="pct"/>
                  <w:noWrap w:val="0"/>
                  <w:tcMar>
                    <w:top w:w="0" w:type="dxa"/>
                    <w:left w:w="51" w:type="dxa"/>
                    <w:bottom w:w="0" w:type="dxa"/>
                    <w:right w:w="51" w:type="dxa"/>
                  </w:tcMar>
                  <w:vAlign w:val="center"/>
                </w:tcPr>
                <w:p w14:paraId="0757EA1A">
                  <w:pPr>
                    <w:pStyle w:val="78"/>
                    <w:keepNext w:val="0"/>
                    <w:keepLines w:val="0"/>
                    <w:suppressLineNumbers w:val="0"/>
                    <w:bidi w:val="0"/>
                    <w:spacing w:before="0" w:beforeAutospacing="0" w:after="0" w:afterAutospacing="0"/>
                    <w:ind w:left="0" w:right="0"/>
                    <w:jc w:val="center"/>
                    <w:rPr>
                      <w:rFonts w:hint="eastAsia"/>
                      <w:color w:val="auto"/>
                    </w:rPr>
                  </w:pPr>
                  <w:r>
                    <w:rPr>
                      <w:rFonts w:hint="default"/>
                      <w:color w:val="auto"/>
                    </w:rPr>
                    <w:t>项目VOCs采取</w:t>
                  </w:r>
                  <w:r>
                    <w:rPr>
                      <w:rFonts w:hint="eastAsia"/>
                      <w:color w:val="auto"/>
                      <w:lang w:eastAsia="zh-CN"/>
                    </w:rPr>
                    <w:t>活性炭吸附装置处理</w:t>
                  </w:r>
                  <w:r>
                    <w:rPr>
                      <w:rFonts w:hint="default"/>
                      <w:color w:val="auto"/>
                    </w:rPr>
                    <w:t>后，可以得到有效的控制，项目涉VOC</w:t>
                  </w:r>
                  <w:r>
                    <w:rPr>
                      <w:rFonts w:hint="eastAsia"/>
                      <w:color w:val="auto"/>
                      <w:lang w:val="en-US" w:eastAsia="zh-CN"/>
                    </w:rPr>
                    <w:t>s</w:t>
                  </w:r>
                  <w:r>
                    <w:rPr>
                      <w:rFonts w:hint="default"/>
                      <w:color w:val="auto"/>
                    </w:rPr>
                    <w:t>排放，建设单位将严格按照文件规定要求对VOC</w:t>
                  </w:r>
                  <w:r>
                    <w:rPr>
                      <w:rFonts w:hint="eastAsia"/>
                      <w:color w:val="auto"/>
                      <w:lang w:val="en-US" w:eastAsia="zh-CN"/>
                    </w:rPr>
                    <w:t>s</w:t>
                  </w:r>
                  <w:r>
                    <w:rPr>
                      <w:rFonts w:hint="default"/>
                      <w:color w:val="auto"/>
                    </w:rPr>
                    <w:t>排放实行倍量替代。</w:t>
                  </w:r>
                </w:p>
              </w:tc>
              <w:tc>
                <w:tcPr>
                  <w:tcW w:w="369" w:type="pct"/>
                  <w:noWrap w:val="0"/>
                  <w:tcMar>
                    <w:top w:w="0" w:type="dxa"/>
                    <w:left w:w="51" w:type="dxa"/>
                    <w:bottom w:w="0" w:type="dxa"/>
                    <w:right w:w="51" w:type="dxa"/>
                  </w:tcMar>
                  <w:vAlign w:val="center"/>
                </w:tcPr>
                <w:p w14:paraId="42EA3F01">
                  <w:pPr>
                    <w:pStyle w:val="78"/>
                    <w:keepNext w:val="0"/>
                    <w:keepLines w:val="0"/>
                    <w:suppressLineNumbers w:val="0"/>
                    <w:bidi w:val="0"/>
                    <w:spacing w:before="0" w:beforeAutospacing="0" w:after="0" w:afterAutospacing="0"/>
                    <w:ind w:left="0" w:right="0"/>
                    <w:jc w:val="center"/>
                    <w:rPr>
                      <w:rFonts w:hint="eastAsia"/>
                      <w:color w:val="auto"/>
                    </w:rPr>
                  </w:pPr>
                  <w:r>
                    <w:rPr>
                      <w:rFonts w:hint="eastAsia"/>
                      <w:color w:val="auto"/>
                    </w:rPr>
                    <w:t>符合</w:t>
                  </w:r>
                </w:p>
              </w:tc>
            </w:tr>
            <w:tr w14:paraId="06DECE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72" w:hRule="atLeast"/>
                <w:jc w:val="center"/>
              </w:trPr>
              <w:tc>
                <w:tcPr>
                  <w:tcW w:w="501" w:type="pct"/>
                  <w:vMerge w:val="continue"/>
                  <w:noWrap w:val="0"/>
                  <w:tcMar>
                    <w:top w:w="0" w:type="dxa"/>
                    <w:left w:w="51" w:type="dxa"/>
                    <w:bottom w:w="0" w:type="dxa"/>
                    <w:right w:w="51" w:type="dxa"/>
                  </w:tcMar>
                  <w:vAlign w:val="center"/>
                </w:tcPr>
                <w:p w14:paraId="238CB539">
                  <w:pPr>
                    <w:pStyle w:val="78"/>
                    <w:keepNext w:val="0"/>
                    <w:keepLines w:val="0"/>
                    <w:suppressLineNumbers w:val="0"/>
                    <w:bidi w:val="0"/>
                    <w:spacing w:before="0" w:beforeAutospacing="0" w:after="0" w:afterAutospacing="0"/>
                    <w:ind w:left="0" w:right="0"/>
                    <w:jc w:val="center"/>
                    <w:rPr>
                      <w:rFonts w:hint="default"/>
                      <w:color w:val="auto"/>
                    </w:rPr>
                  </w:pPr>
                </w:p>
              </w:tc>
              <w:tc>
                <w:tcPr>
                  <w:tcW w:w="445" w:type="pct"/>
                  <w:vMerge w:val="continue"/>
                  <w:noWrap w:val="0"/>
                  <w:tcMar>
                    <w:top w:w="0" w:type="dxa"/>
                    <w:left w:w="51" w:type="dxa"/>
                    <w:bottom w:w="0" w:type="dxa"/>
                    <w:right w:w="51" w:type="dxa"/>
                  </w:tcMar>
                  <w:vAlign w:val="center"/>
                </w:tcPr>
                <w:p w14:paraId="126A0F77">
                  <w:pPr>
                    <w:pStyle w:val="78"/>
                    <w:keepNext w:val="0"/>
                    <w:keepLines w:val="0"/>
                    <w:suppressLineNumbers w:val="0"/>
                    <w:bidi w:val="0"/>
                    <w:spacing w:before="0" w:beforeAutospacing="0" w:after="0" w:afterAutospacing="0"/>
                    <w:ind w:left="0" w:right="0"/>
                    <w:jc w:val="center"/>
                    <w:rPr>
                      <w:rFonts w:hint="default"/>
                      <w:color w:val="auto"/>
                    </w:rPr>
                  </w:pPr>
                </w:p>
              </w:tc>
              <w:tc>
                <w:tcPr>
                  <w:tcW w:w="475" w:type="pct"/>
                  <w:noWrap w:val="0"/>
                  <w:tcMar>
                    <w:top w:w="0" w:type="dxa"/>
                    <w:left w:w="51" w:type="dxa"/>
                    <w:bottom w:w="0" w:type="dxa"/>
                    <w:right w:w="51" w:type="dxa"/>
                  </w:tcMar>
                  <w:vAlign w:val="center"/>
                </w:tcPr>
                <w:p w14:paraId="6D33DE82">
                  <w:pPr>
                    <w:pStyle w:val="78"/>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环境风险防控</w:t>
                  </w:r>
                </w:p>
              </w:tc>
              <w:tc>
                <w:tcPr>
                  <w:tcW w:w="1866" w:type="pct"/>
                  <w:noWrap w:val="0"/>
                  <w:tcMar>
                    <w:top w:w="0" w:type="dxa"/>
                    <w:left w:w="51" w:type="dxa"/>
                    <w:bottom w:w="0" w:type="dxa"/>
                    <w:right w:w="51" w:type="dxa"/>
                  </w:tcMar>
                  <w:vAlign w:val="center"/>
                </w:tcPr>
                <w:p w14:paraId="130FFE4D">
                  <w:pPr>
                    <w:pStyle w:val="78"/>
                    <w:keepNext w:val="0"/>
                    <w:keepLines w:val="0"/>
                    <w:numPr>
                      <w:ilvl w:val="0"/>
                      <w:numId w:val="0"/>
                    </w:numPr>
                    <w:suppressLineNumbers w:val="0"/>
                    <w:bidi w:val="0"/>
                    <w:spacing w:before="0" w:beforeAutospacing="0" w:after="0" w:afterAutospacing="0"/>
                    <w:ind w:left="0" w:right="0"/>
                    <w:jc w:val="center"/>
                    <w:rPr>
                      <w:rFonts w:hint="eastAsia" w:eastAsia="宋体"/>
                      <w:color w:val="auto"/>
                      <w:lang w:eastAsia="zh-CN"/>
                    </w:rPr>
                  </w:pPr>
                  <w:r>
                    <w:rPr>
                      <w:rFonts w:hint="eastAsia" w:ascii="Times New Roman" w:hAnsi="Times New Roman" w:eastAsia="宋体" w:cs="Times New Roman"/>
                      <w:color w:val="auto"/>
                      <w:kern w:val="0"/>
                      <w:sz w:val="21"/>
                      <w:szCs w:val="20"/>
                      <w:lang w:val="en-US" w:eastAsia="zh-CN" w:bidi="ar-SA"/>
                    </w:rPr>
                    <w:t>单元内现有化学原料和化学制品制造业、有色金属冶炼和压延加工业等具有潜在土壤污染环境风险的企业退役后，应开展土壤环境状况评估，经评估认为污染地块可能损害人体健康和环境，应当进行修复的，由造成污染的单位和个人负责被污染土壤的修复。</w:t>
                  </w:r>
                </w:p>
              </w:tc>
              <w:tc>
                <w:tcPr>
                  <w:tcW w:w="1341" w:type="pct"/>
                  <w:noWrap w:val="0"/>
                  <w:tcMar>
                    <w:top w:w="0" w:type="dxa"/>
                    <w:left w:w="51" w:type="dxa"/>
                    <w:bottom w:w="0" w:type="dxa"/>
                    <w:right w:w="51" w:type="dxa"/>
                  </w:tcMar>
                  <w:vAlign w:val="center"/>
                </w:tcPr>
                <w:p w14:paraId="1C1BD55E">
                  <w:pPr>
                    <w:pStyle w:val="78"/>
                    <w:keepNext w:val="0"/>
                    <w:keepLines w:val="0"/>
                    <w:suppressLineNumbers w:val="0"/>
                    <w:bidi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本项目</w:t>
                  </w:r>
                  <w:r>
                    <w:rPr>
                      <w:rFonts w:hint="eastAsia"/>
                      <w:color w:val="auto"/>
                      <w:sz w:val="21"/>
                      <w:szCs w:val="21"/>
                      <w:lang w:val="en-US" w:eastAsia="zh-CN"/>
                    </w:rPr>
                    <w:t>属于新建项目，同时不涉及土壤污染途径。</w:t>
                  </w:r>
                </w:p>
              </w:tc>
              <w:tc>
                <w:tcPr>
                  <w:tcW w:w="369" w:type="pct"/>
                  <w:noWrap w:val="0"/>
                  <w:tcMar>
                    <w:top w:w="0" w:type="dxa"/>
                    <w:left w:w="51" w:type="dxa"/>
                    <w:bottom w:w="0" w:type="dxa"/>
                    <w:right w:w="51" w:type="dxa"/>
                  </w:tcMar>
                  <w:vAlign w:val="center"/>
                </w:tcPr>
                <w:p w14:paraId="3DC94293">
                  <w:pPr>
                    <w:pStyle w:val="78"/>
                    <w:keepNext w:val="0"/>
                    <w:keepLines w:val="0"/>
                    <w:suppressLineNumbers w:val="0"/>
                    <w:bidi w:val="0"/>
                    <w:spacing w:before="0" w:beforeAutospacing="0" w:after="0" w:afterAutospacing="0"/>
                    <w:ind w:left="0" w:right="0"/>
                    <w:jc w:val="center"/>
                    <w:rPr>
                      <w:rFonts w:hint="eastAsia" w:eastAsia="宋体"/>
                      <w:color w:val="auto"/>
                      <w:lang w:val="en-US" w:eastAsia="zh-CN"/>
                    </w:rPr>
                  </w:pPr>
                  <w:r>
                    <w:rPr>
                      <w:rFonts w:hint="eastAsia"/>
                      <w:color w:val="auto"/>
                      <w:lang w:val="en-US" w:eastAsia="zh-CN"/>
                    </w:rPr>
                    <w:t>符合</w:t>
                  </w:r>
                </w:p>
              </w:tc>
            </w:tr>
            <w:tr w14:paraId="5C4DC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40" w:hRule="atLeast"/>
                <w:jc w:val="center"/>
              </w:trPr>
              <w:tc>
                <w:tcPr>
                  <w:tcW w:w="501" w:type="pct"/>
                  <w:vMerge w:val="continue"/>
                  <w:noWrap w:val="0"/>
                  <w:tcMar>
                    <w:top w:w="0" w:type="dxa"/>
                    <w:left w:w="51" w:type="dxa"/>
                    <w:bottom w:w="0" w:type="dxa"/>
                    <w:right w:w="51" w:type="dxa"/>
                  </w:tcMar>
                  <w:vAlign w:val="center"/>
                </w:tcPr>
                <w:p w14:paraId="7313FEBD">
                  <w:pPr>
                    <w:pStyle w:val="78"/>
                    <w:keepNext w:val="0"/>
                    <w:keepLines w:val="0"/>
                    <w:suppressLineNumbers w:val="0"/>
                    <w:bidi w:val="0"/>
                    <w:spacing w:before="0" w:beforeAutospacing="0" w:after="0" w:afterAutospacing="0"/>
                    <w:ind w:left="0" w:right="0"/>
                    <w:jc w:val="center"/>
                    <w:rPr>
                      <w:rFonts w:hint="default"/>
                      <w:color w:val="auto"/>
                    </w:rPr>
                  </w:pPr>
                </w:p>
              </w:tc>
              <w:tc>
                <w:tcPr>
                  <w:tcW w:w="445" w:type="pct"/>
                  <w:vMerge w:val="continue"/>
                  <w:noWrap w:val="0"/>
                  <w:tcMar>
                    <w:top w:w="0" w:type="dxa"/>
                    <w:left w:w="51" w:type="dxa"/>
                    <w:bottom w:w="0" w:type="dxa"/>
                    <w:right w:w="51" w:type="dxa"/>
                  </w:tcMar>
                  <w:vAlign w:val="center"/>
                </w:tcPr>
                <w:p w14:paraId="41679231">
                  <w:pPr>
                    <w:pStyle w:val="78"/>
                    <w:keepNext w:val="0"/>
                    <w:keepLines w:val="0"/>
                    <w:suppressLineNumbers w:val="0"/>
                    <w:bidi w:val="0"/>
                    <w:spacing w:before="0" w:beforeAutospacing="0" w:after="0" w:afterAutospacing="0"/>
                    <w:ind w:left="0" w:right="0"/>
                    <w:jc w:val="center"/>
                    <w:rPr>
                      <w:rFonts w:hint="default"/>
                      <w:color w:val="auto"/>
                    </w:rPr>
                  </w:pPr>
                </w:p>
              </w:tc>
              <w:tc>
                <w:tcPr>
                  <w:tcW w:w="475" w:type="pct"/>
                  <w:noWrap w:val="0"/>
                  <w:tcMar>
                    <w:top w:w="0" w:type="dxa"/>
                    <w:left w:w="51" w:type="dxa"/>
                    <w:bottom w:w="0" w:type="dxa"/>
                    <w:right w:w="51" w:type="dxa"/>
                  </w:tcMar>
                  <w:vAlign w:val="center"/>
                </w:tcPr>
                <w:p w14:paraId="3DA0F2D0">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资源开发效率要求</w:t>
                  </w:r>
                </w:p>
              </w:tc>
              <w:tc>
                <w:tcPr>
                  <w:tcW w:w="1866" w:type="pct"/>
                  <w:noWrap w:val="0"/>
                  <w:tcMar>
                    <w:top w:w="0" w:type="dxa"/>
                    <w:left w:w="51" w:type="dxa"/>
                    <w:bottom w:w="0" w:type="dxa"/>
                    <w:right w:w="51" w:type="dxa"/>
                  </w:tcMar>
                  <w:vAlign w:val="center"/>
                </w:tcPr>
                <w:p w14:paraId="4F28FB19">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高污染燃料禁燃区内禁止燃用高污染燃料，禁止新建、扩建燃用高污染燃料的设施。已建的燃用高污染燃料设施，限期改用电、天然气、液化石油气等清洁能源。</w:t>
                  </w:r>
                </w:p>
              </w:tc>
              <w:tc>
                <w:tcPr>
                  <w:tcW w:w="1341" w:type="pct"/>
                  <w:noWrap w:val="0"/>
                  <w:tcMar>
                    <w:top w:w="0" w:type="dxa"/>
                    <w:left w:w="51" w:type="dxa"/>
                    <w:bottom w:w="0" w:type="dxa"/>
                    <w:right w:w="51" w:type="dxa"/>
                  </w:tcMar>
                  <w:vAlign w:val="center"/>
                </w:tcPr>
                <w:p w14:paraId="5D5158BB">
                  <w:pPr>
                    <w:pStyle w:val="78"/>
                    <w:keepNext w:val="0"/>
                    <w:keepLines w:val="0"/>
                    <w:suppressLineNumbers w:val="0"/>
                    <w:bidi w:val="0"/>
                    <w:spacing w:before="0" w:beforeAutospacing="0" w:after="0" w:afterAutospacing="0"/>
                    <w:ind w:left="0" w:right="0"/>
                    <w:jc w:val="center"/>
                    <w:rPr>
                      <w:rFonts w:hint="eastAsia"/>
                      <w:color w:val="auto"/>
                    </w:rPr>
                  </w:pPr>
                  <w:r>
                    <w:rPr>
                      <w:rFonts w:hint="eastAsia"/>
                      <w:color w:val="auto"/>
                    </w:rPr>
                    <w:t>本项目设备均采用电能，不涉及使用</w:t>
                  </w:r>
                  <w:r>
                    <w:rPr>
                      <w:rFonts w:hint="default"/>
                      <w:color w:val="auto"/>
                    </w:rPr>
                    <w:t>高污染燃料</w:t>
                  </w:r>
                  <w:r>
                    <w:rPr>
                      <w:rFonts w:hint="eastAsia"/>
                      <w:color w:val="auto"/>
                    </w:rPr>
                    <w:t>。</w:t>
                  </w:r>
                </w:p>
              </w:tc>
              <w:tc>
                <w:tcPr>
                  <w:tcW w:w="369" w:type="pct"/>
                  <w:noWrap w:val="0"/>
                  <w:tcMar>
                    <w:top w:w="0" w:type="dxa"/>
                    <w:left w:w="51" w:type="dxa"/>
                    <w:bottom w:w="0" w:type="dxa"/>
                    <w:right w:w="51" w:type="dxa"/>
                  </w:tcMar>
                  <w:vAlign w:val="center"/>
                </w:tcPr>
                <w:p w14:paraId="7C3187DC">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rPr>
                    <w:t>符合</w:t>
                  </w:r>
                </w:p>
              </w:tc>
            </w:tr>
          </w:tbl>
          <w:p w14:paraId="79AD43FA">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eastAsia"/>
                <w:color w:val="auto"/>
                <w:lang w:val="en-US" w:eastAsia="zh-CN"/>
              </w:rPr>
              <w:t>综上所述，本项目建设符合“三线一单”相关管控要求。</w:t>
            </w:r>
          </w:p>
          <w:bookmarkEnd w:id="10"/>
          <w:bookmarkEnd w:id="11"/>
          <w:bookmarkEnd w:id="12"/>
          <w:bookmarkEnd w:id="13"/>
          <w:bookmarkEnd w:id="14"/>
          <w:p w14:paraId="5B832D03">
            <w:pPr>
              <w:pStyle w:val="5"/>
              <w:keepNext w:val="0"/>
              <w:keepLines w:val="0"/>
              <w:suppressLineNumbers w:val="0"/>
              <w:tabs>
                <w:tab w:val="left" w:pos="0"/>
              </w:tabs>
              <w:spacing w:before="0" w:beforeAutospacing="0" w:after="0" w:afterAutospacing="0"/>
              <w:ind w:left="0" w:right="0"/>
              <w:rPr>
                <w:rFonts w:hint="eastAsia" w:ascii="Times New Roman" w:hAnsi="Times New Roman" w:cs="Times New Roman"/>
                <w:color w:val="auto"/>
                <w:highlight w:val="none"/>
                <w:lang w:val="en-US" w:eastAsia="zh-CN"/>
              </w:rPr>
            </w:pPr>
            <w:bookmarkStart w:id="15" w:name="_Toc21408"/>
            <w:r>
              <w:rPr>
                <w:rFonts w:hint="eastAsia" w:ascii="Times New Roman" w:hAnsi="Times New Roman" w:cs="Times New Roman"/>
                <w:color w:val="auto"/>
                <w:highlight w:val="none"/>
                <w:lang w:val="en-US" w:eastAsia="zh-CN"/>
              </w:rPr>
              <w:t>与挥发性有机物污染防治相关政策符合性分析</w:t>
            </w:r>
            <w:bookmarkEnd w:id="15"/>
          </w:p>
          <w:p w14:paraId="3733C258">
            <w:pPr>
              <w:pStyle w:val="20"/>
              <w:keepNext w:val="0"/>
              <w:keepLines w:val="0"/>
              <w:suppressLineNumbers w:val="0"/>
              <w:bidi w:val="0"/>
              <w:spacing w:before="0" w:beforeAutospacing="0" w:after="0" w:afterAutospacing="0"/>
              <w:ind w:left="0" w:right="0" w:firstLine="480" w:firstLineChars="200"/>
              <w:jc w:val="both"/>
              <w:rPr>
                <w:rFonts w:hint="default"/>
                <w:color w:val="auto"/>
              </w:rPr>
            </w:pPr>
            <w:r>
              <w:rPr>
                <w:rFonts w:hint="eastAsia"/>
                <w:color w:val="auto"/>
              </w:rPr>
              <w:t>本项目与</w:t>
            </w:r>
            <w:r>
              <w:rPr>
                <w:rFonts w:hint="default"/>
                <w:color w:val="auto"/>
              </w:rPr>
              <w:t>《</w:t>
            </w:r>
            <w:r>
              <w:rPr>
                <w:rFonts w:hint="eastAsia"/>
                <w:color w:val="auto"/>
                <w:lang w:eastAsia="zh-CN"/>
              </w:rPr>
              <w:t>“</w:t>
            </w:r>
            <w:r>
              <w:rPr>
                <w:rFonts w:hint="default"/>
                <w:color w:val="auto"/>
              </w:rPr>
              <w:t>十三五</w:t>
            </w:r>
            <w:r>
              <w:rPr>
                <w:rFonts w:hint="eastAsia"/>
                <w:color w:val="auto"/>
                <w:lang w:eastAsia="zh-CN"/>
              </w:rPr>
              <w:t>”</w:t>
            </w:r>
            <w:r>
              <w:rPr>
                <w:rFonts w:hint="default"/>
                <w:color w:val="auto"/>
              </w:rPr>
              <w:t>挥发性有机物污染防治工作方案</w:t>
            </w:r>
            <w:r>
              <w:rPr>
                <w:rFonts w:hint="default"/>
                <w:color w:val="auto"/>
                <w:shd w:val="clear" w:fill="FFFFFF"/>
              </w:rPr>
              <w:t>》</w:t>
            </w:r>
            <w:r>
              <w:rPr>
                <w:rFonts w:hint="eastAsia"/>
                <w:color w:val="auto"/>
                <w:shd w:val="clear" w:fill="FFFFFF"/>
              </w:rPr>
              <w:t>、</w:t>
            </w:r>
            <w:r>
              <w:rPr>
                <w:rFonts w:hint="default"/>
                <w:color w:val="auto"/>
                <w:shd w:val="clear" w:fill="FFFFFF"/>
              </w:rPr>
              <w:t>《</w:t>
            </w:r>
            <w:r>
              <w:rPr>
                <w:rFonts w:hint="default"/>
                <w:color w:val="auto"/>
              </w:rPr>
              <w:t>福建省重点行业挥发性有机物污染防治工作方案》</w:t>
            </w:r>
            <w:r>
              <w:rPr>
                <w:rFonts w:hint="eastAsia"/>
                <w:color w:val="auto"/>
                <w:lang w:eastAsia="zh-CN"/>
              </w:rPr>
              <w:t>（</w:t>
            </w:r>
            <w:r>
              <w:rPr>
                <w:rFonts w:hint="default"/>
                <w:color w:val="auto"/>
              </w:rPr>
              <w:t>闽环保大气〔2017〕6号</w:t>
            </w:r>
            <w:r>
              <w:rPr>
                <w:rFonts w:hint="eastAsia"/>
                <w:color w:val="auto"/>
                <w:lang w:eastAsia="zh-CN"/>
              </w:rPr>
              <w:t>）</w:t>
            </w:r>
            <w:r>
              <w:rPr>
                <w:rFonts w:hint="eastAsia"/>
                <w:color w:val="auto"/>
              </w:rPr>
              <w:t>、</w:t>
            </w:r>
            <w:r>
              <w:rPr>
                <w:rFonts w:hint="default"/>
                <w:color w:val="auto"/>
              </w:rPr>
              <w:t>《福州市挥发性有机物污染整治工作方案》</w:t>
            </w:r>
            <w:r>
              <w:rPr>
                <w:rFonts w:hint="eastAsia"/>
                <w:color w:val="auto"/>
                <w:lang w:eastAsia="zh-CN"/>
              </w:rPr>
              <w:t>（</w:t>
            </w:r>
            <w:r>
              <w:rPr>
                <w:rFonts w:hint="default"/>
                <w:color w:val="auto"/>
              </w:rPr>
              <w:t>榕政办〔2017〕169号</w:t>
            </w:r>
            <w:r>
              <w:rPr>
                <w:rFonts w:hint="eastAsia"/>
                <w:color w:val="auto"/>
                <w:lang w:eastAsia="zh-CN"/>
              </w:rPr>
              <w:t>）</w:t>
            </w:r>
            <w:r>
              <w:rPr>
                <w:rFonts w:hint="eastAsia"/>
                <w:color w:val="auto"/>
              </w:rPr>
              <w:t>及《2021年福州市提升空气质量行动计划》的通知</w:t>
            </w:r>
            <w:r>
              <w:rPr>
                <w:rFonts w:hint="eastAsia"/>
                <w:color w:val="auto"/>
                <w:lang w:eastAsia="zh-CN"/>
              </w:rPr>
              <w:t>（</w:t>
            </w:r>
            <w:r>
              <w:rPr>
                <w:rFonts w:hint="default"/>
                <w:color w:val="auto"/>
              </w:rPr>
              <w:t>榕</w:t>
            </w:r>
            <w:r>
              <w:rPr>
                <w:rFonts w:hint="eastAsia"/>
                <w:color w:val="auto"/>
              </w:rPr>
              <w:t>环委</w:t>
            </w:r>
            <w:r>
              <w:rPr>
                <w:rFonts w:hint="default"/>
                <w:color w:val="auto"/>
              </w:rPr>
              <w:t>办〔20</w:t>
            </w:r>
            <w:r>
              <w:rPr>
                <w:rFonts w:hint="eastAsia"/>
                <w:color w:val="auto"/>
              </w:rPr>
              <w:t>21</w:t>
            </w:r>
            <w:r>
              <w:rPr>
                <w:rFonts w:hint="default"/>
                <w:color w:val="auto"/>
              </w:rPr>
              <w:t>〕</w:t>
            </w:r>
            <w:r>
              <w:rPr>
                <w:rFonts w:hint="eastAsia"/>
                <w:color w:val="auto"/>
              </w:rPr>
              <w:t>23</w:t>
            </w:r>
            <w:r>
              <w:rPr>
                <w:rFonts w:hint="default"/>
                <w:color w:val="auto"/>
              </w:rPr>
              <w:t>号</w:t>
            </w:r>
            <w:r>
              <w:rPr>
                <w:rFonts w:hint="eastAsia"/>
                <w:color w:val="auto"/>
                <w:lang w:eastAsia="zh-CN"/>
              </w:rPr>
              <w:t>）</w:t>
            </w:r>
            <w:r>
              <w:rPr>
                <w:rFonts w:hint="eastAsia"/>
                <w:color w:val="auto"/>
              </w:rPr>
              <w:t>符合性分析详见</w:t>
            </w:r>
            <w:r>
              <w:rPr>
                <w:rFonts w:hint="eastAsia"/>
                <w:color w:val="auto"/>
                <w:lang w:val="en-US" w:eastAsia="zh-CN"/>
              </w:rPr>
              <w:t>下</w:t>
            </w:r>
            <w:r>
              <w:rPr>
                <w:rFonts w:hint="eastAsia"/>
                <w:color w:val="auto"/>
              </w:rPr>
              <w:t>表。</w:t>
            </w:r>
          </w:p>
          <w:p w14:paraId="7E7933E2">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jc w:val="center"/>
              <w:textAlignment w:val="auto"/>
              <w:rPr>
                <w:rFonts w:hint="eastAsia" w:ascii="Times New Roman" w:hAnsi="Times New Roman" w:cs="Times New Roman"/>
                <w:color w:val="auto"/>
                <w:highlight w:val="none"/>
                <w:lang w:val="en-GB" w:eastAsia="zh-CN"/>
              </w:rPr>
            </w:pPr>
            <w:r>
              <w:rPr>
                <w:rFonts w:hint="eastAsia" w:ascii="Times New Roman" w:hAnsi="Times New Roman" w:cs="Times New Roman"/>
                <w:color w:val="auto"/>
                <w:highlight w:val="none"/>
                <w:lang w:val="en-GB" w:eastAsia="zh-CN"/>
              </w:rPr>
              <w:t>挥发性有机物污染防治政策相关内容</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49"/>
              <w:gridCol w:w="1555"/>
              <w:gridCol w:w="2930"/>
              <w:gridCol w:w="1835"/>
              <w:gridCol w:w="591"/>
            </w:tblGrid>
            <w:tr w14:paraId="5CA901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40" w:type="pct"/>
                  <w:noWrap w:val="0"/>
                  <w:vAlign w:val="center"/>
                </w:tcPr>
                <w:p w14:paraId="22A9228E">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序号</w:t>
                  </w:r>
                </w:p>
              </w:tc>
              <w:tc>
                <w:tcPr>
                  <w:tcW w:w="1070" w:type="pct"/>
                  <w:noWrap w:val="0"/>
                  <w:vAlign w:val="center"/>
                </w:tcPr>
                <w:p w14:paraId="2B0BDEF9">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相关文件名称</w:t>
                  </w:r>
                </w:p>
              </w:tc>
              <w:tc>
                <w:tcPr>
                  <w:tcW w:w="2017" w:type="pct"/>
                  <w:noWrap w:val="0"/>
                  <w:vAlign w:val="center"/>
                </w:tcPr>
                <w:p w14:paraId="40C3047F">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相关内容</w:t>
                  </w:r>
                </w:p>
              </w:tc>
              <w:tc>
                <w:tcPr>
                  <w:tcW w:w="1264" w:type="pct"/>
                  <w:noWrap w:val="0"/>
                  <w:vAlign w:val="center"/>
                </w:tcPr>
                <w:p w14:paraId="61E03E85">
                  <w:pPr>
                    <w:pStyle w:val="7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本项目内容</w:t>
                  </w:r>
                </w:p>
              </w:tc>
              <w:tc>
                <w:tcPr>
                  <w:tcW w:w="406" w:type="pct"/>
                  <w:noWrap w:val="0"/>
                  <w:vAlign w:val="center"/>
                </w:tcPr>
                <w:p w14:paraId="556F0C5C">
                  <w:pPr>
                    <w:pStyle w:val="7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符合性</w:t>
                  </w:r>
                </w:p>
              </w:tc>
            </w:tr>
            <w:tr w14:paraId="1E00FA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642" w:hRule="atLeast"/>
                <w:jc w:val="center"/>
              </w:trPr>
              <w:tc>
                <w:tcPr>
                  <w:tcW w:w="240" w:type="pct"/>
                  <w:noWrap w:val="0"/>
                  <w:vAlign w:val="center"/>
                </w:tcPr>
                <w:p w14:paraId="4DD9176D">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1</w:t>
                  </w:r>
                </w:p>
              </w:tc>
              <w:tc>
                <w:tcPr>
                  <w:tcW w:w="1070" w:type="pct"/>
                  <w:noWrap w:val="0"/>
                  <w:vAlign w:val="center"/>
                </w:tcPr>
                <w:p w14:paraId="70EB1779">
                  <w:pPr>
                    <w:pStyle w:val="78"/>
                    <w:keepNext w:val="0"/>
                    <w:keepLines w:val="0"/>
                    <w:suppressLineNumbers w:val="0"/>
                    <w:bidi w:val="0"/>
                    <w:spacing w:before="0" w:beforeAutospacing="0" w:after="0" w:afterAutospacing="0"/>
                    <w:ind w:left="0" w:right="0"/>
                    <w:jc w:val="center"/>
                    <w:rPr>
                      <w:rFonts w:hint="default"/>
                      <w:color w:val="auto"/>
                    </w:rPr>
                  </w:pPr>
                  <w:r>
                    <w:rPr>
                      <w:rFonts w:hint="eastAsia"/>
                      <w:color w:val="auto"/>
                      <w:lang w:eastAsia="zh-CN"/>
                    </w:rPr>
                    <w:t>“</w:t>
                  </w:r>
                  <w:r>
                    <w:rPr>
                      <w:rFonts w:hint="default"/>
                      <w:color w:val="auto"/>
                    </w:rPr>
                    <w:t>十三五</w:t>
                  </w:r>
                  <w:r>
                    <w:rPr>
                      <w:rFonts w:hint="eastAsia"/>
                      <w:color w:val="auto"/>
                      <w:lang w:eastAsia="zh-CN"/>
                    </w:rPr>
                    <w:t>”</w:t>
                  </w:r>
                  <w:r>
                    <w:rPr>
                      <w:rFonts w:hint="default"/>
                      <w:color w:val="auto"/>
                    </w:rPr>
                    <w:t>挥发性有机物污染防治工作方案</w:t>
                  </w:r>
                  <w:r>
                    <w:rPr>
                      <w:rFonts w:hint="eastAsia"/>
                      <w:color w:val="auto"/>
                      <w:shd w:val="clear" w:fill="FFFFFF"/>
                      <w:lang w:val="en-US" w:eastAsia="zh-CN"/>
                    </w:rPr>
                    <w:t>(</w:t>
                  </w:r>
                  <w:r>
                    <w:rPr>
                      <w:rFonts w:hint="eastAsia"/>
                      <w:color w:val="auto"/>
                      <w:lang w:val="en-US" w:eastAsia="zh-CN"/>
                    </w:rPr>
                    <w:t>环大气〔2017〕121号</w:t>
                  </w:r>
                  <w:r>
                    <w:rPr>
                      <w:rFonts w:hint="eastAsia"/>
                      <w:color w:val="auto"/>
                      <w:shd w:val="clear" w:fill="FFFFFF"/>
                      <w:lang w:val="en-US" w:eastAsia="zh-CN"/>
                    </w:rPr>
                    <w:t>)</w:t>
                  </w:r>
                </w:p>
              </w:tc>
              <w:tc>
                <w:tcPr>
                  <w:tcW w:w="2017" w:type="pct"/>
                  <w:noWrap w:val="0"/>
                  <w:vAlign w:val="center"/>
                </w:tcPr>
                <w:p w14:paraId="032BF460">
                  <w:pPr>
                    <w:pStyle w:val="78"/>
                    <w:keepNext w:val="0"/>
                    <w:keepLines w:val="0"/>
                    <w:suppressLineNumbers w:val="0"/>
                    <w:bidi w:val="0"/>
                    <w:spacing w:before="0" w:beforeAutospacing="0" w:after="0" w:afterAutospacing="0"/>
                    <w:ind w:left="0" w:right="0"/>
                    <w:jc w:val="both"/>
                    <w:rPr>
                      <w:rFonts w:hint="eastAsia"/>
                      <w:color w:val="auto"/>
                      <w:lang w:eastAsia="zh-CN"/>
                    </w:rPr>
                  </w:pPr>
                  <w:r>
                    <w:rPr>
                      <w:rFonts w:hint="default"/>
                      <w:color w:val="auto"/>
                    </w:rPr>
                    <w:t>严格建设项目环境准入。提高VOCs排放重点行业环保准入门槛，严格控制新增污染物排放量。重点地区要严格限制石化、化工、包装印刷、工业涂装等高VOCs排放建设项目。新建涉VOCs排放的工业企业要入园区。严格涉VOCs建设项目环境影响评价，实行区域内VOCs排放等量或倍量削减替代，并将替代方案落实到企业排污许可证中，纳入环境执法管理。新、改、扩建涉VOCs排放项目，应从源头加强控制，使用低</w:t>
                  </w:r>
                  <w:r>
                    <w:rPr>
                      <w:rFonts w:hint="eastAsia"/>
                      <w:color w:val="auto"/>
                      <w:lang w:eastAsia="zh-CN"/>
                    </w:rPr>
                    <w:t>（</w:t>
                  </w:r>
                  <w:r>
                    <w:rPr>
                      <w:rFonts w:hint="default"/>
                      <w:color w:val="auto"/>
                    </w:rPr>
                    <w:t>无</w:t>
                  </w:r>
                  <w:r>
                    <w:rPr>
                      <w:rFonts w:hint="eastAsia"/>
                      <w:color w:val="auto"/>
                      <w:lang w:eastAsia="zh-CN"/>
                    </w:rPr>
                    <w:t>）</w:t>
                  </w:r>
                  <w:r>
                    <w:rPr>
                      <w:rFonts w:hint="default"/>
                      <w:color w:val="auto"/>
                    </w:rPr>
                    <w:t>VOCs含量的原辅材料，加强废气收集，安装高效治理设施</w:t>
                  </w:r>
                  <w:r>
                    <w:rPr>
                      <w:rFonts w:hint="eastAsia"/>
                      <w:color w:val="auto"/>
                      <w:lang w:eastAsia="zh-CN"/>
                    </w:rPr>
                    <w:t>。</w:t>
                  </w:r>
                </w:p>
              </w:tc>
              <w:tc>
                <w:tcPr>
                  <w:tcW w:w="1264" w:type="pct"/>
                  <w:noWrap w:val="0"/>
                  <w:vAlign w:val="center"/>
                </w:tcPr>
                <w:p w14:paraId="1F051F8C">
                  <w:pPr>
                    <w:pStyle w:val="78"/>
                    <w:keepNext w:val="0"/>
                    <w:keepLines w:val="0"/>
                    <w:suppressLineNumbers w:val="0"/>
                    <w:bidi w:val="0"/>
                    <w:spacing w:before="0" w:beforeAutospacing="0" w:after="0" w:afterAutospacing="0"/>
                    <w:ind w:left="0" w:right="0"/>
                    <w:jc w:val="both"/>
                    <w:rPr>
                      <w:rFonts w:hint="eastAsia"/>
                      <w:color w:val="auto"/>
                    </w:rPr>
                  </w:pPr>
                  <w:r>
                    <w:rPr>
                      <w:rFonts w:hint="default"/>
                      <w:color w:val="auto"/>
                    </w:rPr>
                    <w:t>本项目位于</w:t>
                  </w:r>
                  <w:r>
                    <w:rPr>
                      <w:rFonts w:hint="eastAsia"/>
                      <w:color w:val="auto"/>
                    </w:rPr>
                    <w:t>福清市</w:t>
                  </w:r>
                  <w:r>
                    <w:rPr>
                      <w:rFonts w:hint="default"/>
                      <w:color w:val="auto"/>
                    </w:rPr>
                    <w:t>，不属于重点地区，不属于重点行业，本项目建设过程中将严格执行环保</w:t>
                  </w:r>
                  <w:r>
                    <w:rPr>
                      <w:rFonts w:hint="eastAsia"/>
                      <w:color w:val="auto"/>
                      <w:lang w:eastAsia="zh-CN"/>
                    </w:rPr>
                    <w:t>“</w:t>
                  </w:r>
                  <w:r>
                    <w:rPr>
                      <w:rFonts w:hint="default"/>
                      <w:color w:val="auto"/>
                    </w:rPr>
                    <w:t>三同时</w:t>
                  </w:r>
                  <w:r>
                    <w:rPr>
                      <w:rFonts w:hint="eastAsia"/>
                      <w:color w:val="auto"/>
                      <w:lang w:eastAsia="zh-CN"/>
                    </w:rPr>
                    <w:t>”</w:t>
                  </w:r>
                  <w:r>
                    <w:rPr>
                      <w:rFonts w:hint="default"/>
                      <w:color w:val="auto"/>
                    </w:rPr>
                    <w:t>制度，严格废气收集、治理，确保满足有机废气收集、治理、管理的要求，实现达标排放，VOC</w:t>
                  </w:r>
                  <w:r>
                    <w:rPr>
                      <w:rFonts w:hint="eastAsia"/>
                      <w:color w:val="auto"/>
                      <w:lang w:val="en-US" w:eastAsia="zh-CN"/>
                    </w:rPr>
                    <w:t>s</w:t>
                  </w:r>
                  <w:r>
                    <w:rPr>
                      <w:rFonts w:hint="default"/>
                      <w:color w:val="auto"/>
                    </w:rPr>
                    <w:t>排放量严格执行允许排放量控制</w:t>
                  </w:r>
                </w:p>
              </w:tc>
              <w:tc>
                <w:tcPr>
                  <w:tcW w:w="406" w:type="pct"/>
                  <w:noWrap w:val="0"/>
                  <w:vAlign w:val="center"/>
                </w:tcPr>
                <w:p w14:paraId="6D7FD9E4">
                  <w:pPr>
                    <w:pStyle w:val="7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符合</w:t>
                  </w:r>
                </w:p>
              </w:tc>
            </w:tr>
            <w:tr w14:paraId="46CE1F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40" w:type="pct"/>
                  <w:noWrap w:val="0"/>
                  <w:vAlign w:val="center"/>
                </w:tcPr>
                <w:p w14:paraId="389CE72D">
                  <w:pPr>
                    <w:pStyle w:val="78"/>
                    <w:keepNext w:val="0"/>
                    <w:keepLines w:val="0"/>
                    <w:suppressLineNumbers w:val="0"/>
                    <w:bidi w:val="0"/>
                    <w:spacing w:before="0" w:beforeAutospacing="0" w:after="0" w:afterAutospacing="0"/>
                    <w:ind w:left="0" w:right="0"/>
                    <w:jc w:val="center"/>
                    <w:rPr>
                      <w:rFonts w:hint="eastAsia" w:eastAsia="宋体"/>
                      <w:color w:val="auto"/>
                      <w:lang w:eastAsia="zh-CN"/>
                    </w:rPr>
                  </w:pPr>
                  <w:r>
                    <w:rPr>
                      <w:rFonts w:hint="eastAsia"/>
                      <w:color w:val="auto"/>
                      <w:lang w:val="en-US" w:eastAsia="zh-CN"/>
                    </w:rPr>
                    <w:t>2</w:t>
                  </w:r>
                </w:p>
              </w:tc>
              <w:tc>
                <w:tcPr>
                  <w:tcW w:w="1070" w:type="pct"/>
                  <w:noWrap w:val="0"/>
                  <w:vAlign w:val="center"/>
                </w:tcPr>
                <w:p w14:paraId="74533D9A">
                  <w:pPr>
                    <w:pStyle w:val="78"/>
                    <w:keepNext w:val="0"/>
                    <w:keepLines w:val="0"/>
                    <w:suppressLineNumbers w:val="0"/>
                    <w:bidi w:val="0"/>
                    <w:spacing w:before="0" w:beforeAutospacing="0" w:after="0" w:afterAutospacing="0"/>
                    <w:ind w:left="0" w:right="0"/>
                    <w:jc w:val="center"/>
                    <w:rPr>
                      <w:rFonts w:hint="default"/>
                      <w:color w:val="auto"/>
                    </w:rPr>
                  </w:pPr>
                  <w:r>
                    <w:rPr>
                      <w:rFonts w:hint="default"/>
                      <w:color w:val="auto"/>
                    </w:rPr>
                    <w:t>福州市挥发性有机物污染整治工作方案</w:t>
                  </w:r>
                </w:p>
              </w:tc>
              <w:tc>
                <w:tcPr>
                  <w:tcW w:w="2017" w:type="pct"/>
                  <w:noWrap w:val="0"/>
                  <w:vAlign w:val="center"/>
                </w:tcPr>
                <w:p w14:paraId="24D92D4A">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（二）严格VOCs项目环境准入</w:t>
                  </w:r>
                </w:p>
                <w:p w14:paraId="0F4A9A84">
                  <w:pPr>
                    <w:pStyle w:val="78"/>
                    <w:keepNext w:val="0"/>
                    <w:keepLines w:val="0"/>
                    <w:suppressLineNumbers w:val="0"/>
                    <w:bidi w:val="0"/>
                    <w:spacing w:before="0" w:beforeAutospacing="0" w:after="0" w:afterAutospacing="0"/>
                    <w:ind w:left="0" w:right="0"/>
                    <w:jc w:val="both"/>
                    <w:rPr>
                      <w:rFonts w:hint="default"/>
                      <w:color w:val="auto"/>
                    </w:rPr>
                  </w:pPr>
                  <w:r>
                    <w:rPr>
                      <w:rFonts w:hint="default"/>
                      <w:color w:val="auto"/>
                    </w:rPr>
                    <w:t>提高行业准入门槛，鼓励支持企业通过技改减少挥发性有机物排放，严格控制新增污染物排放量，对挥发性有机物新增排放量实行现役源2倍削减量替代。</w:t>
                  </w:r>
                </w:p>
              </w:tc>
              <w:tc>
                <w:tcPr>
                  <w:tcW w:w="1264" w:type="pct"/>
                  <w:noWrap w:val="0"/>
                  <w:vAlign w:val="center"/>
                </w:tcPr>
                <w:p w14:paraId="39641B17">
                  <w:pPr>
                    <w:pStyle w:val="78"/>
                    <w:keepNext w:val="0"/>
                    <w:keepLines w:val="0"/>
                    <w:suppressLineNumbers w:val="0"/>
                    <w:bidi w:val="0"/>
                    <w:spacing w:before="0" w:beforeAutospacing="0" w:after="0" w:afterAutospacing="0"/>
                    <w:ind w:left="0" w:right="0"/>
                    <w:jc w:val="both"/>
                    <w:rPr>
                      <w:rFonts w:hint="default"/>
                      <w:color w:val="auto"/>
                    </w:rPr>
                  </w:pPr>
                  <w:r>
                    <w:rPr>
                      <w:rFonts w:hint="eastAsia"/>
                      <w:color w:val="auto"/>
                      <w:lang w:eastAsia="zh-CN"/>
                    </w:rPr>
                    <w:t>本项目VOCs排放实行区域内倍量替代，新、改扩建涉VOCs排放项目，</w:t>
                  </w:r>
                  <w:r>
                    <w:rPr>
                      <w:rFonts w:hint="default"/>
                      <w:color w:val="auto"/>
                    </w:rPr>
                    <w:t>项目VOCs通过采取</w:t>
                  </w:r>
                  <w:r>
                    <w:rPr>
                      <w:rFonts w:hint="eastAsia"/>
                      <w:color w:val="auto"/>
                      <w:lang w:eastAsia="zh-CN"/>
                    </w:rPr>
                    <w:t>活性炭吸附装置处理，</w:t>
                  </w:r>
                  <w:r>
                    <w:rPr>
                      <w:rFonts w:hint="default"/>
                      <w:color w:val="auto"/>
                    </w:rPr>
                    <w:t>建设单位将严格按照文件规定要求对VOC</w:t>
                  </w:r>
                  <w:r>
                    <w:rPr>
                      <w:rFonts w:hint="eastAsia"/>
                      <w:color w:val="auto"/>
                      <w:lang w:val="en-US" w:eastAsia="zh-CN"/>
                    </w:rPr>
                    <w:t>s</w:t>
                  </w:r>
                  <w:r>
                    <w:rPr>
                      <w:rFonts w:hint="default"/>
                      <w:color w:val="auto"/>
                    </w:rPr>
                    <w:t>排放实行倍量替代。</w:t>
                  </w:r>
                </w:p>
              </w:tc>
              <w:tc>
                <w:tcPr>
                  <w:tcW w:w="406" w:type="pct"/>
                  <w:noWrap w:val="0"/>
                  <w:vAlign w:val="center"/>
                </w:tcPr>
                <w:p w14:paraId="467F26EC">
                  <w:pPr>
                    <w:pStyle w:val="78"/>
                    <w:keepNext w:val="0"/>
                    <w:keepLines w:val="0"/>
                    <w:suppressLineNumbers w:val="0"/>
                    <w:bidi w:val="0"/>
                    <w:spacing w:before="0" w:beforeAutospacing="0" w:after="0" w:afterAutospacing="0"/>
                    <w:ind w:left="0" w:right="0"/>
                    <w:jc w:val="center"/>
                    <w:rPr>
                      <w:rFonts w:hint="eastAsia"/>
                      <w:color w:val="auto"/>
                      <w:lang w:eastAsia="zh-CN"/>
                    </w:rPr>
                  </w:pPr>
                  <w:r>
                    <w:rPr>
                      <w:rFonts w:hint="eastAsia"/>
                      <w:color w:val="auto"/>
                      <w:lang w:eastAsia="zh-CN"/>
                    </w:rPr>
                    <w:t>符合</w:t>
                  </w:r>
                </w:p>
              </w:tc>
            </w:tr>
            <w:tr w14:paraId="41CC568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40" w:type="pct"/>
                  <w:noWrap w:val="0"/>
                  <w:vAlign w:val="center"/>
                </w:tcPr>
                <w:p w14:paraId="77743CBE">
                  <w:pPr>
                    <w:pStyle w:val="78"/>
                    <w:keepNext w:val="0"/>
                    <w:keepLines w:val="0"/>
                    <w:suppressLineNumbers w:val="0"/>
                    <w:bidi w:val="0"/>
                    <w:spacing w:before="0" w:beforeAutospacing="0" w:after="0" w:afterAutospacing="0"/>
                    <w:ind w:left="0" w:right="0"/>
                    <w:jc w:val="center"/>
                    <w:rPr>
                      <w:rFonts w:hint="eastAsia" w:eastAsia="宋体"/>
                      <w:color w:val="auto"/>
                      <w:lang w:eastAsia="zh-CN"/>
                    </w:rPr>
                  </w:pPr>
                  <w:r>
                    <w:rPr>
                      <w:rFonts w:hint="eastAsia"/>
                      <w:color w:val="auto"/>
                      <w:lang w:val="en-US" w:eastAsia="zh-CN"/>
                    </w:rPr>
                    <w:t>3</w:t>
                  </w:r>
                </w:p>
              </w:tc>
              <w:tc>
                <w:tcPr>
                  <w:tcW w:w="1070" w:type="pct"/>
                  <w:noWrap w:val="0"/>
                  <w:vAlign w:val="center"/>
                </w:tcPr>
                <w:p w14:paraId="045EBBFA">
                  <w:pPr>
                    <w:pStyle w:val="7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福州市生态环境保护委员会办公室关于印发</w:t>
                  </w:r>
                  <w:r>
                    <w:rPr>
                      <w:rFonts w:hint="default" w:ascii="Times New Roman" w:hAnsi="Times New Roman" w:eastAsia="宋体" w:cs="Times New Roman"/>
                      <w:color w:val="auto"/>
                      <w:lang w:val="en-US" w:eastAsia="zh-CN"/>
                    </w:rPr>
                    <w:t>2022年度福州市蓝天碧海净土保卫战行动计</w:t>
                  </w:r>
                  <w:r>
                    <w:rPr>
                      <w:rFonts w:hint="default" w:ascii="Times New Roman" w:hAnsi="Times New Roman" w:eastAsia="宋体" w:cs="Times New Roman"/>
                      <w:color w:val="auto"/>
                      <w:shd w:val="clear" w:fill="FFFFFF"/>
                      <w:lang w:val="en-US" w:eastAsia="zh-CN"/>
                    </w:rPr>
                    <w:t>划</w:t>
                  </w:r>
                  <w:r>
                    <w:rPr>
                      <w:rFonts w:hint="default" w:ascii="Times New Roman" w:hAnsi="Times New Roman" w:eastAsia="宋体" w:cs="Times New Roman"/>
                      <w:color w:val="auto"/>
                      <w:lang w:val="en-US" w:eastAsia="zh-CN"/>
                    </w:rPr>
                    <w:t>通知</w:t>
                  </w:r>
                  <w:r>
                    <w:rPr>
                      <w:rFonts w:hint="default" w:ascii="Times New Roman" w:hAnsi="Times New Roman" w:eastAsia="宋体" w:cs="Times New Roman"/>
                      <w:color w:val="auto"/>
                    </w:rPr>
                    <w:t>》</w:t>
                  </w:r>
                  <w:r>
                    <w:rPr>
                      <w:rFonts w:hint="default" w:ascii="Times New Roman" w:hAnsi="Times New Roman" w:eastAsia="宋体" w:cs="Times New Roman"/>
                      <w:color w:val="auto"/>
                      <w:shd w:val="clear" w:fill="FFFFFF"/>
                      <w:lang w:val="en-US" w:eastAsia="zh-CN"/>
                    </w:rPr>
                    <w:t>(</w:t>
                  </w:r>
                  <w:r>
                    <w:rPr>
                      <w:rFonts w:hint="default" w:ascii="Times New Roman" w:hAnsi="Times New Roman" w:eastAsia="宋体" w:cs="Times New Roman"/>
                      <w:color w:val="auto"/>
                      <w:lang w:eastAsia="zh-CN"/>
                    </w:rPr>
                    <w:t>榕环委办</w:t>
                  </w:r>
                  <w:r>
                    <w:rPr>
                      <w:rFonts w:hint="eastAsia" w:cs="Times New Roman"/>
                      <w:color w:val="auto"/>
                      <w:lang w:val="en-US" w:eastAsia="zh-CN"/>
                    </w:rPr>
                    <w:t>〔</w:t>
                  </w:r>
                  <w:r>
                    <w:rPr>
                      <w:rFonts w:hint="default" w:ascii="Times New Roman" w:hAnsi="Times New Roman" w:eastAsia="宋体" w:cs="Times New Roman"/>
                      <w:color w:val="auto"/>
                      <w:lang w:val="en-US" w:eastAsia="zh-CN"/>
                    </w:rPr>
                    <w:t>2022</w:t>
                  </w:r>
                  <w:r>
                    <w:rPr>
                      <w:rFonts w:hint="eastAsia" w:cs="Times New Roman"/>
                      <w:color w:val="auto"/>
                      <w:lang w:val="en-US" w:eastAsia="zh-CN"/>
                    </w:rPr>
                    <w:t>〕</w:t>
                  </w:r>
                  <w:r>
                    <w:rPr>
                      <w:rFonts w:hint="default" w:ascii="Times New Roman" w:hAnsi="Times New Roman" w:eastAsia="宋体" w:cs="Times New Roman"/>
                      <w:color w:val="auto"/>
                      <w:lang w:val="en-US" w:eastAsia="zh-CN"/>
                    </w:rPr>
                    <w:t>49号</w:t>
                  </w:r>
                  <w:r>
                    <w:rPr>
                      <w:rFonts w:hint="default" w:ascii="Times New Roman" w:hAnsi="Times New Roman" w:eastAsia="宋体" w:cs="Times New Roman"/>
                      <w:color w:val="auto"/>
                      <w:shd w:val="clear" w:fill="FFFFFF"/>
                      <w:lang w:val="en-US" w:eastAsia="zh-CN"/>
                    </w:rPr>
                    <w:t>)</w:t>
                  </w:r>
                </w:p>
              </w:tc>
              <w:tc>
                <w:tcPr>
                  <w:tcW w:w="2017" w:type="pct"/>
                  <w:noWrap w:val="0"/>
                  <w:vAlign w:val="center"/>
                </w:tcPr>
                <w:p w14:paraId="70401006">
                  <w:pPr>
                    <w:pStyle w:val="7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rPr>
                  </w:pPr>
                  <w:r>
                    <w:rPr>
                      <w:rFonts w:hint="default" w:ascii="Times New Roman" w:hAnsi="Times New Roman" w:eastAsia="宋体" w:cs="Times New Roman"/>
                      <w:color w:val="auto"/>
                    </w:rPr>
                    <w:t>四是严格涉VOCs建设项目环境影响评价审批。新、改、扩建涉VOCs排放项目，应使用低</w:t>
                  </w:r>
                  <w:r>
                    <w:rPr>
                      <w:rFonts w:hint="default" w:ascii="Times New Roman" w:hAnsi="Times New Roman" w:eastAsia="宋体" w:cs="Times New Roman"/>
                      <w:color w:val="auto"/>
                      <w:shd w:val="clear" w:fill="FFFFFF"/>
                      <w:lang w:val="en-US" w:eastAsia="zh-CN"/>
                    </w:rPr>
                    <w:t>(</w:t>
                  </w:r>
                  <w:r>
                    <w:rPr>
                      <w:rFonts w:hint="default" w:ascii="Times New Roman" w:hAnsi="Times New Roman" w:eastAsia="宋体" w:cs="Times New Roman"/>
                      <w:color w:val="auto"/>
                    </w:rPr>
                    <w:t>无</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VOCs涂料、粘胶剂等，实施新建项目VOCs排放区域内1.2及以上倍量替代。VOCs年排放量大于5吨的新建项目投运前应安装VOCs在线监控设备，并接入市生态云平台。</w:t>
                  </w:r>
                </w:p>
              </w:tc>
              <w:tc>
                <w:tcPr>
                  <w:tcW w:w="1264" w:type="pct"/>
                  <w:noWrap w:val="0"/>
                  <w:vAlign w:val="center"/>
                </w:tcPr>
                <w:p w14:paraId="45E51387">
                  <w:pPr>
                    <w:pStyle w:val="78"/>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根据</w:t>
                  </w:r>
                  <w:r>
                    <w:rPr>
                      <w:rFonts w:hint="eastAsia" w:cs="Times New Roman"/>
                      <w:color w:val="auto"/>
                      <w:lang w:val="en-US" w:eastAsia="zh-CN"/>
                    </w:rPr>
                    <w:t>源强</w:t>
                  </w:r>
                  <w:r>
                    <w:rPr>
                      <w:rFonts w:hint="eastAsia" w:ascii="Times New Roman" w:hAnsi="Times New Roman" w:eastAsia="宋体" w:cs="Times New Roman"/>
                      <w:color w:val="auto"/>
                      <w:lang w:val="en-US" w:eastAsia="zh-CN"/>
                    </w:rPr>
                    <w:t>核算，</w:t>
                  </w:r>
                  <w:r>
                    <w:rPr>
                      <w:rFonts w:hint="eastAsia" w:ascii="Times New Roman" w:hAnsi="Times New Roman" w:eastAsia="宋体" w:cs="Times New Roman"/>
                      <w:color w:val="auto"/>
                      <w:lang w:eastAsia="zh-CN"/>
                    </w:rPr>
                    <w:t>本项目VOCs排放实行区域内倍量替代，项目</w:t>
                  </w:r>
                  <w:r>
                    <w:rPr>
                      <w:rFonts w:hint="eastAsia" w:ascii="Times New Roman" w:hAnsi="Times New Roman" w:eastAsia="宋体" w:cs="Times New Roman"/>
                      <w:color w:val="auto"/>
                    </w:rPr>
                    <w:t>VOCs年排放量</w:t>
                  </w:r>
                  <w:r>
                    <w:rPr>
                      <w:rFonts w:hint="eastAsia" w:ascii="Times New Roman" w:hAnsi="Times New Roman" w:eastAsia="宋体" w:cs="Times New Roman"/>
                      <w:color w:val="auto"/>
                      <w:lang w:eastAsia="zh-CN"/>
                    </w:rPr>
                    <w:t>小于</w:t>
                  </w:r>
                  <w:r>
                    <w:rPr>
                      <w:rFonts w:hint="eastAsia" w:cs="Times New Roman"/>
                      <w:color w:val="auto"/>
                      <w:lang w:val="en-US" w:eastAsia="zh-CN"/>
                    </w:rPr>
                    <w:t>5</w:t>
                  </w:r>
                  <w:r>
                    <w:rPr>
                      <w:rFonts w:hint="eastAsia" w:ascii="Times New Roman" w:hAnsi="Times New Roman" w:eastAsia="宋体" w:cs="Times New Roman"/>
                      <w:color w:val="auto"/>
                    </w:rPr>
                    <w:t>吨</w:t>
                  </w:r>
                  <w:r>
                    <w:rPr>
                      <w:rFonts w:hint="eastAsia" w:ascii="Times New Roman" w:hAnsi="Times New Roman" w:eastAsia="宋体" w:cs="Times New Roman"/>
                      <w:color w:val="auto"/>
                      <w:lang w:eastAsia="zh-CN"/>
                    </w:rPr>
                    <w:t>，无需安装</w:t>
                  </w:r>
                  <w:r>
                    <w:rPr>
                      <w:rFonts w:hint="eastAsia" w:ascii="Times New Roman" w:hAnsi="Times New Roman" w:eastAsia="宋体" w:cs="Times New Roman"/>
                      <w:color w:val="auto"/>
                    </w:rPr>
                    <w:t>VOCs在线监控设备</w:t>
                  </w:r>
                  <w:r>
                    <w:rPr>
                      <w:rFonts w:hint="eastAsia" w:ascii="Times New Roman" w:hAnsi="Times New Roman" w:eastAsia="宋体" w:cs="Times New Roman"/>
                      <w:color w:val="auto"/>
                      <w:lang w:eastAsia="zh-CN"/>
                    </w:rPr>
                    <w:t>。</w:t>
                  </w:r>
                </w:p>
              </w:tc>
              <w:tc>
                <w:tcPr>
                  <w:tcW w:w="406" w:type="pct"/>
                  <w:noWrap w:val="0"/>
                  <w:vAlign w:val="center"/>
                </w:tcPr>
                <w:p w14:paraId="6F2FACAD">
                  <w:pPr>
                    <w:pStyle w:val="7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eastAsia="zh-CN"/>
                    </w:rPr>
                    <w:t>符合</w:t>
                  </w:r>
                </w:p>
              </w:tc>
            </w:tr>
            <w:tr w14:paraId="247BE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jc w:val="center"/>
              </w:trPr>
              <w:tc>
                <w:tcPr>
                  <w:tcW w:w="240" w:type="pct"/>
                  <w:noWrap w:val="0"/>
                  <w:vAlign w:val="center"/>
                </w:tcPr>
                <w:p w14:paraId="1013476A">
                  <w:pPr>
                    <w:pStyle w:val="79"/>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40" w:lineRule="exact"/>
                    <w:ind w:left="0" w:right="0"/>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s="Times New Roman"/>
                      <w:b w:val="0"/>
                      <w:bCs w:val="0"/>
                      <w:color w:val="auto"/>
                      <w:sz w:val="21"/>
                      <w:szCs w:val="21"/>
                      <w:lang w:val="en-US" w:eastAsia="zh-CN"/>
                    </w:rPr>
                    <w:t>4</w:t>
                  </w:r>
                </w:p>
              </w:tc>
              <w:tc>
                <w:tcPr>
                  <w:tcW w:w="1070" w:type="pct"/>
                  <w:noWrap w:val="0"/>
                  <w:vAlign w:val="center"/>
                </w:tcPr>
                <w:p w14:paraId="0F3D2721">
                  <w:pPr>
                    <w:pStyle w:val="78"/>
                    <w:keepNext w:val="0"/>
                    <w:keepLines w:val="0"/>
                    <w:suppressLineNumbers w:val="0"/>
                    <w:bidi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福州市生态环境局关于开展福州市重点行业挥发性有机物综合治理工作</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VOCs2.0</w:t>
                  </w:r>
                  <w:r>
                    <w:rPr>
                      <w:rFonts w:hint="default" w:ascii="Times New Roman" w:hAnsi="Times New Roman" w:eastAsia="宋体" w:cs="Times New Roman"/>
                      <w:color w:val="auto"/>
                      <w:shd w:val="clear" w:fill="FFFFFF"/>
                    </w:rPr>
                    <w:t>)</w:t>
                  </w:r>
                  <w:r>
                    <w:rPr>
                      <w:rFonts w:hint="default" w:ascii="Times New Roman" w:hAnsi="Times New Roman" w:eastAsia="宋体" w:cs="Times New Roman"/>
                      <w:color w:val="auto"/>
                    </w:rPr>
                    <w:t>的通知》</w:t>
                  </w:r>
                </w:p>
              </w:tc>
              <w:tc>
                <w:tcPr>
                  <w:tcW w:w="2017" w:type="pct"/>
                  <w:noWrap w:val="0"/>
                  <w:vAlign w:val="center"/>
                </w:tcPr>
                <w:p w14:paraId="2B72593F">
                  <w:pPr>
                    <w:pStyle w:val="7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rPr>
                  </w:pPr>
                  <w:r>
                    <w:rPr>
                      <w:rFonts w:hint="eastAsia"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rPr>
                    <w:t>三</w:t>
                  </w:r>
                  <w:r>
                    <w:rPr>
                      <w:rFonts w:hint="eastAsia"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rPr>
                    <w:t>严格审批，加强管控</w:t>
                  </w:r>
                </w:p>
                <w:p w14:paraId="3B110638">
                  <w:pPr>
                    <w:pStyle w:val="78"/>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rPr>
                    <w:t>1.严格涉挥发性有机物建设项目环境影响评价审批。新、改、扩建排放挥发性有机物的建设项目实行</w:t>
                  </w:r>
                  <w:r>
                    <w:rPr>
                      <w:rFonts w:hint="default" w:ascii="Times New Roman" w:hAnsi="Times New Roman" w:eastAsia="宋体" w:cs="Times New Roman"/>
                      <w:color w:val="auto"/>
                      <w:shd w:val="clear" w:fill="FFFFFF"/>
                    </w:rPr>
                    <w:t>倍量</w:t>
                  </w:r>
                  <w:r>
                    <w:rPr>
                      <w:rFonts w:hint="default" w:ascii="Times New Roman" w:hAnsi="Times New Roman" w:eastAsia="宋体" w:cs="Times New Roman"/>
                      <w:color w:val="auto"/>
                    </w:rPr>
                    <w:t>替代。鼓励使用低</w:t>
                  </w:r>
                  <w:r>
                    <w:rPr>
                      <w:rFonts w:hint="eastAsia"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rPr>
                    <w:t>无</w:t>
                  </w:r>
                  <w:r>
                    <w:rPr>
                      <w:rFonts w:hint="eastAsia" w:ascii="Times New Roman" w:hAnsi="Times New Roman" w:eastAsia="宋体" w:cs="Times New Roman"/>
                      <w:color w:val="auto"/>
                      <w:shd w:val="clear" w:fill="FFFFFF"/>
                      <w:lang w:eastAsia="zh-CN"/>
                    </w:rPr>
                    <w:t>)</w:t>
                  </w:r>
                  <w:r>
                    <w:rPr>
                      <w:rFonts w:hint="default" w:ascii="Times New Roman" w:hAnsi="Times New Roman" w:eastAsia="宋体" w:cs="Times New Roman"/>
                      <w:color w:val="auto"/>
                    </w:rPr>
                    <w:t>挥发性有机物含量的原辅材料</w:t>
                  </w:r>
                </w:p>
              </w:tc>
              <w:tc>
                <w:tcPr>
                  <w:tcW w:w="1264" w:type="pct"/>
                  <w:noWrap w:val="0"/>
                  <w:vAlign w:val="center"/>
                </w:tcPr>
                <w:p w14:paraId="54829DFA">
                  <w:pPr>
                    <w:pStyle w:val="78"/>
                    <w:keepNext w:val="0"/>
                    <w:keepLines w:val="0"/>
                    <w:suppressLineNumbers w:val="0"/>
                    <w:bidi w:val="0"/>
                    <w:spacing w:before="0" w:beforeAutospacing="0" w:after="0" w:afterAutospacing="0"/>
                    <w:ind w:left="0" w:right="0"/>
                    <w:jc w:val="both"/>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1、项目挥发性有机物的排放实行倍量替代</w:t>
                  </w:r>
                </w:p>
                <w:p w14:paraId="6E2950DA">
                  <w:pPr>
                    <w:pStyle w:val="78"/>
                    <w:keepNext w:val="0"/>
                    <w:keepLines w:val="0"/>
                    <w:suppressLineNumbers w:val="0"/>
                    <w:bidi w:val="0"/>
                    <w:spacing w:before="0" w:beforeAutospacing="0" w:after="0" w:afterAutospacing="0"/>
                    <w:ind w:left="0" w:right="0"/>
                    <w:jc w:val="both"/>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2、项目使用的</w:t>
                  </w:r>
                  <w:r>
                    <w:rPr>
                      <w:rFonts w:hint="eastAsia" w:cs="Times New Roman"/>
                      <w:color w:val="auto"/>
                      <w:lang w:val="en-US" w:eastAsia="zh-CN"/>
                    </w:rPr>
                    <w:t>试验药剂</w:t>
                  </w:r>
                  <w:r>
                    <w:rPr>
                      <w:rFonts w:hint="default" w:ascii="Times New Roman" w:hAnsi="Times New Roman" w:eastAsia="宋体" w:cs="Times New Roman"/>
                      <w:color w:val="auto"/>
                      <w:lang w:val="en-US" w:eastAsia="zh-CN"/>
                    </w:rPr>
                    <w:t>涉及VOCs</w:t>
                  </w:r>
                  <w:r>
                    <w:rPr>
                      <w:rFonts w:hint="eastAsia" w:cs="Times New Roman"/>
                      <w:color w:val="auto"/>
                      <w:lang w:val="en-US" w:eastAsia="zh-CN"/>
                    </w:rPr>
                    <w:t>用量少，且采用</w:t>
                  </w:r>
                  <w:r>
                    <w:rPr>
                      <w:rFonts w:hint="eastAsia"/>
                      <w:color w:val="auto"/>
                    </w:rPr>
                    <w:t>有效的治理措施</w:t>
                  </w:r>
                  <w:r>
                    <w:rPr>
                      <w:rFonts w:hint="eastAsia"/>
                      <w:color w:val="auto"/>
                      <w:lang w:eastAsia="zh-CN"/>
                    </w:rPr>
                    <w:t>。</w:t>
                  </w:r>
                </w:p>
              </w:tc>
              <w:tc>
                <w:tcPr>
                  <w:tcW w:w="406" w:type="pct"/>
                  <w:noWrap w:val="0"/>
                  <w:vAlign w:val="center"/>
                </w:tcPr>
                <w:p w14:paraId="7D02F7AB">
                  <w:pPr>
                    <w:pStyle w:val="78"/>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符合</w:t>
                  </w:r>
                </w:p>
              </w:tc>
            </w:tr>
          </w:tbl>
          <w:p w14:paraId="6F558AD9">
            <w:pPr>
              <w:pStyle w:val="20"/>
              <w:keepNext w:val="0"/>
              <w:keepLines w:val="0"/>
              <w:suppressLineNumbers w:val="0"/>
              <w:bidi w:val="0"/>
              <w:spacing w:before="0" w:beforeAutospacing="0" w:after="0" w:afterAutospacing="0"/>
              <w:ind w:left="0" w:right="0" w:firstLine="480" w:firstLineChars="200"/>
              <w:jc w:val="both"/>
              <w:rPr>
                <w:rFonts w:hint="eastAsia"/>
                <w:color w:val="auto"/>
              </w:rPr>
            </w:pPr>
            <w:r>
              <w:rPr>
                <w:rFonts w:hint="default"/>
                <w:color w:val="auto"/>
              </w:rPr>
              <w:t>本项目</w:t>
            </w:r>
            <w:r>
              <w:rPr>
                <w:rFonts w:hint="eastAsia"/>
                <w:color w:val="auto"/>
                <w:lang w:val="en-US" w:eastAsia="zh-CN"/>
              </w:rPr>
              <w:t>行业</w:t>
            </w:r>
            <w:r>
              <w:rPr>
                <w:rFonts w:hint="eastAsia" w:cs="Times New Roman"/>
                <w:color w:val="auto"/>
                <w:kern w:val="2"/>
                <w:sz w:val="24"/>
                <w:szCs w:val="20"/>
                <w:lang w:val="en-US" w:eastAsia="zh-CN" w:bidi="ar-SA"/>
              </w:rPr>
              <w:t>属于M7452检测服务类别，项目</w:t>
            </w:r>
            <w:r>
              <w:rPr>
                <w:rFonts w:hint="default" w:ascii="Times New Roman" w:hAnsi="Times New Roman" w:eastAsia="宋体" w:cs="Times New Roman"/>
                <w:color w:val="auto"/>
                <w:lang w:val="en-US" w:eastAsia="zh-CN"/>
              </w:rPr>
              <w:t>使用涉及VOCs</w:t>
            </w:r>
            <w:r>
              <w:rPr>
                <w:rFonts w:hint="eastAsia" w:cs="Times New Roman"/>
                <w:color w:val="auto"/>
                <w:lang w:val="en-US" w:eastAsia="zh-CN"/>
              </w:rPr>
              <w:t>的实验药剂用量少</w:t>
            </w:r>
            <w:r>
              <w:rPr>
                <w:rFonts w:hint="eastAsia"/>
                <w:color w:val="auto"/>
              </w:rPr>
              <w:t>，</w:t>
            </w:r>
            <w:r>
              <w:rPr>
                <w:rFonts w:hint="eastAsia"/>
                <w:color w:val="auto"/>
                <w:lang w:eastAsia="zh-CN"/>
              </w:rPr>
              <w:t>根据</w:t>
            </w:r>
            <w:r>
              <w:rPr>
                <w:rFonts w:hint="eastAsia"/>
                <w:color w:val="auto"/>
                <w:lang w:val="en-US" w:eastAsia="zh-CN"/>
              </w:rPr>
              <w:t>源强核算，</w:t>
            </w:r>
            <w:r>
              <w:rPr>
                <w:rFonts w:hint="eastAsia"/>
                <w:color w:val="auto"/>
              </w:rPr>
              <w:t>项目通过采取</w:t>
            </w:r>
            <w:r>
              <w:rPr>
                <w:rFonts w:hint="eastAsia"/>
                <w:color w:val="auto"/>
                <w:lang w:val="en-US" w:eastAsia="zh-CN"/>
              </w:rPr>
              <w:t>活性炭吸附</w:t>
            </w:r>
            <w:r>
              <w:rPr>
                <w:rFonts w:hint="eastAsia"/>
                <w:color w:val="auto"/>
              </w:rPr>
              <w:t>治理措施后，挥发性有机物可以得到有效的控制，符合挥发性有机物污染防治相关政策的要求。</w:t>
            </w:r>
          </w:p>
          <w:p w14:paraId="4AB859FC">
            <w:pPr>
              <w:pStyle w:val="36"/>
              <w:keepNext w:val="0"/>
              <w:keepLines w:val="0"/>
              <w:suppressLineNumbers w:val="0"/>
              <w:bidi w:val="0"/>
              <w:spacing w:before="0" w:beforeAutospacing="0" w:after="0" w:afterAutospacing="0"/>
              <w:ind w:left="0" w:right="0"/>
              <w:rPr>
                <w:rFonts w:hint="default"/>
                <w:color w:val="auto"/>
              </w:rPr>
            </w:pPr>
          </w:p>
        </w:tc>
      </w:tr>
    </w:tbl>
    <w:p w14:paraId="628472F8">
      <w:pPr>
        <w:spacing w:line="360" w:lineRule="auto"/>
        <w:outlineLvl w:val="9"/>
        <w:rPr>
          <w:rFonts w:hint="default" w:ascii="Times New Roman" w:hAnsi="Times New Roman" w:eastAsia="黑体" w:cs="Times New Roman"/>
          <w:color w:val="auto"/>
          <w:sz w:val="30"/>
          <w:highlight w:val="none"/>
        </w:rPr>
        <w:sectPr>
          <w:headerReference r:id="rId4" w:type="default"/>
          <w:footerReference r:id="rId5" w:type="default"/>
          <w:pgSz w:w="11906" w:h="16838"/>
          <w:pgMar w:top="1417" w:right="1417" w:bottom="1417" w:left="1417" w:header="851" w:footer="1077" w:gutter="0"/>
          <w:pgBorders>
            <w:top w:val="none" w:sz="0" w:space="0"/>
            <w:left w:val="none" w:sz="0" w:space="0"/>
            <w:bottom w:val="none" w:sz="0" w:space="0"/>
            <w:right w:val="none" w:sz="0" w:space="0"/>
          </w:pgBorders>
          <w:pgNumType w:fmt="numberInDash" w:start="1"/>
          <w:cols w:space="720" w:num="1"/>
          <w:docGrid w:linePitch="312" w:charSpace="0"/>
        </w:sectPr>
      </w:pPr>
    </w:p>
    <w:p w14:paraId="3EB2F716">
      <w:pPr>
        <w:pStyle w:val="4"/>
        <w:bidi w:val="0"/>
        <w:rPr>
          <w:rFonts w:hint="default"/>
          <w:color w:val="auto"/>
        </w:rPr>
      </w:pPr>
      <w:bookmarkStart w:id="16" w:name="_Toc16900"/>
      <w:bookmarkStart w:id="17" w:name="_Toc7251"/>
      <w:r>
        <w:rPr>
          <w:rFonts w:hint="default"/>
          <w:color w:val="auto"/>
        </w:rPr>
        <w:t>建设项目工程分析</w:t>
      </w:r>
      <w:bookmarkEnd w:id="16"/>
      <w:bookmarkEnd w:id="17"/>
    </w:p>
    <w:tbl>
      <w:tblPr>
        <w:tblStyle w:val="28"/>
        <w:tblW w:w="906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89"/>
        <w:gridCol w:w="8471"/>
      </w:tblGrid>
      <w:tr w14:paraId="71D315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97" w:hRule="atLeast"/>
          <w:jc w:val="center"/>
        </w:trPr>
        <w:tc>
          <w:tcPr>
            <w:tcW w:w="589" w:type="dxa"/>
            <w:vAlign w:val="center"/>
          </w:tcPr>
          <w:p w14:paraId="7F50925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建设内容</w:t>
            </w:r>
          </w:p>
        </w:tc>
        <w:tc>
          <w:tcPr>
            <w:tcW w:w="8471" w:type="dxa"/>
          </w:tcPr>
          <w:p w14:paraId="77146CDF">
            <w:pPr>
              <w:pStyle w:val="5"/>
              <w:suppressLineNumbers w:val="0"/>
              <w:bidi w:val="0"/>
              <w:spacing w:beforeAutospacing="0" w:afterAutospacing="0"/>
              <w:ind w:right="0"/>
              <w:rPr>
                <w:rFonts w:hint="default" w:ascii="Times New Roman" w:hAnsi="Times New Roman" w:cs="Times New Roman"/>
                <w:color w:val="auto"/>
                <w:highlight w:val="none"/>
              </w:rPr>
            </w:pPr>
            <w:bookmarkStart w:id="18" w:name="_Toc20169"/>
            <w:bookmarkStart w:id="19" w:name="_Toc28977"/>
            <w:bookmarkStart w:id="20" w:name="_Toc1503"/>
            <w:bookmarkStart w:id="21" w:name="_Toc22117"/>
            <w:bookmarkStart w:id="22" w:name="_Toc31896"/>
            <w:r>
              <w:rPr>
                <w:rFonts w:hint="default" w:ascii="Times New Roman" w:hAnsi="Times New Roman" w:cs="Times New Roman"/>
                <w:color w:val="auto"/>
                <w:highlight w:val="none"/>
              </w:rPr>
              <w:t>项目由来</w:t>
            </w:r>
            <w:bookmarkEnd w:id="18"/>
          </w:p>
          <w:p w14:paraId="48ECFA01">
            <w:pPr>
              <w:pStyle w:val="36"/>
              <w:keepNext w:val="0"/>
              <w:keepLines w:val="0"/>
              <w:suppressLineNumbers w:val="0"/>
              <w:bidi w:val="0"/>
              <w:spacing w:before="0" w:beforeAutospacing="0" w:after="0" w:afterAutospacing="0"/>
              <w:ind w:left="0" w:right="0"/>
              <w:rPr>
                <w:rFonts w:hint="eastAsia" w:cs="Times New Roman"/>
                <w:color w:val="auto"/>
                <w:highlight w:val="none"/>
                <w:lang w:val="en-US" w:eastAsia="zh-CN"/>
              </w:rPr>
            </w:pPr>
            <w:r>
              <w:rPr>
                <w:rFonts w:hint="eastAsia" w:cs="Times New Roman"/>
                <w:color w:val="auto"/>
                <w:highlight w:val="none"/>
                <w:lang w:val="en-US" w:eastAsia="zh-CN"/>
              </w:rPr>
              <w:t>2021年7月，福建水投集团与中闽水务集团实施战略性重组，升格为省管企业成立福建中闽水务投资集团有限公司。定位为全省城乡供水一体化、全省水网骨干工程投资建设和运营管理主体，全省堤防和河道生态治理项目投资建设主体。</w:t>
            </w:r>
          </w:p>
          <w:p w14:paraId="10E5B314">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因福建水投集团系统内暂不具备全指标分析能力，大部分水厂的水质检测业务均委托系统外的第三方检测单位完成。为进一步保障福建水投集团权属的34个县城乡供水区域内超170座（万吨级规模以上约90座）供水厂全指标水质检测能力，补齐集团系统内全指标水质检测能力短板，增强应对水污染应急检测及处置能力，提高供水安全保障水平。福建水投集团检测科技有限公司计划投资建设《生活饮用水卫生标准》（GB 5749-2022）</w:t>
            </w:r>
            <w:r>
              <w:rPr>
                <w:rFonts w:hint="eastAsia" w:cs="Times New Roman"/>
                <w:color w:val="auto"/>
                <w:highlight w:val="none"/>
                <w:lang w:val="en-US" w:eastAsia="zh-CN"/>
              </w:rPr>
              <w:t>及</w:t>
            </w:r>
            <w:r>
              <w:rPr>
                <w:rFonts w:hint="default" w:ascii="Times New Roman" w:hAnsi="Times New Roman" w:cs="Times New Roman"/>
                <w:color w:val="auto"/>
                <w:highlight w:val="none"/>
                <w:lang w:val="en-US" w:eastAsia="zh-CN"/>
              </w:rPr>
              <w:t>《城市供水水质标准》（CJ/T 206-2005）</w:t>
            </w:r>
            <w:r>
              <w:rPr>
                <w:rFonts w:hint="eastAsia" w:cs="Times New Roman"/>
                <w:color w:val="auto"/>
                <w:highlight w:val="none"/>
                <w:lang w:val="en-US" w:eastAsia="zh-CN"/>
              </w:rPr>
              <w:t>共106</w:t>
            </w:r>
            <w:r>
              <w:rPr>
                <w:rFonts w:hint="default" w:ascii="Times New Roman" w:hAnsi="Times New Roman" w:cs="Times New Roman"/>
                <w:color w:val="auto"/>
                <w:highlight w:val="none"/>
                <w:lang w:val="en-US" w:eastAsia="zh-CN"/>
              </w:rPr>
              <w:t>项指标检测项目并取得CMA资质认定，以满足集团公司系统水质检测的需求。同时承接第三方水质检测的业务。</w:t>
            </w:r>
          </w:p>
          <w:p w14:paraId="6BDAEA8E">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建设单位拟投资2100万元，租赁</w:t>
            </w:r>
            <w:r>
              <w:rPr>
                <w:rFonts w:hint="default" w:ascii="Times New Roman" w:hAnsi="Times New Roman" w:cs="Times New Roman"/>
                <w:color w:val="auto"/>
                <w:sz w:val="24"/>
                <w:szCs w:val="24"/>
                <w:highlight w:val="none"/>
                <w:u w:val="none"/>
                <w:lang w:eastAsia="zh-CN"/>
              </w:rPr>
              <w:t>福清洪金机械有限</w:t>
            </w:r>
            <w:r>
              <w:rPr>
                <w:rFonts w:hint="eastAsia" w:cs="Times New Roman"/>
                <w:color w:val="auto"/>
                <w:sz w:val="24"/>
                <w:szCs w:val="24"/>
                <w:highlight w:val="none"/>
                <w:u w:val="none"/>
                <w:lang w:eastAsia="zh-CN"/>
              </w:rPr>
              <w:t>公司办公科研楼</w:t>
            </w:r>
            <w:r>
              <w:rPr>
                <w:rFonts w:hint="default" w:ascii="Times New Roman" w:hAnsi="Times New Roman" w:cs="Times New Roman"/>
                <w:color w:val="auto"/>
                <w:sz w:val="24"/>
                <w:szCs w:val="24"/>
                <w:highlight w:val="none"/>
                <w:u w:val="none"/>
                <w:lang w:eastAsia="zh-CN"/>
              </w:rPr>
              <w:t>4层、5层</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sz w:val="24"/>
                <w:szCs w:val="24"/>
                <w:highlight w:val="none"/>
                <w:u w:val="none"/>
                <w:lang w:eastAsia="zh-CN"/>
              </w:rPr>
              <w:t>福清市融侨经济技术开发区洪宽工业村</w:t>
            </w:r>
            <w:r>
              <w:rPr>
                <w:rFonts w:hint="eastAsia" w:cs="Times New Roman"/>
                <w:color w:val="auto"/>
                <w:sz w:val="24"/>
                <w:szCs w:val="24"/>
                <w:highlight w:val="none"/>
                <w:u w:val="none"/>
                <w:lang w:eastAsia="zh-CN"/>
              </w:rPr>
              <w:t>，</w:t>
            </w:r>
            <w:r>
              <w:rPr>
                <w:rFonts w:hint="default" w:ascii="Times New Roman" w:hAnsi="Times New Roman" w:cs="Times New Roman"/>
                <w:color w:val="auto"/>
                <w:sz w:val="24"/>
                <w:szCs w:val="24"/>
                <w:highlight w:val="none"/>
                <w:u w:val="none"/>
                <w:lang w:val="en-US" w:eastAsia="zh-CN"/>
              </w:rPr>
              <w:t>租赁合同详见附件</w:t>
            </w:r>
            <w:r>
              <w:rPr>
                <w:rFonts w:hint="eastAsia" w:cs="Times New Roman"/>
                <w:color w:val="auto"/>
                <w:sz w:val="24"/>
                <w:szCs w:val="24"/>
                <w:highlight w:val="none"/>
                <w:u w:val="none"/>
                <w:lang w:val="en-US" w:eastAsia="zh-CN"/>
              </w:rPr>
              <w:t>4</w:t>
            </w:r>
            <w:r>
              <w:rPr>
                <w:rFonts w:hint="default" w:ascii="Times New Roman" w:hAnsi="Times New Roman" w:cs="Times New Roman"/>
                <w:color w:val="auto"/>
                <w:sz w:val="24"/>
                <w:szCs w:val="24"/>
                <w:highlight w:val="none"/>
                <w:u w:val="none"/>
                <w:lang w:val="en-US" w:eastAsia="zh-CN"/>
              </w:rPr>
              <w:t>）</w:t>
            </w:r>
            <w:r>
              <w:rPr>
                <w:rFonts w:hint="default" w:ascii="Times New Roman" w:hAnsi="Times New Roman" w:cs="Times New Roman"/>
                <w:color w:val="auto"/>
                <w:highlight w:val="none"/>
                <w:lang w:val="en-US" w:eastAsia="zh-CN"/>
              </w:rPr>
              <w:t>作为其检测实验室经营场所。主要建筑面积2517.8m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，员工人数30人，实验室建成后涉及检测指标为《生活饮用水卫生标准》（GB 5749-2022）全指标水质检测能力。</w:t>
            </w:r>
          </w:p>
          <w:p w14:paraId="7DECFA4B">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根据《中华人民共和国环境影响评价法》（2018年12月29日修订）、《建设项目环境影响评价分类管理名录》（2021年），该建设项目属于</w:t>
            </w:r>
            <w:r>
              <w:rPr>
                <w:rFonts w:hint="default" w:ascii="Times New Roman" w:hAnsi="Times New Roman" w:eastAsia="宋体" w:cs="Times New Roman"/>
                <w:color w:val="auto"/>
                <w:highlight w:val="none"/>
                <w:lang w:val="en-US" w:eastAsia="zh-CN"/>
              </w:rPr>
              <w:t>“四</w:t>
            </w:r>
            <w:r>
              <w:rPr>
                <w:rFonts w:hint="default" w:ascii="Times New Roman" w:hAnsi="Times New Roman" w:cs="Times New Roman"/>
                <w:color w:val="auto"/>
                <w:highlight w:val="none"/>
                <w:lang w:val="en-US" w:eastAsia="zh-CN"/>
              </w:rPr>
              <w:t>十五、研究和试验发展，98专业实验室、研发（实验）基地</w:t>
            </w:r>
            <w:r>
              <w:rPr>
                <w:rFonts w:hint="default" w:ascii="Times New Roman" w:hAnsi="Times New Roman" w:eastAsia="宋体" w:cs="Times New Roman"/>
                <w:color w:val="auto"/>
                <w:highlight w:val="none"/>
                <w:lang w:val="en-US" w:eastAsia="zh-CN"/>
              </w:rPr>
              <w:t>”项</w:t>
            </w:r>
            <w:r>
              <w:rPr>
                <w:rFonts w:hint="default" w:ascii="Times New Roman" w:hAnsi="Times New Roman" w:cs="Times New Roman"/>
                <w:color w:val="auto"/>
                <w:highlight w:val="none"/>
                <w:lang w:val="en-US" w:eastAsia="zh-CN"/>
              </w:rPr>
              <w:t>目，本项目</w:t>
            </w:r>
            <w:r>
              <w:rPr>
                <w:rFonts w:hint="eastAsia" w:cs="Times New Roman"/>
                <w:color w:val="auto"/>
                <w:highlight w:val="none"/>
                <w:lang w:val="en-US" w:eastAsia="zh-CN"/>
              </w:rPr>
              <w:t>为</w:t>
            </w:r>
            <w:r>
              <w:rPr>
                <w:rFonts w:hint="default" w:ascii="Times New Roman" w:hAnsi="Times New Roman" w:cs="Times New Roman"/>
                <w:color w:val="auto"/>
                <w:highlight w:val="none"/>
                <w:lang w:val="en-US" w:eastAsia="zh-CN"/>
              </w:rPr>
              <w:t>P</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生物安全实验室</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不属于 P3、P4 生物安全实验室和转基因实验室，应编制环境影响报告表。福建水投集团检测科技有限公司委托福建省闽创环保科技有限公司对本项目进行环境影响评价（委托书详见附件1）。</w:t>
            </w:r>
          </w:p>
          <w:p w14:paraId="6C5E51B8">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p w14:paraId="1655AD71">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p w14:paraId="168167A9">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p w14:paraId="7EFB7647">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p w14:paraId="2EACFEC1">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jc w:val="center"/>
              <w:textAlignment w:val="auto"/>
              <w:rPr>
                <w:rFonts w:hint="default" w:ascii="Times New Roman" w:hAnsi="Times New Roman" w:cs="Times New Roman"/>
                <w:color w:val="auto"/>
                <w:highlight w:val="none"/>
                <w:lang w:val="en-GB" w:eastAsia="zh-CN"/>
              </w:rPr>
            </w:pPr>
            <w:r>
              <w:rPr>
                <w:rFonts w:hint="default" w:ascii="Times New Roman" w:hAnsi="Times New Roman" w:cs="Times New Roman"/>
                <w:color w:val="auto"/>
                <w:highlight w:val="none"/>
                <w:lang w:val="en-GB" w:eastAsia="zh-CN"/>
              </w:rPr>
              <w:t>建设项目环境影响评价分类管理目录</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832"/>
              <w:gridCol w:w="2345"/>
              <w:gridCol w:w="2164"/>
              <w:gridCol w:w="1139"/>
            </w:tblGrid>
            <w:tr w14:paraId="742F6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jc w:val="center"/>
              </w:trPr>
              <w:tc>
                <w:tcPr>
                  <w:tcW w:w="1578" w:type="pct"/>
                  <w:gridSpan w:val="2"/>
                  <w:tcBorders>
                    <w:tl2br w:val="single" w:color="auto" w:sz="4" w:space="0"/>
                  </w:tcBorders>
                  <w:shd w:val="clear" w:color="auto" w:fill="auto"/>
                  <w:noWrap w:val="0"/>
                  <w:vAlign w:val="center"/>
                </w:tcPr>
                <w:p w14:paraId="266AE2E3">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righ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环评类别</w:t>
                  </w:r>
                </w:p>
                <w:p w14:paraId="0CDB0EEE">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项目类别</w:t>
                  </w:r>
                </w:p>
              </w:tc>
              <w:tc>
                <w:tcPr>
                  <w:tcW w:w="1421" w:type="pct"/>
                  <w:tcBorders>
                    <w:tl2br w:val="nil"/>
                    <w:tr2bl w:val="nil"/>
                  </w:tcBorders>
                  <w:shd w:val="clear" w:color="auto" w:fill="auto"/>
                  <w:noWrap w:val="0"/>
                  <w:vAlign w:val="center"/>
                </w:tcPr>
                <w:p w14:paraId="70194C9C">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报告书</w:t>
                  </w:r>
                </w:p>
              </w:tc>
              <w:tc>
                <w:tcPr>
                  <w:tcW w:w="1311" w:type="pct"/>
                  <w:tcBorders>
                    <w:tl2br w:val="nil"/>
                    <w:tr2bl w:val="nil"/>
                  </w:tcBorders>
                  <w:shd w:val="clear" w:color="auto" w:fill="D7D7D7" w:themeFill="background1" w:themeFillShade="D8"/>
                  <w:noWrap w:val="0"/>
                  <w:vAlign w:val="center"/>
                </w:tcPr>
                <w:p w14:paraId="6DD9487B">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报告表</w:t>
                  </w:r>
                </w:p>
              </w:tc>
              <w:tc>
                <w:tcPr>
                  <w:tcW w:w="688" w:type="pct"/>
                  <w:tcBorders>
                    <w:tl2br w:val="nil"/>
                    <w:tr2bl w:val="nil"/>
                  </w:tcBorders>
                  <w:noWrap w:val="0"/>
                  <w:vAlign w:val="center"/>
                </w:tcPr>
                <w:p w14:paraId="3F29151D">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登记表</w:t>
                  </w:r>
                </w:p>
              </w:tc>
            </w:tr>
            <w:tr w14:paraId="6A2C7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000" w:type="pct"/>
                  <w:gridSpan w:val="5"/>
                  <w:tcBorders>
                    <w:tl2br w:val="nil"/>
                    <w:tr2bl w:val="nil"/>
                  </w:tcBorders>
                  <w:shd w:val="clear" w:color="auto" w:fill="D7D7D7" w:themeFill="background1" w:themeFillShade="D8"/>
                  <w:noWrap w:val="0"/>
                  <w:vAlign w:val="center"/>
                </w:tcPr>
                <w:p w14:paraId="591FD724">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四十五、研究和试验发展</w:t>
                  </w:r>
                </w:p>
              </w:tc>
            </w:tr>
            <w:tr w14:paraId="567BA2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8" w:type="pct"/>
                  <w:tcBorders>
                    <w:tl2br w:val="nil"/>
                    <w:tr2bl w:val="nil"/>
                  </w:tcBorders>
                  <w:shd w:val="clear" w:color="auto" w:fill="auto"/>
                  <w:noWrap w:val="0"/>
                  <w:vAlign w:val="center"/>
                </w:tcPr>
                <w:p w14:paraId="28C5DF51">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98</w:t>
                  </w:r>
                </w:p>
              </w:tc>
              <w:tc>
                <w:tcPr>
                  <w:tcW w:w="1110" w:type="pct"/>
                  <w:tcBorders>
                    <w:tl2br w:val="nil"/>
                    <w:tr2bl w:val="nil"/>
                  </w:tcBorders>
                  <w:shd w:val="clear" w:color="auto" w:fill="auto"/>
                  <w:noWrap w:val="0"/>
                  <w:vAlign w:val="center"/>
                </w:tcPr>
                <w:p w14:paraId="6B58B108">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专业实验室、研发（试验）基地</w:t>
                  </w:r>
                </w:p>
              </w:tc>
              <w:tc>
                <w:tcPr>
                  <w:tcW w:w="1421" w:type="pct"/>
                  <w:tcBorders>
                    <w:tl2br w:val="nil"/>
                    <w:tr2bl w:val="nil"/>
                  </w:tcBorders>
                  <w:shd w:val="clear" w:color="auto" w:fill="auto"/>
                  <w:noWrap w:val="0"/>
                  <w:vAlign w:val="center"/>
                </w:tcPr>
                <w:p w14:paraId="6C0829E4">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P3、P4生物安全实验室；转基因实验室</w:t>
                  </w:r>
                </w:p>
              </w:tc>
              <w:tc>
                <w:tcPr>
                  <w:tcW w:w="1311" w:type="pct"/>
                  <w:tcBorders>
                    <w:tl2br w:val="nil"/>
                    <w:tr2bl w:val="nil"/>
                  </w:tcBorders>
                  <w:shd w:val="clear" w:color="auto" w:fill="D7D7D7" w:themeFill="background1" w:themeFillShade="D8"/>
                  <w:noWrap w:val="0"/>
                  <w:vAlign w:val="center"/>
                </w:tcPr>
                <w:p w14:paraId="4FF14B32">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其他（不产生实验废气、废水、危险废物的除外）</w:t>
                  </w:r>
                </w:p>
              </w:tc>
              <w:tc>
                <w:tcPr>
                  <w:tcW w:w="688" w:type="pct"/>
                  <w:tcBorders>
                    <w:tl2br w:val="nil"/>
                    <w:tr2bl w:val="nil"/>
                  </w:tcBorders>
                  <w:noWrap w:val="0"/>
                  <w:vAlign w:val="center"/>
                </w:tcPr>
                <w:p w14:paraId="4FFA2902">
                  <w:pPr>
                    <w:pStyle w:val="59"/>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r>
          </w:tbl>
          <w:p w14:paraId="5CD0193D">
            <w:pPr>
              <w:pStyle w:val="5"/>
              <w:suppressLineNumbers w:val="0"/>
              <w:bidi w:val="0"/>
              <w:spacing w:beforeAutospacing="0" w:afterAutospacing="0"/>
              <w:ind w:right="0"/>
              <w:rPr>
                <w:rFonts w:hint="default" w:ascii="Times New Roman" w:hAnsi="Times New Roman" w:cs="Times New Roman"/>
                <w:color w:val="auto"/>
                <w:highlight w:val="none"/>
              </w:rPr>
            </w:pPr>
            <w:bookmarkStart w:id="23" w:name="_Toc6121"/>
            <w:bookmarkStart w:id="24" w:name="_Toc22115"/>
            <w:bookmarkStart w:id="25" w:name="_Toc217"/>
            <w:bookmarkStart w:id="26" w:name="_Toc4381"/>
            <w:bookmarkStart w:id="27" w:name="_Toc22745"/>
            <w:bookmarkStart w:id="28" w:name="_Toc495406266"/>
            <w:r>
              <w:rPr>
                <w:rFonts w:hint="default" w:ascii="Times New Roman" w:hAnsi="Times New Roman" w:cs="Times New Roman"/>
                <w:color w:val="auto"/>
                <w:highlight w:val="none"/>
              </w:rPr>
              <w:t>项目概况</w:t>
            </w:r>
            <w:bookmarkEnd w:id="23"/>
            <w:bookmarkEnd w:id="24"/>
            <w:bookmarkEnd w:id="25"/>
            <w:bookmarkEnd w:id="26"/>
            <w:bookmarkEnd w:id="27"/>
          </w:p>
          <w:p w14:paraId="27F03C69">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出租方概况</w:t>
            </w:r>
          </w:p>
          <w:p w14:paraId="1BCE191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eastAsia" w:ascii="Times New Roman" w:hAnsi="Times New Roman" w:cs="Times New Roman"/>
                <w:color w:val="auto"/>
                <w:highlight w:val="none"/>
              </w:rPr>
              <w:t>本项目位于</w:t>
            </w:r>
            <w:r>
              <w:rPr>
                <w:rFonts w:hint="eastAsia" w:cs="Times New Roman"/>
                <w:color w:val="auto"/>
                <w:sz w:val="24"/>
                <w:szCs w:val="24"/>
                <w:highlight w:val="none"/>
                <w:u w:val="none"/>
                <w:lang w:eastAsia="zh-CN"/>
              </w:rPr>
              <w:t>福清融侨经济技术开发区（租赁福清洪金机械有限公司办公科研楼4层、5层）</w:t>
            </w:r>
            <w:r>
              <w:rPr>
                <w:rFonts w:hint="eastAsia" w:ascii="Times New Roman" w:hAnsi="Times New Roman" w:cs="Times New Roman"/>
                <w:color w:val="auto"/>
                <w:highlight w:val="none"/>
              </w:rPr>
              <w:t>。因此本评价对出租方</w:t>
            </w:r>
            <w:r>
              <w:rPr>
                <w:rFonts w:hint="eastAsia" w:cs="Times New Roman"/>
                <w:color w:val="auto"/>
                <w:sz w:val="24"/>
                <w:szCs w:val="24"/>
                <w:highlight w:val="none"/>
                <w:u w:val="none"/>
                <w:lang w:eastAsia="zh-CN"/>
              </w:rPr>
              <w:t>福清洪金机械有限公司</w:t>
            </w:r>
            <w:r>
              <w:rPr>
                <w:rFonts w:hint="eastAsia" w:ascii="Times New Roman" w:hAnsi="Times New Roman" w:cs="Times New Roman"/>
                <w:color w:val="auto"/>
                <w:highlight w:val="none"/>
              </w:rPr>
              <w:t>相关情况进行简单介绍：</w:t>
            </w:r>
          </w:p>
          <w:p w14:paraId="115D3409">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eastAsia" w:cs="Times New Roman"/>
                <w:color w:val="auto"/>
                <w:sz w:val="24"/>
                <w:szCs w:val="24"/>
                <w:highlight w:val="none"/>
                <w:u w:val="none"/>
                <w:lang w:eastAsia="zh-CN"/>
              </w:rPr>
              <w:t>福清洪金机械有限公司</w:t>
            </w:r>
            <w:r>
              <w:rPr>
                <w:rFonts w:hint="eastAsia" w:ascii="Times New Roman" w:hAnsi="Times New Roman" w:cs="Times New Roman"/>
                <w:color w:val="auto"/>
                <w:highlight w:val="none"/>
              </w:rPr>
              <w:t>成立于</w:t>
            </w:r>
            <w:r>
              <w:rPr>
                <w:rFonts w:hint="eastAsia" w:ascii="Times New Roman" w:hAnsi="Times New Roman" w:cs="Times New Roman"/>
                <w:color w:val="auto"/>
                <w:highlight w:val="none"/>
                <w:shd w:val="clear" w:fill="FFFFFF"/>
              </w:rPr>
              <w:t>20</w:t>
            </w:r>
            <w:r>
              <w:rPr>
                <w:rFonts w:hint="eastAsia" w:cs="Times New Roman"/>
                <w:color w:val="auto"/>
                <w:highlight w:val="none"/>
                <w:shd w:val="clear" w:fill="FFFFFF"/>
                <w:lang w:val="en-US" w:eastAsia="zh-CN"/>
              </w:rPr>
              <w:t>06</w:t>
            </w:r>
            <w:r>
              <w:rPr>
                <w:rFonts w:hint="eastAsia" w:ascii="Times New Roman" w:hAnsi="Times New Roman" w:cs="Times New Roman"/>
                <w:color w:val="auto"/>
                <w:highlight w:val="none"/>
                <w:shd w:val="clear" w:fill="FFFFFF"/>
              </w:rPr>
              <w:t>年</w:t>
            </w:r>
            <w:r>
              <w:rPr>
                <w:rFonts w:hint="eastAsia" w:cs="Times New Roman"/>
                <w:color w:val="auto"/>
                <w:highlight w:val="none"/>
                <w:shd w:val="clear" w:fill="FFFFFF"/>
                <w:lang w:val="en-US" w:eastAsia="zh-CN"/>
              </w:rPr>
              <w:t>07</w:t>
            </w:r>
            <w:r>
              <w:rPr>
                <w:rFonts w:hint="eastAsia" w:ascii="Times New Roman" w:hAnsi="Times New Roman" w:cs="Times New Roman"/>
                <w:color w:val="auto"/>
                <w:highlight w:val="none"/>
                <w:shd w:val="clear" w:fill="FFFFFF"/>
              </w:rPr>
              <w:t>月2</w:t>
            </w:r>
            <w:r>
              <w:rPr>
                <w:rFonts w:hint="eastAsia" w:cs="Times New Roman"/>
                <w:color w:val="auto"/>
                <w:highlight w:val="none"/>
                <w:shd w:val="clear" w:fill="FFFFFF"/>
                <w:lang w:val="en-US" w:eastAsia="zh-CN"/>
              </w:rPr>
              <w:t>7</w:t>
            </w:r>
            <w:r>
              <w:rPr>
                <w:rFonts w:hint="eastAsia" w:ascii="Times New Roman" w:hAnsi="Times New Roman" w:cs="Times New Roman"/>
                <w:color w:val="auto"/>
                <w:highlight w:val="none"/>
                <w:shd w:val="clear" w:fill="FFFFFF"/>
              </w:rPr>
              <w:t>日</w:t>
            </w:r>
            <w:r>
              <w:rPr>
                <w:rFonts w:hint="eastAsia" w:ascii="Times New Roman" w:hAnsi="Times New Roman" w:cs="Times New Roman"/>
                <w:color w:val="auto"/>
                <w:highlight w:val="none"/>
              </w:rPr>
              <w:t>，法人代表为郑梦浓，</w:t>
            </w:r>
            <w:r>
              <w:rPr>
                <w:rFonts w:hint="default" w:ascii="Times New Roman" w:hAnsi="Times New Roman" w:cs="Times New Roman"/>
                <w:color w:val="auto"/>
                <w:highlight w:val="none"/>
              </w:rPr>
              <w:t>是一家</w:t>
            </w:r>
            <w:r>
              <w:rPr>
                <w:rFonts w:hint="eastAsia" w:ascii="Times New Roman" w:hAnsi="Times New Roman" w:cs="Times New Roman"/>
                <w:color w:val="auto"/>
                <w:highlight w:val="none"/>
              </w:rPr>
              <w:t>主要</w:t>
            </w:r>
            <w:r>
              <w:rPr>
                <w:rFonts w:hint="default" w:ascii="Times New Roman" w:hAnsi="Times New Roman" w:cs="Times New Roman"/>
                <w:color w:val="auto"/>
                <w:highlight w:val="none"/>
              </w:rPr>
              <w:t>从事</w:t>
            </w:r>
            <w:r>
              <w:rPr>
                <w:rFonts w:hint="eastAsia" w:ascii="Times New Roman" w:hAnsi="Times New Roman" w:cs="Times New Roman"/>
                <w:color w:val="auto"/>
                <w:highlight w:val="none"/>
              </w:rPr>
              <w:t>模具制作、切断机等系列产品的制造</w:t>
            </w:r>
            <w:r>
              <w:rPr>
                <w:rFonts w:hint="eastAsia" w:cs="Times New Roman"/>
                <w:color w:val="auto"/>
                <w:highlight w:val="none"/>
                <w:lang w:eastAsia="zh-CN"/>
              </w:rPr>
              <w:t>；</w:t>
            </w:r>
            <w:r>
              <w:rPr>
                <w:rFonts w:hint="eastAsia" w:ascii="Times New Roman" w:hAnsi="Times New Roman" w:cs="Times New Roman"/>
                <w:color w:val="auto"/>
                <w:highlight w:val="none"/>
              </w:rPr>
              <w:t>标准厂房投资、建设</w:t>
            </w:r>
            <w:r>
              <w:rPr>
                <w:rFonts w:hint="eastAsia" w:cs="Times New Roman"/>
                <w:color w:val="auto"/>
                <w:highlight w:val="none"/>
                <w:lang w:eastAsia="zh-CN"/>
              </w:rPr>
              <w:t>；</w:t>
            </w:r>
            <w:r>
              <w:rPr>
                <w:rFonts w:hint="eastAsia" w:ascii="Times New Roman" w:hAnsi="Times New Roman" w:cs="Times New Roman"/>
                <w:color w:val="auto"/>
                <w:highlight w:val="none"/>
              </w:rPr>
              <w:t>物业管理</w:t>
            </w:r>
            <w:r>
              <w:rPr>
                <w:rFonts w:hint="eastAsia" w:cs="Times New Roman"/>
                <w:color w:val="auto"/>
                <w:highlight w:val="none"/>
                <w:lang w:eastAsia="zh-CN"/>
              </w:rPr>
              <w:t>；</w:t>
            </w:r>
            <w:r>
              <w:rPr>
                <w:rFonts w:hint="eastAsia" w:ascii="Times New Roman" w:hAnsi="Times New Roman" w:cs="Times New Roman"/>
                <w:color w:val="auto"/>
                <w:highlight w:val="none"/>
              </w:rPr>
              <w:t>自有厂房租赁</w:t>
            </w:r>
            <w:r>
              <w:rPr>
                <w:rFonts w:hint="eastAsia" w:cs="Times New Roman"/>
                <w:color w:val="auto"/>
                <w:highlight w:val="none"/>
                <w:lang w:eastAsia="zh-CN"/>
              </w:rPr>
              <w:t>；</w:t>
            </w:r>
            <w:r>
              <w:rPr>
                <w:rFonts w:hint="eastAsia" w:ascii="Times New Roman" w:hAnsi="Times New Roman" w:cs="Times New Roman"/>
                <w:color w:val="auto"/>
                <w:highlight w:val="none"/>
              </w:rPr>
              <w:t>对制造业进行投资</w:t>
            </w:r>
            <w:r>
              <w:rPr>
                <w:rFonts w:hint="eastAsia" w:cs="Times New Roman"/>
                <w:color w:val="auto"/>
                <w:highlight w:val="none"/>
                <w:lang w:eastAsia="zh-CN"/>
              </w:rPr>
              <w:t>；</w:t>
            </w:r>
            <w:r>
              <w:rPr>
                <w:rFonts w:hint="eastAsia" w:ascii="Times New Roman" w:hAnsi="Times New Roman" w:cs="Times New Roman"/>
                <w:color w:val="auto"/>
                <w:highlight w:val="none"/>
              </w:rPr>
              <w:t>环保产品研发</w:t>
            </w:r>
            <w:r>
              <w:rPr>
                <w:rFonts w:hint="eastAsia" w:cs="Times New Roman"/>
                <w:color w:val="auto"/>
                <w:highlight w:val="none"/>
                <w:lang w:eastAsia="zh-CN"/>
              </w:rPr>
              <w:t>；</w:t>
            </w:r>
            <w:r>
              <w:rPr>
                <w:rFonts w:hint="eastAsia" w:ascii="Times New Roman" w:hAnsi="Times New Roman" w:cs="Times New Roman"/>
                <w:color w:val="auto"/>
                <w:highlight w:val="none"/>
              </w:rPr>
              <w:t>新材料及新能源领域内的技术研发技术服务等的企业。</w:t>
            </w:r>
          </w:p>
          <w:p w14:paraId="58772CEF">
            <w:pPr>
              <w:pStyle w:val="36"/>
              <w:keepNext w:val="0"/>
              <w:keepLines w:val="0"/>
              <w:suppressLineNumbers w:val="0"/>
              <w:spacing w:before="0" w:beforeAutospacing="0" w:after="0" w:afterAutospacing="0"/>
              <w:ind w:left="0" w:right="0" w:firstLine="480"/>
              <w:rPr>
                <w:rFonts w:hint="eastAsia" w:cs="Times New Roman"/>
                <w:color w:val="auto"/>
                <w:highlight w:val="none"/>
                <w:lang w:val="en-US" w:eastAsia="zh-CN"/>
              </w:rPr>
            </w:pPr>
            <w:r>
              <w:rPr>
                <w:rFonts w:hint="eastAsia" w:cs="Times New Roman"/>
                <w:color w:val="auto"/>
                <w:sz w:val="24"/>
                <w:szCs w:val="24"/>
                <w:highlight w:val="none"/>
                <w:u w:val="none"/>
                <w:lang w:eastAsia="zh-CN"/>
              </w:rPr>
              <w:t>福清洪金机械有限公司</w:t>
            </w:r>
            <w:r>
              <w:rPr>
                <w:rFonts w:hint="eastAsia" w:ascii="Times New Roman" w:hAnsi="Times New Roman" w:cs="Times New Roman"/>
                <w:color w:val="auto"/>
                <w:highlight w:val="none"/>
              </w:rPr>
              <w:t>于20</w:t>
            </w:r>
            <w:r>
              <w:rPr>
                <w:rFonts w:hint="eastAsia" w:cs="Times New Roman"/>
                <w:color w:val="auto"/>
                <w:highlight w:val="none"/>
                <w:lang w:val="en-US" w:eastAsia="zh-CN"/>
              </w:rPr>
              <w:t>19</w:t>
            </w:r>
            <w:r>
              <w:rPr>
                <w:rFonts w:hint="eastAsia" w:ascii="Times New Roman" w:hAnsi="Times New Roman" w:cs="Times New Roman"/>
                <w:color w:val="auto"/>
                <w:highlight w:val="none"/>
              </w:rPr>
              <w:t>年</w:t>
            </w:r>
            <w:r>
              <w:rPr>
                <w:rFonts w:hint="eastAsia" w:cs="Times New Roman"/>
                <w:color w:val="auto"/>
                <w:highlight w:val="none"/>
                <w:lang w:val="en-US" w:eastAsia="zh-CN"/>
              </w:rPr>
              <w:t>4</w:t>
            </w:r>
            <w:r>
              <w:rPr>
                <w:rFonts w:hint="eastAsia" w:ascii="Times New Roman" w:hAnsi="Times New Roman" w:cs="Times New Roman"/>
                <w:color w:val="auto"/>
                <w:highlight w:val="none"/>
              </w:rPr>
              <w:t>月</w:t>
            </w:r>
            <w:r>
              <w:rPr>
                <w:rFonts w:hint="eastAsia" w:cs="Times New Roman"/>
                <w:color w:val="auto"/>
                <w:highlight w:val="none"/>
                <w:lang w:val="en-US" w:eastAsia="zh-CN"/>
              </w:rPr>
              <w:t>16</w:t>
            </w:r>
            <w:r>
              <w:rPr>
                <w:rFonts w:hint="eastAsia" w:ascii="Times New Roman" w:hAnsi="Times New Roman" w:cs="Times New Roman"/>
                <w:color w:val="auto"/>
                <w:highlight w:val="none"/>
              </w:rPr>
              <w:t>日</w:t>
            </w:r>
            <w:r>
              <w:rPr>
                <w:rFonts w:hint="eastAsia" w:cs="Times New Roman"/>
                <w:color w:val="auto"/>
                <w:highlight w:val="none"/>
                <w:lang w:val="en-US" w:eastAsia="zh-CN"/>
              </w:rPr>
              <w:t>完成</w:t>
            </w:r>
            <w:r>
              <w:rPr>
                <w:rFonts w:hint="default" w:ascii="Times New Roman" w:hAnsi="Times New Roman" w:cs="Times New Roman"/>
                <w:color w:val="auto"/>
                <w:highlight w:val="none"/>
              </w:rPr>
              <w:t>《</w:t>
            </w:r>
            <w:r>
              <w:rPr>
                <w:rFonts w:hint="eastAsia" w:cs="Times New Roman"/>
                <w:color w:val="auto"/>
                <w:sz w:val="24"/>
                <w:szCs w:val="24"/>
                <w:highlight w:val="none"/>
                <w:u w:val="none"/>
                <w:lang w:eastAsia="zh-CN"/>
              </w:rPr>
              <w:t>福清洪金机械有限公司</w:t>
            </w:r>
            <w:r>
              <w:rPr>
                <w:rFonts w:hint="eastAsia" w:cs="Times New Roman"/>
                <w:color w:val="auto"/>
                <w:highlight w:val="none"/>
                <w:lang w:val="en-US" w:eastAsia="zh-CN"/>
              </w:rPr>
              <w:t>标准厂房及配套</w:t>
            </w:r>
            <w:r>
              <w:rPr>
                <w:rFonts w:hint="default" w:ascii="Times New Roman" w:hAnsi="Times New Roman" w:cs="Times New Roman"/>
                <w:color w:val="auto"/>
                <w:highlight w:val="none"/>
              </w:rPr>
              <w:t>》</w:t>
            </w:r>
            <w:r>
              <w:rPr>
                <w:rFonts w:hint="eastAsia" w:cs="Times New Roman"/>
                <w:color w:val="auto"/>
                <w:highlight w:val="none"/>
                <w:lang w:val="en-US" w:eastAsia="zh-CN"/>
              </w:rPr>
              <w:t>建设项目环境登记备案，备案号201935018100000076（登记表</w:t>
            </w:r>
            <w:r>
              <w:rPr>
                <w:rFonts w:hint="eastAsia" w:ascii="Times New Roman" w:hAnsi="Times New Roman" w:cs="Times New Roman"/>
                <w:color w:val="auto"/>
                <w:highlight w:val="none"/>
              </w:rPr>
              <w:t>，详见附件</w:t>
            </w:r>
            <w:r>
              <w:rPr>
                <w:rFonts w:hint="eastAsia" w:cs="Times New Roman"/>
                <w:color w:val="auto"/>
                <w:highlight w:val="none"/>
                <w:lang w:val="en-US" w:eastAsia="zh-CN"/>
              </w:rPr>
              <w:t>11）。登记表建设内容及规模为建设标准厂房及配套项目，占地面积：75627.2平方米，总建筑面积55749.23平方米，新建标准厂房、办公科研楼、员工餐厅等生活附属配套设施。</w:t>
            </w:r>
            <w:r>
              <w:rPr>
                <w:rFonts w:hint="default" w:ascii="Times New Roman" w:hAnsi="Times New Roman" w:cs="Times New Roman"/>
                <w:color w:val="auto"/>
                <w:highlight w:val="none"/>
              </w:rPr>
              <w:t>《</w:t>
            </w:r>
            <w:r>
              <w:rPr>
                <w:rFonts w:hint="eastAsia" w:cs="Times New Roman"/>
                <w:color w:val="auto"/>
                <w:sz w:val="24"/>
                <w:szCs w:val="24"/>
                <w:highlight w:val="none"/>
                <w:u w:val="none"/>
                <w:lang w:eastAsia="zh-CN"/>
              </w:rPr>
              <w:t>福清洪金机械有限公司</w:t>
            </w:r>
            <w:r>
              <w:rPr>
                <w:rFonts w:hint="eastAsia" w:cs="Times New Roman"/>
                <w:color w:val="auto"/>
                <w:highlight w:val="none"/>
                <w:lang w:val="en-US" w:eastAsia="zh-CN"/>
              </w:rPr>
              <w:t>标准厂房及配套</w:t>
            </w:r>
            <w:r>
              <w:rPr>
                <w:rFonts w:hint="default" w:ascii="Times New Roman" w:hAnsi="Times New Roman" w:cs="Times New Roman"/>
                <w:color w:val="auto"/>
                <w:highlight w:val="none"/>
              </w:rPr>
              <w:t>》</w:t>
            </w:r>
            <w:r>
              <w:rPr>
                <w:rFonts w:hint="eastAsia" w:ascii="Times New Roman" w:hAnsi="Times New Roman" w:cs="Times New Roman"/>
                <w:color w:val="auto"/>
                <w:highlight w:val="none"/>
                <w:lang w:val="en-US" w:eastAsia="zh-CN"/>
              </w:rPr>
              <w:t>项目</w:t>
            </w:r>
            <w:r>
              <w:rPr>
                <w:rFonts w:hint="eastAsia" w:cs="Times New Roman"/>
                <w:color w:val="auto"/>
                <w:highlight w:val="none"/>
                <w:lang w:val="en-US" w:eastAsia="zh-CN"/>
              </w:rPr>
              <w:t>主要技术经济指标见下表。</w:t>
            </w:r>
          </w:p>
          <w:p w14:paraId="54186320">
            <w:pPr>
              <w:pStyle w:val="35"/>
              <w:keepNext w:val="0"/>
              <w:keepLines w:val="0"/>
              <w:pageBreakBefore w:val="0"/>
              <w:widowControl w:val="0"/>
              <w:suppressLineNumbers w:val="0"/>
              <w:tabs>
                <w:tab w:val="left" w:pos="2126"/>
              </w:tabs>
              <w:kinsoku/>
              <w:wordWrap w:val="0"/>
              <w:overflowPunct/>
              <w:topLinePunct w:val="0"/>
              <w:autoSpaceDE w:val="0"/>
              <w:autoSpaceDN w:val="0"/>
              <w:bidi w:val="0"/>
              <w:adjustRightInd/>
              <w:snapToGrid/>
              <w:spacing w:before="0" w:beforeLines="0" w:beforeAutospacing="0" w:after="0" w:afterAutospacing="0"/>
              <w:ind w:right="0"/>
              <w:jc w:val="righ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《福清洪金机械有限公司标准厂房及配套》项目</w:t>
            </w:r>
            <w:r>
              <w:rPr>
                <w:rFonts w:hint="eastAsia" w:ascii="Times New Roman" w:hAnsi="Times New Roman" w:eastAsia="宋体" w:cs="Times New Roman"/>
                <w:color w:val="auto"/>
                <w:highlight w:val="none"/>
                <w:lang w:val="en-US" w:eastAsia="zh-CN"/>
              </w:rPr>
              <w:t xml:space="preserve">主要经济技术指标  </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905"/>
              <w:gridCol w:w="1858"/>
              <w:gridCol w:w="1131"/>
              <w:gridCol w:w="1315"/>
              <w:gridCol w:w="1873"/>
            </w:tblGrid>
            <w:tr w14:paraId="0AFE14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0B78C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指标名称</w:t>
                  </w:r>
                </w:p>
              </w:tc>
              <w:tc>
                <w:tcPr>
                  <w:tcW w:w="1131" w:type="dxa"/>
                  <w:tcBorders>
                    <w:tl2br w:val="nil"/>
                    <w:tr2bl w:val="nil"/>
                  </w:tcBorders>
                  <w:noWrap w:val="0"/>
                  <w:vAlign w:val="center"/>
                </w:tcPr>
                <w:p w14:paraId="5C3C8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计量单位</w:t>
                  </w:r>
                </w:p>
              </w:tc>
              <w:tc>
                <w:tcPr>
                  <w:tcW w:w="1315" w:type="dxa"/>
                  <w:tcBorders>
                    <w:tl2br w:val="nil"/>
                    <w:tr2bl w:val="nil"/>
                  </w:tcBorders>
                  <w:noWrap w:val="0"/>
                  <w:vAlign w:val="center"/>
                </w:tcPr>
                <w:p w14:paraId="57F440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数量</w:t>
                  </w:r>
                </w:p>
              </w:tc>
              <w:tc>
                <w:tcPr>
                  <w:tcW w:w="1873" w:type="dxa"/>
                  <w:tcBorders>
                    <w:tl2br w:val="nil"/>
                    <w:tr2bl w:val="nil"/>
                  </w:tcBorders>
                  <w:noWrap w:val="0"/>
                  <w:vAlign w:val="center"/>
                </w:tcPr>
                <w:p w14:paraId="17AD7E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备注</w:t>
                  </w:r>
                </w:p>
              </w:tc>
            </w:tr>
            <w:tr w14:paraId="2579A5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490B9C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征地红线</w:t>
                  </w:r>
                </w:p>
              </w:tc>
              <w:tc>
                <w:tcPr>
                  <w:tcW w:w="1131" w:type="dxa"/>
                  <w:tcBorders>
                    <w:tl2br w:val="nil"/>
                    <w:tr2bl w:val="nil"/>
                  </w:tcBorders>
                  <w:noWrap w:val="0"/>
                  <w:vAlign w:val="center"/>
                </w:tcPr>
                <w:p w14:paraId="452713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0C0A01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75627.2</w:t>
                  </w:r>
                </w:p>
              </w:tc>
              <w:tc>
                <w:tcPr>
                  <w:tcW w:w="1873" w:type="dxa"/>
                  <w:tcBorders>
                    <w:tl2br w:val="nil"/>
                    <w:tr2bl w:val="nil"/>
                  </w:tcBorders>
                  <w:noWrap w:val="0"/>
                  <w:vAlign w:val="center"/>
                </w:tcPr>
                <w:p w14:paraId="33B4AF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113.4亩</w:t>
                  </w:r>
                </w:p>
              </w:tc>
            </w:tr>
            <w:tr w14:paraId="34D996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36B481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shd w:val="clear" w:fill="FFFFFF"/>
                      <w:lang w:val="en-US" w:eastAsia="zh-CN" w:bidi="ar-SA"/>
                    </w:rPr>
                    <w:t>实用地</w:t>
                  </w:r>
                  <w:r>
                    <w:rPr>
                      <w:rFonts w:hint="eastAsia" w:ascii="Times New Roman" w:hAnsi="Times New Roman" w:eastAsia="宋体" w:cs="Times New Roman"/>
                      <w:color w:val="auto"/>
                      <w:kern w:val="2"/>
                      <w:sz w:val="21"/>
                      <w:szCs w:val="21"/>
                      <w:highlight w:val="none"/>
                      <w:lang w:val="en-US" w:eastAsia="zh-CN" w:bidi="ar-SA"/>
                    </w:rPr>
                    <w:t>红线</w:t>
                  </w:r>
                </w:p>
              </w:tc>
              <w:tc>
                <w:tcPr>
                  <w:tcW w:w="1131" w:type="dxa"/>
                  <w:tcBorders>
                    <w:tl2br w:val="nil"/>
                    <w:tr2bl w:val="nil"/>
                  </w:tcBorders>
                  <w:noWrap w:val="0"/>
                  <w:vAlign w:val="center"/>
                </w:tcPr>
                <w:p w14:paraId="600128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77C2B5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60212.23</w:t>
                  </w:r>
                </w:p>
              </w:tc>
              <w:tc>
                <w:tcPr>
                  <w:tcW w:w="1873" w:type="dxa"/>
                  <w:tcBorders>
                    <w:tl2br w:val="nil"/>
                    <w:tr2bl w:val="nil"/>
                  </w:tcBorders>
                  <w:noWrap w:val="0"/>
                  <w:vAlign w:val="center"/>
                </w:tcPr>
                <w:p w14:paraId="3F9B2F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94.7亩</w:t>
                  </w:r>
                </w:p>
              </w:tc>
            </w:tr>
            <w:tr w14:paraId="4B307F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334B5F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建筑</w:t>
                  </w:r>
                  <w:r>
                    <w:rPr>
                      <w:rFonts w:hint="eastAsia" w:ascii="Times New Roman" w:hAnsi="Times New Roman" w:eastAsia="宋体" w:cs="Times New Roman"/>
                      <w:color w:val="auto"/>
                      <w:kern w:val="2"/>
                      <w:sz w:val="21"/>
                      <w:szCs w:val="21"/>
                      <w:highlight w:val="none"/>
                      <w:lang w:val="en-US" w:eastAsia="zh-CN" w:bidi="ar-SA"/>
                    </w:rPr>
                    <w:t>占地</w:t>
                  </w:r>
                  <w:r>
                    <w:rPr>
                      <w:rFonts w:hint="default" w:ascii="Times New Roman" w:hAnsi="Times New Roman" w:eastAsia="宋体" w:cs="Times New Roman"/>
                      <w:color w:val="auto"/>
                      <w:kern w:val="2"/>
                      <w:sz w:val="21"/>
                      <w:szCs w:val="21"/>
                      <w:highlight w:val="none"/>
                      <w:lang w:val="en-US" w:eastAsia="zh-CN" w:bidi="ar-SA"/>
                    </w:rPr>
                    <w:t>面积</w:t>
                  </w:r>
                </w:p>
              </w:tc>
              <w:tc>
                <w:tcPr>
                  <w:tcW w:w="1131" w:type="dxa"/>
                  <w:tcBorders>
                    <w:tl2br w:val="nil"/>
                    <w:tr2bl w:val="nil"/>
                  </w:tcBorders>
                  <w:noWrap w:val="0"/>
                  <w:vAlign w:val="center"/>
                </w:tcPr>
                <w:p w14:paraId="4ED23F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5DE747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22178.6</w:t>
                  </w:r>
                </w:p>
              </w:tc>
              <w:tc>
                <w:tcPr>
                  <w:tcW w:w="1873" w:type="dxa"/>
                  <w:tcBorders>
                    <w:tl2br w:val="nil"/>
                    <w:tr2bl w:val="nil"/>
                  </w:tcBorders>
                  <w:noWrap w:val="0"/>
                  <w:vAlign w:val="center"/>
                </w:tcPr>
                <w:p w14:paraId="1E4526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2BBAD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74667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总建筑面积</w:t>
                  </w:r>
                </w:p>
              </w:tc>
              <w:tc>
                <w:tcPr>
                  <w:tcW w:w="1131" w:type="dxa"/>
                  <w:tcBorders>
                    <w:tl2br w:val="nil"/>
                    <w:tr2bl w:val="nil"/>
                  </w:tcBorders>
                  <w:noWrap w:val="0"/>
                  <w:vAlign w:val="center"/>
                </w:tcPr>
                <w:p w14:paraId="32227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117961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55749.23</w:t>
                  </w:r>
                </w:p>
              </w:tc>
              <w:tc>
                <w:tcPr>
                  <w:tcW w:w="1873" w:type="dxa"/>
                  <w:tcBorders>
                    <w:tl2br w:val="nil"/>
                    <w:tr2bl w:val="nil"/>
                  </w:tcBorders>
                  <w:noWrap w:val="0"/>
                  <w:vAlign w:val="center"/>
                </w:tcPr>
                <w:p w14:paraId="616B47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EC95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73" w:type="dxa"/>
                  <w:vMerge w:val="restart"/>
                  <w:tcBorders>
                    <w:tl2br w:val="nil"/>
                    <w:tr2bl w:val="nil"/>
                  </w:tcBorders>
                  <w:noWrap w:val="0"/>
                  <w:vAlign w:val="center"/>
                </w:tcPr>
                <w:p w14:paraId="517A8F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其中</w:t>
                  </w:r>
                </w:p>
              </w:tc>
              <w:tc>
                <w:tcPr>
                  <w:tcW w:w="2763" w:type="dxa"/>
                  <w:gridSpan w:val="2"/>
                  <w:tcBorders>
                    <w:tl2br w:val="nil"/>
                    <w:tr2bl w:val="nil"/>
                  </w:tcBorders>
                  <w:noWrap w:val="0"/>
                  <w:vAlign w:val="center"/>
                </w:tcPr>
                <w:p w14:paraId="462283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地上</w:t>
                  </w:r>
                  <w:r>
                    <w:rPr>
                      <w:rFonts w:hint="default" w:ascii="Times New Roman" w:hAnsi="Times New Roman" w:eastAsia="宋体" w:cs="Times New Roman"/>
                      <w:color w:val="auto"/>
                      <w:kern w:val="2"/>
                      <w:sz w:val="21"/>
                      <w:szCs w:val="21"/>
                      <w:highlight w:val="none"/>
                      <w:lang w:val="en-US" w:eastAsia="zh-CN" w:bidi="ar-SA"/>
                    </w:rPr>
                    <w:t>建筑面积</w:t>
                  </w:r>
                </w:p>
              </w:tc>
              <w:tc>
                <w:tcPr>
                  <w:tcW w:w="1131" w:type="dxa"/>
                  <w:tcBorders>
                    <w:tl2br w:val="nil"/>
                    <w:tr2bl w:val="nil"/>
                  </w:tcBorders>
                  <w:noWrap w:val="0"/>
                  <w:vAlign w:val="center"/>
                </w:tcPr>
                <w:p w14:paraId="2F5B8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6F610C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55320.59</w:t>
                  </w:r>
                </w:p>
              </w:tc>
              <w:tc>
                <w:tcPr>
                  <w:tcW w:w="1873" w:type="dxa"/>
                  <w:tcBorders>
                    <w:tl2br w:val="nil"/>
                    <w:tr2bl w:val="nil"/>
                  </w:tcBorders>
                  <w:noWrap w:val="0"/>
                  <w:vAlign w:val="center"/>
                </w:tcPr>
                <w:p w14:paraId="1B1D61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D36A6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73" w:type="dxa"/>
                  <w:vMerge w:val="continue"/>
                  <w:tcBorders>
                    <w:tl2br w:val="nil"/>
                    <w:tr2bl w:val="nil"/>
                  </w:tcBorders>
                  <w:noWrap w:val="0"/>
                  <w:vAlign w:val="center"/>
                </w:tcPr>
                <w:p w14:paraId="587A7E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05" w:type="dxa"/>
                  <w:vMerge w:val="restart"/>
                  <w:tcBorders>
                    <w:tl2br w:val="nil"/>
                    <w:tr2bl w:val="nil"/>
                  </w:tcBorders>
                  <w:noWrap w:val="0"/>
                  <w:vAlign w:val="center"/>
                </w:tcPr>
                <w:p w14:paraId="242C71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其中</w:t>
                  </w:r>
                </w:p>
              </w:tc>
              <w:tc>
                <w:tcPr>
                  <w:tcW w:w="1858" w:type="dxa"/>
                  <w:tcBorders>
                    <w:tl2br w:val="nil"/>
                    <w:tr2bl w:val="nil"/>
                  </w:tcBorders>
                  <w:noWrap w:val="0"/>
                  <w:vAlign w:val="center"/>
                </w:tcPr>
                <w:p w14:paraId="1AEB5C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配套服务设施</w:t>
                  </w:r>
                </w:p>
              </w:tc>
              <w:tc>
                <w:tcPr>
                  <w:tcW w:w="1131" w:type="dxa"/>
                  <w:tcBorders>
                    <w:tl2br w:val="nil"/>
                    <w:tr2bl w:val="nil"/>
                  </w:tcBorders>
                  <w:noWrap w:val="0"/>
                  <w:vAlign w:val="center"/>
                </w:tcPr>
                <w:p w14:paraId="54D3D3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4928B2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11074.07</w:t>
                  </w:r>
                </w:p>
              </w:tc>
              <w:tc>
                <w:tcPr>
                  <w:tcW w:w="1873" w:type="dxa"/>
                  <w:tcBorders>
                    <w:tl2br w:val="nil"/>
                    <w:tr2bl w:val="nil"/>
                  </w:tcBorders>
                  <w:noWrap w:val="0"/>
                  <w:vAlign w:val="center"/>
                </w:tcPr>
                <w:p w14:paraId="59800DE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FC6AE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73" w:type="dxa"/>
                  <w:vMerge w:val="continue"/>
                  <w:tcBorders>
                    <w:tl2br w:val="nil"/>
                    <w:tr2bl w:val="nil"/>
                  </w:tcBorders>
                  <w:noWrap w:val="0"/>
                  <w:vAlign w:val="center"/>
                </w:tcPr>
                <w:p w14:paraId="546400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905" w:type="dxa"/>
                  <w:vMerge w:val="continue"/>
                  <w:tcBorders>
                    <w:tl2br w:val="nil"/>
                    <w:tr2bl w:val="nil"/>
                  </w:tcBorders>
                  <w:noWrap w:val="0"/>
                  <w:vAlign w:val="center"/>
                </w:tcPr>
                <w:p w14:paraId="7FA1F8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858" w:type="dxa"/>
                  <w:tcBorders>
                    <w:tl2br w:val="nil"/>
                    <w:tr2bl w:val="nil"/>
                  </w:tcBorders>
                  <w:noWrap w:val="0"/>
                  <w:vAlign w:val="center"/>
                </w:tcPr>
                <w:p w14:paraId="238620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生产性建筑</w:t>
                  </w:r>
                </w:p>
              </w:tc>
              <w:tc>
                <w:tcPr>
                  <w:tcW w:w="1131" w:type="dxa"/>
                  <w:tcBorders>
                    <w:tl2br w:val="nil"/>
                    <w:tr2bl w:val="nil"/>
                  </w:tcBorders>
                  <w:noWrap w:val="0"/>
                  <w:vAlign w:val="center"/>
                </w:tcPr>
                <w:p w14:paraId="3F94AF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7915C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44246.52</w:t>
                  </w:r>
                </w:p>
              </w:tc>
              <w:tc>
                <w:tcPr>
                  <w:tcW w:w="1873" w:type="dxa"/>
                  <w:tcBorders>
                    <w:tl2br w:val="nil"/>
                    <w:tr2bl w:val="nil"/>
                  </w:tcBorders>
                  <w:noWrap w:val="0"/>
                  <w:vAlign w:val="center"/>
                </w:tcPr>
                <w:p w14:paraId="5DD7B2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6A1F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1173" w:type="dxa"/>
                  <w:vMerge w:val="continue"/>
                  <w:tcBorders>
                    <w:tl2br w:val="nil"/>
                    <w:tr2bl w:val="nil"/>
                  </w:tcBorders>
                  <w:noWrap w:val="0"/>
                  <w:vAlign w:val="center"/>
                </w:tcPr>
                <w:p w14:paraId="7BA2D5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763" w:type="dxa"/>
                  <w:gridSpan w:val="2"/>
                  <w:tcBorders>
                    <w:tl2br w:val="nil"/>
                    <w:tr2bl w:val="nil"/>
                  </w:tcBorders>
                  <w:noWrap w:val="0"/>
                  <w:vAlign w:val="center"/>
                </w:tcPr>
                <w:p w14:paraId="572703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地下</w:t>
                  </w:r>
                  <w:r>
                    <w:rPr>
                      <w:rFonts w:hint="default" w:ascii="Times New Roman" w:hAnsi="Times New Roman" w:eastAsia="宋体" w:cs="Times New Roman"/>
                      <w:color w:val="auto"/>
                      <w:kern w:val="2"/>
                      <w:sz w:val="21"/>
                      <w:szCs w:val="21"/>
                      <w:highlight w:val="none"/>
                      <w:lang w:val="en-US" w:eastAsia="zh-CN" w:bidi="ar-SA"/>
                    </w:rPr>
                    <w:t>建筑面积</w:t>
                  </w:r>
                </w:p>
              </w:tc>
              <w:tc>
                <w:tcPr>
                  <w:tcW w:w="1131" w:type="dxa"/>
                  <w:tcBorders>
                    <w:tl2br w:val="nil"/>
                    <w:tr2bl w:val="nil"/>
                  </w:tcBorders>
                  <w:noWrap w:val="0"/>
                  <w:vAlign w:val="center"/>
                </w:tcPr>
                <w:p w14:paraId="7A7B20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462643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428.64</w:t>
                  </w:r>
                </w:p>
              </w:tc>
              <w:tc>
                <w:tcPr>
                  <w:tcW w:w="1873" w:type="dxa"/>
                  <w:tcBorders>
                    <w:tl2br w:val="nil"/>
                    <w:tr2bl w:val="nil"/>
                  </w:tcBorders>
                  <w:noWrap w:val="0"/>
                  <w:vAlign w:val="center"/>
                </w:tcPr>
                <w:p w14:paraId="07E262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1E154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0B01CF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计算</w:t>
                  </w:r>
                  <w:r>
                    <w:rPr>
                      <w:rFonts w:hint="default" w:ascii="Times New Roman" w:hAnsi="Times New Roman" w:eastAsia="宋体" w:cs="Times New Roman"/>
                      <w:color w:val="auto"/>
                      <w:kern w:val="2"/>
                      <w:sz w:val="21"/>
                      <w:szCs w:val="21"/>
                      <w:highlight w:val="none"/>
                      <w:lang w:val="en-US" w:eastAsia="zh-CN" w:bidi="ar-SA"/>
                    </w:rPr>
                    <w:t>容积率建筑面积</w:t>
                  </w:r>
                </w:p>
              </w:tc>
              <w:tc>
                <w:tcPr>
                  <w:tcW w:w="1131" w:type="dxa"/>
                  <w:tcBorders>
                    <w:tl2br w:val="nil"/>
                    <w:tr2bl w:val="nil"/>
                  </w:tcBorders>
                  <w:noWrap w:val="0"/>
                  <w:vAlign w:val="center"/>
                </w:tcPr>
                <w:p w14:paraId="31879A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7764A2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69375.89</w:t>
                  </w:r>
                </w:p>
              </w:tc>
              <w:tc>
                <w:tcPr>
                  <w:tcW w:w="1873" w:type="dxa"/>
                  <w:tcBorders>
                    <w:tl2br w:val="nil"/>
                    <w:tr2bl w:val="nil"/>
                  </w:tcBorders>
                  <w:noWrap w:val="0"/>
                  <w:vAlign w:val="center"/>
                </w:tcPr>
                <w:p w14:paraId="135883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不计容</w:t>
                  </w:r>
                </w:p>
              </w:tc>
            </w:tr>
            <w:tr w14:paraId="559625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72F649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建筑密度</w:t>
                  </w:r>
                </w:p>
              </w:tc>
              <w:tc>
                <w:tcPr>
                  <w:tcW w:w="1131" w:type="dxa"/>
                  <w:tcBorders>
                    <w:tl2br w:val="nil"/>
                    <w:tr2bl w:val="nil"/>
                  </w:tcBorders>
                  <w:noWrap w:val="0"/>
                  <w:vAlign w:val="center"/>
                </w:tcPr>
                <w:p w14:paraId="718E2F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5A9C8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36.86</w:t>
                  </w:r>
                </w:p>
              </w:tc>
              <w:tc>
                <w:tcPr>
                  <w:tcW w:w="1873" w:type="dxa"/>
                  <w:tcBorders>
                    <w:tl2br w:val="nil"/>
                    <w:tr2bl w:val="nil"/>
                  </w:tcBorders>
                  <w:noWrap w:val="0"/>
                  <w:vAlign w:val="center"/>
                </w:tcPr>
                <w:p w14:paraId="3256E1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58E962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4DDCA3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堆场面积</w:t>
                  </w:r>
                </w:p>
              </w:tc>
              <w:tc>
                <w:tcPr>
                  <w:tcW w:w="1131" w:type="dxa"/>
                  <w:tcBorders>
                    <w:tl2br w:val="nil"/>
                    <w:tr2bl w:val="nil"/>
                  </w:tcBorders>
                  <w:noWrap w:val="0"/>
                  <w:vAlign w:val="center"/>
                </w:tcPr>
                <w:p w14:paraId="1658F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19F61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1930</w:t>
                  </w:r>
                </w:p>
              </w:tc>
              <w:tc>
                <w:tcPr>
                  <w:tcW w:w="1873" w:type="dxa"/>
                  <w:tcBorders>
                    <w:tl2br w:val="nil"/>
                    <w:tr2bl w:val="nil"/>
                  </w:tcBorders>
                  <w:noWrap w:val="0"/>
                  <w:vAlign w:val="center"/>
                </w:tcPr>
                <w:p w14:paraId="1DB4EF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5F6C1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019274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建筑系数</w:t>
                  </w:r>
                </w:p>
              </w:tc>
              <w:tc>
                <w:tcPr>
                  <w:tcW w:w="1131" w:type="dxa"/>
                  <w:tcBorders>
                    <w:tl2br w:val="nil"/>
                    <w:tr2bl w:val="nil"/>
                  </w:tcBorders>
                  <w:noWrap w:val="0"/>
                  <w:vAlign w:val="center"/>
                </w:tcPr>
                <w:p w14:paraId="1D768D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63DC94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w:t>
                  </w:r>
                </w:p>
              </w:tc>
              <w:tc>
                <w:tcPr>
                  <w:tcW w:w="1873" w:type="dxa"/>
                  <w:tcBorders>
                    <w:tl2br w:val="nil"/>
                    <w:tr2bl w:val="nil"/>
                  </w:tcBorders>
                  <w:noWrap w:val="0"/>
                  <w:vAlign w:val="center"/>
                </w:tcPr>
                <w:p w14:paraId="46206D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9E5A0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014623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容积率</w:t>
                  </w:r>
                </w:p>
              </w:tc>
              <w:tc>
                <w:tcPr>
                  <w:tcW w:w="1131" w:type="dxa"/>
                  <w:tcBorders>
                    <w:tl2br w:val="nil"/>
                    <w:tr2bl w:val="nil"/>
                  </w:tcBorders>
                  <w:noWrap w:val="0"/>
                  <w:vAlign w:val="center"/>
                </w:tcPr>
                <w:p w14:paraId="2FDC21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3E0B4F8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1.15</w:t>
                  </w:r>
                </w:p>
              </w:tc>
              <w:tc>
                <w:tcPr>
                  <w:tcW w:w="1873" w:type="dxa"/>
                  <w:tcBorders>
                    <w:tl2br w:val="nil"/>
                    <w:tr2bl w:val="nil"/>
                  </w:tcBorders>
                  <w:noWrap w:val="0"/>
                  <w:vAlign w:val="center"/>
                </w:tcPr>
                <w:p w14:paraId="73CC49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18952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6CF101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绿地率</w:t>
                  </w:r>
                </w:p>
              </w:tc>
              <w:tc>
                <w:tcPr>
                  <w:tcW w:w="1131" w:type="dxa"/>
                  <w:tcBorders>
                    <w:tl2br w:val="nil"/>
                    <w:tr2bl w:val="nil"/>
                  </w:tcBorders>
                  <w:noWrap w:val="0"/>
                  <w:vAlign w:val="center"/>
                </w:tcPr>
                <w:p w14:paraId="5F5EA3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5C6003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15</w:t>
                  </w:r>
                </w:p>
              </w:tc>
              <w:tc>
                <w:tcPr>
                  <w:tcW w:w="1873" w:type="dxa"/>
                  <w:tcBorders>
                    <w:tl2br w:val="nil"/>
                    <w:tr2bl w:val="nil"/>
                  </w:tcBorders>
                  <w:noWrap w:val="0"/>
                  <w:vAlign w:val="center"/>
                </w:tcPr>
                <w:p w14:paraId="0B8A3D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C45C6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101BC4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机动车停车位</w:t>
                  </w:r>
                </w:p>
              </w:tc>
              <w:tc>
                <w:tcPr>
                  <w:tcW w:w="1131" w:type="dxa"/>
                  <w:tcBorders>
                    <w:tl2br w:val="nil"/>
                    <w:tr2bl w:val="nil"/>
                  </w:tcBorders>
                  <w:noWrap w:val="0"/>
                  <w:vAlign w:val="center"/>
                </w:tcPr>
                <w:p w14:paraId="1D9C42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辆</w:t>
                  </w:r>
                </w:p>
              </w:tc>
              <w:tc>
                <w:tcPr>
                  <w:tcW w:w="1315" w:type="dxa"/>
                  <w:tcBorders>
                    <w:tl2br w:val="nil"/>
                    <w:tr2bl w:val="nil"/>
                  </w:tcBorders>
                  <w:noWrap w:val="0"/>
                  <w:vAlign w:val="center"/>
                </w:tcPr>
                <w:p w14:paraId="5E06C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211</w:t>
                  </w:r>
                </w:p>
              </w:tc>
              <w:tc>
                <w:tcPr>
                  <w:tcW w:w="1873" w:type="dxa"/>
                  <w:tcBorders>
                    <w:tl2br w:val="nil"/>
                    <w:tr2bl w:val="nil"/>
                  </w:tcBorders>
                  <w:noWrap w:val="0"/>
                  <w:vAlign w:val="center"/>
                </w:tcPr>
                <w:p w14:paraId="1F5A9D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09F6A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23D5F8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非机动车停车位</w:t>
                  </w:r>
                </w:p>
              </w:tc>
              <w:tc>
                <w:tcPr>
                  <w:tcW w:w="1131" w:type="dxa"/>
                  <w:tcBorders>
                    <w:tl2br w:val="nil"/>
                    <w:tr2bl w:val="nil"/>
                  </w:tcBorders>
                  <w:noWrap w:val="0"/>
                  <w:vAlign w:val="center"/>
                </w:tcPr>
                <w:p w14:paraId="03AD3B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辆</w:t>
                  </w:r>
                </w:p>
              </w:tc>
              <w:tc>
                <w:tcPr>
                  <w:tcW w:w="1315" w:type="dxa"/>
                  <w:tcBorders>
                    <w:tl2br w:val="nil"/>
                    <w:tr2bl w:val="nil"/>
                  </w:tcBorders>
                  <w:noWrap w:val="0"/>
                  <w:vAlign w:val="center"/>
                </w:tcPr>
                <w:p w14:paraId="67D1F1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775</w:t>
                  </w:r>
                </w:p>
              </w:tc>
              <w:tc>
                <w:tcPr>
                  <w:tcW w:w="1873" w:type="dxa"/>
                  <w:tcBorders>
                    <w:tl2br w:val="nil"/>
                    <w:tr2bl w:val="nil"/>
                  </w:tcBorders>
                  <w:noWrap w:val="0"/>
                  <w:vAlign w:val="center"/>
                </w:tcPr>
                <w:p w14:paraId="361E32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6B0935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1F3B2C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配套服务设施用地面积</w:t>
                  </w:r>
                </w:p>
              </w:tc>
              <w:tc>
                <w:tcPr>
                  <w:tcW w:w="1131" w:type="dxa"/>
                  <w:tcBorders>
                    <w:tl2br w:val="nil"/>
                    <w:tr2bl w:val="nil"/>
                  </w:tcBorders>
                  <w:noWrap w:val="0"/>
                  <w:vAlign w:val="center"/>
                </w:tcPr>
                <w:p w14:paraId="19DA5E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3F72BC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3034.2</w:t>
                  </w:r>
                </w:p>
              </w:tc>
              <w:tc>
                <w:tcPr>
                  <w:tcW w:w="1873" w:type="dxa"/>
                  <w:tcBorders>
                    <w:tl2br w:val="nil"/>
                    <w:tr2bl w:val="nil"/>
                  </w:tcBorders>
                  <w:noWrap w:val="0"/>
                  <w:vAlign w:val="center"/>
                </w:tcPr>
                <w:p w14:paraId="6900DC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6E57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6C2BF4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配套服务设施用地所占比重</w:t>
                  </w:r>
                </w:p>
              </w:tc>
              <w:tc>
                <w:tcPr>
                  <w:tcW w:w="1131" w:type="dxa"/>
                  <w:tcBorders>
                    <w:tl2br w:val="nil"/>
                    <w:tr2bl w:val="nil"/>
                  </w:tcBorders>
                  <w:noWrap w:val="0"/>
                  <w:vAlign w:val="center"/>
                </w:tcPr>
                <w:p w14:paraId="75C5FA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3D0384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1873" w:type="dxa"/>
                  <w:tcBorders>
                    <w:tl2br w:val="nil"/>
                    <w:tr2bl w:val="nil"/>
                  </w:tcBorders>
                  <w:noWrap w:val="0"/>
                  <w:vAlign w:val="center"/>
                </w:tcPr>
                <w:p w14:paraId="0277B7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90DB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4289EE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配套服务设施建筑面积</w:t>
                  </w:r>
                </w:p>
              </w:tc>
              <w:tc>
                <w:tcPr>
                  <w:tcW w:w="1131" w:type="dxa"/>
                  <w:tcBorders>
                    <w:tl2br w:val="nil"/>
                    <w:tr2bl w:val="nil"/>
                  </w:tcBorders>
                  <w:noWrap w:val="0"/>
                  <w:vAlign w:val="center"/>
                </w:tcPr>
                <w:p w14:paraId="52BC87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0F68AE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11074.07</w:t>
                  </w:r>
                </w:p>
              </w:tc>
              <w:tc>
                <w:tcPr>
                  <w:tcW w:w="1873" w:type="dxa"/>
                  <w:tcBorders>
                    <w:tl2br w:val="nil"/>
                    <w:tr2bl w:val="nil"/>
                  </w:tcBorders>
                  <w:noWrap w:val="0"/>
                  <w:vAlign w:val="center"/>
                </w:tcPr>
                <w:p w14:paraId="78783B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243614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936" w:type="dxa"/>
                  <w:gridSpan w:val="3"/>
                  <w:tcBorders>
                    <w:tl2br w:val="nil"/>
                    <w:tr2bl w:val="nil"/>
                  </w:tcBorders>
                  <w:noWrap w:val="0"/>
                  <w:vAlign w:val="center"/>
                </w:tcPr>
                <w:p w14:paraId="59CDF0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配套服务设施建筑面积比例</w:t>
                  </w:r>
                </w:p>
              </w:tc>
              <w:tc>
                <w:tcPr>
                  <w:tcW w:w="1131" w:type="dxa"/>
                  <w:tcBorders>
                    <w:tl2br w:val="nil"/>
                    <w:tr2bl w:val="nil"/>
                  </w:tcBorders>
                  <w:noWrap w:val="0"/>
                  <w:vAlign w:val="center"/>
                </w:tcPr>
                <w:p w14:paraId="1E47A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w:t>
                  </w:r>
                </w:p>
              </w:tc>
              <w:tc>
                <w:tcPr>
                  <w:tcW w:w="1315" w:type="dxa"/>
                  <w:tcBorders>
                    <w:tl2br w:val="nil"/>
                    <w:tr2bl w:val="nil"/>
                  </w:tcBorders>
                  <w:noWrap w:val="0"/>
                  <w:vAlign w:val="center"/>
                </w:tcPr>
                <w:p w14:paraId="6F2D36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19.9</w:t>
                  </w:r>
                </w:p>
              </w:tc>
              <w:tc>
                <w:tcPr>
                  <w:tcW w:w="1873" w:type="dxa"/>
                  <w:tcBorders>
                    <w:tl2br w:val="nil"/>
                    <w:tr2bl w:val="nil"/>
                  </w:tcBorders>
                  <w:noWrap w:val="0"/>
                  <w:vAlign w:val="center"/>
                </w:tcPr>
                <w:p w14:paraId="54F78C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bl>
          <w:p w14:paraId="611BC790">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157" w:beforeLines="50" w:beforeAutospacing="0" w:after="0" w:afterAutospacing="0"/>
              <w:ind w:right="0"/>
              <w:jc w:val="center"/>
              <w:textAlignment w:val="auto"/>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w:t>
            </w:r>
            <w:r>
              <w:rPr>
                <w:rFonts w:hint="eastAsia" w:cs="Times New Roman"/>
                <w:color w:val="auto"/>
                <w:sz w:val="24"/>
                <w:szCs w:val="24"/>
                <w:highlight w:val="none"/>
                <w:u w:val="none"/>
                <w:lang w:eastAsia="zh-CN"/>
              </w:rPr>
              <w:t>福清洪金机械有限公司</w:t>
            </w:r>
            <w:r>
              <w:rPr>
                <w:rFonts w:hint="eastAsia" w:cs="Times New Roman"/>
                <w:color w:val="auto"/>
                <w:highlight w:val="none"/>
                <w:lang w:val="en-US" w:eastAsia="zh-CN"/>
              </w:rPr>
              <w:t>标准厂房及配套</w:t>
            </w:r>
            <w:r>
              <w:rPr>
                <w:rFonts w:hint="default" w:ascii="Times New Roman" w:hAnsi="Times New Roman" w:cs="Times New Roman"/>
                <w:color w:val="auto"/>
                <w:highlight w:val="none"/>
              </w:rPr>
              <w:t>》</w:t>
            </w:r>
            <w:r>
              <w:rPr>
                <w:rFonts w:hint="eastAsia" w:ascii="Times New Roman" w:hAnsi="Times New Roman" w:eastAsia="宋体" w:cs="Times New Roman"/>
                <w:color w:val="auto"/>
                <w:highlight w:val="none"/>
                <w:lang w:val="en-US" w:eastAsia="zh-CN"/>
              </w:rPr>
              <w:t>单体技术指标</w:t>
            </w:r>
          </w:p>
          <w:tbl>
            <w:tblPr>
              <w:tblStyle w:val="29"/>
              <w:tblW w:w="825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54"/>
              <w:gridCol w:w="474"/>
              <w:gridCol w:w="1188"/>
              <w:gridCol w:w="1096"/>
              <w:gridCol w:w="1119"/>
              <w:gridCol w:w="1085"/>
              <w:gridCol w:w="2939"/>
            </w:tblGrid>
            <w:tr w14:paraId="33CB17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1" w:hRule="exact"/>
              </w:trPr>
              <w:tc>
                <w:tcPr>
                  <w:tcW w:w="2016" w:type="dxa"/>
                  <w:gridSpan w:val="3"/>
                  <w:tcBorders>
                    <w:tl2br w:val="nil"/>
                    <w:tr2bl w:val="nil"/>
                  </w:tcBorders>
                  <w:noWrap w:val="0"/>
                  <w:tcMar>
                    <w:top w:w="0" w:type="dxa"/>
                    <w:left w:w="51" w:type="dxa"/>
                    <w:bottom w:w="0" w:type="dxa"/>
                    <w:right w:w="51" w:type="dxa"/>
                  </w:tcMar>
                  <w:vAlign w:val="center"/>
                </w:tcPr>
                <w:p w14:paraId="11299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单体名称</w:t>
                  </w:r>
                </w:p>
              </w:tc>
              <w:tc>
                <w:tcPr>
                  <w:tcW w:w="1096" w:type="dxa"/>
                  <w:tcBorders>
                    <w:tl2br w:val="nil"/>
                    <w:tr2bl w:val="nil"/>
                  </w:tcBorders>
                  <w:noWrap w:val="0"/>
                  <w:tcMar>
                    <w:top w:w="0" w:type="dxa"/>
                    <w:left w:w="51" w:type="dxa"/>
                    <w:bottom w:w="0" w:type="dxa"/>
                    <w:right w:w="51" w:type="dxa"/>
                  </w:tcMar>
                  <w:vAlign w:val="center"/>
                </w:tcPr>
                <w:p w14:paraId="27BB40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占地</w:t>
                  </w:r>
                  <w:r>
                    <w:rPr>
                      <w:rFonts w:hint="default" w:ascii="Times New Roman" w:hAnsi="Times New Roman" w:eastAsia="宋体" w:cs="Times New Roman"/>
                      <w:color w:val="auto"/>
                      <w:kern w:val="2"/>
                      <w:sz w:val="21"/>
                      <w:szCs w:val="21"/>
                      <w:highlight w:val="none"/>
                      <w:lang w:val="en-US" w:eastAsia="zh-CN" w:bidi="ar-SA"/>
                    </w:rPr>
                    <w:t>面积</w:t>
                  </w:r>
                  <w:r>
                    <w:rPr>
                      <w:rFonts w:hint="eastAsia" w:ascii="Times New Roman" w:hAnsi="Times New Roman" w:eastAsia="宋体" w:cs="Times New Roman"/>
                      <w:color w:val="auto"/>
                      <w:kern w:val="2"/>
                      <w:sz w:val="21"/>
                      <w:szCs w:val="21"/>
                      <w:highlight w:val="none"/>
                      <w:lang w:val="en-US" w:eastAsia="zh-CN" w:bidi="ar-SA"/>
                    </w:rPr>
                    <w:t>（㎡）</w:t>
                  </w:r>
                </w:p>
              </w:tc>
              <w:tc>
                <w:tcPr>
                  <w:tcW w:w="1119" w:type="dxa"/>
                  <w:tcBorders>
                    <w:tl2br w:val="nil"/>
                    <w:tr2bl w:val="nil"/>
                  </w:tcBorders>
                  <w:noWrap w:val="0"/>
                  <w:tcMar>
                    <w:top w:w="0" w:type="dxa"/>
                    <w:left w:w="51" w:type="dxa"/>
                    <w:bottom w:w="0" w:type="dxa"/>
                    <w:right w:w="51" w:type="dxa"/>
                  </w:tcMar>
                  <w:vAlign w:val="center"/>
                </w:tcPr>
                <w:p w14:paraId="3A620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建筑面积（㎡）</w:t>
                  </w:r>
                </w:p>
              </w:tc>
              <w:tc>
                <w:tcPr>
                  <w:tcW w:w="1085" w:type="dxa"/>
                  <w:tcBorders>
                    <w:tl2br w:val="nil"/>
                    <w:tr2bl w:val="nil"/>
                  </w:tcBorders>
                  <w:noWrap w:val="0"/>
                  <w:tcMar>
                    <w:top w:w="0" w:type="dxa"/>
                    <w:left w:w="51" w:type="dxa"/>
                    <w:bottom w:w="0" w:type="dxa"/>
                    <w:right w:w="51" w:type="dxa"/>
                  </w:tcMar>
                  <w:vAlign w:val="center"/>
                </w:tcPr>
                <w:p w14:paraId="243185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计</w:t>
                  </w:r>
                  <w:r>
                    <w:rPr>
                      <w:rFonts w:hint="default" w:ascii="Times New Roman" w:hAnsi="Times New Roman" w:eastAsia="宋体" w:cs="Times New Roman"/>
                      <w:color w:val="auto"/>
                      <w:kern w:val="2"/>
                      <w:sz w:val="21"/>
                      <w:szCs w:val="21"/>
                      <w:highlight w:val="none"/>
                      <w:lang w:val="en-US" w:eastAsia="zh-CN" w:bidi="ar-SA"/>
                    </w:rPr>
                    <w:t>容</w:t>
                  </w:r>
                  <w:r>
                    <w:rPr>
                      <w:rFonts w:hint="eastAsia" w:ascii="Times New Roman" w:hAnsi="Times New Roman" w:eastAsia="宋体" w:cs="Times New Roman"/>
                      <w:color w:val="auto"/>
                      <w:kern w:val="2"/>
                      <w:sz w:val="21"/>
                      <w:szCs w:val="21"/>
                      <w:highlight w:val="none"/>
                      <w:lang w:val="en-US" w:eastAsia="zh-CN" w:bidi="ar-SA"/>
                    </w:rPr>
                    <w:t>面积（㎡）</w:t>
                  </w:r>
                </w:p>
              </w:tc>
              <w:tc>
                <w:tcPr>
                  <w:tcW w:w="2939" w:type="dxa"/>
                  <w:tcBorders>
                    <w:tl2br w:val="nil"/>
                    <w:tr2bl w:val="nil"/>
                  </w:tcBorders>
                  <w:noWrap w:val="0"/>
                  <w:tcMar>
                    <w:top w:w="0" w:type="dxa"/>
                    <w:left w:w="51" w:type="dxa"/>
                    <w:bottom w:w="0" w:type="dxa"/>
                    <w:right w:w="51" w:type="dxa"/>
                  </w:tcMar>
                  <w:vAlign w:val="center"/>
                </w:tcPr>
                <w:p w14:paraId="5191CA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备注</w:t>
                  </w:r>
                </w:p>
              </w:tc>
            </w:tr>
            <w:tr w14:paraId="60D384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restart"/>
                  <w:tcBorders>
                    <w:tl2br w:val="nil"/>
                    <w:tr2bl w:val="nil"/>
                  </w:tcBorders>
                  <w:noWrap w:val="0"/>
                  <w:tcMar>
                    <w:top w:w="0" w:type="dxa"/>
                    <w:left w:w="51" w:type="dxa"/>
                    <w:bottom w:w="0" w:type="dxa"/>
                    <w:right w:w="51" w:type="dxa"/>
                  </w:tcMar>
                  <w:vAlign w:val="center"/>
                </w:tcPr>
                <w:p w14:paraId="218413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生产性建筑</w:t>
                  </w:r>
                </w:p>
              </w:tc>
              <w:tc>
                <w:tcPr>
                  <w:tcW w:w="1662" w:type="dxa"/>
                  <w:gridSpan w:val="2"/>
                  <w:tcBorders>
                    <w:tl2br w:val="nil"/>
                    <w:tr2bl w:val="nil"/>
                  </w:tcBorders>
                  <w:noWrap w:val="0"/>
                  <w:tcMar>
                    <w:top w:w="0" w:type="dxa"/>
                    <w:left w:w="51" w:type="dxa"/>
                    <w:bottom w:w="0" w:type="dxa"/>
                    <w:right w:w="51" w:type="dxa"/>
                  </w:tcMar>
                  <w:vAlign w:val="center"/>
                </w:tcPr>
                <w:p w14:paraId="03118F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厂房1</w:t>
                  </w:r>
                </w:p>
              </w:tc>
              <w:tc>
                <w:tcPr>
                  <w:tcW w:w="1096" w:type="dxa"/>
                  <w:tcBorders>
                    <w:tl2br w:val="nil"/>
                    <w:tr2bl w:val="nil"/>
                  </w:tcBorders>
                  <w:noWrap w:val="0"/>
                  <w:tcMar>
                    <w:top w:w="0" w:type="dxa"/>
                    <w:left w:w="51" w:type="dxa"/>
                    <w:bottom w:w="0" w:type="dxa"/>
                    <w:right w:w="51" w:type="dxa"/>
                  </w:tcMar>
                  <w:vAlign w:val="center"/>
                </w:tcPr>
                <w:p w14:paraId="1F1EC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4778.4</w:t>
                  </w:r>
                </w:p>
              </w:tc>
              <w:tc>
                <w:tcPr>
                  <w:tcW w:w="1119" w:type="dxa"/>
                  <w:tcBorders>
                    <w:tl2br w:val="nil"/>
                    <w:tr2bl w:val="nil"/>
                  </w:tcBorders>
                  <w:shd w:val="clear" w:color="auto" w:fill="auto"/>
                  <w:noWrap w:val="0"/>
                  <w:tcMar>
                    <w:top w:w="0" w:type="dxa"/>
                    <w:left w:w="51" w:type="dxa"/>
                    <w:bottom w:w="0" w:type="dxa"/>
                    <w:right w:w="51" w:type="dxa"/>
                  </w:tcMar>
                  <w:vAlign w:val="center"/>
                </w:tcPr>
                <w:p w14:paraId="7FC2AD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4778.4</w:t>
                  </w:r>
                </w:p>
              </w:tc>
              <w:tc>
                <w:tcPr>
                  <w:tcW w:w="1085" w:type="dxa"/>
                  <w:tcBorders>
                    <w:tl2br w:val="nil"/>
                    <w:tr2bl w:val="nil"/>
                  </w:tcBorders>
                  <w:noWrap w:val="0"/>
                  <w:tcMar>
                    <w:top w:w="0" w:type="dxa"/>
                    <w:left w:w="51" w:type="dxa"/>
                    <w:bottom w:w="0" w:type="dxa"/>
                    <w:right w:w="51" w:type="dxa"/>
                  </w:tcMar>
                  <w:vAlign w:val="center"/>
                </w:tcPr>
                <w:p w14:paraId="328016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9556.8</w:t>
                  </w:r>
                </w:p>
              </w:tc>
              <w:tc>
                <w:tcPr>
                  <w:tcW w:w="2939" w:type="dxa"/>
                  <w:tcBorders>
                    <w:tl2br w:val="nil"/>
                    <w:tr2bl w:val="nil"/>
                  </w:tcBorders>
                  <w:noWrap w:val="0"/>
                  <w:tcMar>
                    <w:top w:w="0" w:type="dxa"/>
                    <w:left w:w="51" w:type="dxa"/>
                    <w:bottom w:w="0" w:type="dxa"/>
                    <w:right w:w="51" w:type="dxa"/>
                  </w:tcMar>
                  <w:vAlign w:val="center"/>
                </w:tcPr>
                <w:p w14:paraId="2B4173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16D5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657588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0D7457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厂房2</w:t>
                  </w:r>
                </w:p>
              </w:tc>
              <w:tc>
                <w:tcPr>
                  <w:tcW w:w="1096" w:type="dxa"/>
                  <w:tcBorders>
                    <w:tl2br w:val="nil"/>
                    <w:tr2bl w:val="nil"/>
                  </w:tcBorders>
                  <w:noWrap w:val="0"/>
                  <w:tcMar>
                    <w:top w:w="0" w:type="dxa"/>
                    <w:left w:w="51" w:type="dxa"/>
                    <w:bottom w:w="0" w:type="dxa"/>
                    <w:right w:w="51" w:type="dxa"/>
                  </w:tcMar>
                  <w:vAlign w:val="center"/>
                </w:tcPr>
                <w:p w14:paraId="2B5D1F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3194.4</w:t>
                  </w:r>
                </w:p>
              </w:tc>
              <w:tc>
                <w:tcPr>
                  <w:tcW w:w="1119" w:type="dxa"/>
                  <w:tcBorders>
                    <w:tl2br w:val="nil"/>
                    <w:tr2bl w:val="nil"/>
                  </w:tcBorders>
                  <w:shd w:val="clear" w:color="auto" w:fill="auto"/>
                  <w:noWrap w:val="0"/>
                  <w:tcMar>
                    <w:top w:w="0" w:type="dxa"/>
                    <w:left w:w="51" w:type="dxa"/>
                    <w:bottom w:w="0" w:type="dxa"/>
                    <w:right w:w="51" w:type="dxa"/>
                  </w:tcMar>
                  <w:vAlign w:val="center"/>
                </w:tcPr>
                <w:p w14:paraId="1D1633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3194.4</w:t>
                  </w:r>
                </w:p>
              </w:tc>
              <w:tc>
                <w:tcPr>
                  <w:tcW w:w="1085" w:type="dxa"/>
                  <w:tcBorders>
                    <w:tl2br w:val="nil"/>
                    <w:tr2bl w:val="nil"/>
                  </w:tcBorders>
                  <w:noWrap w:val="0"/>
                  <w:tcMar>
                    <w:top w:w="0" w:type="dxa"/>
                    <w:left w:w="51" w:type="dxa"/>
                    <w:bottom w:w="0" w:type="dxa"/>
                    <w:right w:w="51" w:type="dxa"/>
                  </w:tcMar>
                  <w:vAlign w:val="center"/>
                </w:tcPr>
                <w:p w14:paraId="2F5ACE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6388.8</w:t>
                  </w:r>
                </w:p>
              </w:tc>
              <w:tc>
                <w:tcPr>
                  <w:tcW w:w="2939" w:type="dxa"/>
                  <w:tcBorders>
                    <w:tl2br w:val="nil"/>
                    <w:tr2bl w:val="nil"/>
                  </w:tcBorders>
                  <w:noWrap w:val="0"/>
                  <w:tcMar>
                    <w:top w:w="0" w:type="dxa"/>
                    <w:left w:w="51" w:type="dxa"/>
                    <w:bottom w:w="0" w:type="dxa"/>
                    <w:right w:w="51" w:type="dxa"/>
                  </w:tcMar>
                  <w:vAlign w:val="center"/>
                </w:tcPr>
                <w:p w14:paraId="20CE70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58A0F4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10BAFE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2268C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厂房3</w:t>
                  </w:r>
                </w:p>
              </w:tc>
              <w:tc>
                <w:tcPr>
                  <w:tcW w:w="1096" w:type="dxa"/>
                  <w:tcBorders>
                    <w:tl2br w:val="nil"/>
                    <w:tr2bl w:val="nil"/>
                  </w:tcBorders>
                  <w:noWrap w:val="0"/>
                  <w:tcMar>
                    <w:top w:w="0" w:type="dxa"/>
                    <w:left w:w="51" w:type="dxa"/>
                    <w:bottom w:w="0" w:type="dxa"/>
                    <w:right w:w="51" w:type="dxa"/>
                  </w:tcMar>
                  <w:vAlign w:val="center"/>
                </w:tcPr>
                <w:p w14:paraId="506240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3194.4</w:t>
                  </w:r>
                </w:p>
              </w:tc>
              <w:tc>
                <w:tcPr>
                  <w:tcW w:w="1119" w:type="dxa"/>
                  <w:tcBorders>
                    <w:tl2br w:val="nil"/>
                    <w:tr2bl w:val="nil"/>
                  </w:tcBorders>
                  <w:shd w:val="clear" w:color="auto" w:fill="auto"/>
                  <w:noWrap w:val="0"/>
                  <w:tcMar>
                    <w:top w:w="0" w:type="dxa"/>
                    <w:left w:w="51" w:type="dxa"/>
                    <w:bottom w:w="0" w:type="dxa"/>
                    <w:right w:w="51" w:type="dxa"/>
                  </w:tcMar>
                  <w:vAlign w:val="center"/>
                </w:tcPr>
                <w:p w14:paraId="4E87A1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3194.4</w:t>
                  </w:r>
                </w:p>
              </w:tc>
              <w:tc>
                <w:tcPr>
                  <w:tcW w:w="1085" w:type="dxa"/>
                  <w:tcBorders>
                    <w:tl2br w:val="nil"/>
                    <w:tr2bl w:val="nil"/>
                  </w:tcBorders>
                  <w:noWrap w:val="0"/>
                  <w:tcMar>
                    <w:top w:w="0" w:type="dxa"/>
                    <w:left w:w="51" w:type="dxa"/>
                    <w:bottom w:w="0" w:type="dxa"/>
                    <w:right w:w="51" w:type="dxa"/>
                  </w:tcMar>
                  <w:vAlign w:val="center"/>
                </w:tcPr>
                <w:p w14:paraId="4436AF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6388.8</w:t>
                  </w:r>
                </w:p>
              </w:tc>
              <w:tc>
                <w:tcPr>
                  <w:tcW w:w="2939" w:type="dxa"/>
                  <w:tcBorders>
                    <w:tl2br w:val="nil"/>
                    <w:tr2bl w:val="nil"/>
                  </w:tcBorders>
                  <w:noWrap w:val="0"/>
                  <w:tcMar>
                    <w:top w:w="0" w:type="dxa"/>
                    <w:left w:w="51" w:type="dxa"/>
                    <w:bottom w:w="0" w:type="dxa"/>
                    <w:right w:w="51" w:type="dxa"/>
                  </w:tcMar>
                  <w:vAlign w:val="center"/>
                </w:tcPr>
                <w:p w14:paraId="44AB7B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E401D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29E66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51F28B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标准厂房1</w:t>
                  </w:r>
                </w:p>
              </w:tc>
              <w:tc>
                <w:tcPr>
                  <w:tcW w:w="1096" w:type="dxa"/>
                  <w:tcBorders>
                    <w:tl2br w:val="nil"/>
                    <w:tr2bl w:val="nil"/>
                  </w:tcBorders>
                  <w:noWrap w:val="0"/>
                  <w:tcMar>
                    <w:top w:w="0" w:type="dxa"/>
                    <w:left w:w="51" w:type="dxa"/>
                    <w:bottom w:w="0" w:type="dxa"/>
                    <w:right w:w="51" w:type="dxa"/>
                  </w:tcMar>
                  <w:vAlign w:val="center"/>
                </w:tcPr>
                <w:p w14:paraId="0BC8E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3977.08</w:t>
                  </w:r>
                </w:p>
              </w:tc>
              <w:tc>
                <w:tcPr>
                  <w:tcW w:w="1119" w:type="dxa"/>
                  <w:tcBorders>
                    <w:tl2br w:val="nil"/>
                    <w:tr2bl w:val="nil"/>
                  </w:tcBorders>
                  <w:noWrap w:val="0"/>
                  <w:tcMar>
                    <w:top w:w="0" w:type="dxa"/>
                    <w:left w:w="51" w:type="dxa"/>
                    <w:bottom w:w="0" w:type="dxa"/>
                    <w:right w:w="51" w:type="dxa"/>
                  </w:tcMar>
                  <w:vAlign w:val="center"/>
                </w:tcPr>
                <w:p w14:paraId="689A8B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16528.14</w:t>
                  </w:r>
                </w:p>
              </w:tc>
              <w:tc>
                <w:tcPr>
                  <w:tcW w:w="1085" w:type="dxa"/>
                  <w:tcBorders>
                    <w:tl2br w:val="nil"/>
                    <w:tr2bl w:val="nil"/>
                  </w:tcBorders>
                  <w:noWrap w:val="0"/>
                  <w:tcMar>
                    <w:top w:w="0" w:type="dxa"/>
                    <w:left w:w="51" w:type="dxa"/>
                    <w:bottom w:w="0" w:type="dxa"/>
                    <w:right w:w="51" w:type="dxa"/>
                  </w:tcMar>
                  <w:vAlign w:val="center"/>
                </w:tcPr>
                <w:p w14:paraId="1E8A07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16528.14</w:t>
                  </w:r>
                </w:p>
              </w:tc>
              <w:tc>
                <w:tcPr>
                  <w:tcW w:w="2939" w:type="dxa"/>
                  <w:tcBorders>
                    <w:tl2br w:val="nil"/>
                    <w:tr2bl w:val="nil"/>
                  </w:tcBorders>
                  <w:noWrap w:val="0"/>
                  <w:tcMar>
                    <w:top w:w="0" w:type="dxa"/>
                    <w:left w:w="51" w:type="dxa"/>
                    <w:bottom w:w="0" w:type="dxa"/>
                    <w:right w:w="51" w:type="dxa"/>
                  </w:tcMar>
                  <w:vAlign w:val="center"/>
                </w:tcPr>
                <w:p w14:paraId="5FC213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7FABA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0F0F28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4BFC68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标准厂房2</w:t>
                  </w:r>
                </w:p>
              </w:tc>
              <w:tc>
                <w:tcPr>
                  <w:tcW w:w="1096" w:type="dxa"/>
                  <w:tcBorders>
                    <w:tl2br w:val="nil"/>
                    <w:tr2bl w:val="nil"/>
                  </w:tcBorders>
                  <w:noWrap w:val="0"/>
                  <w:tcMar>
                    <w:top w:w="0" w:type="dxa"/>
                    <w:left w:w="51" w:type="dxa"/>
                    <w:bottom w:w="0" w:type="dxa"/>
                    <w:right w:w="51" w:type="dxa"/>
                  </w:tcMar>
                  <w:vAlign w:val="center"/>
                </w:tcPr>
                <w:p w14:paraId="69E26A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3977.08</w:t>
                  </w:r>
                </w:p>
              </w:tc>
              <w:tc>
                <w:tcPr>
                  <w:tcW w:w="1119" w:type="dxa"/>
                  <w:tcBorders>
                    <w:tl2br w:val="nil"/>
                    <w:tr2bl w:val="nil"/>
                  </w:tcBorders>
                  <w:noWrap w:val="0"/>
                  <w:tcMar>
                    <w:top w:w="0" w:type="dxa"/>
                    <w:left w:w="51" w:type="dxa"/>
                    <w:bottom w:w="0" w:type="dxa"/>
                    <w:right w:w="51" w:type="dxa"/>
                  </w:tcMar>
                  <w:vAlign w:val="center"/>
                </w:tcPr>
                <w:p w14:paraId="02950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16528.14</w:t>
                  </w:r>
                </w:p>
              </w:tc>
              <w:tc>
                <w:tcPr>
                  <w:tcW w:w="1085" w:type="dxa"/>
                  <w:tcBorders>
                    <w:tl2br w:val="nil"/>
                    <w:tr2bl w:val="nil"/>
                  </w:tcBorders>
                  <w:noWrap w:val="0"/>
                  <w:tcMar>
                    <w:top w:w="0" w:type="dxa"/>
                    <w:left w:w="51" w:type="dxa"/>
                    <w:bottom w:w="0" w:type="dxa"/>
                    <w:right w:w="51" w:type="dxa"/>
                  </w:tcMar>
                  <w:vAlign w:val="center"/>
                </w:tcPr>
                <w:p w14:paraId="4A43FC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16528.14</w:t>
                  </w:r>
                </w:p>
              </w:tc>
              <w:tc>
                <w:tcPr>
                  <w:tcW w:w="2939" w:type="dxa"/>
                  <w:tcBorders>
                    <w:tl2br w:val="nil"/>
                    <w:tr2bl w:val="nil"/>
                  </w:tcBorders>
                  <w:noWrap w:val="0"/>
                  <w:tcMar>
                    <w:top w:w="0" w:type="dxa"/>
                    <w:left w:w="51" w:type="dxa"/>
                    <w:bottom w:w="0" w:type="dxa"/>
                    <w:right w:w="51" w:type="dxa"/>
                  </w:tcMar>
                  <w:vAlign w:val="center"/>
                </w:tcPr>
                <w:p w14:paraId="3B65EA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1F13E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34E63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166716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消防水池及泵房</w:t>
                  </w:r>
                </w:p>
              </w:tc>
              <w:tc>
                <w:tcPr>
                  <w:tcW w:w="1096" w:type="dxa"/>
                  <w:tcBorders>
                    <w:tl2br w:val="nil"/>
                    <w:tr2bl w:val="nil"/>
                  </w:tcBorders>
                  <w:noWrap w:val="0"/>
                  <w:tcMar>
                    <w:top w:w="0" w:type="dxa"/>
                    <w:left w:w="51" w:type="dxa"/>
                    <w:bottom w:w="0" w:type="dxa"/>
                    <w:right w:w="51" w:type="dxa"/>
                  </w:tcMar>
                  <w:vAlign w:val="center"/>
                </w:tcPr>
                <w:p w14:paraId="788292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23.04</w:t>
                  </w:r>
                </w:p>
              </w:tc>
              <w:tc>
                <w:tcPr>
                  <w:tcW w:w="1119" w:type="dxa"/>
                  <w:tcBorders>
                    <w:tl2br w:val="nil"/>
                    <w:tr2bl w:val="nil"/>
                  </w:tcBorders>
                  <w:noWrap w:val="0"/>
                  <w:tcMar>
                    <w:top w:w="0" w:type="dxa"/>
                    <w:left w:w="51" w:type="dxa"/>
                    <w:bottom w:w="0" w:type="dxa"/>
                    <w:right w:w="51" w:type="dxa"/>
                  </w:tcMar>
                  <w:vAlign w:val="center"/>
                </w:tcPr>
                <w:p w14:paraId="7C2722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451.68</w:t>
                  </w:r>
                </w:p>
              </w:tc>
              <w:tc>
                <w:tcPr>
                  <w:tcW w:w="1085" w:type="dxa"/>
                  <w:tcBorders>
                    <w:tl2br w:val="nil"/>
                    <w:tr2bl w:val="nil"/>
                  </w:tcBorders>
                  <w:noWrap w:val="0"/>
                  <w:tcMar>
                    <w:top w:w="0" w:type="dxa"/>
                    <w:left w:w="51" w:type="dxa"/>
                    <w:bottom w:w="0" w:type="dxa"/>
                    <w:right w:w="51" w:type="dxa"/>
                  </w:tcMar>
                  <w:vAlign w:val="center"/>
                </w:tcPr>
                <w:p w14:paraId="67E8C3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23.04</w:t>
                  </w:r>
                </w:p>
              </w:tc>
              <w:tc>
                <w:tcPr>
                  <w:tcW w:w="2939" w:type="dxa"/>
                  <w:tcBorders>
                    <w:tl2br w:val="nil"/>
                    <w:tr2bl w:val="nil"/>
                  </w:tcBorders>
                  <w:noWrap w:val="0"/>
                  <w:tcMar>
                    <w:top w:w="0" w:type="dxa"/>
                    <w:left w:w="51" w:type="dxa"/>
                    <w:bottom w:w="0" w:type="dxa"/>
                    <w:right w:w="51" w:type="dxa"/>
                  </w:tcMar>
                  <w:vAlign w:val="center"/>
                </w:tcPr>
                <w:p w14:paraId="78A186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C8A30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43A582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74" w:type="dxa"/>
                  <w:vMerge w:val="restart"/>
                  <w:tcBorders>
                    <w:tl2br w:val="nil"/>
                    <w:tr2bl w:val="nil"/>
                  </w:tcBorders>
                  <w:noWrap w:val="0"/>
                  <w:tcMar>
                    <w:top w:w="0" w:type="dxa"/>
                    <w:left w:w="51" w:type="dxa"/>
                    <w:bottom w:w="0" w:type="dxa"/>
                    <w:right w:w="51" w:type="dxa"/>
                  </w:tcMar>
                  <w:vAlign w:val="center"/>
                </w:tcPr>
                <w:p w14:paraId="7FA8F9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其中</w:t>
                  </w:r>
                </w:p>
              </w:tc>
              <w:tc>
                <w:tcPr>
                  <w:tcW w:w="1188" w:type="dxa"/>
                  <w:tcBorders>
                    <w:tl2br w:val="nil"/>
                    <w:tr2bl w:val="nil"/>
                  </w:tcBorders>
                  <w:noWrap w:val="0"/>
                  <w:tcMar>
                    <w:top w:w="0" w:type="dxa"/>
                    <w:left w:w="51" w:type="dxa"/>
                    <w:bottom w:w="0" w:type="dxa"/>
                    <w:right w:w="51" w:type="dxa"/>
                  </w:tcMar>
                  <w:vAlign w:val="center"/>
                </w:tcPr>
                <w:p w14:paraId="5B3588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地上部分</w:t>
                  </w:r>
                </w:p>
              </w:tc>
              <w:tc>
                <w:tcPr>
                  <w:tcW w:w="1096" w:type="dxa"/>
                  <w:tcBorders>
                    <w:tl2br w:val="nil"/>
                    <w:tr2bl w:val="nil"/>
                  </w:tcBorders>
                  <w:noWrap w:val="0"/>
                  <w:tcMar>
                    <w:top w:w="0" w:type="dxa"/>
                    <w:left w:w="51" w:type="dxa"/>
                    <w:bottom w:w="0" w:type="dxa"/>
                    <w:right w:w="51" w:type="dxa"/>
                  </w:tcMar>
                  <w:vAlign w:val="center"/>
                </w:tcPr>
                <w:p w14:paraId="3AC5E9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23.04</w:t>
                  </w:r>
                </w:p>
              </w:tc>
              <w:tc>
                <w:tcPr>
                  <w:tcW w:w="1119" w:type="dxa"/>
                  <w:tcBorders>
                    <w:tl2br w:val="nil"/>
                    <w:tr2bl w:val="nil"/>
                  </w:tcBorders>
                  <w:noWrap w:val="0"/>
                  <w:tcMar>
                    <w:top w:w="0" w:type="dxa"/>
                    <w:left w:w="51" w:type="dxa"/>
                    <w:bottom w:w="0" w:type="dxa"/>
                    <w:right w:w="51" w:type="dxa"/>
                  </w:tcMar>
                  <w:vAlign w:val="center"/>
                </w:tcPr>
                <w:p w14:paraId="4E4C6D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23.04</w:t>
                  </w:r>
                </w:p>
              </w:tc>
              <w:tc>
                <w:tcPr>
                  <w:tcW w:w="1085" w:type="dxa"/>
                  <w:tcBorders>
                    <w:tl2br w:val="nil"/>
                    <w:tr2bl w:val="nil"/>
                  </w:tcBorders>
                  <w:noWrap w:val="0"/>
                  <w:tcMar>
                    <w:top w:w="0" w:type="dxa"/>
                    <w:left w:w="51" w:type="dxa"/>
                    <w:bottom w:w="0" w:type="dxa"/>
                    <w:right w:w="51" w:type="dxa"/>
                  </w:tcMar>
                  <w:vAlign w:val="center"/>
                </w:tcPr>
                <w:p w14:paraId="500B62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23.04</w:t>
                  </w:r>
                </w:p>
              </w:tc>
              <w:tc>
                <w:tcPr>
                  <w:tcW w:w="2939" w:type="dxa"/>
                  <w:tcBorders>
                    <w:tl2br w:val="nil"/>
                    <w:tr2bl w:val="nil"/>
                  </w:tcBorders>
                  <w:noWrap w:val="0"/>
                  <w:tcMar>
                    <w:top w:w="0" w:type="dxa"/>
                    <w:left w:w="51" w:type="dxa"/>
                    <w:bottom w:w="0" w:type="dxa"/>
                    <w:right w:w="51" w:type="dxa"/>
                  </w:tcMar>
                  <w:vAlign w:val="center"/>
                </w:tcPr>
                <w:p w14:paraId="7E606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泵房楼梯间</w:t>
                  </w:r>
                </w:p>
              </w:tc>
            </w:tr>
            <w:tr w14:paraId="409F7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630932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474" w:type="dxa"/>
                  <w:vMerge w:val="continue"/>
                  <w:tcBorders>
                    <w:tl2br w:val="nil"/>
                    <w:tr2bl w:val="nil"/>
                  </w:tcBorders>
                  <w:noWrap w:val="0"/>
                  <w:tcMar>
                    <w:top w:w="0" w:type="dxa"/>
                    <w:left w:w="51" w:type="dxa"/>
                    <w:bottom w:w="0" w:type="dxa"/>
                    <w:right w:w="51" w:type="dxa"/>
                  </w:tcMar>
                  <w:vAlign w:val="center"/>
                </w:tcPr>
                <w:p w14:paraId="4AE8F2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88" w:type="dxa"/>
                  <w:tcBorders>
                    <w:tl2br w:val="nil"/>
                    <w:tr2bl w:val="nil"/>
                  </w:tcBorders>
                  <w:noWrap w:val="0"/>
                  <w:tcMar>
                    <w:top w:w="0" w:type="dxa"/>
                    <w:left w:w="51" w:type="dxa"/>
                    <w:bottom w:w="0" w:type="dxa"/>
                    <w:right w:w="51" w:type="dxa"/>
                  </w:tcMar>
                  <w:vAlign w:val="center"/>
                </w:tcPr>
                <w:p w14:paraId="70BBDE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地下部分</w:t>
                  </w:r>
                </w:p>
              </w:tc>
              <w:tc>
                <w:tcPr>
                  <w:tcW w:w="1096" w:type="dxa"/>
                  <w:tcBorders>
                    <w:tl2br w:val="nil"/>
                    <w:tr2bl w:val="nil"/>
                  </w:tcBorders>
                  <w:noWrap w:val="0"/>
                  <w:tcMar>
                    <w:top w:w="0" w:type="dxa"/>
                    <w:left w:w="51" w:type="dxa"/>
                    <w:bottom w:w="0" w:type="dxa"/>
                    <w:right w:w="51" w:type="dxa"/>
                  </w:tcMar>
                  <w:vAlign w:val="center"/>
                </w:tcPr>
                <w:p w14:paraId="0A83B2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119" w:type="dxa"/>
                  <w:tcBorders>
                    <w:tl2br w:val="nil"/>
                    <w:tr2bl w:val="nil"/>
                  </w:tcBorders>
                  <w:noWrap w:val="0"/>
                  <w:tcMar>
                    <w:top w:w="0" w:type="dxa"/>
                    <w:left w:w="51" w:type="dxa"/>
                    <w:bottom w:w="0" w:type="dxa"/>
                    <w:right w:w="51" w:type="dxa"/>
                  </w:tcMar>
                  <w:vAlign w:val="center"/>
                </w:tcPr>
                <w:p w14:paraId="1D344E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428.64</w:t>
                  </w:r>
                </w:p>
              </w:tc>
              <w:tc>
                <w:tcPr>
                  <w:tcW w:w="1085" w:type="dxa"/>
                  <w:tcBorders>
                    <w:tl2br w:val="nil"/>
                    <w:tr2bl w:val="nil"/>
                  </w:tcBorders>
                  <w:noWrap w:val="0"/>
                  <w:tcMar>
                    <w:top w:w="0" w:type="dxa"/>
                    <w:left w:w="51" w:type="dxa"/>
                    <w:bottom w:w="0" w:type="dxa"/>
                    <w:right w:w="51" w:type="dxa"/>
                  </w:tcMar>
                  <w:vAlign w:val="center"/>
                </w:tcPr>
                <w:p w14:paraId="31201C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2939" w:type="dxa"/>
                  <w:tcBorders>
                    <w:tl2br w:val="nil"/>
                    <w:tr2bl w:val="nil"/>
                  </w:tcBorders>
                  <w:noWrap w:val="0"/>
                  <w:tcMar>
                    <w:top w:w="0" w:type="dxa"/>
                    <w:left w:w="51" w:type="dxa"/>
                    <w:bottom w:w="0" w:type="dxa"/>
                    <w:right w:w="51" w:type="dxa"/>
                  </w:tcMar>
                  <w:vAlign w:val="center"/>
                </w:tcPr>
                <w:p w14:paraId="0DC4CF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地埋消防水池及泵房不计</w:t>
                  </w:r>
                  <w:r>
                    <w:rPr>
                      <w:rFonts w:hint="default" w:ascii="Times New Roman" w:hAnsi="Times New Roman" w:eastAsia="宋体" w:cs="Times New Roman"/>
                      <w:color w:val="auto"/>
                      <w:kern w:val="2"/>
                      <w:sz w:val="21"/>
                      <w:szCs w:val="21"/>
                      <w:highlight w:val="none"/>
                      <w:lang w:val="en-US" w:eastAsia="zh-CN" w:bidi="ar-SA"/>
                    </w:rPr>
                    <w:t>容</w:t>
                  </w:r>
                </w:p>
              </w:tc>
            </w:tr>
            <w:tr w14:paraId="056BC0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6CDC6A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2ED655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小计</w:t>
                  </w:r>
                </w:p>
              </w:tc>
              <w:tc>
                <w:tcPr>
                  <w:tcW w:w="1096" w:type="dxa"/>
                  <w:tcBorders>
                    <w:tl2br w:val="nil"/>
                    <w:tr2bl w:val="nil"/>
                  </w:tcBorders>
                  <w:noWrap w:val="0"/>
                  <w:tcMar>
                    <w:top w:w="0" w:type="dxa"/>
                    <w:left w:w="51" w:type="dxa"/>
                    <w:bottom w:w="0" w:type="dxa"/>
                    <w:right w:w="51" w:type="dxa"/>
                  </w:tcMar>
                  <w:vAlign w:val="center"/>
                </w:tcPr>
                <w:p w14:paraId="723D35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19144.4</w:t>
                  </w:r>
                </w:p>
              </w:tc>
              <w:tc>
                <w:tcPr>
                  <w:tcW w:w="1119" w:type="dxa"/>
                  <w:tcBorders>
                    <w:tl2br w:val="nil"/>
                    <w:tr2bl w:val="nil"/>
                  </w:tcBorders>
                  <w:noWrap w:val="0"/>
                  <w:tcMar>
                    <w:top w:w="0" w:type="dxa"/>
                    <w:left w:w="51" w:type="dxa"/>
                    <w:bottom w:w="0" w:type="dxa"/>
                    <w:right w:w="51" w:type="dxa"/>
                  </w:tcMar>
                  <w:vAlign w:val="center"/>
                </w:tcPr>
                <w:p w14:paraId="2BB91F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44675.16</w:t>
                  </w:r>
                </w:p>
              </w:tc>
              <w:tc>
                <w:tcPr>
                  <w:tcW w:w="1085" w:type="dxa"/>
                  <w:tcBorders>
                    <w:tl2br w:val="nil"/>
                    <w:tr2bl w:val="nil"/>
                  </w:tcBorders>
                  <w:noWrap w:val="0"/>
                  <w:tcMar>
                    <w:top w:w="0" w:type="dxa"/>
                    <w:left w:w="51" w:type="dxa"/>
                    <w:bottom w:w="0" w:type="dxa"/>
                    <w:right w:w="51" w:type="dxa"/>
                  </w:tcMar>
                  <w:vAlign w:val="center"/>
                </w:tcPr>
                <w:p w14:paraId="228A66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55413.72</w:t>
                  </w:r>
                </w:p>
              </w:tc>
              <w:tc>
                <w:tcPr>
                  <w:tcW w:w="2939" w:type="dxa"/>
                  <w:tcBorders>
                    <w:tl2br w:val="nil"/>
                    <w:tr2bl w:val="nil"/>
                  </w:tcBorders>
                  <w:noWrap w:val="0"/>
                  <w:tcMar>
                    <w:top w:w="0" w:type="dxa"/>
                    <w:left w:w="51" w:type="dxa"/>
                    <w:bottom w:w="0" w:type="dxa"/>
                    <w:right w:w="51" w:type="dxa"/>
                  </w:tcMar>
                  <w:vAlign w:val="center"/>
                </w:tcPr>
                <w:p w14:paraId="7C9CB4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0A1C7C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restart"/>
                  <w:tcBorders>
                    <w:tl2br w:val="nil"/>
                    <w:tr2bl w:val="nil"/>
                  </w:tcBorders>
                  <w:noWrap w:val="0"/>
                  <w:tcMar>
                    <w:top w:w="0" w:type="dxa"/>
                    <w:left w:w="51" w:type="dxa"/>
                    <w:bottom w:w="0" w:type="dxa"/>
                    <w:right w:w="51" w:type="dxa"/>
                  </w:tcMar>
                  <w:vAlign w:val="center"/>
                </w:tcPr>
                <w:p w14:paraId="42BA06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配套服务设施</w:t>
                  </w:r>
                </w:p>
              </w:tc>
              <w:tc>
                <w:tcPr>
                  <w:tcW w:w="1662" w:type="dxa"/>
                  <w:gridSpan w:val="2"/>
                  <w:tcBorders>
                    <w:tl2br w:val="nil"/>
                    <w:tr2bl w:val="nil"/>
                  </w:tcBorders>
                  <w:noWrap w:val="0"/>
                  <w:tcMar>
                    <w:top w:w="0" w:type="dxa"/>
                    <w:left w:w="51" w:type="dxa"/>
                    <w:bottom w:w="0" w:type="dxa"/>
                    <w:right w:w="51" w:type="dxa"/>
                  </w:tcMar>
                  <w:vAlign w:val="center"/>
                </w:tcPr>
                <w:p w14:paraId="223444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办公科研楼</w:t>
                  </w:r>
                </w:p>
              </w:tc>
              <w:tc>
                <w:tcPr>
                  <w:tcW w:w="1096" w:type="dxa"/>
                  <w:tcBorders>
                    <w:tl2br w:val="nil"/>
                    <w:tr2bl w:val="nil"/>
                  </w:tcBorders>
                  <w:noWrap w:val="0"/>
                  <w:tcMar>
                    <w:top w:w="0" w:type="dxa"/>
                    <w:left w:w="51" w:type="dxa"/>
                    <w:bottom w:w="0" w:type="dxa"/>
                    <w:right w:w="51" w:type="dxa"/>
                  </w:tcMar>
                  <w:vAlign w:val="center"/>
                </w:tcPr>
                <w:p w14:paraId="02DB7C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1705.1</w:t>
                  </w:r>
                </w:p>
              </w:tc>
              <w:tc>
                <w:tcPr>
                  <w:tcW w:w="1119" w:type="dxa"/>
                  <w:tcBorders>
                    <w:tl2br w:val="nil"/>
                    <w:tr2bl w:val="nil"/>
                  </w:tcBorders>
                  <w:noWrap w:val="0"/>
                  <w:tcMar>
                    <w:top w:w="0" w:type="dxa"/>
                    <w:left w:w="51" w:type="dxa"/>
                    <w:bottom w:w="0" w:type="dxa"/>
                    <w:right w:w="51" w:type="dxa"/>
                  </w:tcMar>
                  <w:vAlign w:val="center"/>
                </w:tcPr>
                <w:p w14:paraId="0F9AEC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8426.67</w:t>
                  </w:r>
                </w:p>
              </w:tc>
              <w:tc>
                <w:tcPr>
                  <w:tcW w:w="1085" w:type="dxa"/>
                  <w:tcBorders>
                    <w:tl2br w:val="nil"/>
                    <w:tr2bl w:val="nil"/>
                  </w:tcBorders>
                  <w:noWrap w:val="0"/>
                  <w:tcMar>
                    <w:top w:w="0" w:type="dxa"/>
                    <w:left w:w="51" w:type="dxa"/>
                    <w:bottom w:w="0" w:type="dxa"/>
                    <w:right w:w="51" w:type="dxa"/>
                  </w:tcMar>
                  <w:vAlign w:val="center"/>
                </w:tcPr>
                <w:p w14:paraId="6DD10B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8761.07</w:t>
                  </w:r>
                </w:p>
              </w:tc>
              <w:tc>
                <w:tcPr>
                  <w:tcW w:w="2939" w:type="dxa"/>
                  <w:tcBorders>
                    <w:tl2br w:val="nil"/>
                    <w:tr2bl w:val="nil"/>
                  </w:tcBorders>
                  <w:noWrap w:val="0"/>
                  <w:tcMar>
                    <w:top w:w="0" w:type="dxa"/>
                    <w:left w:w="51" w:type="dxa"/>
                    <w:bottom w:w="0" w:type="dxa"/>
                    <w:right w:w="51" w:type="dxa"/>
                  </w:tcMar>
                  <w:vAlign w:val="center"/>
                </w:tcPr>
                <w:p w14:paraId="6CDD4E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二层局部层高6米，双倍计容</w:t>
                  </w:r>
                </w:p>
              </w:tc>
            </w:tr>
            <w:tr w14:paraId="4A58F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354" w:type="dxa"/>
                  <w:vMerge w:val="continue"/>
                  <w:tcBorders>
                    <w:tl2br w:val="nil"/>
                    <w:tr2bl w:val="nil"/>
                  </w:tcBorders>
                  <w:noWrap w:val="0"/>
                  <w:tcMar>
                    <w:top w:w="0" w:type="dxa"/>
                    <w:left w:w="51" w:type="dxa"/>
                    <w:bottom w:w="0" w:type="dxa"/>
                    <w:right w:w="51" w:type="dxa"/>
                  </w:tcMar>
                  <w:vAlign w:val="center"/>
                </w:tcPr>
                <w:p w14:paraId="3347D0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25BDDF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员工餐厅</w:t>
                  </w:r>
                </w:p>
              </w:tc>
              <w:tc>
                <w:tcPr>
                  <w:tcW w:w="1096" w:type="dxa"/>
                  <w:tcBorders>
                    <w:tl2br w:val="nil"/>
                    <w:tr2bl w:val="nil"/>
                  </w:tcBorders>
                  <w:noWrap w:val="0"/>
                  <w:tcMar>
                    <w:top w:w="0" w:type="dxa"/>
                    <w:left w:w="51" w:type="dxa"/>
                    <w:bottom w:w="0" w:type="dxa"/>
                    <w:right w:w="51" w:type="dxa"/>
                  </w:tcMar>
                  <w:vAlign w:val="center"/>
                </w:tcPr>
                <w:p w14:paraId="49B32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1276.8</w:t>
                  </w:r>
                </w:p>
              </w:tc>
              <w:tc>
                <w:tcPr>
                  <w:tcW w:w="1119" w:type="dxa"/>
                  <w:tcBorders>
                    <w:tl2br w:val="nil"/>
                    <w:tr2bl w:val="nil"/>
                  </w:tcBorders>
                  <w:noWrap w:val="0"/>
                  <w:tcMar>
                    <w:top w:w="0" w:type="dxa"/>
                    <w:left w:w="51" w:type="dxa"/>
                    <w:bottom w:w="0" w:type="dxa"/>
                    <w:right w:w="51" w:type="dxa"/>
                  </w:tcMar>
                  <w:vAlign w:val="center"/>
                </w:tcPr>
                <w:p w14:paraId="7C9F69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2595.2</w:t>
                  </w:r>
                </w:p>
              </w:tc>
              <w:tc>
                <w:tcPr>
                  <w:tcW w:w="1085" w:type="dxa"/>
                  <w:tcBorders>
                    <w:tl2br w:val="nil"/>
                    <w:tr2bl w:val="nil"/>
                  </w:tcBorders>
                  <w:noWrap w:val="0"/>
                  <w:tcMar>
                    <w:top w:w="0" w:type="dxa"/>
                    <w:left w:w="51" w:type="dxa"/>
                    <w:bottom w:w="0" w:type="dxa"/>
                    <w:right w:w="51" w:type="dxa"/>
                  </w:tcMar>
                  <w:vAlign w:val="center"/>
                </w:tcPr>
                <w:p w14:paraId="5ACE2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5148.8</w:t>
                  </w:r>
                </w:p>
              </w:tc>
              <w:tc>
                <w:tcPr>
                  <w:tcW w:w="2939" w:type="dxa"/>
                  <w:tcBorders>
                    <w:tl2br w:val="nil"/>
                    <w:tr2bl w:val="nil"/>
                  </w:tcBorders>
                  <w:noWrap w:val="0"/>
                  <w:tcMar>
                    <w:top w:w="0" w:type="dxa"/>
                    <w:left w:w="51" w:type="dxa"/>
                    <w:bottom w:w="0" w:type="dxa"/>
                    <w:right w:w="51" w:type="dxa"/>
                  </w:tcMar>
                  <w:vAlign w:val="center"/>
                </w:tcPr>
                <w:p w14:paraId="40DFB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一层层高6米，二层层高4.8米，双倍计容</w:t>
                  </w:r>
                </w:p>
              </w:tc>
            </w:tr>
            <w:tr w14:paraId="68674E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253B21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29BABC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门卫1</w:t>
                  </w:r>
                </w:p>
              </w:tc>
              <w:tc>
                <w:tcPr>
                  <w:tcW w:w="1096" w:type="dxa"/>
                  <w:tcBorders>
                    <w:tl2br w:val="nil"/>
                    <w:tr2bl w:val="nil"/>
                  </w:tcBorders>
                  <w:noWrap w:val="0"/>
                  <w:tcMar>
                    <w:top w:w="0" w:type="dxa"/>
                    <w:left w:w="51" w:type="dxa"/>
                    <w:bottom w:w="0" w:type="dxa"/>
                    <w:right w:w="51" w:type="dxa"/>
                  </w:tcMar>
                  <w:vAlign w:val="center"/>
                </w:tcPr>
                <w:p w14:paraId="7C9B10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31.5</w:t>
                  </w:r>
                </w:p>
              </w:tc>
              <w:tc>
                <w:tcPr>
                  <w:tcW w:w="1119" w:type="dxa"/>
                  <w:tcBorders>
                    <w:tl2br w:val="nil"/>
                    <w:tr2bl w:val="nil"/>
                  </w:tcBorders>
                  <w:noWrap w:val="0"/>
                  <w:tcMar>
                    <w:top w:w="0" w:type="dxa"/>
                    <w:left w:w="51" w:type="dxa"/>
                    <w:bottom w:w="0" w:type="dxa"/>
                    <w:right w:w="51" w:type="dxa"/>
                  </w:tcMar>
                  <w:vAlign w:val="center"/>
                </w:tcPr>
                <w:p w14:paraId="459A03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31.5</w:t>
                  </w:r>
                </w:p>
              </w:tc>
              <w:tc>
                <w:tcPr>
                  <w:tcW w:w="1085" w:type="dxa"/>
                  <w:tcBorders>
                    <w:tl2br w:val="nil"/>
                    <w:tr2bl w:val="nil"/>
                  </w:tcBorders>
                  <w:noWrap w:val="0"/>
                  <w:tcMar>
                    <w:top w:w="0" w:type="dxa"/>
                    <w:left w:w="51" w:type="dxa"/>
                    <w:bottom w:w="0" w:type="dxa"/>
                    <w:right w:w="51" w:type="dxa"/>
                  </w:tcMar>
                  <w:vAlign w:val="center"/>
                </w:tcPr>
                <w:p w14:paraId="67FEE4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31.5</w:t>
                  </w:r>
                </w:p>
              </w:tc>
              <w:tc>
                <w:tcPr>
                  <w:tcW w:w="2939" w:type="dxa"/>
                  <w:tcBorders>
                    <w:tl2br w:val="nil"/>
                    <w:tr2bl w:val="nil"/>
                  </w:tcBorders>
                  <w:noWrap w:val="0"/>
                  <w:tcMar>
                    <w:top w:w="0" w:type="dxa"/>
                    <w:left w:w="51" w:type="dxa"/>
                    <w:bottom w:w="0" w:type="dxa"/>
                    <w:right w:w="51" w:type="dxa"/>
                  </w:tcMar>
                  <w:vAlign w:val="center"/>
                </w:tcPr>
                <w:p w14:paraId="3A22D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4928E8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7EF2F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73EDD6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门卫2</w:t>
                  </w:r>
                </w:p>
              </w:tc>
              <w:tc>
                <w:tcPr>
                  <w:tcW w:w="1096" w:type="dxa"/>
                  <w:tcBorders>
                    <w:tl2br w:val="nil"/>
                    <w:tr2bl w:val="nil"/>
                  </w:tcBorders>
                  <w:noWrap w:val="0"/>
                  <w:tcMar>
                    <w:top w:w="0" w:type="dxa"/>
                    <w:left w:w="51" w:type="dxa"/>
                    <w:bottom w:w="0" w:type="dxa"/>
                    <w:right w:w="51" w:type="dxa"/>
                  </w:tcMar>
                  <w:vAlign w:val="center"/>
                </w:tcPr>
                <w:p w14:paraId="55D615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20.8</w:t>
                  </w:r>
                </w:p>
              </w:tc>
              <w:tc>
                <w:tcPr>
                  <w:tcW w:w="1119" w:type="dxa"/>
                  <w:tcBorders>
                    <w:tl2br w:val="nil"/>
                    <w:tr2bl w:val="nil"/>
                  </w:tcBorders>
                  <w:noWrap w:val="0"/>
                  <w:tcMar>
                    <w:top w:w="0" w:type="dxa"/>
                    <w:left w:w="51" w:type="dxa"/>
                    <w:bottom w:w="0" w:type="dxa"/>
                    <w:right w:w="51" w:type="dxa"/>
                  </w:tcMar>
                  <w:vAlign w:val="center"/>
                </w:tcPr>
                <w:p w14:paraId="27106B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20.8</w:t>
                  </w:r>
                </w:p>
              </w:tc>
              <w:tc>
                <w:tcPr>
                  <w:tcW w:w="1085" w:type="dxa"/>
                  <w:tcBorders>
                    <w:tl2br w:val="nil"/>
                    <w:tr2bl w:val="nil"/>
                  </w:tcBorders>
                  <w:noWrap w:val="0"/>
                  <w:tcMar>
                    <w:top w:w="0" w:type="dxa"/>
                    <w:left w:w="51" w:type="dxa"/>
                    <w:bottom w:w="0" w:type="dxa"/>
                    <w:right w:w="51" w:type="dxa"/>
                  </w:tcMar>
                  <w:vAlign w:val="center"/>
                </w:tcPr>
                <w:p w14:paraId="0E3FB5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20.8</w:t>
                  </w:r>
                </w:p>
              </w:tc>
              <w:tc>
                <w:tcPr>
                  <w:tcW w:w="2939" w:type="dxa"/>
                  <w:tcBorders>
                    <w:tl2br w:val="nil"/>
                    <w:tr2bl w:val="nil"/>
                  </w:tcBorders>
                  <w:noWrap w:val="0"/>
                  <w:tcMar>
                    <w:top w:w="0" w:type="dxa"/>
                    <w:left w:w="51" w:type="dxa"/>
                    <w:bottom w:w="0" w:type="dxa"/>
                    <w:right w:w="51" w:type="dxa"/>
                  </w:tcMar>
                  <w:vAlign w:val="center"/>
                </w:tcPr>
                <w:p w14:paraId="464D0A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3F8449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354" w:type="dxa"/>
                  <w:vMerge w:val="continue"/>
                  <w:tcBorders>
                    <w:tl2br w:val="nil"/>
                    <w:tr2bl w:val="nil"/>
                  </w:tcBorders>
                  <w:noWrap w:val="0"/>
                  <w:tcMar>
                    <w:top w:w="0" w:type="dxa"/>
                    <w:left w:w="51" w:type="dxa"/>
                    <w:bottom w:w="0" w:type="dxa"/>
                    <w:right w:w="51" w:type="dxa"/>
                  </w:tcMar>
                  <w:vAlign w:val="center"/>
                </w:tcPr>
                <w:p w14:paraId="2E9CE1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p>
              </w:tc>
              <w:tc>
                <w:tcPr>
                  <w:tcW w:w="1662" w:type="dxa"/>
                  <w:gridSpan w:val="2"/>
                  <w:tcBorders>
                    <w:tl2br w:val="nil"/>
                    <w:tr2bl w:val="nil"/>
                  </w:tcBorders>
                  <w:noWrap w:val="0"/>
                  <w:tcMar>
                    <w:top w:w="0" w:type="dxa"/>
                    <w:left w:w="51" w:type="dxa"/>
                    <w:bottom w:w="0" w:type="dxa"/>
                    <w:right w:w="51" w:type="dxa"/>
                  </w:tcMar>
                  <w:vAlign w:val="center"/>
                </w:tcPr>
                <w:p w14:paraId="406A6B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小计</w:t>
                  </w:r>
                </w:p>
              </w:tc>
              <w:tc>
                <w:tcPr>
                  <w:tcW w:w="1096" w:type="dxa"/>
                  <w:tcBorders>
                    <w:tl2br w:val="nil"/>
                    <w:tr2bl w:val="nil"/>
                  </w:tcBorders>
                  <w:noWrap w:val="0"/>
                  <w:tcMar>
                    <w:top w:w="0" w:type="dxa"/>
                    <w:left w:w="51" w:type="dxa"/>
                    <w:bottom w:w="0" w:type="dxa"/>
                    <w:right w:w="51" w:type="dxa"/>
                  </w:tcMar>
                  <w:vAlign w:val="center"/>
                </w:tcPr>
                <w:p w14:paraId="1C010A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3034.2</w:t>
                  </w:r>
                </w:p>
              </w:tc>
              <w:tc>
                <w:tcPr>
                  <w:tcW w:w="1119" w:type="dxa"/>
                  <w:tcBorders>
                    <w:tl2br w:val="nil"/>
                    <w:tr2bl w:val="nil"/>
                  </w:tcBorders>
                  <w:noWrap w:val="0"/>
                  <w:tcMar>
                    <w:top w:w="0" w:type="dxa"/>
                    <w:left w:w="51" w:type="dxa"/>
                    <w:bottom w:w="0" w:type="dxa"/>
                    <w:right w:w="51" w:type="dxa"/>
                  </w:tcMar>
                  <w:vAlign w:val="center"/>
                </w:tcPr>
                <w:p w14:paraId="67D2BD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11074.07</w:t>
                  </w:r>
                </w:p>
              </w:tc>
              <w:tc>
                <w:tcPr>
                  <w:tcW w:w="1085" w:type="dxa"/>
                  <w:tcBorders>
                    <w:tl2br w:val="nil"/>
                    <w:tr2bl w:val="nil"/>
                  </w:tcBorders>
                  <w:noWrap w:val="0"/>
                  <w:tcMar>
                    <w:top w:w="0" w:type="dxa"/>
                    <w:left w:w="51" w:type="dxa"/>
                    <w:bottom w:w="0" w:type="dxa"/>
                    <w:right w:w="51" w:type="dxa"/>
                  </w:tcMar>
                  <w:vAlign w:val="center"/>
                </w:tcPr>
                <w:p w14:paraId="320AC3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13962.17</w:t>
                  </w:r>
                </w:p>
              </w:tc>
              <w:tc>
                <w:tcPr>
                  <w:tcW w:w="2939" w:type="dxa"/>
                  <w:tcBorders>
                    <w:tl2br w:val="nil"/>
                    <w:tr2bl w:val="nil"/>
                  </w:tcBorders>
                  <w:noWrap w:val="0"/>
                  <w:tcMar>
                    <w:top w:w="0" w:type="dxa"/>
                    <w:left w:w="51" w:type="dxa"/>
                    <w:bottom w:w="0" w:type="dxa"/>
                    <w:right w:w="51" w:type="dxa"/>
                  </w:tcMar>
                  <w:vAlign w:val="center"/>
                </w:tcPr>
                <w:p w14:paraId="70C49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6804C3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exact"/>
              </w:trPr>
              <w:tc>
                <w:tcPr>
                  <w:tcW w:w="2016" w:type="dxa"/>
                  <w:gridSpan w:val="3"/>
                  <w:tcBorders>
                    <w:tl2br w:val="nil"/>
                    <w:tr2bl w:val="nil"/>
                  </w:tcBorders>
                  <w:noWrap w:val="0"/>
                  <w:tcMar>
                    <w:top w:w="0" w:type="dxa"/>
                    <w:left w:w="51" w:type="dxa"/>
                    <w:bottom w:w="0" w:type="dxa"/>
                    <w:right w:w="51" w:type="dxa"/>
                  </w:tcMar>
                  <w:vAlign w:val="center"/>
                </w:tcPr>
                <w:p w14:paraId="356D25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合计</w:t>
                  </w:r>
                </w:p>
              </w:tc>
              <w:tc>
                <w:tcPr>
                  <w:tcW w:w="1096" w:type="dxa"/>
                  <w:tcBorders>
                    <w:tl2br w:val="nil"/>
                    <w:tr2bl w:val="nil"/>
                  </w:tcBorders>
                  <w:noWrap w:val="0"/>
                  <w:tcMar>
                    <w:top w:w="0" w:type="dxa"/>
                    <w:left w:w="51" w:type="dxa"/>
                    <w:bottom w:w="0" w:type="dxa"/>
                    <w:right w:w="51" w:type="dxa"/>
                  </w:tcMar>
                  <w:vAlign w:val="center"/>
                </w:tcPr>
                <w:p w14:paraId="7C594F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22178.6</w:t>
                  </w:r>
                </w:p>
              </w:tc>
              <w:tc>
                <w:tcPr>
                  <w:tcW w:w="1119" w:type="dxa"/>
                  <w:tcBorders>
                    <w:tl2br w:val="nil"/>
                    <w:tr2bl w:val="nil"/>
                  </w:tcBorders>
                  <w:noWrap w:val="0"/>
                  <w:tcMar>
                    <w:top w:w="0" w:type="dxa"/>
                    <w:left w:w="51" w:type="dxa"/>
                    <w:bottom w:w="0" w:type="dxa"/>
                    <w:right w:w="51" w:type="dxa"/>
                  </w:tcMar>
                  <w:vAlign w:val="center"/>
                </w:tcPr>
                <w:p w14:paraId="178ABC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55749.23</w:t>
                  </w:r>
                </w:p>
              </w:tc>
              <w:tc>
                <w:tcPr>
                  <w:tcW w:w="1085" w:type="dxa"/>
                  <w:tcBorders>
                    <w:tl2br w:val="nil"/>
                    <w:tr2bl w:val="nil"/>
                  </w:tcBorders>
                  <w:noWrap w:val="0"/>
                  <w:tcMar>
                    <w:top w:w="0" w:type="dxa"/>
                    <w:left w:w="51" w:type="dxa"/>
                    <w:bottom w:w="0" w:type="dxa"/>
                    <w:right w:w="51" w:type="dxa"/>
                  </w:tcMar>
                  <w:vAlign w:val="center"/>
                </w:tcPr>
                <w:p w14:paraId="1EF26B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69375.89</w:t>
                  </w:r>
                </w:p>
              </w:tc>
              <w:tc>
                <w:tcPr>
                  <w:tcW w:w="2939" w:type="dxa"/>
                  <w:tcBorders>
                    <w:tl2br w:val="nil"/>
                    <w:tr2bl w:val="nil"/>
                  </w:tcBorders>
                  <w:noWrap w:val="0"/>
                  <w:tcMar>
                    <w:top w:w="0" w:type="dxa"/>
                    <w:left w:w="51" w:type="dxa"/>
                    <w:bottom w:w="0" w:type="dxa"/>
                    <w:right w:w="51" w:type="dxa"/>
                  </w:tcMar>
                  <w:vAlign w:val="center"/>
                </w:tcPr>
                <w:p w14:paraId="44A2F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Times New Roman" w:hAnsi="Times New Roman" w:eastAsia="宋体" w:cs="Times New Roman"/>
                      <w:color w:val="auto"/>
                      <w:kern w:val="2"/>
                      <w:sz w:val="21"/>
                      <w:szCs w:val="21"/>
                      <w:highlight w:val="none"/>
                      <w:lang w:val="en-US" w:eastAsia="zh-CN" w:bidi="ar-SA"/>
                    </w:rPr>
                  </w:pPr>
                </w:p>
              </w:tc>
            </w:tr>
            <w:tr w14:paraId="61893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8255" w:type="dxa"/>
                  <w:gridSpan w:val="7"/>
                  <w:tcBorders>
                    <w:tl2br w:val="nil"/>
                    <w:tr2bl w:val="nil"/>
                  </w:tcBorders>
                  <w:noWrap w:val="0"/>
                  <w:tcMar>
                    <w:top w:w="0" w:type="dxa"/>
                    <w:left w:w="51" w:type="dxa"/>
                    <w:bottom w:w="0" w:type="dxa"/>
                    <w:right w:w="51" w:type="dxa"/>
                  </w:tcMar>
                  <w:vAlign w:val="center"/>
                </w:tcPr>
                <w:p w14:paraId="55E81C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80" w:lineRule="exact"/>
                    <w:ind w:left="0" w:right="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bCs/>
                      <w:color w:val="auto"/>
                      <w:kern w:val="2"/>
                      <w:sz w:val="18"/>
                      <w:szCs w:val="18"/>
                      <w:highlight w:val="none"/>
                      <w:lang w:val="en-US" w:eastAsia="zh-CN" w:bidi="ar-SA"/>
                    </w:rPr>
                    <w:t>注：</w:t>
                  </w:r>
                  <w:r>
                    <w:rPr>
                      <w:rFonts w:hint="default" w:ascii="Times New Roman" w:hAnsi="Times New Roman" w:eastAsia="宋体" w:cs="Times New Roman"/>
                      <w:b/>
                      <w:bCs/>
                      <w:color w:val="auto"/>
                      <w:kern w:val="2"/>
                      <w:sz w:val="18"/>
                      <w:szCs w:val="18"/>
                      <w:highlight w:val="none"/>
                      <w:lang w:val="en-US" w:eastAsia="zh-CN" w:bidi="ar-SA"/>
                    </w:rPr>
                    <w:t>《</w:t>
                  </w:r>
                  <w:r>
                    <w:rPr>
                      <w:rFonts w:hint="eastAsia" w:ascii="Times New Roman" w:hAnsi="Times New Roman" w:eastAsia="宋体" w:cs="Times New Roman"/>
                      <w:b/>
                      <w:bCs/>
                      <w:color w:val="auto"/>
                      <w:kern w:val="2"/>
                      <w:sz w:val="18"/>
                      <w:szCs w:val="18"/>
                      <w:highlight w:val="none"/>
                      <w:lang w:val="en-US" w:eastAsia="zh-CN" w:bidi="ar-SA"/>
                    </w:rPr>
                    <w:t>福清洪金机械有限公司标准厂房及配套</w:t>
                  </w:r>
                  <w:r>
                    <w:rPr>
                      <w:rFonts w:hint="default" w:ascii="Times New Roman" w:hAnsi="Times New Roman" w:eastAsia="宋体" w:cs="Times New Roman"/>
                      <w:b/>
                      <w:bCs/>
                      <w:color w:val="auto"/>
                      <w:kern w:val="2"/>
                      <w:sz w:val="18"/>
                      <w:szCs w:val="18"/>
                      <w:highlight w:val="none"/>
                      <w:lang w:val="en-US" w:eastAsia="zh-CN" w:bidi="ar-SA"/>
                    </w:rPr>
                    <w:t>》</w:t>
                  </w:r>
                  <w:r>
                    <w:rPr>
                      <w:rFonts w:hint="eastAsia" w:ascii="Times New Roman" w:hAnsi="Times New Roman" w:eastAsia="宋体" w:cs="Times New Roman"/>
                      <w:b/>
                      <w:bCs/>
                      <w:color w:val="auto"/>
                      <w:kern w:val="2"/>
                      <w:sz w:val="18"/>
                      <w:szCs w:val="18"/>
                      <w:highlight w:val="none"/>
                      <w:lang w:val="en-US" w:eastAsia="zh-CN" w:bidi="ar-SA"/>
                    </w:rPr>
                    <w:t>项目经济及技术指标按照国土资综</w:t>
                  </w:r>
                  <w:r>
                    <w:rPr>
                      <w:rFonts w:hint="eastAsia" w:ascii="Times New Roman" w:hAnsi="Times New Roman" w:eastAsia="宋体" w:cs="Times New Roman"/>
                      <w:b/>
                      <w:bCs/>
                      <w:color w:val="auto"/>
                      <w:kern w:val="2"/>
                      <w:sz w:val="18"/>
                      <w:szCs w:val="18"/>
                      <w:highlight w:val="none"/>
                      <w:shd w:val="clear" w:fill="FFFFFF"/>
                      <w:lang w:val="en-US" w:eastAsia="zh-CN" w:bidi="ar-SA"/>
                    </w:rPr>
                    <w:t>[2013]197号</w:t>
                  </w:r>
                  <w:r>
                    <w:rPr>
                      <w:rFonts w:hint="eastAsia" w:ascii="Times New Roman" w:hAnsi="Times New Roman" w:eastAsia="宋体" w:cs="Times New Roman"/>
                      <w:b/>
                      <w:bCs/>
                      <w:color w:val="auto"/>
                      <w:kern w:val="2"/>
                      <w:sz w:val="18"/>
                      <w:szCs w:val="18"/>
                      <w:highlight w:val="none"/>
                      <w:lang w:val="en-US" w:eastAsia="zh-CN" w:bidi="ar-SA"/>
                    </w:rPr>
                    <w:t>所发布实施的《福建省工业项目建设用地控制指标》进行设计。</w:t>
                  </w:r>
                </w:p>
              </w:tc>
            </w:tr>
          </w:tbl>
          <w:p w14:paraId="62B4DD53">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rPr>
              <w:t>目前</w:t>
            </w:r>
            <w:r>
              <w:rPr>
                <w:rFonts w:hint="eastAsia" w:cs="Times New Roman"/>
                <w:color w:val="auto"/>
                <w:highlight w:val="none"/>
                <w:lang w:val="en-US" w:eastAsia="zh-CN"/>
              </w:rPr>
              <w:t>厂房及配套设施已</w:t>
            </w:r>
            <w:r>
              <w:rPr>
                <w:rFonts w:hint="eastAsia" w:ascii="Times New Roman" w:hAnsi="Times New Roman" w:cs="Times New Roman"/>
                <w:color w:val="auto"/>
                <w:highlight w:val="none"/>
              </w:rPr>
              <w:t>建成，</w:t>
            </w:r>
            <w:r>
              <w:rPr>
                <w:rFonts w:hint="eastAsia" w:cs="Times New Roman"/>
                <w:color w:val="auto"/>
                <w:highlight w:val="none"/>
                <w:lang w:val="en-US" w:eastAsia="zh-CN"/>
              </w:rPr>
              <w:t>并将厂房1、厂房2租赁于福建宏协承汽车部件有限公司用于《年产汽车铁质门窗框10万套、铝框15万套、密封件220万套》项目，厂房3、标准厂房1租赁于</w:t>
            </w:r>
            <w:r>
              <w:rPr>
                <w:rFonts w:hint="default"/>
                <w:color w:val="auto"/>
              </w:rPr>
              <w:t>福州富鸿齐电子有限公司</w:t>
            </w:r>
            <w:r>
              <w:rPr>
                <w:rFonts w:hint="eastAsia" w:cs="Times New Roman"/>
                <w:color w:val="auto"/>
                <w:highlight w:val="none"/>
                <w:lang w:val="en-US" w:eastAsia="zh-CN"/>
              </w:rPr>
              <w:t>用于《</w:t>
            </w:r>
            <w:bookmarkStart w:id="29" w:name="_Hlk38271595"/>
            <w:r>
              <w:rPr>
                <w:rFonts w:hint="eastAsia"/>
                <w:color w:val="auto"/>
                <w:szCs w:val="24"/>
                <w:lang w:val="en-US" w:eastAsia="zh-CN"/>
              </w:rPr>
              <w:fldChar w:fldCharType="begin"/>
            </w:r>
            <w:r>
              <w:rPr>
                <w:rFonts w:hint="eastAsia"/>
                <w:color w:val="auto"/>
                <w:szCs w:val="24"/>
                <w:lang w:val="en-US" w:eastAsia="zh-CN"/>
              </w:rPr>
              <w:instrText xml:space="preserve"> REF 项目名称 \h </w:instrText>
            </w:r>
            <w:r>
              <w:rPr>
                <w:rFonts w:hint="eastAsia"/>
                <w:color w:val="auto"/>
                <w:szCs w:val="24"/>
                <w:lang w:val="en-US" w:eastAsia="zh-CN"/>
              </w:rPr>
              <w:fldChar w:fldCharType="separate"/>
            </w:r>
            <w:r>
              <w:rPr>
                <w:rFonts w:hint="default"/>
                <w:color w:val="auto"/>
              </w:rPr>
              <w:t>福州富鸿齐电子有限公司</w:t>
            </w:r>
            <w:r>
              <w:rPr>
                <w:rFonts w:hint="eastAsia" w:ascii="宋体" w:hAnsi="宋体" w:eastAsia="宋体" w:cs="宋体"/>
                <w:color w:val="auto"/>
                <w:sz w:val="24"/>
                <w:szCs w:val="24"/>
                <w:lang w:val="en-US" w:eastAsia="zh-CN"/>
              </w:rPr>
              <w:t>年产液晶屏底座配件</w:t>
            </w:r>
            <w:r>
              <w:rPr>
                <w:rFonts w:hint="default" w:ascii="Times New Roman" w:hAnsi="Times New Roman" w:eastAsia="宋体" w:cs="Times New Roman"/>
                <w:color w:val="auto"/>
                <w:sz w:val="24"/>
                <w:szCs w:val="24"/>
                <w:lang w:val="en-US" w:eastAsia="zh-CN"/>
              </w:rPr>
              <w:t>1500</w:t>
            </w:r>
            <w:r>
              <w:rPr>
                <w:rFonts w:hint="eastAsia" w:ascii="宋体" w:hAnsi="宋体" w:eastAsia="宋体" w:cs="宋体"/>
                <w:color w:val="auto"/>
                <w:sz w:val="24"/>
                <w:szCs w:val="24"/>
                <w:lang w:val="en-US" w:eastAsia="zh-CN"/>
              </w:rPr>
              <w:t>万台</w:t>
            </w:r>
            <w:r>
              <w:rPr>
                <w:rFonts w:hint="eastAsia"/>
                <w:color w:val="auto"/>
                <w:szCs w:val="24"/>
                <w:lang w:val="en-US" w:eastAsia="zh-CN"/>
              </w:rPr>
              <w:fldChar w:fldCharType="end"/>
            </w:r>
            <w:bookmarkEnd w:id="29"/>
            <w:r>
              <w:rPr>
                <w:rFonts w:hint="eastAsia" w:cs="Times New Roman"/>
                <w:color w:val="auto"/>
                <w:highlight w:val="none"/>
                <w:lang w:val="en-US" w:eastAsia="zh-CN"/>
              </w:rPr>
              <w:t>》项目</w:t>
            </w:r>
            <w:r>
              <w:rPr>
                <w:rFonts w:hint="eastAsia" w:ascii="Times New Roman" w:hAnsi="Times New Roman" w:cs="Times New Roman"/>
                <w:color w:val="auto"/>
                <w:highlight w:val="none"/>
              </w:rPr>
              <w:t>（</w:t>
            </w:r>
            <w:r>
              <w:rPr>
                <w:rFonts w:hint="eastAsia" w:cs="Times New Roman"/>
                <w:color w:val="auto"/>
                <w:sz w:val="24"/>
                <w:szCs w:val="24"/>
                <w:highlight w:val="none"/>
                <w:u w:val="none"/>
                <w:lang w:eastAsia="zh-CN"/>
              </w:rPr>
              <w:t>福清洪金机械有限公司</w:t>
            </w:r>
            <w:r>
              <w:rPr>
                <w:rFonts w:hint="eastAsia" w:ascii="Times New Roman" w:hAnsi="Times New Roman" w:cs="Times New Roman"/>
                <w:color w:val="auto"/>
                <w:highlight w:val="none"/>
                <w:lang w:val="en-US" w:eastAsia="zh-CN"/>
              </w:rPr>
              <w:t>平面布置见附图4</w:t>
            </w:r>
            <w:r>
              <w:rPr>
                <w:rFonts w:hint="eastAsia" w:ascii="Times New Roman" w:hAnsi="Times New Roman" w:cs="Times New Roman"/>
                <w:color w:val="auto"/>
                <w:highlight w:val="none"/>
              </w:rPr>
              <w:t>）</w:t>
            </w:r>
            <w:r>
              <w:rPr>
                <w:rFonts w:hint="eastAsia" w:cs="Times New Roman"/>
                <w:color w:val="auto"/>
                <w:highlight w:val="none"/>
                <w:lang w:val="en-US" w:eastAsia="zh-CN"/>
              </w:rPr>
              <w:t>。</w:t>
            </w:r>
          </w:p>
          <w:p w14:paraId="1849B0F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eastAsia" w:ascii="Times New Roman" w:hAnsi="Times New Roman" w:eastAsia="宋体" w:cs="宋体"/>
                <w:color w:val="auto"/>
                <w:lang w:eastAsia="zh-CN"/>
              </w:rPr>
              <w:t>福建水投集团检测科技有限公司</w:t>
            </w:r>
            <w:r>
              <w:rPr>
                <w:rFonts w:hint="eastAsia" w:ascii="Times New Roman" w:hAnsi="Times New Roman" w:cs="Times New Roman"/>
                <w:color w:val="auto"/>
                <w:highlight w:val="none"/>
              </w:rPr>
              <w:t>拟租赁的</w:t>
            </w:r>
            <w:r>
              <w:rPr>
                <w:rFonts w:hint="eastAsia" w:cs="Times New Roman"/>
                <w:color w:val="auto"/>
                <w:sz w:val="24"/>
                <w:szCs w:val="24"/>
                <w:highlight w:val="none"/>
                <w:u w:val="none"/>
                <w:lang w:eastAsia="zh-CN"/>
              </w:rPr>
              <w:t>福清洪金机械有限公司</w:t>
            </w:r>
            <w:r>
              <w:rPr>
                <w:rFonts w:hint="eastAsia" w:ascii="Times New Roman" w:hAnsi="Times New Roman" w:eastAsia="宋体" w:cs="Times New Roman"/>
                <w:color w:val="auto"/>
                <w:sz w:val="24"/>
                <w:szCs w:val="24"/>
                <w:highlight w:val="none"/>
                <w:u w:val="none"/>
                <w:lang w:val="en-US" w:eastAsia="zh-CN"/>
              </w:rPr>
              <w:t>办公科研楼</w:t>
            </w:r>
            <w:r>
              <w:rPr>
                <w:rFonts w:hint="eastAsia" w:ascii="Times New Roman" w:hAnsi="Times New Roman" w:eastAsia="宋体" w:cs="宋体"/>
                <w:color w:val="auto"/>
                <w:lang w:val="en-US" w:eastAsia="zh-CN"/>
              </w:rPr>
              <w:t>4层、5层</w:t>
            </w:r>
            <w:r>
              <w:rPr>
                <w:rFonts w:hint="eastAsia" w:ascii="Times New Roman" w:hAnsi="Times New Roman" w:cs="Times New Roman"/>
                <w:color w:val="auto"/>
                <w:highlight w:val="none"/>
              </w:rPr>
              <w:t>目前处于空置状态，本次租赁前未作为其他用途使用。</w:t>
            </w:r>
          </w:p>
          <w:p w14:paraId="49205EA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根据现场勘查，目前项目周边市政雨、污管网已铺设到项目所在地，当前厂区内</w:t>
            </w:r>
            <w:r>
              <w:rPr>
                <w:rFonts w:hint="eastAsia" w:ascii="Times New Roman" w:hAnsi="Times New Roman" w:cs="Times New Roman"/>
                <w:color w:val="auto"/>
                <w:highlight w:val="none"/>
              </w:rPr>
              <w:t>污水经化粪池处理后</w:t>
            </w:r>
            <w:r>
              <w:rPr>
                <w:rFonts w:hint="default" w:ascii="Times New Roman" w:hAnsi="Times New Roman" w:cs="Times New Roman"/>
                <w:color w:val="auto"/>
                <w:highlight w:val="none"/>
              </w:rPr>
              <w:t>达《污水综合排放标准》(GB8978-1996</w:t>
            </w:r>
            <w:r>
              <w:rPr>
                <w:rFonts w:hint="default" w:ascii="Times New Roman" w:hAnsi="Times New Roman" w:cs="Times New Roman"/>
                <w:color w:val="auto"/>
                <w:highlight w:val="none"/>
                <w:shd w:val="clear" w:fill="FFFFFF"/>
              </w:rPr>
              <w:t>)</w:t>
            </w:r>
            <w:r>
              <w:rPr>
                <w:rFonts w:hint="default" w:ascii="Times New Roman" w:hAnsi="Times New Roman" w:cs="Times New Roman"/>
                <w:color w:val="auto"/>
                <w:highlight w:val="none"/>
              </w:rPr>
              <w:t>表4中三级标准及《污水排入城镇下水道水质标准》(GB/T 31962-2015</w:t>
            </w:r>
            <w:r>
              <w:rPr>
                <w:rFonts w:hint="default" w:ascii="Times New Roman" w:hAnsi="Times New Roman" w:cs="Times New Roman"/>
                <w:color w:val="auto"/>
                <w:highlight w:val="none"/>
                <w:shd w:val="clear" w:fill="FFFFFF"/>
              </w:rPr>
              <w:t>)</w:t>
            </w:r>
            <w:r>
              <w:rPr>
                <w:rFonts w:hint="default" w:ascii="Times New Roman" w:hAnsi="Times New Roman" w:cs="Times New Roman"/>
                <w:color w:val="auto"/>
                <w:highlight w:val="none"/>
              </w:rPr>
              <w:t>表1中B级标准后，可</w:t>
            </w:r>
            <w:r>
              <w:rPr>
                <w:rFonts w:hint="eastAsia" w:ascii="Times New Roman" w:hAnsi="Times New Roman" w:cs="Times New Roman"/>
                <w:color w:val="auto"/>
                <w:highlight w:val="none"/>
              </w:rPr>
              <w:t>通过市政污水管网</w:t>
            </w:r>
            <w:r>
              <w:rPr>
                <w:rFonts w:hint="default" w:ascii="Times New Roman" w:hAnsi="Times New Roman" w:cs="Times New Roman"/>
                <w:color w:val="auto"/>
                <w:highlight w:val="none"/>
              </w:rPr>
              <w:t>送往</w:t>
            </w:r>
            <w:r>
              <w:rPr>
                <w:rFonts w:hint="eastAsia" w:ascii="Times New Roman" w:hAnsi="Times New Roman" w:cs="Times New Roman"/>
                <w:color w:val="auto"/>
                <w:highlight w:val="none"/>
              </w:rPr>
              <w:t>福清市融元污水处理厂处理</w:t>
            </w:r>
            <w:r>
              <w:rPr>
                <w:rFonts w:hint="default" w:ascii="Times New Roman" w:hAnsi="Times New Roman" w:cs="Times New Roman"/>
                <w:color w:val="auto"/>
                <w:highlight w:val="none"/>
              </w:rPr>
              <w:t>集中</w:t>
            </w:r>
            <w:r>
              <w:rPr>
                <w:rFonts w:hint="eastAsia" w:ascii="Times New Roman" w:hAnsi="Times New Roman" w:cs="Times New Roman"/>
                <w:color w:val="auto"/>
                <w:highlight w:val="none"/>
              </w:rPr>
              <w:t>（</w:t>
            </w:r>
            <w:r>
              <w:rPr>
                <w:rFonts w:hint="eastAsia" w:cs="Times New Roman"/>
                <w:color w:val="auto"/>
                <w:sz w:val="24"/>
                <w:szCs w:val="24"/>
                <w:highlight w:val="none"/>
                <w:u w:val="none"/>
                <w:lang w:eastAsia="zh-CN"/>
              </w:rPr>
              <w:t>福清洪金机械有限公司</w:t>
            </w:r>
            <w:r>
              <w:rPr>
                <w:rFonts w:hint="eastAsia" w:cs="Times New Roman"/>
                <w:color w:val="auto"/>
                <w:sz w:val="24"/>
                <w:szCs w:val="24"/>
                <w:highlight w:val="none"/>
                <w:u w:val="none"/>
                <w:lang w:val="en-US" w:eastAsia="zh-CN"/>
              </w:rPr>
              <w:t>雨污管网图见附图4，</w:t>
            </w:r>
            <w:r>
              <w:rPr>
                <w:rFonts w:hint="eastAsia" w:ascii="Times New Roman" w:hAnsi="Times New Roman" w:cs="Times New Roman"/>
                <w:color w:val="auto"/>
                <w:highlight w:val="none"/>
              </w:rPr>
              <w:t>排水许可证详见附件</w:t>
            </w:r>
            <w:r>
              <w:rPr>
                <w:rFonts w:hint="eastAsia" w:cs="Times New Roman"/>
                <w:color w:val="auto"/>
                <w:highlight w:val="none"/>
                <w:lang w:val="en-US" w:eastAsia="zh-CN"/>
              </w:rPr>
              <w:t>7</w:t>
            </w:r>
            <w:r>
              <w:rPr>
                <w:rFonts w:hint="eastAsia" w:ascii="Times New Roman" w:hAnsi="Times New Roman" w:cs="Times New Roman"/>
                <w:color w:val="auto"/>
                <w:highlight w:val="none"/>
              </w:rPr>
              <w:t>）</w:t>
            </w:r>
            <w:r>
              <w:rPr>
                <w:rFonts w:hint="default" w:ascii="Times New Roman" w:hAnsi="Times New Roman" w:cs="Times New Roman"/>
                <w:color w:val="auto"/>
                <w:highlight w:val="none"/>
              </w:rPr>
              <w:t>。</w:t>
            </w:r>
          </w:p>
          <w:p w14:paraId="54FF82A4">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项目基本概况</w:t>
            </w:r>
          </w:p>
          <w:p w14:paraId="5FE42E5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项目名称：</w:t>
            </w:r>
            <w:r>
              <w:rPr>
                <w:rFonts w:hint="default" w:ascii="Times New Roman" w:hAnsi="Times New Roman" w:cs="Times New Roman"/>
                <w:color w:val="auto"/>
                <w:highlight w:val="none"/>
                <w:lang w:eastAsia="zh-CN"/>
              </w:rPr>
              <w:t>福清水质检测中心实验室项目</w:t>
            </w:r>
          </w:p>
          <w:p w14:paraId="138844CF">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建设单位：</w:t>
            </w:r>
            <w:r>
              <w:rPr>
                <w:rFonts w:hint="default" w:ascii="Times New Roman" w:hAnsi="Times New Roman" w:cs="Times New Roman"/>
                <w:color w:val="auto"/>
                <w:highlight w:val="none"/>
                <w:lang w:eastAsia="zh-CN"/>
              </w:rPr>
              <w:t>福建水投集团检测科技有限公司</w:t>
            </w:r>
          </w:p>
          <w:p w14:paraId="2C37314A">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val="en-US" w:eastAsia="zh-CN"/>
              </w:rPr>
            </w:pPr>
            <w:r>
              <w:rPr>
                <w:rFonts w:hint="default" w:ascii="Times New Roman" w:hAnsi="Times New Roman" w:cs="Times New Roman"/>
                <w:color w:val="auto"/>
                <w:highlight w:val="none"/>
              </w:rPr>
              <w:t>建设地点：</w:t>
            </w:r>
            <w:r>
              <w:rPr>
                <w:rFonts w:hint="eastAsia" w:cs="Times New Roman"/>
                <w:color w:val="auto"/>
                <w:sz w:val="24"/>
                <w:szCs w:val="24"/>
                <w:highlight w:val="none"/>
                <w:u w:val="none"/>
                <w:lang w:eastAsia="zh-CN"/>
              </w:rPr>
              <w:t>福清融侨经济技术开发区（租赁福清洪金机械有限公司办公科研楼4层、5层）</w:t>
            </w:r>
          </w:p>
          <w:p w14:paraId="49A8A4ED">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建设性质：新建</w:t>
            </w:r>
          </w:p>
          <w:p w14:paraId="107D928F">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建设规模：建筑面</w:t>
            </w:r>
            <w:r>
              <w:rPr>
                <w:rFonts w:hint="default" w:ascii="Times New Roman" w:hAnsi="Times New Roman" w:cs="Times New Roman"/>
                <w:color w:val="auto"/>
                <w:highlight w:val="none"/>
                <w:lang w:val="en-US" w:eastAsia="zh-CN"/>
              </w:rPr>
              <w:t>积2517.8</w:t>
            </w:r>
            <w:r>
              <w:rPr>
                <w:rFonts w:hint="default" w:ascii="Times New Roman" w:hAnsi="Times New Roman" w:cs="Times New Roman"/>
                <w:color w:val="auto"/>
                <w:highlight w:val="none"/>
              </w:rPr>
              <w:t>m²</w:t>
            </w:r>
          </w:p>
          <w:p w14:paraId="4BFF7664">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项目投资：总投资</w:t>
            </w:r>
            <w:r>
              <w:rPr>
                <w:rFonts w:hint="default" w:ascii="Times New Roman" w:hAnsi="Times New Roman" w:cs="Times New Roman"/>
                <w:color w:val="auto"/>
                <w:highlight w:val="none"/>
                <w:lang w:val="en-US" w:eastAsia="zh-CN"/>
              </w:rPr>
              <w:t>21</w:t>
            </w:r>
            <w:r>
              <w:rPr>
                <w:rFonts w:hint="default" w:ascii="Times New Roman" w:hAnsi="Times New Roman" w:cs="Times New Roman"/>
                <w:color w:val="auto"/>
                <w:highlight w:val="none"/>
              </w:rPr>
              <w:t>00万元</w:t>
            </w:r>
          </w:p>
          <w:p w14:paraId="09172C7E">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检测规模：年检测水样6000份</w:t>
            </w:r>
          </w:p>
          <w:p w14:paraId="63715FE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职工人数：管理人员和职工人数共</w:t>
            </w:r>
            <w:r>
              <w:rPr>
                <w:rFonts w:hint="default" w:ascii="Times New Roman" w:hAnsi="Times New Roman" w:cs="Times New Roman"/>
                <w:color w:val="auto"/>
                <w:highlight w:val="none"/>
                <w:lang w:val="en-US" w:eastAsia="zh-CN"/>
              </w:rPr>
              <w:t>30</w:t>
            </w:r>
            <w:r>
              <w:rPr>
                <w:rFonts w:hint="default" w:ascii="Times New Roman" w:hAnsi="Times New Roman" w:cs="Times New Roman"/>
                <w:color w:val="auto"/>
                <w:highlight w:val="none"/>
              </w:rPr>
              <w:t>人</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均不提供食宿</w:t>
            </w:r>
          </w:p>
          <w:p w14:paraId="4AA7D70E">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工作制度：年生产</w:t>
            </w:r>
            <w:r>
              <w:rPr>
                <w:rFonts w:hint="default" w:ascii="Times New Roman" w:hAnsi="Times New Roman" w:cs="Times New Roman"/>
                <w:color w:val="auto"/>
                <w:highlight w:val="none"/>
                <w:lang w:val="en-US" w:eastAsia="zh-CN"/>
              </w:rPr>
              <w:t>300</w:t>
            </w:r>
            <w:r>
              <w:rPr>
                <w:rFonts w:hint="default" w:ascii="Times New Roman" w:hAnsi="Times New Roman" w:cs="Times New Roman"/>
                <w:color w:val="auto"/>
                <w:highlight w:val="none"/>
              </w:rPr>
              <w:t>天，</w:t>
            </w:r>
            <w:r>
              <w:rPr>
                <w:rFonts w:hint="default" w:ascii="Times New Roman" w:hAnsi="Times New Roman" w:cs="Times New Roman"/>
                <w:color w:val="auto"/>
                <w:highlight w:val="none"/>
                <w:lang w:val="en-US" w:eastAsia="zh-CN"/>
              </w:rPr>
              <w:t>单</w:t>
            </w:r>
            <w:r>
              <w:rPr>
                <w:rFonts w:hint="default" w:ascii="Times New Roman" w:hAnsi="Times New Roman" w:cs="Times New Roman"/>
                <w:color w:val="auto"/>
                <w:highlight w:val="none"/>
              </w:rPr>
              <w:t>班制，</w:t>
            </w:r>
            <w:r>
              <w:rPr>
                <w:rFonts w:hint="default" w:ascii="Times New Roman" w:hAnsi="Times New Roman" w:cs="Times New Roman"/>
                <w:color w:val="auto"/>
                <w:highlight w:val="none"/>
                <w:lang w:val="en-US" w:eastAsia="zh-CN"/>
              </w:rPr>
              <w:t>每班8</w:t>
            </w:r>
            <w:r>
              <w:rPr>
                <w:rFonts w:hint="default" w:ascii="Times New Roman" w:hAnsi="Times New Roman" w:cs="Times New Roman"/>
                <w:color w:val="auto"/>
                <w:highlight w:val="none"/>
              </w:rPr>
              <w:t>h</w:t>
            </w:r>
          </w:p>
          <w:bookmarkEnd w:id="28"/>
          <w:p w14:paraId="0F70A78B">
            <w:pPr>
              <w:pStyle w:val="5"/>
              <w:suppressLineNumbers w:val="0"/>
              <w:bidi w:val="0"/>
              <w:spacing w:beforeAutospacing="0" w:afterAutospacing="0"/>
              <w:ind w:right="0"/>
              <w:rPr>
                <w:rFonts w:hint="default" w:ascii="Times New Roman" w:hAnsi="Times New Roman" w:cs="Times New Roman"/>
                <w:color w:val="auto"/>
                <w:highlight w:val="none"/>
              </w:rPr>
            </w:pPr>
            <w:bookmarkStart w:id="30" w:name="_Toc16635"/>
            <w:r>
              <w:rPr>
                <w:rFonts w:hint="default" w:ascii="Times New Roman" w:hAnsi="Times New Roman" w:cs="Times New Roman"/>
                <w:color w:val="auto"/>
                <w:highlight w:val="none"/>
              </w:rPr>
              <w:t>项目建设内容</w:t>
            </w:r>
            <w:bookmarkEnd w:id="19"/>
            <w:r>
              <w:rPr>
                <w:rFonts w:hint="default" w:ascii="Times New Roman" w:hAnsi="Times New Roman" w:cs="Times New Roman"/>
                <w:color w:val="auto"/>
                <w:highlight w:val="none"/>
              </w:rPr>
              <w:drawing>
                <wp:inline distT="0" distB="0" distL="114300" distR="114300">
                  <wp:extent cx="635" cy="0"/>
                  <wp:effectExtent l="0" t="0" r="0" b="0"/>
                  <wp:docPr id="43" name="图片 15" descr="5d4d756192e6f7dcc479903b567cd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 descr="5d4d756192e6f7dcc479903b567cde9"/>
                          <pic:cNvPicPr>
                            <a:picLocks noChangeAspect="1"/>
                          </pic:cNvPicPr>
                        </pic:nvPicPr>
                        <pic:blipFill>
                          <a:blip r:embed="rId17"/>
                          <a:stretch>
                            <a:fillRect/>
                          </a:stretch>
                        </pic:blipFill>
                        <pic:spPr>
                          <a:xfrm>
                            <a:off x="0" y="0"/>
                            <a:ext cx="635" cy="0"/>
                          </a:xfrm>
                          <a:prstGeom prst="rect">
                            <a:avLst/>
                          </a:prstGeom>
                          <a:noFill/>
                          <a:ln>
                            <a:noFill/>
                          </a:ln>
                        </pic:spPr>
                      </pic:pic>
                    </a:graphicData>
                  </a:graphic>
                </wp:inline>
              </w:drawing>
            </w:r>
            <w:bookmarkEnd w:id="20"/>
            <w:bookmarkEnd w:id="21"/>
            <w:bookmarkEnd w:id="22"/>
            <w:bookmarkEnd w:id="30"/>
          </w:p>
          <w:p w14:paraId="7461867C">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主要建设内容</w:t>
            </w:r>
          </w:p>
          <w:p w14:paraId="70F87FBE">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本项目建设内容</w:t>
            </w:r>
            <w:r>
              <w:rPr>
                <w:rFonts w:hint="default" w:ascii="Times New Roman" w:hAnsi="Times New Roman" w:cs="Times New Roman"/>
                <w:color w:val="auto"/>
                <w:highlight w:val="none"/>
                <w:lang w:val="en-US" w:eastAsia="zh-CN"/>
              </w:rPr>
              <w:t>主要为实验室装修和实验</w:t>
            </w:r>
            <w:r>
              <w:rPr>
                <w:rFonts w:hint="default" w:ascii="Times New Roman" w:hAnsi="Times New Roman" w:cs="Times New Roman"/>
                <w:color w:val="auto"/>
                <w:highlight w:val="none"/>
              </w:rPr>
              <w:t>设备安装。项目</w:t>
            </w:r>
            <w:r>
              <w:rPr>
                <w:rFonts w:hint="default" w:ascii="Times New Roman" w:hAnsi="Times New Roman" w:cs="Times New Roman"/>
                <w:color w:val="auto"/>
                <w:highlight w:val="none"/>
                <w:shd w:val="clear" w:fill="FFFFFF"/>
              </w:rPr>
              <w:t>组成见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_Ref14972 \n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表2.3-1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w:t>
            </w:r>
          </w:p>
          <w:p w14:paraId="13AB8BD2">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jc w:val="center"/>
              <w:textAlignment w:val="auto"/>
              <w:rPr>
                <w:rFonts w:hint="default" w:ascii="Times New Roman" w:hAnsi="Times New Roman" w:cs="Times New Roman"/>
                <w:color w:val="auto"/>
                <w:highlight w:val="none"/>
                <w:lang w:val="en-GB" w:eastAsia="zh-CN"/>
              </w:rPr>
            </w:pPr>
            <w:bookmarkStart w:id="31" w:name="_Ref14972"/>
            <w:r>
              <w:rPr>
                <w:rFonts w:hint="default" w:ascii="Times New Roman" w:hAnsi="Times New Roman" w:cs="Times New Roman"/>
                <w:color w:val="auto"/>
                <w:highlight w:val="none"/>
                <w:lang w:val="en-GB" w:eastAsia="zh-CN"/>
              </w:rPr>
              <w:t>项目主要建设内容情况一览表</w:t>
            </w:r>
            <w:bookmarkEnd w:id="31"/>
          </w:p>
          <w:tbl>
            <w:tblPr>
              <w:tblStyle w:val="28"/>
              <w:tblW w:w="829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2"/>
              <w:gridCol w:w="794"/>
              <w:gridCol w:w="6855"/>
            </w:tblGrid>
            <w:tr w14:paraId="7CA284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865" w:type="pct"/>
                  <w:gridSpan w:val="2"/>
                  <w:vAlign w:val="center"/>
                </w:tcPr>
                <w:p w14:paraId="73B9B14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工程类别</w:t>
                  </w:r>
                </w:p>
              </w:tc>
              <w:tc>
                <w:tcPr>
                  <w:tcW w:w="4134" w:type="pct"/>
                  <w:vAlign w:val="center"/>
                </w:tcPr>
                <w:p w14:paraId="0390ED3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lang w:eastAsia="zh-CN"/>
                    </w:rPr>
                  </w:pPr>
                  <w:r>
                    <w:rPr>
                      <w:rFonts w:hint="default" w:ascii="Times New Roman" w:hAnsi="Times New Roman" w:cs="Times New Roman"/>
                      <w:color w:val="auto"/>
                      <w:szCs w:val="20"/>
                      <w:highlight w:val="none"/>
                    </w:rPr>
                    <w:t>建设</w:t>
                  </w:r>
                  <w:r>
                    <w:rPr>
                      <w:rFonts w:hint="default" w:ascii="Times New Roman" w:hAnsi="Times New Roman" w:cs="Times New Roman"/>
                      <w:color w:val="auto"/>
                      <w:szCs w:val="20"/>
                      <w:highlight w:val="none"/>
                      <w:lang w:val="en-US" w:eastAsia="zh-CN"/>
                    </w:rPr>
                    <w:t>内容</w:t>
                  </w:r>
                </w:p>
              </w:tc>
            </w:tr>
            <w:tr w14:paraId="06A6A3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387" w:type="pct"/>
                  <w:vAlign w:val="center"/>
                </w:tcPr>
                <w:p w14:paraId="2F7E45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主体</w:t>
                  </w:r>
                </w:p>
                <w:p w14:paraId="0E167D7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工程</w:t>
                  </w:r>
                </w:p>
              </w:tc>
              <w:tc>
                <w:tcPr>
                  <w:tcW w:w="478" w:type="pct"/>
                  <w:vAlign w:val="center"/>
                </w:tcPr>
                <w:p w14:paraId="2F63336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环境检测实验室</w:t>
                  </w:r>
                </w:p>
              </w:tc>
              <w:tc>
                <w:tcPr>
                  <w:tcW w:w="4134" w:type="pct"/>
                  <w:vAlign w:val="center"/>
                </w:tcPr>
                <w:p w14:paraId="7D86CDD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共2层，建筑面积约2517.8m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vertAlign w:val="baseline"/>
                      <w:lang w:val="en-US" w:eastAsia="zh-CN"/>
                    </w:rPr>
                    <w:t>。</w:t>
                  </w:r>
                </w:p>
                <w:p w14:paraId="246A8F9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四楼主要为实验室附属配套用房，主要有外采设备间、收样室、分样室、样品暂存室、感观分析室、留样室、备品备件室、培养基储存室、菌株室、培养室、镜检室、洗消室。</w:t>
                  </w:r>
                </w:p>
                <w:p w14:paraId="56E91E1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rPr>
                  </w:pPr>
                  <w:r>
                    <w:rPr>
                      <w:rFonts w:hint="default" w:ascii="Times New Roman" w:hAnsi="Times New Roman" w:cs="Times New Roman"/>
                      <w:color w:val="auto"/>
                      <w:szCs w:val="20"/>
                      <w:highlight w:val="none"/>
                      <w:lang w:val="en-US" w:eastAsia="zh-CN"/>
                    </w:rPr>
                    <w:t>五楼为实验室及附属配套用房，具体分为标液室、放射性实验室、微波消解室、高温室、小型仪器室、综合理化室、无机前处理室、有机前处理室、两虫预处理室、惰性气体室、天平室、红外室、仪器前处理室、试剂室、耗材室、洗消室、UPS室、液相色谱质谱室、气相色谱质谱室、ICP-MS室、离子色谱室、流动注射室等。</w:t>
                  </w:r>
                </w:p>
              </w:tc>
            </w:tr>
            <w:tr w14:paraId="3F6B22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restart"/>
                  <w:vAlign w:val="center"/>
                </w:tcPr>
                <w:p w14:paraId="4D07B3E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储运工程</w:t>
                  </w:r>
                </w:p>
              </w:tc>
              <w:tc>
                <w:tcPr>
                  <w:tcW w:w="478" w:type="pct"/>
                  <w:vMerge w:val="restart"/>
                  <w:vAlign w:val="center"/>
                </w:tcPr>
                <w:p w14:paraId="5F9F44F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贮存区</w:t>
                  </w:r>
                </w:p>
              </w:tc>
              <w:tc>
                <w:tcPr>
                  <w:tcW w:w="4134" w:type="pct"/>
                  <w:vAlign w:val="center"/>
                </w:tcPr>
                <w:p w14:paraId="6D1E49A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贮存区面积约</w:t>
                  </w:r>
                  <w:r>
                    <w:rPr>
                      <w:rFonts w:hint="eastAsia" w:cs="Times New Roman"/>
                      <w:color w:val="auto"/>
                      <w:szCs w:val="20"/>
                      <w:highlight w:val="none"/>
                      <w:lang w:val="en-US" w:eastAsia="zh-CN"/>
                    </w:rPr>
                    <w:t>55</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平面布局具体见附图3</w:t>
                  </w:r>
                </w:p>
              </w:tc>
            </w:tr>
            <w:tr w14:paraId="2D0E4E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4533AB4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color w:val="auto"/>
                      <w:highlight w:val="none"/>
                    </w:rPr>
                  </w:pPr>
                </w:p>
              </w:tc>
              <w:tc>
                <w:tcPr>
                  <w:tcW w:w="478" w:type="pct"/>
                  <w:vMerge w:val="continue"/>
                  <w:vAlign w:val="center"/>
                </w:tcPr>
                <w:p w14:paraId="34FD90E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color w:val="auto"/>
                      <w:highlight w:val="none"/>
                    </w:rPr>
                  </w:pPr>
                </w:p>
              </w:tc>
              <w:tc>
                <w:tcPr>
                  <w:tcW w:w="4134" w:type="pct"/>
                  <w:vAlign w:val="center"/>
                </w:tcPr>
                <w:p w14:paraId="7958AF8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1间试剂室</w:t>
                  </w:r>
                  <w:r>
                    <w:rPr>
                      <w:rFonts w:hint="eastAsia" w:cs="Times New Roman"/>
                      <w:color w:val="auto"/>
                      <w:szCs w:val="20"/>
                      <w:highlight w:val="none"/>
                      <w:lang w:val="en-US" w:eastAsia="zh-CN"/>
                    </w:rPr>
                    <w:t>约21.0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位于五层最西侧</w:t>
                  </w:r>
                </w:p>
              </w:tc>
            </w:tr>
            <w:tr w14:paraId="4B0BB8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483E96D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708E4B7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21D7AFC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1间易制爆室</w:t>
                  </w:r>
                  <w:r>
                    <w:rPr>
                      <w:rFonts w:hint="eastAsia" w:cs="Times New Roman"/>
                      <w:color w:val="auto"/>
                      <w:szCs w:val="20"/>
                      <w:highlight w:val="none"/>
                      <w:lang w:val="en-US" w:eastAsia="zh-CN"/>
                    </w:rPr>
                    <w:t>约4.9</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位于五层西南角</w:t>
                  </w:r>
                </w:p>
              </w:tc>
            </w:tr>
            <w:tr w14:paraId="07CCB5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7E32C73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1C325E0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4A4164C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1间易制毒室</w:t>
                  </w:r>
                  <w:r>
                    <w:rPr>
                      <w:rFonts w:hint="eastAsia" w:cs="Times New Roman"/>
                      <w:color w:val="auto"/>
                      <w:szCs w:val="20"/>
                      <w:highlight w:val="none"/>
                      <w:lang w:val="en-US" w:eastAsia="zh-CN"/>
                    </w:rPr>
                    <w:t>约5.5</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w:t>
                  </w:r>
                  <w:r>
                    <w:rPr>
                      <w:rFonts w:hint="default" w:ascii="Times New Roman" w:hAnsi="Times New Roman" w:cs="Times New Roman"/>
                      <w:color w:val="auto"/>
                      <w:szCs w:val="20"/>
                      <w:highlight w:val="none"/>
                      <w:lang w:val="en-US" w:eastAsia="zh-CN"/>
                    </w:rPr>
                    <w:t>易制爆室</w:t>
                  </w:r>
                  <w:r>
                    <w:rPr>
                      <w:rFonts w:hint="eastAsia" w:cs="Times New Roman"/>
                      <w:color w:val="auto"/>
                      <w:szCs w:val="20"/>
                      <w:highlight w:val="none"/>
                      <w:lang w:val="en-US" w:eastAsia="zh-CN"/>
                    </w:rPr>
                    <w:t>东侧</w:t>
                  </w:r>
                </w:p>
              </w:tc>
            </w:tr>
            <w:tr w14:paraId="3A3A1D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4A5C4DB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701CCF5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62CFDB7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1间惰性气体室</w:t>
                  </w:r>
                  <w:r>
                    <w:rPr>
                      <w:rFonts w:hint="eastAsia" w:cs="Times New Roman"/>
                      <w:color w:val="auto"/>
                      <w:szCs w:val="20"/>
                      <w:highlight w:val="none"/>
                      <w:lang w:val="en-US" w:eastAsia="zh-CN"/>
                    </w:rPr>
                    <w:t>约12.2</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位于五层东南侧</w:t>
                  </w:r>
                </w:p>
              </w:tc>
            </w:tr>
            <w:tr w14:paraId="66907C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414CC9E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1182158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4F0C849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1间易燃易爆气体室</w:t>
                  </w:r>
                  <w:r>
                    <w:rPr>
                      <w:rFonts w:hint="eastAsia" w:cs="Times New Roman"/>
                      <w:color w:val="auto"/>
                      <w:szCs w:val="20"/>
                      <w:highlight w:val="none"/>
                      <w:lang w:val="en-US" w:eastAsia="zh-CN"/>
                    </w:rPr>
                    <w:t>约5.3</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w:t>
                  </w:r>
                  <w:r>
                    <w:rPr>
                      <w:rFonts w:hint="default" w:ascii="Times New Roman" w:hAnsi="Times New Roman" w:cs="Times New Roman"/>
                      <w:color w:val="auto"/>
                      <w:szCs w:val="20"/>
                      <w:highlight w:val="none"/>
                      <w:lang w:val="en-US" w:eastAsia="zh-CN"/>
                    </w:rPr>
                    <w:t>惰性气体室</w:t>
                  </w:r>
                  <w:r>
                    <w:rPr>
                      <w:rFonts w:hint="eastAsia" w:cs="Times New Roman"/>
                      <w:color w:val="auto"/>
                      <w:szCs w:val="20"/>
                      <w:highlight w:val="none"/>
                      <w:lang w:val="en-US" w:eastAsia="zh-CN"/>
                    </w:rPr>
                    <w:t>南侧</w:t>
                  </w:r>
                </w:p>
              </w:tc>
            </w:tr>
            <w:tr w14:paraId="7BA7C3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05E19BB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2252F2E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62AAF04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eastAsia" w:cs="Times New Roman"/>
                      <w:color w:val="auto"/>
                      <w:szCs w:val="20"/>
                      <w:highlight w:val="none"/>
                      <w:lang w:val="en-US" w:eastAsia="zh-CN"/>
                    </w:rPr>
                    <w:t>1</w:t>
                  </w:r>
                  <w:r>
                    <w:rPr>
                      <w:rFonts w:hint="default" w:ascii="Times New Roman" w:hAnsi="Times New Roman" w:cs="Times New Roman"/>
                      <w:color w:val="auto"/>
                      <w:szCs w:val="20"/>
                      <w:highlight w:val="none"/>
                      <w:lang w:val="en-US" w:eastAsia="zh-CN"/>
                    </w:rPr>
                    <w:t>间危险废物暂存间</w:t>
                  </w:r>
                  <w:r>
                    <w:rPr>
                      <w:rFonts w:hint="eastAsia" w:cs="Times New Roman"/>
                      <w:color w:val="auto"/>
                      <w:szCs w:val="20"/>
                      <w:highlight w:val="none"/>
                      <w:lang w:val="en-US" w:eastAsia="zh-CN"/>
                    </w:rPr>
                    <w:t>约6.1</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位于五层最西侧</w:t>
                  </w:r>
                </w:p>
              </w:tc>
            </w:tr>
            <w:tr w14:paraId="5CC1F6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exact"/>
                <w:jc w:val="center"/>
              </w:trPr>
              <w:tc>
                <w:tcPr>
                  <w:tcW w:w="387" w:type="pct"/>
                  <w:vMerge w:val="continue"/>
                  <w:vAlign w:val="center"/>
                </w:tcPr>
                <w:p w14:paraId="66033F3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78" w:type="pct"/>
                  <w:vMerge w:val="continue"/>
                  <w:vAlign w:val="center"/>
                </w:tcPr>
                <w:p w14:paraId="3A37BA2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p>
              </w:tc>
              <w:tc>
                <w:tcPr>
                  <w:tcW w:w="4134" w:type="pct"/>
                  <w:vAlign w:val="center"/>
                </w:tcPr>
                <w:p w14:paraId="2103A96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贮存区出入口设高门槛，发生泄漏时，防止风险物质扩散至外围区域。</w:t>
                  </w:r>
                </w:p>
              </w:tc>
            </w:tr>
            <w:tr w14:paraId="7E67D4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7" w:type="pct"/>
                  <w:vAlign w:val="center"/>
                </w:tcPr>
                <w:p w14:paraId="1E95E4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辅助工程</w:t>
                  </w:r>
                </w:p>
              </w:tc>
              <w:tc>
                <w:tcPr>
                  <w:tcW w:w="478" w:type="pct"/>
                  <w:vAlign w:val="center"/>
                </w:tcPr>
                <w:p w14:paraId="037A391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办公区</w:t>
                  </w:r>
                </w:p>
              </w:tc>
              <w:tc>
                <w:tcPr>
                  <w:tcW w:w="4134" w:type="pct"/>
                  <w:vAlign w:val="center"/>
                </w:tcPr>
                <w:p w14:paraId="08164B6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办公区面积约400m</w:t>
                  </w:r>
                  <w:r>
                    <w:rPr>
                      <w:rFonts w:hint="default" w:ascii="Times New Roman" w:hAnsi="Times New Roman" w:cs="Times New Roman"/>
                      <w:color w:val="auto"/>
                      <w:szCs w:val="20"/>
                      <w:highlight w:val="none"/>
                      <w:vertAlign w:val="superscript"/>
                      <w:lang w:val="en-US" w:eastAsia="zh-CN"/>
                    </w:rPr>
                    <w:t>2</w:t>
                  </w:r>
                  <w:r>
                    <w:rPr>
                      <w:rFonts w:hint="default" w:ascii="Times New Roman" w:hAnsi="Times New Roman" w:cs="Times New Roman"/>
                      <w:color w:val="auto"/>
                      <w:szCs w:val="20"/>
                      <w:highlight w:val="none"/>
                      <w:lang w:val="en-US" w:eastAsia="zh-CN"/>
                    </w:rPr>
                    <w:t>，包含3间办公室、1间会客接待室、1间会议室、1间档案室</w:t>
                  </w:r>
                  <w:r>
                    <w:rPr>
                      <w:rFonts w:hint="eastAsia" w:cs="Times New Roman"/>
                      <w:color w:val="auto"/>
                      <w:szCs w:val="20"/>
                      <w:highlight w:val="none"/>
                      <w:lang w:val="en-US" w:eastAsia="zh-CN"/>
                    </w:rPr>
                    <w:t>等</w:t>
                  </w:r>
                  <w:r>
                    <w:rPr>
                      <w:rFonts w:hint="default" w:ascii="Times New Roman" w:hAnsi="Times New Roman" w:cs="Times New Roman"/>
                      <w:color w:val="auto"/>
                      <w:szCs w:val="20"/>
                      <w:highlight w:val="none"/>
                      <w:lang w:val="en-US" w:eastAsia="zh-CN"/>
                    </w:rPr>
                    <w:t>。</w:t>
                  </w:r>
                </w:p>
              </w:tc>
            </w:tr>
            <w:tr w14:paraId="7FD4BA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exact"/>
                <w:jc w:val="center"/>
              </w:trPr>
              <w:tc>
                <w:tcPr>
                  <w:tcW w:w="387" w:type="pct"/>
                  <w:vMerge w:val="restart"/>
                  <w:vAlign w:val="center"/>
                </w:tcPr>
                <w:p w14:paraId="2AEAAE4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公用</w:t>
                  </w:r>
                </w:p>
                <w:p w14:paraId="74AC782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工程</w:t>
                  </w:r>
                </w:p>
              </w:tc>
              <w:tc>
                <w:tcPr>
                  <w:tcW w:w="478" w:type="pct"/>
                  <w:vAlign w:val="center"/>
                </w:tcPr>
                <w:p w14:paraId="453A26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供水</w:t>
                  </w:r>
                </w:p>
              </w:tc>
              <w:tc>
                <w:tcPr>
                  <w:tcW w:w="4134" w:type="pct"/>
                  <w:vAlign w:val="center"/>
                </w:tcPr>
                <w:p w14:paraId="47D7839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由市政</w:t>
                  </w:r>
                  <w:r>
                    <w:rPr>
                      <w:rFonts w:hint="default" w:ascii="Times New Roman" w:hAnsi="Times New Roman" w:cs="Times New Roman"/>
                      <w:color w:val="auto"/>
                      <w:szCs w:val="20"/>
                      <w:highlight w:val="none"/>
                      <w:lang w:val="en-US" w:eastAsia="zh-CN"/>
                    </w:rPr>
                    <w:t>供水管网</w:t>
                  </w:r>
                  <w:r>
                    <w:rPr>
                      <w:rFonts w:hint="default" w:ascii="Times New Roman" w:hAnsi="Times New Roman" w:cs="Times New Roman"/>
                      <w:color w:val="auto"/>
                      <w:szCs w:val="20"/>
                      <w:highlight w:val="none"/>
                    </w:rPr>
                    <w:t>接入</w:t>
                  </w:r>
                </w:p>
              </w:tc>
            </w:tr>
            <w:tr w14:paraId="59B7D1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4" w:hRule="exact"/>
                <w:jc w:val="center"/>
              </w:trPr>
              <w:tc>
                <w:tcPr>
                  <w:tcW w:w="387" w:type="pct"/>
                  <w:vMerge w:val="continue"/>
                  <w:vAlign w:val="center"/>
                </w:tcPr>
                <w:p w14:paraId="0A3F586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p>
              </w:tc>
              <w:tc>
                <w:tcPr>
                  <w:tcW w:w="478" w:type="pct"/>
                  <w:vAlign w:val="center"/>
                </w:tcPr>
                <w:p w14:paraId="49D225E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供电</w:t>
                  </w:r>
                </w:p>
              </w:tc>
              <w:tc>
                <w:tcPr>
                  <w:tcW w:w="4134" w:type="pct"/>
                  <w:vAlign w:val="center"/>
                </w:tcPr>
                <w:p w14:paraId="61E1560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由市政电网接入</w:t>
                  </w:r>
                </w:p>
              </w:tc>
            </w:tr>
            <w:tr w14:paraId="7D3516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exact"/>
                <w:jc w:val="center"/>
              </w:trPr>
              <w:tc>
                <w:tcPr>
                  <w:tcW w:w="387" w:type="pct"/>
                  <w:vMerge w:val="continue"/>
                  <w:vAlign w:val="center"/>
                </w:tcPr>
                <w:p w14:paraId="31C2710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p>
              </w:tc>
              <w:tc>
                <w:tcPr>
                  <w:tcW w:w="478" w:type="pct"/>
                  <w:vAlign w:val="center"/>
                </w:tcPr>
                <w:p w14:paraId="21A07F3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排水</w:t>
                  </w:r>
                </w:p>
              </w:tc>
              <w:tc>
                <w:tcPr>
                  <w:tcW w:w="4134" w:type="pct"/>
                  <w:vAlign w:val="center"/>
                </w:tcPr>
                <w:p w14:paraId="43471AC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lang w:val="en-US" w:eastAsia="zh-CN"/>
                    </w:rPr>
                    <w:t>雨污分流，污水</w:t>
                  </w:r>
                  <w:r>
                    <w:rPr>
                      <w:rFonts w:hint="default" w:ascii="Times New Roman" w:hAnsi="Times New Roman" w:cs="Times New Roman"/>
                      <w:color w:val="auto"/>
                      <w:szCs w:val="20"/>
                      <w:highlight w:val="none"/>
                    </w:rPr>
                    <w:t>排入市政污水管网</w:t>
                  </w:r>
                </w:p>
              </w:tc>
            </w:tr>
            <w:tr w14:paraId="0E88FA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0" w:hRule="atLeast"/>
                <w:jc w:val="center"/>
              </w:trPr>
              <w:tc>
                <w:tcPr>
                  <w:tcW w:w="387" w:type="pct"/>
                  <w:vMerge w:val="restart"/>
                  <w:vAlign w:val="center"/>
                </w:tcPr>
                <w:p w14:paraId="4A9175C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环保</w:t>
                  </w:r>
                </w:p>
                <w:p w14:paraId="3C31643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工程</w:t>
                  </w:r>
                </w:p>
              </w:tc>
              <w:tc>
                <w:tcPr>
                  <w:tcW w:w="478" w:type="pct"/>
                  <w:vAlign w:val="center"/>
                </w:tcPr>
                <w:p w14:paraId="2A36801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废气治理</w:t>
                  </w:r>
                </w:p>
              </w:tc>
              <w:tc>
                <w:tcPr>
                  <w:tcW w:w="4134" w:type="pct"/>
                  <w:vAlign w:val="center"/>
                </w:tcPr>
                <w:p w14:paraId="241642E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收集方式：共设</w:t>
                  </w:r>
                  <w:r>
                    <w:rPr>
                      <w:rFonts w:hint="eastAsia" w:cs="Times New Roman"/>
                      <w:color w:val="auto"/>
                      <w:szCs w:val="20"/>
                      <w:highlight w:val="none"/>
                      <w:lang w:val="en-US" w:eastAsia="zh-CN"/>
                    </w:rPr>
                    <w:t>18</w:t>
                  </w:r>
                  <w:r>
                    <w:rPr>
                      <w:rFonts w:hint="default" w:ascii="Times New Roman" w:hAnsi="Times New Roman" w:cs="Times New Roman"/>
                      <w:color w:val="auto"/>
                      <w:szCs w:val="20"/>
                      <w:highlight w:val="none"/>
                      <w:lang w:val="en-US" w:eastAsia="zh-CN"/>
                    </w:rPr>
                    <w:t>套通风橱</w:t>
                  </w:r>
                  <w:r>
                    <w:rPr>
                      <w:rFonts w:hint="eastAsia" w:cs="Times New Roman"/>
                      <w:color w:val="auto"/>
                      <w:szCs w:val="20"/>
                      <w:highlight w:val="none"/>
                      <w:lang w:val="en-US" w:eastAsia="zh-CN"/>
                    </w:rPr>
                    <w:t>及40个集气罩，根据项目功能布局，分区收集</w:t>
                  </w:r>
                  <w:r>
                    <w:rPr>
                      <w:rFonts w:hint="default" w:ascii="Times New Roman" w:hAnsi="Times New Roman" w:cs="Times New Roman"/>
                      <w:color w:val="auto"/>
                      <w:szCs w:val="20"/>
                      <w:highlight w:val="none"/>
                      <w:lang w:val="en-US" w:eastAsia="zh-CN"/>
                    </w:rPr>
                    <w:t>，</w:t>
                  </w:r>
                  <w:r>
                    <w:rPr>
                      <w:rFonts w:hint="eastAsia" w:cs="Times New Roman"/>
                      <w:color w:val="auto"/>
                      <w:szCs w:val="20"/>
                      <w:highlight w:val="none"/>
                      <w:lang w:val="en-US" w:eastAsia="zh-CN"/>
                    </w:rPr>
                    <w:t>设计配套风机</w:t>
                  </w:r>
                  <w:r>
                    <w:rPr>
                      <w:rFonts w:hint="default" w:ascii="Times New Roman" w:hAnsi="Times New Roman" w:cs="Times New Roman"/>
                      <w:color w:val="auto"/>
                      <w:szCs w:val="20"/>
                      <w:highlight w:val="none"/>
                      <w:lang w:val="en-US" w:eastAsia="zh-CN"/>
                    </w:rPr>
                    <w:t>总收集风量</w:t>
                  </w:r>
                  <w:r>
                    <w:rPr>
                      <w:rFonts w:hint="eastAsia" w:cs="Times New Roman"/>
                      <w:color w:val="auto"/>
                      <w:szCs w:val="20"/>
                      <w:highlight w:val="none"/>
                      <w:lang w:val="en-US" w:eastAsia="zh-CN"/>
                    </w:rPr>
                    <w:t>414</w:t>
                  </w:r>
                  <w:r>
                    <w:rPr>
                      <w:rFonts w:hint="default" w:ascii="Times New Roman" w:hAnsi="Times New Roman" w:cs="Times New Roman"/>
                      <w:color w:val="auto"/>
                      <w:szCs w:val="20"/>
                      <w:highlight w:val="none"/>
                      <w:lang w:val="en-US" w:eastAsia="zh-CN"/>
                    </w:rPr>
                    <w:t>00m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r>
                    <w:rPr>
                      <w:rFonts w:hint="eastAsia"/>
                      <w:color w:val="auto"/>
                      <w:highlight w:val="none"/>
                      <w:lang w:val="en-US" w:eastAsia="zh-CN"/>
                    </w:rPr>
                    <w:t>废气处理设施集气范围及排气筒位置见附图3。</w:t>
                  </w:r>
                </w:p>
                <w:p w14:paraId="1F2AEB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处理方式：</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碱喷淋塔</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活性炭吸附</w:t>
                  </w:r>
                  <w:r>
                    <w:rPr>
                      <w:rFonts w:hint="eastAsia" w:cs="Times New Roman"/>
                      <w:color w:val="auto"/>
                      <w:szCs w:val="20"/>
                      <w:highlight w:val="none"/>
                      <w:lang w:val="en-US" w:eastAsia="zh-CN"/>
                    </w:rPr>
                    <w:t>设施。</w:t>
                  </w:r>
                </w:p>
                <w:p w14:paraId="16A2CA5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① 酸性废气经</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碱喷淋塔处理后，通过2</w:t>
                  </w:r>
                  <w:r>
                    <w:rPr>
                      <w:rFonts w:hint="eastAsia" w:cs="Times New Roman"/>
                      <w:color w:val="auto"/>
                      <w:szCs w:val="20"/>
                      <w:highlight w:val="none"/>
                      <w:lang w:val="en-US" w:eastAsia="zh-CN"/>
                    </w:rPr>
                    <w:t>5</w:t>
                  </w:r>
                  <w:r>
                    <w:rPr>
                      <w:rFonts w:hint="default" w:ascii="Times New Roman" w:hAnsi="Times New Roman" w:cs="Times New Roman"/>
                      <w:color w:val="auto"/>
                      <w:szCs w:val="20"/>
                      <w:highlight w:val="none"/>
                      <w:lang w:val="en-US" w:eastAsia="zh-CN"/>
                    </w:rPr>
                    <w:t>m高排气筒（DA001</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DA002）排放</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喷淋塔</w:t>
                  </w:r>
                  <w:r>
                    <w:rPr>
                      <w:rFonts w:hint="eastAsia" w:cs="Times New Roman"/>
                      <w:color w:val="auto"/>
                      <w:szCs w:val="20"/>
                      <w:highlight w:val="none"/>
                      <w:lang w:val="en-US" w:eastAsia="zh-CN"/>
                    </w:rPr>
                    <w:t>设计风量15800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DA001</w:t>
                  </w:r>
                  <w:r>
                    <w:rPr>
                      <w:rFonts w:hint="eastAsia" w:cs="Times New Roman"/>
                      <w:color w:val="auto"/>
                      <w:szCs w:val="20"/>
                      <w:highlight w:val="none"/>
                      <w:lang w:val="en-US" w:eastAsia="zh-CN"/>
                    </w:rPr>
                    <w:t>）、7200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DA002</w:t>
                  </w:r>
                  <w:r>
                    <w:rPr>
                      <w:rFonts w:hint="eastAsia" w:cs="Times New Roman"/>
                      <w:color w:val="auto"/>
                      <w:szCs w:val="20"/>
                      <w:highlight w:val="none"/>
                      <w:lang w:val="en-US" w:eastAsia="zh-CN"/>
                    </w:rPr>
                    <w:t>），小计设计风量23000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p>
                <w:p w14:paraId="02B70EF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eastAsia="宋体"/>
                      <w:color w:val="auto"/>
                      <w:highlight w:val="none"/>
                      <w:lang w:val="en-US" w:eastAsia="zh-CN"/>
                    </w:rPr>
                  </w:pPr>
                  <w:r>
                    <w:rPr>
                      <w:rFonts w:hint="default" w:ascii="Times New Roman" w:hAnsi="Times New Roman" w:cs="Times New Roman"/>
                      <w:color w:val="auto"/>
                      <w:szCs w:val="20"/>
                      <w:highlight w:val="none"/>
                      <w:lang w:val="en-US" w:eastAsia="zh-CN"/>
                    </w:rPr>
                    <w:t>② 有机废气经</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活性炭吸附处理后，通过2</w:t>
                  </w:r>
                  <w:r>
                    <w:rPr>
                      <w:rFonts w:hint="eastAsia" w:cs="Times New Roman"/>
                      <w:color w:val="auto"/>
                      <w:szCs w:val="20"/>
                      <w:highlight w:val="none"/>
                      <w:lang w:val="en-US" w:eastAsia="zh-CN"/>
                    </w:rPr>
                    <w:t>5</w:t>
                  </w:r>
                  <w:r>
                    <w:rPr>
                      <w:rFonts w:hint="default" w:ascii="Times New Roman" w:hAnsi="Times New Roman" w:cs="Times New Roman"/>
                      <w:color w:val="auto"/>
                      <w:szCs w:val="20"/>
                      <w:highlight w:val="none"/>
                      <w:lang w:val="en-US" w:eastAsia="zh-CN"/>
                    </w:rPr>
                    <w:t>m高排气筒（DA00</w:t>
                  </w:r>
                  <w:r>
                    <w:rPr>
                      <w:rFonts w:hint="eastAsia" w:cs="Times New Roman"/>
                      <w:color w:val="auto"/>
                      <w:szCs w:val="20"/>
                      <w:highlight w:val="none"/>
                      <w:lang w:val="en-US" w:eastAsia="zh-CN"/>
                    </w:rPr>
                    <w:t>3、</w:t>
                  </w:r>
                  <w:r>
                    <w:rPr>
                      <w:rFonts w:hint="default" w:ascii="Times New Roman" w:hAnsi="Times New Roman" w:cs="Times New Roman"/>
                      <w:color w:val="auto"/>
                      <w:szCs w:val="20"/>
                      <w:highlight w:val="none"/>
                      <w:lang w:val="en-US" w:eastAsia="zh-CN"/>
                    </w:rPr>
                    <w:t>DA00</w:t>
                  </w:r>
                  <w:r>
                    <w:rPr>
                      <w:rFonts w:hint="eastAsia" w:cs="Times New Roman"/>
                      <w:color w:val="auto"/>
                      <w:szCs w:val="20"/>
                      <w:highlight w:val="none"/>
                      <w:lang w:val="en-US" w:eastAsia="zh-CN"/>
                    </w:rPr>
                    <w:t>4</w:t>
                  </w:r>
                  <w:r>
                    <w:rPr>
                      <w:rFonts w:hint="default" w:ascii="Times New Roman" w:hAnsi="Times New Roman" w:cs="Times New Roman"/>
                      <w:color w:val="auto"/>
                      <w:szCs w:val="20"/>
                      <w:highlight w:val="none"/>
                      <w:lang w:val="en-US" w:eastAsia="zh-CN"/>
                    </w:rPr>
                    <w:t>）排放</w:t>
                  </w:r>
                  <w:r>
                    <w:rPr>
                      <w:rFonts w:hint="eastAsia" w:cs="Times New Roman"/>
                      <w:color w:val="auto"/>
                      <w:szCs w:val="20"/>
                      <w:highlight w:val="none"/>
                      <w:lang w:val="en-US" w:eastAsia="zh-CN"/>
                    </w:rPr>
                    <w:t>，2套</w:t>
                  </w:r>
                  <w:r>
                    <w:rPr>
                      <w:rFonts w:hint="default" w:ascii="Times New Roman" w:hAnsi="Times New Roman" w:cs="Times New Roman"/>
                      <w:color w:val="auto"/>
                      <w:szCs w:val="20"/>
                      <w:highlight w:val="none"/>
                      <w:lang w:val="en-US" w:eastAsia="zh-CN"/>
                    </w:rPr>
                    <w:t>活性炭吸附</w:t>
                  </w:r>
                  <w:r>
                    <w:rPr>
                      <w:rFonts w:hint="eastAsia" w:cs="Times New Roman"/>
                      <w:color w:val="auto"/>
                      <w:szCs w:val="20"/>
                      <w:highlight w:val="none"/>
                      <w:lang w:val="en-US" w:eastAsia="zh-CN"/>
                    </w:rPr>
                    <w:t>设施设计风量8400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DA00</w:t>
                  </w:r>
                  <w:r>
                    <w:rPr>
                      <w:rFonts w:hint="eastAsia" w:cs="Times New Roman"/>
                      <w:color w:val="auto"/>
                      <w:szCs w:val="20"/>
                      <w:highlight w:val="none"/>
                      <w:lang w:val="en-US" w:eastAsia="zh-CN"/>
                    </w:rPr>
                    <w:t>3）、10000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DA00</w:t>
                  </w:r>
                  <w:r>
                    <w:rPr>
                      <w:rFonts w:hint="eastAsia" w:cs="Times New Roman"/>
                      <w:color w:val="auto"/>
                      <w:szCs w:val="20"/>
                      <w:highlight w:val="none"/>
                      <w:lang w:val="en-US" w:eastAsia="zh-CN"/>
                    </w:rPr>
                    <w:t>4），小计设计风量18400</w:t>
                  </w:r>
                  <w:r>
                    <w:rPr>
                      <w:rFonts w:hint="default" w:ascii="Times New Roman" w:hAnsi="Times New Roman" w:cs="Times New Roman"/>
                      <w:color w:val="auto"/>
                      <w:szCs w:val="20"/>
                      <w:highlight w:val="none"/>
                      <w:lang w:val="en-US" w:eastAsia="zh-CN"/>
                    </w:rPr>
                    <w:t>m</w:t>
                  </w:r>
                  <w:r>
                    <w:rPr>
                      <w:rFonts w:hint="default" w:ascii="Times New Roman" w:hAnsi="Times New Roman" w:cs="Times New Roman"/>
                      <w:color w:val="auto"/>
                      <w:szCs w:val="20"/>
                      <w:highlight w:val="none"/>
                      <w:vertAlign w:val="superscript"/>
                      <w:lang w:val="en-US" w:eastAsia="zh-CN"/>
                    </w:rPr>
                    <w:t>3</w:t>
                  </w:r>
                  <w:r>
                    <w:rPr>
                      <w:rFonts w:hint="default" w:ascii="Times New Roman" w:hAnsi="Times New Roman" w:cs="Times New Roman"/>
                      <w:color w:val="auto"/>
                      <w:szCs w:val="20"/>
                      <w:highlight w:val="none"/>
                      <w:lang w:val="en-US" w:eastAsia="zh-CN"/>
                    </w:rPr>
                    <w:t>/h。</w:t>
                  </w:r>
                </w:p>
              </w:tc>
            </w:tr>
            <w:tr w14:paraId="57D2AF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387" w:type="pct"/>
                  <w:vMerge w:val="continue"/>
                  <w:vAlign w:val="center"/>
                </w:tcPr>
                <w:p w14:paraId="233C378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p>
              </w:tc>
              <w:tc>
                <w:tcPr>
                  <w:tcW w:w="478" w:type="pct"/>
                  <w:vAlign w:val="center"/>
                </w:tcPr>
                <w:p w14:paraId="0FA3085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废水治理</w:t>
                  </w:r>
                </w:p>
              </w:tc>
              <w:tc>
                <w:tcPr>
                  <w:tcW w:w="4134" w:type="pct"/>
                  <w:vAlign w:val="center"/>
                </w:tcPr>
                <w:p w14:paraId="01E4CD2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color w:val="auto"/>
                    </w:rPr>
                  </w:pPr>
                  <w:r>
                    <w:rPr>
                      <w:rFonts w:hint="eastAsia" w:cs="Times New Roman"/>
                      <w:color w:val="auto"/>
                      <w:szCs w:val="20"/>
                      <w:highlight w:val="none"/>
                      <w:lang w:val="en-US" w:eastAsia="zh-CN"/>
                    </w:rPr>
                    <w:t>实验室废水（</w:t>
                  </w:r>
                  <w:r>
                    <w:rPr>
                      <w:rFonts w:hint="default" w:ascii="Times New Roman" w:hAnsi="Times New Roman" w:cs="Times New Roman"/>
                      <w:color w:val="auto"/>
                      <w:szCs w:val="20"/>
                      <w:highlight w:val="none"/>
                      <w:lang w:val="en-US" w:eastAsia="zh-CN"/>
                    </w:rPr>
                    <w:t>实验</w:t>
                  </w:r>
                  <w:r>
                    <w:rPr>
                      <w:rFonts w:hint="eastAsia" w:cs="Times New Roman"/>
                      <w:color w:val="auto"/>
                      <w:szCs w:val="20"/>
                      <w:highlight w:val="none"/>
                      <w:lang w:val="en-US" w:eastAsia="zh-CN"/>
                    </w:rPr>
                    <w:t>器具</w:t>
                  </w:r>
                  <w:r>
                    <w:rPr>
                      <w:rFonts w:hint="default" w:ascii="Times New Roman" w:hAnsi="Times New Roman" w:cs="Times New Roman"/>
                      <w:color w:val="auto"/>
                      <w:szCs w:val="20"/>
                      <w:highlight w:val="none"/>
                      <w:lang w:val="en-US" w:eastAsia="zh-CN"/>
                    </w:rPr>
                    <w:t>清洗废水</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纯水机浓水</w:t>
                  </w:r>
                  <w:r>
                    <w:rPr>
                      <w:rFonts w:hint="eastAsia" w:cs="Times New Roman"/>
                      <w:color w:val="auto"/>
                      <w:szCs w:val="20"/>
                      <w:highlight w:val="none"/>
                      <w:lang w:val="en-US" w:eastAsia="zh-CN"/>
                    </w:rPr>
                    <w:t>、实验室仪器用排水等）</w:t>
                  </w:r>
                  <w:r>
                    <w:rPr>
                      <w:rFonts w:hint="default" w:ascii="Times New Roman" w:hAnsi="Times New Roman" w:cs="Times New Roman"/>
                      <w:color w:val="auto"/>
                      <w:szCs w:val="20"/>
                      <w:highlight w:val="none"/>
                      <w:lang w:val="en-US" w:eastAsia="zh-CN"/>
                    </w:rPr>
                    <w:t>经污水机房废水处理设施（位于四楼西北侧）</w:t>
                  </w:r>
                  <w:r>
                    <w:rPr>
                      <w:rFonts w:hint="eastAsia" w:cs="Times New Roman"/>
                      <w:color w:val="auto"/>
                      <w:szCs w:val="20"/>
                      <w:highlight w:val="none"/>
                      <w:lang w:val="en-US" w:eastAsia="zh-CN"/>
                    </w:rPr>
                    <w:t>处理</w:t>
                  </w:r>
                  <w:r>
                    <w:rPr>
                      <w:rFonts w:hint="default" w:ascii="Times New Roman" w:hAnsi="Times New Roman" w:cs="Times New Roman"/>
                      <w:color w:val="auto"/>
                      <w:szCs w:val="20"/>
                      <w:highlight w:val="none"/>
                      <w:lang w:val="en-US" w:eastAsia="zh-CN"/>
                    </w:rPr>
                    <w:t>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厂区已建化粪池处理后排入市政污水管网</w:t>
                  </w:r>
                  <w:r>
                    <w:rPr>
                      <w:rFonts w:hint="default" w:ascii="Times New Roman" w:hAnsi="Times New Roman" w:cs="Times New Roman"/>
                      <w:color w:val="auto"/>
                      <w:szCs w:val="20"/>
                      <w:highlight w:val="none"/>
                      <w:lang w:val="en-US" w:eastAsia="zh-CN"/>
                    </w:rPr>
                    <w:t>，</w:t>
                  </w:r>
                  <w:r>
                    <w:rPr>
                      <w:rFonts w:hint="eastAsia"/>
                      <w:color w:val="auto"/>
                      <w:kern w:val="0"/>
                      <w:szCs w:val="21"/>
                    </w:rPr>
                    <w:t>送往福清市融元污水处理厂集中处理</w:t>
                  </w:r>
                  <w:r>
                    <w:rPr>
                      <w:rFonts w:hint="default" w:ascii="Times New Roman" w:hAnsi="Times New Roman" w:cs="Times New Roman"/>
                      <w:color w:val="auto"/>
                      <w:szCs w:val="20"/>
                      <w:highlight w:val="none"/>
                    </w:rPr>
                    <w:t>。</w:t>
                  </w:r>
                </w:p>
              </w:tc>
            </w:tr>
            <w:tr w14:paraId="183C08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387" w:type="pct"/>
                  <w:vMerge w:val="continue"/>
                  <w:vAlign w:val="center"/>
                </w:tcPr>
                <w:p w14:paraId="65B6B1C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p>
              </w:tc>
              <w:tc>
                <w:tcPr>
                  <w:tcW w:w="478" w:type="pct"/>
                  <w:vAlign w:val="center"/>
                </w:tcPr>
                <w:p w14:paraId="396C603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噪声控制</w:t>
                  </w:r>
                </w:p>
              </w:tc>
              <w:tc>
                <w:tcPr>
                  <w:tcW w:w="4134" w:type="pct"/>
                  <w:vAlign w:val="center"/>
                </w:tcPr>
                <w:p w14:paraId="3FF09F0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rPr>
                    <w:t>选用低噪声设备，加强设备的维护管理；对高噪声设备进行基础减振、通过厂房墙体隔声等综合降噪措施</w:t>
                  </w:r>
                  <w:r>
                    <w:rPr>
                      <w:rFonts w:hint="default" w:ascii="Times New Roman" w:hAnsi="Times New Roman" w:cs="Times New Roman"/>
                      <w:color w:val="auto"/>
                      <w:szCs w:val="20"/>
                      <w:highlight w:val="none"/>
                      <w:lang w:eastAsia="zh-CN"/>
                    </w:rPr>
                    <w:t>。</w:t>
                  </w:r>
                </w:p>
              </w:tc>
            </w:tr>
            <w:tr w14:paraId="6F75C3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387" w:type="pct"/>
                  <w:vMerge w:val="continue"/>
                  <w:vAlign w:val="center"/>
                </w:tcPr>
                <w:p w14:paraId="276CB3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cs="Times New Roman"/>
                      <w:color w:val="auto"/>
                      <w:szCs w:val="20"/>
                      <w:highlight w:val="none"/>
                    </w:rPr>
                  </w:pPr>
                </w:p>
              </w:tc>
              <w:tc>
                <w:tcPr>
                  <w:tcW w:w="478" w:type="pct"/>
                  <w:vAlign w:val="center"/>
                </w:tcPr>
                <w:p w14:paraId="0DC6A41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固体废物</w:t>
                  </w:r>
                </w:p>
              </w:tc>
              <w:tc>
                <w:tcPr>
                  <w:tcW w:w="4134" w:type="pct"/>
                  <w:vAlign w:val="center"/>
                </w:tcPr>
                <w:p w14:paraId="49C7BDA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 w:val="21"/>
                      <w:szCs w:val="21"/>
                      <w:highlight w:val="none"/>
                      <w:lang w:val="en-US" w:eastAsia="zh-CN"/>
                    </w:rPr>
                    <w:t xml:space="preserve">① </w:t>
                  </w:r>
                  <w:r>
                    <w:rPr>
                      <w:rFonts w:hint="default" w:ascii="Times New Roman" w:hAnsi="Times New Roman" w:cs="Times New Roman"/>
                      <w:color w:val="auto"/>
                      <w:sz w:val="21"/>
                      <w:szCs w:val="21"/>
                      <w:highlight w:val="none"/>
                    </w:rPr>
                    <w:t>设置垃圾分类箱若干个，用于存放生活垃圾</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每日由环卫部门统一清运</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② 设危废暂存间</w:t>
                  </w:r>
                  <w:r>
                    <w:rPr>
                      <w:rFonts w:hint="eastAsia" w:cs="Times New Roman"/>
                      <w:color w:val="auto"/>
                      <w:sz w:val="21"/>
                      <w:szCs w:val="21"/>
                      <w:highlight w:val="none"/>
                      <w:lang w:val="en-US" w:eastAsia="zh-CN"/>
                    </w:rPr>
                    <w:t>1</w:t>
                  </w:r>
                  <w:r>
                    <w:rPr>
                      <w:rFonts w:hint="default" w:ascii="Times New Roman" w:hAnsi="Times New Roman" w:cs="Times New Roman"/>
                      <w:color w:val="auto"/>
                      <w:sz w:val="21"/>
                      <w:szCs w:val="21"/>
                      <w:highlight w:val="none"/>
                      <w:lang w:val="en-US" w:eastAsia="zh-CN"/>
                    </w:rPr>
                    <w:t>间（共约</w:t>
                  </w:r>
                  <w:r>
                    <w:rPr>
                      <w:rFonts w:hint="eastAsia" w:cs="Times New Roman"/>
                      <w:color w:val="auto"/>
                      <w:sz w:val="21"/>
                      <w:szCs w:val="21"/>
                      <w:highlight w:val="none"/>
                      <w:lang w:val="en-US" w:eastAsia="zh-CN"/>
                    </w:rPr>
                    <w:t>6.1</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2</w:t>
                  </w:r>
                  <w:r>
                    <w:rPr>
                      <w:rFonts w:hint="default"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lang w:val="en-US" w:eastAsia="zh-CN"/>
                    </w:rPr>
                    <w:t>定期委托有资质单位</w:t>
                  </w:r>
                  <w:r>
                    <w:rPr>
                      <w:rFonts w:hint="eastAsia" w:cs="Times New Roman"/>
                      <w:color w:val="auto"/>
                      <w:sz w:val="21"/>
                      <w:szCs w:val="21"/>
                      <w:highlight w:val="none"/>
                      <w:lang w:val="en-US" w:eastAsia="zh-CN"/>
                    </w:rPr>
                    <w:t>转运</w:t>
                  </w:r>
                  <w:r>
                    <w:rPr>
                      <w:rFonts w:hint="default" w:ascii="Times New Roman" w:hAnsi="Times New Roman" w:cs="Times New Roman"/>
                      <w:color w:val="auto"/>
                      <w:sz w:val="21"/>
                      <w:szCs w:val="21"/>
                      <w:highlight w:val="none"/>
                      <w:lang w:val="en-US" w:eastAsia="zh-CN"/>
                    </w:rPr>
                    <w:t>处置</w:t>
                  </w:r>
                  <w:r>
                    <w:rPr>
                      <w:rFonts w:hint="default" w:ascii="Times New Roman" w:hAnsi="Times New Roman" w:cs="Times New Roman"/>
                      <w:color w:val="auto"/>
                      <w:szCs w:val="21"/>
                      <w:highlight w:val="none"/>
                    </w:rPr>
                    <w:t>。</w:t>
                  </w:r>
                </w:p>
              </w:tc>
            </w:tr>
            <w:tr w14:paraId="3E493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69" w:hRule="atLeast"/>
                <w:jc w:val="center"/>
              </w:trPr>
              <w:tc>
                <w:tcPr>
                  <w:tcW w:w="5000" w:type="pct"/>
                  <w:gridSpan w:val="3"/>
                  <w:vAlign w:val="center"/>
                </w:tcPr>
                <w:p w14:paraId="4C06E820">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jc w:val="both"/>
                    <w:textAlignment w:val="baseline"/>
                    <w:rPr>
                      <w:rFonts w:hint="eastAsia" w:cs="Times New Roman"/>
                      <w:b/>
                      <w:bCs/>
                      <w:color w:val="auto"/>
                      <w:spacing w:val="6"/>
                      <w:sz w:val="18"/>
                      <w:szCs w:val="18"/>
                      <w:lang w:val="en-US" w:eastAsia="zh-CN"/>
                    </w:rPr>
                  </w:pPr>
                  <w:r>
                    <w:rPr>
                      <w:rFonts w:hint="eastAsia" w:ascii="Times New Roman" w:hAnsi="Times New Roman" w:eastAsia="宋体" w:cs="Times New Roman"/>
                      <w:b/>
                      <w:bCs/>
                      <w:color w:val="auto"/>
                      <w:spacing w:val="6"/>
                      <w:sz w:val="18"/>
                      <w:szCs w:val="18"/>
                    </w:rPr>
                    <w:t>注：</w:t>
                  </w:r>
                  <w:r>
                    <w:rPr>
                      <w:rFonts w:hint="eastAsia" w:cs="Times New Roman"/>
                      <w:b/>
                      <w:bCs/>
                      <w:color w:val="auto"/>
                      <w:spacing w:val="6"/>
                      <w:sz w:val="18"/>
                      <w:szCs w:val="18"/>
                      <w:lang w:val="en-US" w:eastAsia="zh-CN"/>
                    </w:rPr>
                    <w:t>①建设单位</w:t>
                  </w:r>
                  <w:r>
                    <w:rPr>
                      <w:rFonts w:hint="default" w:cs="Times New Roman"/>
                      <w:b/>
                      <w:bCs/>
                      <w:color w:val="auto"/>
                      <w:spacing w:val="6"/>
                      <w:sz w:val="18"/>
                      <w:szCs w:val="18"/>
                      <w:lang w:val="en-US" w:eastAsia="zh-CN"/>
                    </w:rPr>
                    <w:t>福建水投集团检测科技有限公司作为</w:t>
                  </w:r>
                  <w:r>
                    <w:rPr>
                      <w:rFonts w:hint="eastAsia" w:cs="Times New Roman"/>
                      <w:b/>
                      <w:bCs/>
                      <w:color w:val="auto"/>
                      <w:spacing w:val="6"/>
                      <w:sz w:val="18"/>
                      <w:szCs w:val="18"/>
                      <w:lang w:val="en-US" w:eastAsia="zh-CN"/>
                    </w:rPr>
                    <w:t>福建中闽水务投资集团有限公司</w:t>
                  </w:r>
                  <w:r>
                    <w:rPr>
                      <w:rFonts w:hint="default" w:cs="Times New Roman"/>
                      <w:b/>
                      <w:bCs/>
                      <w:color w:val="auto"/>
                      <w:spacing w:val="6"/>
                      <w:sz w:val="18"/>
                      <w:szCs w:val="18"/>
                      <w:lang w:val="en-US" w:eastAsia="zh-CN"/>
                    </w:rPr>
                    <w:t>的下属</w:t>
                  </w:r>
                  <w:r>
                    <w:rPr>
                      <w:rFonts w:hint="eastAsia" w:cs="Times New Roman"/>
                      <w:b/>
                      <w:bCs/>
                      <w:color w:val="auto"/>
                      <w:spacing w:val="6"/>
                      <w:sz w:val="18"/>
                      <w:szCs w:val="18"/>
                      <w:lang w:val="en-US" w:eastAsia="zh-CN"/>
                    </w:rPr>
                    <w:t>企业</w:t>
                  </w:r>
                  <w:r>
                    <w:rPr>
                      <w:rFonts w:hint="default" w:cs="Times New Roman"/>
                      <w:b/>
                      <w:bCs/>
                      <w:color w:val="auto"/>
                      <w:spacing w:val="6"/>
                      <w:sz w:val="18"/>
                      <w:szCs w:val="18"/>
                      <w:lang w:val="en-US" w:eastAsia="zh-CN"/>
                    </w:rPr>
                    <w:t>，</w:t>
                  </w:r>
                  <w:r>
                    <w:rPr>
                      <w:rFonts w:hint="eastAsia" w:cs="Times New Roman"/>
                      <w:b/>
                      <w:bCs/>
                      <w:color w:val="auto"/>
                      <w:spacing w:val="6"/>
                      <w:sz w:val="18"/>
                      <w:szCs w:val="18"/>
                      <w:lang w:val="en-US" w:eastAsia="zh-CN"/>
                    </w:rPr>
                    <w:t>本项目水质</w:t>
                  </w:r>
                  <w:r>
                    <w:rPr>
                      <w:rFonts w:hint="default" w:cs="Times New Roman"/>
                      <w:b/>
                      <w:bCs/>
                      <w:color w:val="auto"/>
                      <w:spacing w:val="6"/>
                      <w:sz w:val="18"/>
                      <w:szCs w:val="18"/>
                      <w:lang w:val="en-US" w:eastAsia="zh-CN"/>
                    </w:rPr>
                    <w:t>检测</w:t>
                  </w:r>
                  <w:r>
                    <w:rPr>
                      <w:rFonts w:hint="eastAsia" w:cs="Times New Roman"/>
                      <w:b/>
                      <w:bCs/>
                      <w:color w:val="auto"/>
                      <w:spacing w:val="6"/>
                      <w:sz w:val="18"/>
                      <w:szCs w:val="18"/>
                      <w:lang w:val="en-US" w:eastAsia="zh-CN"/>
                    </w:rPr>
                    <w:t>范围均为福建中闽水务投资集团有限公司</w:t>
                  </w:r>
                  <w:r>
                    <w:rPr>
                      <w:rFonts w:hint="default" w:cs="Times New Roman"/>
                      <w:b/>
                      <w:bCs/>
                      <w:color w:val="auto"/>
                      <w:spacing w:val="6"/>
                      <w:sz w:val="18"/>
                      <w:szCs w:val="18"/>
                      <w:lang w:val="en-US" w:eastAsia="zh-CN"/>
                    </w:rPr>
                    <w:t>内水厂的原水和出水水质</w:t>
                  </w:r>
                  <w:r>
                    <w:rPr>
                      <w:rFonts w:hint="eastAsia" w:cs="Times New Roman"/>
                      <w:b/>
                      <w:bCs/>
                      <w:color w:val="auto"/>
                      <w:spacing w:val="6"/>
                      <w:sz w:val="18"/>
                      <w:szCs w:val="18"/>
                      <w:lang w:val="en-US" w:eastAsia="zh-CN"/>
                    </w:rPr>
                    <w:t>，为福建中闽水务投资集团有限公司附属</w:t>
                  </w:r>
                  <w:r>
                    <w:rPr>
                      <w:rFonts w:hint="default" w:cs="Times New Roman"/>
                      <w:b/>
                      <w:bCs/>
                      <w:color w:val="auto"/>
                      <w:spacing w:val="6"/>
                      <w:sz w:val="18"/>
                      <w:szCs w:val="18"/>
                      <w:lang w:val="en-US" w:eastAsia="zh-CN"/>
                    </w:rPr>
                    <w:t>配套的水质检测单位。</w:t>
                  </w:r>
                  <w:r>
                    <w:rPr>
                      <w:rFonts w:hint="eastAsia" w:cs="Times New Roman"/>
                      <w:b/>
                      <w:bCs/>
                      <w:color w:val="auto"/>
                      <w:spacing w:val="6"/>
                      <w:sz w:val="18"/>
                      <w:szCs w:val="18"/>
                      <w:lang w:val="en-US" w:eastAsia="zh-CN"/>
                    </w:rPr>
                    <w:t>根据附件6用地产权证本项目租赁福清洪金机械有限公司办公科研楼4层、5层为工业建筑，结合《城市用地分类与规划建设用地标准》（GB50137-2011）中指出工业用地包括为企业服务的办公室、仓库、食堂等附属设施用地。</w:t>
                  </w:r>
                </w:p>
                <w:p w14:paraId="64D224BE">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jc w:val="both"/>
                    <w:textAlignment w:val="baseline"/>
                    <w:rPr>
                      <w:rFonts w:hint="eastAsia" w:cs="Times New Roman"/>
                      <w:b/>
                      <w:bCs/>
                      <w:color w:val="auto"/>
                      <w:spacing w:val="6"/>
                      <w:sz w:val="18"/>
                      <w:szCs w:val="18"/>
                      <w:lang w:val="en-US" w:eastAsia="zh-CN"/>
                    </w:rPr>
                  </w:pPr>
                  <w:r>
                    <w:rPr>
                      <w:rFonts w:hint="eastAsia" w:cs="Times New Roman"/>
                      <w:b/>
                      <w:bCs/>
                      <w:color w:val="auto"/>
                      <w:spacing w:val="6"/>
                      <w:sz w:val="18"/>
                      <w:szCs w:val="18"/>
                      <w:lang w:val="en-US" w:eastAsia="zh-CN"/>
                    </w:rPr>
                    <w:t>②根据</w:t>
                  </w:r>
                  <w:r>
                    <w:rPr>
                      <w:rFonts w:hint="eastAsia" w:ascii="Times New Roman" w:hAnsi="Times New Roman" w:eastAsia="宋体" w:cs="Times New Roman"/>
                      <w:b/>
                      <w:bCs/>
                      <w:color w:val="auto"/>
                      <w:spacing w:val="6"/>
                      <w:sz w:val="18"/>
                      <w:szCs w:val="18"/>
                    </w:rPr>
                    <w:t>《生物安全实验室建筑技术规范》（GB 50346</w:t>
                  </w:r>
                  <w:r>
                    <w:rPr>
                      <w:rFonts w:hint="eastAsia" w:cs="Times New Roman"/>
                      <w:b/>
                      <w:bCs/>
                      <w:color w:val="auto"/>
                      <w:spacing w:val="6"/>
                      <w:sz w:val="18"/>
                      <w:szCs w:val="18"/>
                      <w:lang w:val="en-US" w:eastAsia="zh-CN"/>
                    </w:rPr>
                    <w:t>-2011</w:t>
                  </w:r>
                  <w:r>
                    <w:rPr>
                      <w:rFonts w:hint="eastAsia" w:ascii="Times New Roman" w:hAnsi="Times New Roman" w:eastAsia="宋体" w:cs="Times New Roman"/>
                      <w:b/>
                      <w:bCs/>
                      <w:color w:val="auto"/>
                      <w:spacing w:val="6"/>
                      <w:sz w:val="18"/>
                      <w:szCs w:val="18"/>
                    </w:rPr>
                    <w:t>）</w:t>
                  </w:r>
                  <w:r>
                    <w:rPr>
                      <w:rFonts w:hint="eastAsia" w:cs="Times New Roman"/>
                      <w:b/>
                      <w:bCs/>
                      <w:color w:val="auto"/>
                      <w:spacing w:val="6"/>
                      <w:sz w:val="18"/>
                      <w:szCs w:val="18"/>
                      <w:lang w:val="en-US" w:eastAsia="zh-CN"/>
                    </w:rPr>
                    <w:t>本项目实验室</w:t>
                  </w:r>
                  <w:r>
                    <w:rPr>
                      <w:rFonts w:hint="eastAsia" w:ascii="Times New Roman" w:hAnsi="Times New Roman" w:eastAsia="宋体" w:cs="Times New Roman"/>
                      <w:b/>
                      <w:bCs/>
                      <w:color w:val="auto"/>
                      <w:spacing w:val="6"/>
                      <w:sz w:val="18"/>
                      <w:szCs w:val="18"/>
                    </w:rPr>
                    <w:t>可</w:t>
                  </w:r>
                  <w:r>
                    <w:rPr>
                      <w:rFonts w:hint="eastAsia" w:cs="Times New Roman"/>
                      <w:b/>
                      <w:bCs/>
                      <w:color w:val="auto"/>
                      <w:spacing w:val="6"/>
                      <w:sz w:val="18"/>
                      <w:szCs w:val="18"/>
                      <w:lang w:val="en-US" w:eastAsia="zh-CN"/>
                    </w:rPr>
                    <w:t>与其他</w:t>
                  </w:r>
                  <w:r>
                    <w:rPr>
                      <w:rFonts w:hint="eastAsia" w:ascii="Times New Roman" w:hAnsi="Times New Roman" w:eastAsia="宋体" w:cs="Times New Roman"/>
                      <w:b/>
                      <w:bCs/>
                      <w:color w:val="auto"/>
                      <w:spacing w:val="6"/>
                      <w:sz w:val="18"/>
                      <w:szCs w:val="18"/>
                    </w:rPr>
                    <w:t>建筑物共用，</w:t>
                  </w:r>
                  <w:r>
                    <w:rPr>
                      <w:rFonts w:hint="eastAsia" w:cs="Times New Roman"/>
                      <w:b/>
                      <w:bCs/>
                      <w:color w:val="auto"/>
                      <w:spacing w:val="6"/>
                      <w:sz w:val="18"/>
                      <w:szCs w:val="18"/>
                      <w:lang w:val="en-US" w:eastAsia="zh-CN"/>
                    </w:rPr>
                    <w:t>无</w:t>
                  </w:r>
                  <w:r>
                    <w:rPr>
                      <w:rFonts w:hint="eastAsia" w:ascii="Times New Roman" w:hAnsi="Times New Roman" w:eastAsia="宋体" w:cs="Times New Roman"/>
                      <w:b/>
                      <w:bCs/>
                      <w:color w:val="auto"/>
                      <w:spacing w:val="6"/>
                      <w:sz w:val="18"/>
                      <w:szCs w:val="18"/>
                    </w:rPr>
                    <w:t>选址和建筑间距</w:t>
                  </w:r>
                  <w:r>
                    <w:rPr>
                      <w:rFonts w:hint="eastAsia" w:cs="Times New Roman"/>
                      <w:b/>
                      <w:bCs/>
                      <w:color w:val="auto"/>
                      <w:spacing w:val="6"/>
                      <w:sz w:val="18"/>
                      <w:szCs w:val="18"/>
                      <w:lang w:val="en-US" w:eastAsia="zh-CN"/>
                    </w:rPr>
                    <w:t>要求；《检验检测实验室设计与建设技术要求第1部分</w:t>
                  </w:r>
                  <w:r>
                    <w:rPr>
                      <w:rFonts w:hint="eastAsia" w:cs="Times New Roman"/>
                      <w:b/>
                      <w:bCs/>
                      <w:color w:val="auto"/>
                      <w:spacing w:val="6"/>
                      <w:sz w:val="18"/>
                      <w:szCs w:val="18"/>
                      <w:shd w:val="clear" w:fill="FFFFFF"/>
                      <w:lang w:val="en-US" w:eastAsia="zh-CN"/>
                    </w:rPr>
                    <w:t>:</w:t>
                  </w:r>
                  <w:r>
                    <w:rPr>
                      <w:rFonts w:hint="eastAsia" w:cs="Times New Roman"/>
                      <w:b/>
                      <w:bCs/>
                      <w:color w:val="auto"/>
                      <w:spacing w:val="6"/>
                      <w:sz w:val="18"/>
                      <w:szCs w:val="18"/>
                      <w:lang w:val="en-US" w:eastAsia="zh-CN"/>
                    </w:rPr>
                    <w:t>通用要求》（GB/T 32146.1-2015）中规定常规实验室的室内净高不宜低于2.8m，设置空气调节时，不宜低于2.4m。本项目设置空气调节，楼层高度为3.8m，吊顶离地面高度2.6m。</w:t>
                  </w:r>
                </w:p>
                <w:p w14:paraId="7195F043">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jc w:val="both"/>
                    <w:textAlignment w:val="baseline"/>
                    <w:rPr>
                      <w:rFonts w:hint="default" w:cs="Times New Roman"/>
                      <w:b/>
                      <w:bCs/>
                      <w:color w:val="auto"/>
                      <w:spacing w:val="6"/>
                      <w:sz w:val="18"/>
                      <w:szCs w:val="18"/>
                      <w:lang w:val="en-US" w:eastAsia="zh-CN"/>
                    </w:rPr>
                  </w:pPr>
                  <w:r>
                    <w:rPr>
                      <w:rFonts w:hint="eastAsia" w:cs="Times New Roman"/>
                      <w:b/>
                      <w:bCs/>
                      <w:color w:val="auto"/>
                      <w:spacing w:val="6"/>
                      <w:sz w:val="18"/>
                      <w:szCs w:val="18"/>
                      <w:lang w:val="en-US" w:eastAsia="zh-CN"/>
                    </w:rPr>
                    <w:t>③</w:t>
                  </w:r>
                  <w:r>
                    <w:rPr>
                      <w:rFonts w:hint="eastAsia" w:ascii="Times New Roman" w:hAnsi="Times New Roman" w:eastAsia="宋体" w:cs="Times New Roman"/>
                      <w:b/>
                      <w:bCs/>
                      <w:color w:val="auto"/>
                      <w:spacing w:val="6"/>
                      <w:sz w:val="18"/>
                      <w:szCs w:val="18"/>
                    </w:rPr>
                    <w:t>项目办公区仅用于员工日常办公，不涉及住宿功能。根据《建筑设计防火规范》</w:t>
                  </w:r>
                  <w:r>
                    <w:rPr>
                      <w:rFonts w:hint="eastAsia" w:cs="Times New Roman"/>
                      <w:b/>
                      <w:bCs/>
                      <w:color w:val="auto"/>
                      <w:spacing w:val="6"/>
                      <w:sz w:val="18"/>
                      <w:szCs w:val="18"/>
                      <w:lang w:eastAsia="zh-CN"/>
                    </w:rPr>
                    <w:t>（GB 50016-2014）</w:t>
                  </w:r>
                  <w:r>
                    <w:rPr>
                      <w:rFonts w:hint="eastAsia" w:ascii="Times New Roman" w:hAnsi="Times New Roman" w:eastAsia="宋体" w:cs="Times New Roman"/>
                      <w:b/>
                      <w:bCs/>
                      <w:color w:val="auto"/>
                      <w:spacing w:val="6"/>
                      <w:sz w:val="18"/>
                      <w:szCs w:val="18"/>
                      <w:lang w:eastAsia="zh-CN"/>
                    </w:rPr>
                    <w:t>、</w:t>
                  </w:r>
                  <w:r>
                    <w:rPr>
                      <w:rFonts w:hint="default" w:ascii="Times New Roman" w:hAnsi="Times New Roman" w:eastAsia="宋体" w:cs="Times New Roman"/>
                      <w:b/>
                      <w:bCs/>
                      <w:color w:val="auto"/>
                      <w:spacing w:val="6"/>
                      <w:sz w:val="18"/>
                      <w:szCs w:val="18"/>
                      <w:lang w:val="en-US" w:eastAsia="zh-CN"/>
                    </w:rPr>
                    <w:t>《建筑内部装修设计防火规范》</w:t>
                  </w:r>
                  <w:r>
                    <w:rPr>
                      <w:rFonts w:hint="eastAsia" w:cs="Times New Roman"/>
                      <w:b/>
                      <w:bCs/>
                      <w:color w:val="auto"/>
                      <w:spacing w:val="6"/>
                      <w:sz w:val="18"/>
                      <w:szCs w:val="18"/>
                      <w:lang w:val="en-US" w:eastAsia="zh-CN"/>
                    </w:rPr>
                    <w:t>（GB50222-2017）</w:t>
                  </w:r>
                  <w:r>
                    <w:rPr>
                      <w:rFonts w:hint="eastAsia" w:ascii="Times New Roman" w:hAnsi="Times New Roman" w:eastAsia="宋体" w:cs="Times New Roman"/>
                      <w:b/>
                      <w:bCs/>
                      <w:color w:val="auto"/>
                      <w:spacing w:val="6"/>
                      <w:sz w:val="18"/>
                      <w:szCs w:val="18"/>
                    </w:rPr>
                    <w:t>，租赁福清洪金机械有限公司办公科研楼4层、5层内可设置办公室，设置办公室应采用耐火极限不低于2.50h的防火隔墙和1.00h的楼板与其他部位分隔，并应至少设置1个独立的安全出口。因此本项目将按照《建筑设计防火规范》</w:t>
                  </w:r>
                  <w:r>
                    <w:rPr>
                      <w:rFonts w:hint="eastAsia" w:cs="Times New Roman"/>
                      <w:b/>
                      <w:bCs/>
                      <w:color w:val="auto"/>
                      <w:spacing w:val="6"/>
                      <w:sz w:val="18"/>
                      <w:szCs w:val="18"/>
                      <w:lang w:eastAsia="zh-CN"/>
                    </w:rPr>
                    <w:t>（GB 50016-2014）</w:t>
                  </w:r>
                  <w:r>
                    <w:rPr>
                      <w:rFonts w:hint="eastAsia" w:ascii="Times New Roman" w:hAnsi="Times New Roman" w:eastAsia="宋体" w:cs="Times New Roman"/>
                      <w:b/>
                      <w:bCs/>
                      <w:color w:val="auto"/>
                      <w:spacing w:val="6"/>
                      <w:sz w:val="18"/>
                      <w:szCs w:val="18"/>
                      <w:lang w:eastAsia="zh-CN"/>
                    </w:rPr>
                    <w:t>、</w:t>
                  </w:r>
                  <w:r>
                    <w:rPr>
                      <w:rFonts w:hint="default" w:ascii="Times New Roman" w:hAnsi="Times New Roman" w:eastAsia="宋体" w:cs="Times New Roman"/>
                      <w:b/>
                      <w:bCs/>
                      <w:color w:val="auto"/>
                      <w:spacing w:val="6"/>
                      <w:sz w:val="18"/>
                      <w:szCs w:val="18"/>
                      <w:lang w:val="en-US" w:eastAsia="zh-CN"/>
                    </w:rPr>
                    <w:t>《建筑内部装修设计防火规范》</w:t>
                  </w:r>
                  <w:r>
                    <w:rPr>
                      <w:rFonts w:hint="eastAsia" w:cs="Times New Roman"/>
                      <w:b/>
                      <w:bCs/>
                      <w:color w:val="auto"/>
                      <w:spacing w:val="6"/>
                      <w:sz w:val="18"/>
                      <w:szCs w:val="18"/>
                      <w:lang w:val="en-US" w:eastAsia="zh-CN"/>
                    </w:rPr>
                    <w:t>（GB50222-2017）</w:t>
                  </w:r>
                  <w:r>
                    <w:rPr>
                      <w:rFonts w:hint="eastAsia" w:ascii="Times New Roman" w:hAnsi="Times New Roman" w:eastAsia="宋体" w:cs="Times New Roman"/>
                      <w:b/>
                      <w:bCs/>
                      <w:color w:val="auto"/>
                      <w:spacing w:val="6"/>
                      <w:sz w:val="18"/>
                      <w:szCs w:val="18"/>
                    </w:rPr>
                    <w:t>要求设置防火隔</w:t>
                  </w:r>
                </w:p>
                <w:p w14:paraId="2D57840F">
                  <w:pPr>
                    <w:pStyle w:val="26"/>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80" w:lineRule="exact"/>
                    <w:jc w:val="both"/>
                    <w:textAlignment w:val="baseline"/>
                    <w:rPr>
                      <w:rFonts w:hint="default" w:ascii="Times New Roman" w:hAnsi="Times New Roman" w:eastAsia="宋体" w:cs="Times New Roman"/>
                      <w:b/>
                      <w:bCs/>
                      <w:color w:val="auto"/>
                      <w:spacing w:val="6"/>
                      <w:sz w:val="18"/>
                      <w:szCs w:val="18"/>
                      <w:lang w:val="en-US" w:eastAsia="zh-CN"/>
                    </w:rPr>
                  </w:pPr>
                  <w:r>
                    <w:rPr>
                      <w:rFonts w:hint="eastAsia" w:ascii="Times New Roman" w:hAnsi="Times New Roman" w:eastAsia="宋体" w:cs="Times New Roman"/>
                      <w:b/>
                      <w:bCs/>
                      <w:color w:val="auto"/>
                      <w:spacing w:val="6"/>
                      <w:sz w:val="18"/>
                      <w:szCs w:val="18"/>
                    </w:rPr>
                    <w:t>墙和楼板分隔，并设置独立安全出口，因此项目</w:t>
                  </w:r>
                  <w:r>
                    <w:rPr>
                      <w:rFonts w:hint="eastAsia" w:cs="Times New Roman"/>
                      <w:b/>
                      <w:bCs/>
                      <w:color w:val="auto"/>
                      <w:spacing w:val="6"/>
                      <w:sz w:val="18"/>
                      <w:szCs w:val="18"/>
                      <w:lang w:val="en-US" w:eastAsia="zh-CN"/>
                    </w:rPr>
                    <w:t>所</w:t>
                  </w:r>
                  <w:r>
                    <w:rPr>
                      <w:rFonts w:hint="eastAsia" w:ascii="Times New Roman" w:hAnsi="Times New Roman" w:eastAsia="宋体" w:cs="Times New Roman"/>
                      <w:b/>
                      <w:bCs/>
                      <w:color w:val="auto"/>
                      <w:spacing w:val="6"/>
                      <w:sz w:val="18"/>
                      <w:szCs w:val="18"/>
                    </w:rPr>
                    <w:t>租赁</w:t>
                  </w:r>
                  <w:r>
                    <w:rPr>
                      <w:rFonts w:hint="eastAsia" w:cs="Times New Roman"/>
                      <w:b/>
                      <w:bCs/>
                      <w:color w:val="auto"/>
                      <w:spacing w:val="6"/>
                      <w:sz w:val="18"/>
                      <w:szCs w:val="18"/>
                      <w:lang w:eastAsia="zh-CN"/>
                    </w:rPr>
                    <w:t>的</w:t>
                  </w:r>
                  <w:r>
                    <w:rPr>
                      <w:rFonts w:hint="eastAsia" w:ascii="Times New Roman" w:hAnsi="Times New Roman" w:eastAsia="宋体" w:cs="Times New Roman"/>
                      <w:b/>
                      <w:bCs/>
                      <w:color w:val="auto"/>
                      <w:spacing w:val="6"/>
                      <w:sz w:val="18"/>
                      <w:szCs w:val="18"/>
                    </w:rPr>
                    <w:t>办公科研楼4层、5层内可设置办公区。</w:t>
                  </w:r>
                  <w:r>
                    <w:rPr>
                      <w:rFonts w:hint="eastAsia" w:cs="Times New Roman"/>
                      <w:b/>
                      <w:bCs/>
                      <w:color w:val="auto"/>
                      <w:spacing w:val="6"/>
                      <w:sz w:val="18"/>
                      <w:szCs w:val="18"/>
                      <w:lang w:val="en-US" w:eastAsia="zh-CN"/>
                    </w:rPr>
                    <w:t>综上本</w:t>
                  </w:r>
                  <w:r>
                    <w:rPr>
                      <w:rFonts w:hint="eastAsia" w:ascii="Times New Roman" w:hAnsi="Times New Roman" w:eastAsia="宋体" w:cs="Times New Roman"/>
                      <w:b/>
                      <w:bCs/>
                      <w:color w:val="auto"/>
                      <w:spacing w:val="6"/>
                      <w:sz w:val="18"/>
                      <w:szCs w:val="18"/>
                    </w:rPr>
                    <w:t>项目</w:t>
                  </w:r>
                  <w:r>
                    <w:rPr>
                      <w:rFonts w:hint="eastAsia" w:cs="Times New Roman"/>
                      <w:b/>
                      <w:bCs/>
                      <w:color w:val="auto"/>
                      <w:spacing w:val="6"/>
                      <w:sz w:val="18"/>
                      <w:szCs w:val="18"/>
                      <w:lang w:val="en-US" w:eastAsia="zh-CN"/>
                    </w:rPr>
                    <w:t>所</w:t>
                  </w:r>
                  <w:r>
                    <w:rPr>
                      <w:rFonts w:hint="eastAsia" w:ascii="Times New Roman" w:hAnsi="Times New Roman" w:eastAsia="宋体" w:cs="Times New Roman"/>
                      <w:b/>
                      <w:bCs/>
                      <w:color w:val="auto"/>
                      <w:spacing w:val="6"/>
                      <w:sz w:val="18"/>
                      <w:szCs w:val="18"/>
                    </w:rPr>
                    <w:t>租赁</w:t>
                  </w:r>
                  <w:r>
                    <w:rPr>
                      <w:rFonts w:hint="eastAsia" w:cs="Times New Roman"/>
                      <w:b/>
                      <w:bCs/>
                      <w:color w:val="auto"/>
                      <w:spacing w:val="6"/>
                      <w:sz w:val="18"/>
                      <w:szCs w:val="18"/>
                      <w:lang w:eastAsia="zh-CN"/>
                    </w:rPr>
                    <w:t>的</w:t>
                  </w:r>
                  <w:r>
                    <w:rPr>
                      <w:rFonts w:hint="eastAsia" w:ascii="Times New Roman" w:hAnsi="Times New Roman" w:eastAsia="宋体" w:cs="Times New Roman"/>
                      <w:b/>
                      <w:bCs/>
                      <w:color w:val="auto"/>
                      <w:spacing w:val="6"/>
                      <w:sz w:val="18"/>
                      <w:szCs w:val="18"/>
                    </w:rPr>
                    <w:t>办公科研楼4层、5层</w:t>
                  </w:r>
                  <w:r>
                    <w:rPr>
                      <w:rFonts w:hint="eastAsia" w:cs="Times New Roman"/>
                      <w:b/>
                      <w:bCs/>
                      <w:color w:val="auto"/>
                      <w:spacing w:val="6"/>
                      <w:sz w:val="18"/>
                      <w:szCs w:val="18"/>
                      <w:lang w:val="en-US" w:eastAsia="zh-CN"/>
                    </w:rPr>
                    <w:t>可作为实验室建筑使用。</w:t>
                  </w:r>
                </w:p>
              </w:tc>
            </w:tr>
          </w:tbl>
          <w:p w14:paraId="4DA8FE68">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检测分析能力</w:t>
            </w:r>
          </w:p>
          <w:p w14:paraId="7EA1EA0C">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本项目实验室建成后，检测范围主要包括《城市供水水质标准》（CJ/T 206-2005）中29项指标及《生活饮用水卫生标准》（GB 5749-2022）97项全指标分析</w:t>
            </w:r>
            <w:r>
              <w:rPr>
                <w:rFonts w:hint="default" w:ascii="Times New Roman" w:hAnsi="Times New Roman" w:cs="Times New Roman"/>
                <w:b w:val="0"/>
                <w:bCs/>
                <w:color w:val="auto"/>
                <w:kern w:val="0"/>
                <w:szCs w:val="21"/>
                <w:highlight w:val="none"/>
                <w:lang w:val="en-US" w:eastAsia="zh-CN" w:bidi="ar"/>
              </w:rPr>
              <w:t>，因</w:t>
            </w:r>
            <w:r>
              <w:rPr>
                <w:rFonts w:hint="default" w:ascii="Times New Roman" w:hAnsi="Times New Roman" w:cs="Times New Roman"/>
                <w:color w:val="auto"/>
                <w:highlight w:val="none"/>
                <w:lang w:val="en-US" w:eastAsia="zh-CN"/>
              </w:rPr>
              <w:t>《城市供水水质标准》（CJ/T 206-2005）与《生活饮用水卫生标准》（GB 5749-2022）有指标重复</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共计检测指标10</w:t>
            </w:r>
            <w:r>
              <w:rPr>
                <w:rFonts w:hint="eastAsia" w:cs="Times New Roman"/>
                <w:color w:val="auto"/>
                <w:highlight w:val="none"/>
                <w:lang w:val="en-US" w:eastAsia="zh-CN"/>
              </w:rPr>
              <w:t>6</w:t>
            </w:r>
            <w:r>
              <w:rPr>
                <w:rFonts w:hint="default" w:ascii="Times New Roman" w:hAnsi="Times New Roman" w:cs="Times New Roman"/>
                <w:color w:val="auto"/>
                <w:highlight w:val="none"/>
                <w:lang w:val="en-US" w:eastAsia="zh-CN"/>
              </w:rPr>
              <w:t>项。拟申请检测项目详见下表。</w:t>
            </w:r>
          </w:p>
          <w:p w14:paraId="76CB83D8">
            <w:pPr>
              <w:pStyle w:val="35"/>
              <w:keepNext w:val="0"/>
              <w:keepLines w:val="0"/>
              <w:suppressLineNumbers w:val="0"/>
              <w:tabs>
                <w:tab w:val="left" w:pos="2126"/>
              </w:tabs>
              <w:spacing w:before="0" w:beforeAutospacing="0" w:after="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项目</w:t>
            </w:r>
            <w:r>
              <w:rPr>
                <w:rFonts w:hint="default" w:ascii="Times New Roman" w:hAnsi="Times New Roman" w:cs="Times New Roman"/>
                <w:color w:val="auto"/>
                <w:highlight w:val="none"/>
                <w:lang w:val="en-US" w:eastAsia="zh-CN"/>
              </w:rPr>
              <w:t>拟申请检测项目</w:t>
            </w:r>
            <w:r>
              <w:rPr>
                <w:rFonts w:hint="default" w:ascii="Times New Roman" w:hAnsi="Times New Roman" w:cs="Times New Roman"/>
                <w:color w:val="auto"/>
                <w:highlight w:val="none"/>
              </w:rPr>
              <w:t>一览表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620"/>
              <w:gridCol w:w="2134"/>
              <w:gridCol w:w="1841"/>
              <w:gridCol w:w="2007"/>
              <w:gridCol w:w="1650"/>
            </w:tblGrid>
            <w:tr w14:paraId="0B761F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90" w:hRule="atLeast"/>
                <w:jc w:val="center"/>
              </w:trPr>
              <w:tc>
                <w:tcPr>
                  <w:tcW w:w="375" w:type="pct"/>
                  <w:noWrap w:val="0"/>
                  <w:vAlign w:val="center"/>
                </w:tcPr>
                <w:p w14:paraId="2F3DFDA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eastAsia="zh-CN"/>
                    </w:rPr>
                  </w:pPr>
                  <w:r>
                    <w:rPr>
                      <w:rFonts w:hint="default" w:ascii="Times New Roman" w:hAnsi="Times New Roman" w:cs="Times New Roman"/>
                      <w:color w:val="auto"/>
                      <w:szCs w:val="20"/>
                      <w:highlight w:val="none"/>
                      <w:lang w:eastAsia="zh-CN"/>
                    </w:rPr>
                    <w:t>序号</w:t>
                  </w:r>
                </w:p>
              </w:tc>
              <w:tc>
                <w:tcPr>
                  <w:tcW w:w="1293" w:type="pct"/>
                  <w:noWrap w:val="0"/>
                  <w:vAlign w:val="center"/>
                </w:tcPr>
                <w:p w14:paraId="644DCCF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指标</w:t>
                  </w:r>
                </w:p>
              </w:tc>
              <w:tc>
                <w:tcPr>
                  <w:tcW w:w="1115" w:type="pct"/>
                  <w:noWrap w:val="0"/>
                  <w:vAlign w:val="center"/>
                </w:tcPr>
                <w:p w14:paraId="7DD4EE4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实验方法</w:t>
                  </w:r>
                </w:p>
              </w:tc>
              <w:tc>
                <w:tcPr>
                  <w:tcW w:w="1216" w:type="pct"/>
                  <w:noWrap w:val="0"/>
                  <w:vAlign w:val="center"/>
                </w:tcPr>
                <w:p w14:paraId="149C2E8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主要设备</w:t>
                  </w:r>
                </w:p>
              </w:tc>
              <w:tc>
                <w:tcPr>
                  <w:tcW w:w="999" w:type="pct"/>
                  <w:noWrap w:val="0"/>
                  <w:vAlign w:val="center"/>
                </w:tcPr>
                <w:p w14:paraId="527BBAE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指标来源</w:t>
                  </w:r>
                </w:p>
              </w:tc>
            </w:tr>
            <w:tr w14:paraId="7F717A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143957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w:t>
                  </w:r>
                </w:p>
              </w:tc>
              <w:tc>
                <w:tcPr>
                  <w:tcW w:w="1293" w:type="pct"/>
                  <w:noWrap w:val="0"/>
                  <w:vAlign w:val="center"/>
                </w:tcPr>
                <w:p w14:paraId="427E671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粪大肠菌群</w:t>
                  </w:r>
                </w:p>
              </w:tc>
              <w:tc>
                <w:tcPr>
                  <w:tcW w:w="1115" w:type="pct"/>
                  <w:vMerge w:val="restart"/>
                  <w:noWrap w:val="0"/>
                  <w:vAlign w:val="center"/>
                </w:tcPr>
                <w:p w14:paraId="60285BD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p>
              </w:tc>
              <w:tc>
                <w:tcPr>
                  <w:tcW w:w="1216" w:type="pct"/>
                  <w:vMerge w:val="restart"/>
                  <w:noWrap w:val="0"/>
                  <w:vAlign w:val="center"/>
                </w:tcPr>
                <w:p w14:paraId="1BE48CC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p>
              </w:tc>
              <w:tc>
                <w:tcPr>
                  <w:tcW w:w="999" w:type="pct"/>
                  <w:vMerge w:val="restart"/>
                  <w:noWrap w:val="0"/>
                  <w:vAlign w:val="center"/>
                </w:tcPr>
                <w:p w14:paraId="5958B08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r>
                    <w:rPr>
                      <w:rFonts w:hint="default" w:ascii="Times New Roman" w:hAnsi="Times New Roman" w:cs="Times New Roman"/>
                      <w:color w:val="auto"/>
                      <w:szCs w:val="20"/>
                      <w:highlight w:val="none"/>
                      <w:lang w:val="en-US" w:eastAsia="zh-CN"/>
                    </w:rPr>
                    <w:t>《城市供水水质标准》（CJ/T 206-2005）及《生活饮用水卫生标准》（GB 5749-2022）常规指标</w:t>
                  </w:r>
                </w:p>
              </w:tc>
            </w:tr>
            <w:tr w14:paraId="6373AB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052B60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w:t>
                  </w:r>
                </w:p>
              </w:tc>
              <w:tc>
                <w:tcPr>
                  <w:tcW w:w="1293" w:type="pct"/>
                  <w:noWrap w:val="0"/>
                  <w:vAlign w:val="center"/>
                </w:tcPr>
                <w:p w14:paraId="32F1DD5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总大肠菌群</w:t>
                  </w:r>
                </w:p>
              </w:tc>
              <w:tc>
                <w:tcPr>
                  <w:tcW w:w="1115" w:type="pct"/>
                  <w:vMerge w:val="continue"/>
                  <w:noWrap w:val="0"/>
                  <w:vAlign w:val="center"/>
                </w:tcPr>
                <w:p w14:paraId="648A680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p>
              </w:tc>
              <w:tc>
                <w:tcPr>
                  <w:tcW w:w="1216" w:type="pct"/>
                  <w:vMerge w:val="continue"/>
                  <w:noWrap w:val="0"/>
                  <w:vAlign w:val="center"/>
                </w:tcPr>
                <w:p w14:paraId="2250879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p>
              </w:tc>
              <w:tc>
                <w:tcPr>
                  <w:tcW w:w="999" w:type="pct"/>
                  <w:vMerge w:val="continue"/>
                  <w:noWrap w:val="0"/>
                  <w:vAlign w:val="center"/>
                </w:tcPr>
                <w:p w14:paraId="6B3010E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en-US"/>
                    </w:rPr>
                  </w:pPr>
                </w:p>
              </w:tc>
            </w:tr>
            <w:tr w14:paraId="071140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A6B38A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w:t>
                  </w:r>
                </w:p>
              </w:tc>
              <w:tc>
                <w:tcPr>
                  <w:tcW w:w="1293" w:type="pct"/>
                  <w:noWrap w:val="0"/>
                  <w:vAlign w:val="center"/>
                </w:tcPr>
                <w:p w14:paraId="6414DD4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大肠埃希氏菌</w:t>
                  </w:r>
                </w:p>
              </w:tc>
              <w:tc>
                <w:tcPr>
                  <w:tcW w:w="1115" w:type="pct"/>
                  <w:vMerge w:val="continue"/>
                  <w:noWrap w:val="0"/>
                  <w:vAlign w:val="center"/>
                </w:tcPr>
                <w:p w14:paraId="50F352C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0EC4AFE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1A4C06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2A0F6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3D17223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w:t>
                  </w:r>
                </w:p>
              </w:tc>
              <w:tc>
                <w:tcPr>
                  <w:tcW w:w="1293" w:type="pct"/>
                  <w:noWrap w:val="0"/>
                  <w:vAlign w:val="center"/>
                </w:tcPr>
                <w:p w14:paraId="70962D4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菌落总数</w:t>
                  </w:r>
                </w:p>
              </w:tc>
              <w:tc>
                <w:tcPr>
                  <w:tcW w:w="1115" w:type="pct"/>
                  <w:vMerge w:val="continue"/>
                  <w:noWrap w:val="0"/>
                  <w:vAlign w:val="center"/>
                </w:tcPr>
                <w:p w14:paraId="5FA3A1B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0B8831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30924C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331F1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060DC6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w:t>
                  </w:r>
                </w:p>
              </w:tc>
              <w:tc>
                <w:tcPr>
                  <w:tcW w:w="1293" w:type="pct"/>
                  <w:noWrap w:val="0"/>
                  <w:vAlign w:val="center"/>
                </w:tcPr>
                <w:p w14:paraId="275BE1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砷</w:t>
                  </w:r>
                </w:p>
              </w:tc>
              <w:tc>
                <w:tcPr>
                  <w:tcW w:w="1115" w:type="pct"/>
                  <w:vMerge w:val="restart"/>
                  <w:noWrap w:val="0"/>
                  <w:vAlign w:val="center"/>
                </w:tcPr>
                <w:p w14:paraId="7420520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237C230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B6292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3067F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44B118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w:t>
                  </w:r>
                </w:p>
              </w:tc>
              <w:tc>
                <w:tcPr>
                  <w:tcW w:w="1293" w:type="pct"/>
                  <w:noWrap w:val="0"/>
                  <w:vAlign w:val="center"/>
                </w:tcPr>
                <w:p w14:paraId="0B6B3D1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汞</w:t>
                  </w:r>
                </w:p>
              </w:tc>
              <w:tc>
                <w:tcPr>
                  <w:tcW w:w="1115" w:type="pct"/>
                  <w:vMerge w:val="continue"/>
                  <w:noWrap w:val="0"/>
                  <w:vAlign w:val="center"/>
                </w:tcPr>
                <w:p w14:paraId="4ADC6DA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1438081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8C20A5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3EBDB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C0711C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w:t>
                  </w:r>
                </w:p>
              </w:tc>
              <w:tc>
                <w:tcPr>
                  <w:tcW w:w="1293" w:type="pct"/>
                  <w:noWrap w:val="0"/>
                  <w:vAlign w:val="center"/>
                </w:tcPr>
                <w:p w14:paraId="214B177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硒</w:t>
                  </w:r>
                </w:p>
              </w:tc>
              <w:tc>
                <w:tcPr>
                  <w:tcW w:w="1115" w:type="pct"/>
                  <w:vMerge w:val="continue"/>
                  <w:noWrap w:val="0"/>
                  <w:vAlign w:val="center"/>
                </w:tcPr>
                <w:p w14:paraId="14A4CCA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F9E86B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65325B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62169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9CED5C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w:t>
                  </w:r>
                </w:p>
              </w:tc>
              <w:tc>
                <w:tcPr>
                  <w:tcW w:w="1293" w:type="pct"/>
                  <w:noWrap w:val="0"/>
                  <w:vAlign w:val="center"/>
                </w:tcPr>
                <w:p w14:paraId="778A39C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镉</w:t>
                  </w:r>
                </w:p>
              </w:tc>
              <w:tc>
                <w:tcPr>
                  <w:tcW w:w="1115" w:type="pct"/>
                  <w:vMerge w:val="restart"/>
                  <w:noWrap w:val="0"/>
                  <w:vAlign w:val="center"/>
                </w:tcPr>
                <w:p w14:paraId="4FED37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7B3BFC3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2CCAE6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0BC89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8C6CA6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w:t>
                  </w:r>
                </w:p>
              </w:tc>
              <w:tc>
                <w:tcPr>
                  <w:tcW w:w="1293" w:type="pct"/>
                  <w:noWrap w:val="0"/>
                  <w:vAlign w:val="center"/>
                </w:tcPr>
                <w:p w14:paraId="77A4C03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铝</w:t>
                  </w:r>
                </w:p>
              </w:tc>
              <w:tc>
                <w:tcPr>
                  <w:tcW w:w="1115" w:type="pct"/>
                  <w:vMerge w:val="continue"/>
                  <w:noWrap w:val="0"/>
                  <w:vAlign w:val="center"/>
                </w:tcPr>
                <w:p w14:paraId="240C4DB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05ED18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25BD6B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C4D52E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0B3246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w:t>
                  </w:r>
                </w:p>
              </w:tc>
              <w:tc>
                <w:tcPr>
                  <w:tcW w:w="1293" w:type="pct"/>
                  <w:noWrap w:val="0"/>
                  <w:vAlign w:val="center"/>
                </w:tcPr>
                <w:p w14:paraId="02CCB0D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铁</w:t>
                  </w:r>
                </w:p>
              </w:tc>
              <w:tc>
                <w:tcPr>
                  <w:tcW w:w="1115" w:type="pct"/>
                  <w:vMerge w:val="continue"/>
                  <w:noWrap w:val="0"/>
                  <w:vAlign w:val="center"/>
                </w:tcPr>
                <w:p w14:paraId="4B7B4BA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DE7183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6DD7E4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81CC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421B6A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11</w:t>
                  </w:r>
                </w:p>
              </w:tc>
              <w:tc>
                <w:tcPr>
                  <w:tcW w:w="1293" w:type="pct"/>
                  <w:noWrap w:val="0"/>
                  <w:vAlign w:val="center"/>
                </w:tcPr>
                <w:p w14:paraId="7C72FCB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锰</w:t>
                  </w:r>
                </w:p>
              </w:tc>
              <w:tc>
                <w:tcPr>
                  <w:tcW w:w="1115" w:type="pct"/>
                  <w:vMerge w:val="continue"/>
                  <w:noWrap w:val="0"/>
                  <w:vAlign w:val="center"/>
                </w:tcPr>
                <w:p w14:paraId="5081E69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002C7C1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31EF77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A5A9C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EFCF7E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12</w:t>
                  </w:r>
                </w:p>
              </w:tc>
              <w:tc>
                <w:tcPr>
                  <w:tcW w:w="1293" w:type="pct"/>
                  <w:noWrap w:val="0"/>
                  <w:vAlign w:val="center"/>
                </w:tcPr>
                <w:p w14:paraId="2122F9A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铜</w:t>
                  </w:r>
                </w:p>
              </w:tc>
              <w:tc>
                <w:tcPr>
                  <w:tcW w:w="1115" w:type="pct"/>
                  <w:vMerge w:val="continue"/>
                  <w:noWrap w:val="0"/>
                  <w:vAlign w:val="center"/>
                </w:tcPr>
                <w:p w14:paraId="087FF18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E28A93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59E3AF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B5EE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F0358D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13</w:t>
                  </w:r>
                </w:p>
              </w:tc>
              <w:tc>
                <w:tcPr>
                  <w:tcW w:w="1293" w:type="pct"/>
                  <w:noWrap w:val="0"/>
                  <w:vAlign w:val="center"/>
                </w:tcPr>
                <w:p w14:paraId="6BCE030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锌</w:t>
                  </w:r>
                </w:p>
              </w:tc>
              <w:tc>
                <w:tcPr>
                  <w:tcW w:w="1115" w:type="pct"/>
                  <w:vMerge w:val="continue"/>
                  <w:noWrap w:val="0"/>
                  <w:vAlign w:val="center"/>
                </w:tcPr>
                <w:p w14:paraId="0BDB9C7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7D6CE2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738727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AD54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D9A3A3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14</w:t>
                  </w:r>
                </w:p>
              </w:tc>
              <w:tc>
                <w:tcPr>
                  <w:tcW w:w="1293" w:type="pct"/>
                  <w:noWrap w:val="0"/>
                  <w:vAlign w:val="center"/>
                </w:tcPr>
                <w:p w14:paraId="338B9DE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铅</w:t>
                  </w:r>
                </w:p>
              </w:tc>
              <w:tc>
                <w:tcPr>
                  <w:tcW w:w="1115" w:type="pct"/>
                  <w:vMerge w:val="continue"/>
                  <w:noWrap w:val="0"/>
                  <w:vAlign w:val="center"/>
                </w:tcPr>
                <w:p w14:paraId="6103887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B3AC4F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8F1B67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8801A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DB7FB2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15</w:t>
                  </w:r>
                </w:p>
              </w:tc>
              <w:tc>
                <w:tcPr>
                  <w:tcW w:w="1293" w:type="pct"/>
                  <w:noWrap w:val="0"/>
                  <w:vAlign w:val="center"/>
                </w:tcPr>
                <w:p w14:paraId="3F626FA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铬（六价）</w:t>
                  </w:r>
                </w:p>
              </w:tc>
              <w:tc>
                <w:tcPr>
                  <w:tcW w:w="1115" w:type="pct"/>
                  <w:noWrap w:val="0"/>
                  <w:vAlign w:val="center"/>
                </w:tcPr>
                <w:p w14:paraId="7477583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D58C99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A02896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7BF07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9B7E2C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16</w:t>
                  </w:r>
                </w:p>
              </w:tc>
              <w:tc>
                <w:tcPr>
                  <w:tcW w:w="1293" w:type="pct"/>
                  <w:noWrap w:val="0"/>
                  <w:vAlign w:val="center"/>
                </w:tcPr>
                <w:p w14:paraId="6AA0191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氰化物</w:t>
                  </w:r>
                </w:p>
              </w:tc>
              <w:tc>
                <w:tcPr>
                  <w:tcW w:w="1115" w:type="pct"/>
                  <w:noWrap w:val="0"/>
                  <w:vAlign w:val="center"/>
                </w:tcPr>
                <w:p w14:paraId="1850CDB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25E79AC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009780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FF3AC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B145AC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17</w:t>
                  </w:r>
                </w:p>
              </w:tc>
              <w:tc>
                <w:tcPr>
                  <w:tcW w:w="1293" w:type="pct"/>
                  <w:noWrap w:val="0"/>
                  <w:vAlign w:val="center"/>
                </w:tcPr>
                <w:p w14:paraId="34821D9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挥发酚</w:t>
                  </w:r>
                </w:p>
              </w:tc>
              <w:tc>
                <w:tcPr>
                  <w:tcW w:w="1115" w:type="pct"/>
                  <w:noWrap w:val="0"/>
                  <w:vAlign w:val="center"/>
                </w:tcPr>
                <w:p w14:paraId="4E0EBC2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3D761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BEB1C4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76666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11C1DA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18</w:t>
                  </w:r>
                </w:p>
              </w:tc>
              <w:tc>
                <w:tcPr>
                  <w:tcW w:w="1293" w:type="pct"/>
                  <w:noWrap w:val="0"/>
                  <w:vAlign w:val="center"/>
                </w:tcPr>
                <w:p w14:paraId="454584B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阴离子表面活性剂</w:t>
                  </w:r>
                </w:p>
              </w:tc>
              <w:tc>
                <w:tcPr>
                  <w:tcW w:w="1115" w:type="pct"/>
                  <w:noWrap w:val="0"/>
                  <w:vAlign w:val="center"/>
                </w:tcPr>
                <w:p w14:paraId="020D10E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FA488B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032E6E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DE1FD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B151FC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19</w:t>
                  </w:r>
                </w:p>
              </w:tc>
              <w:tc>
                <w:tcPr>
                  <w:tcW w:w="1293" w:type="pct"/>
                  <w:noWrap w:val="0"/>
                  <w:vAlign w:val="center"/>
                </w:tcPr>
                <w:p w14:paraId="1CAC351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硫化物</w:t>
                  </w:r>
                </w:p>
              </w:tc>
              <w:tc>
                <w:tcPr>
                  <w:tcW w:w="1115" w:type="pct"/>
                  <w:noWrap w:val="0"/>
                  <w:vAlign w:val="center"/>
                </w:tcPr>
                <w:p w14:paraId="562EA08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24F1A51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70B85D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B0B65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B34F5C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20</w:t>
                  </w:r>
                </w:p>
              </w:tc>
              <w:tc>
                <w:tcPr>
                  <w:tcW w:w="1293" w:type="pct"/>
                  <w:noWrap w:val="0"/>
                  <w:vAlign w:val="center"/>
                </w:tcPr>
                <w:p w14:paraId="2D2D5C1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氨（以N计）</w:t>
                  </w:r>
                </w:p>
              </w:tc>
              <w:tc>
                <w:tcPr>
                  <w:tcW w:w="1115" w:type="pct"/>
                  <w:vMerge w:val="restart"/>
                  <w:noWrap w:val="0"/>
                  <w:vAlign w:val="center"/>
                </w:tcPr>
                <w:p w14:paraId="0E1DB41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33419D1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BF1580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AF290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9B706B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21</w:t>
                  </w:r>
                </w:p>
              </w:tc>
              <w:tc>
                <w:tcPr>
                  <w:tcW w:w="1293" w:type="pct"/>
                  <w:noWrap w:val="0"/>
                  <w:vAlign w:val="center"/>
                </w:tcPr>
                <w:p w14:paraId="298EF3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总磷</w:t>
                  </w:r>
                </w:p>
              </w:tc>
              <w:tc>
                <w:tcPr>
                  <w:tcW w:w="1115" w:type="pct"/>
                  <w:vMerge w:val="continue"/>
                  <w:noWrap w:val="0"/>
                  <w:vAlign w:val="center"/>
                </w:tcPr>
                <w:p w14:paraId="593F187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261C1E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583CEA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E4B8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61B514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22</w:t>
                  </w:r>
                </w:p>
              </w:tc>
              <w:tc>
                <w:tcPr>
                  <w:tcW w:w="1293" w:type="pct"/>
                  <w:noWrap w:val="0"/>
                  <w:vAlign w:val="center"/>
                </w:tcPr>
                <w:p w14:paraId="5689F9C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总氮</w:t>
                  </w:r>
                </w:p>
              </w:tc>
              <w:tc>
                <w:tcPr>
                  <w:tcW w:w="1115" w:type="pct"/>
                  <w:vMerge w:val="continue"/>
                  <w:noWrap w:val="0"/>
                  <w:vAlign w:val="center"/>
                </w:tcPr>
                <w:p w14:paraId="561EBF6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4EB8B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F5ADA3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E3874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54A160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23</w:t>
                  </w:r>
                </w:p>
              </w:tc>
              <w:tc>
                <w:tcPr>
                  <w:tcW w:w="1293" w:type="pct"/>
                  <w:noWrap w:val="0"/>
                  <w:vAlign w:val="center"/>
                </w:tcPr>
                <w:p w14:paraId="1BBF558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氯化物</w:t>
                  </w:r>
                </w:p>
              </w:tc>
              <w:tc>
                <w:tcPr>
                  <w:tcW w:w="1115" w:type="pct"/>
                  <w:vMerge w:val="restart"/>
                  <w:noWrap w:val="0"/>
                  <w:vAlign w:val="center"/>
                </w:tcPr>
                <w:p w14:paraId="42066D5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3204F8E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FF5C5E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DF016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46F1EA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24</w:t>
                  </w:r>
                </w:p>
              </w:tc>
              <w:tc>
                <w:tcPr>
                  <w:tcW w:w="1293" w:type="pct"/>
                  <w:noWrap w:val="0"/>
                  <w:vAlign w:val="center"/>
                </w:tcPr>
                <w:p w14:paraId="7112B35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硫酸盐</w:t>
                  </w:r>
                </w:p>
              </w:tc>
              <w:tc>
                <w:tcPr>
                  <w:tcW w:w="1115" w:type="pct"/>
                  <w:vMerge w:val="continue"/>
                  <w:noWrap w:val="0"/>
                  <w:vAlign w:val="center"/>
                </w:tcPr>
                <w:p w14:paraId="39D3B72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1BA7CFC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EDD0CC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978C7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748252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25</w:t>
                  </w:r>
                </w:p>
              </w:tc>
              <w:tc>
                <w:tcPr>
                  <w:tcW w:w="1293" w:type="pct"/>
                  <w:noWrap w:val="0"/>
                  <w:vAlign w:val="center"/>
                </w:tcPr>
                <w:p w14:paraId="4FE21A0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氟化物</w:t>
                  </w:r>
                </w:p>
              </w:tc>
              <w:tc>
                <w:tcPr>
                  <w:tcW w:w="1115" w:type="pct"/>
                  <w:vMerge w:val="continue"/>
                  <w:noWrap w:val="0"/>
                  <w:vAlign w:val="center"/>
                </w:tcPr>
                <w:p w14:paraId="2FF903C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076E1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4302CE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34A20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6F5394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26</w:t>
                  </w:r>
                </w:p>
              </w:tc>
              <w:tc>
                <w:tcPr>
                  <w:tcW w:w="1293" w:type="pct"/>
                  <w:noWrap w:val="0"/>
                  <w:vAlign w:val="center"/>
                </w:tcPr>
                <w:p w14:paraId="6FFBE1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硝酸盐（以N计）</w:t>
                  </w:r>
                </w:p>
              </w:tc>
              <w:tc>
                <w:tcPr>
                  <w:tcW w:w="1115" w:type="pct"/>
                  <w:vMerge w:val="continue"/>
                  <w:noWrap w:val="0"/>
                  <w:vAlign w:val="center"/>
                </w:tcPr>
                <w:p w14:paraId="5406C5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A2FF70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BEFEE8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B199A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20D918B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27</w:t>
                  </w:r>
                </w:p>
              </w:tc>
              <w:tc>
                <w:tcPr>
                  <w:tcW w:w="1293" w:type="pct"/>
                  <w:noWrap w:val="0"/>
                  <w:vAlign w:val="center"/>
                </w:tcPr>
                <w:p w14:paraId="30CB577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亚氯酸盐（使用ClO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消毒时）</w:t>
                  </w:r>
                </w:p>
              </w:tc>
              <w:tc>
                <w:tcPr>
                  <w:tcW w:w="1115" w:type="pct"/>
                  <w:vMerge w:val="continue"/>
                  <w:noWrap w:val="0"/>
                  <w:vAlign w:val="center"/>
                </w:tcPr>
                <w:p w14:paraId="7568107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B5FA4F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CF37B6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88E19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D0E423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28</w:t>
                  </w:r>
                </w:p>
              </w:tc>
              <w:tc>
                <w:tcPr>
                  <w:tcW w:w="1293" w:type="pct"/>
                  <w:noWrap w:val="0"/>
                  <w:vAlign w:val="center"/>
                </w:tcPr>
                <w:p w14:paraId="0D9F8B9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氯酸盐（使用复合ClO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消毒时）</w:t>
                  </w:r>
                </w:p>
              </w:tc>
              <w:tc>
                <w:tcPr>
                  <w:tcW w:w="1115" w:type="pct"/>
                  <w:vMerge w:val="continue"/>
                  <w:noWrap w:val="0"/>
                  <w:vAlign w:val="center"/>
                </w:tcPr>
                <w:p w14:paraId="6945F7E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4D855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A028DC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906BD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B298CC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29</w:t>
                  </w:r>
                </w:p>
              </w:tc>
              <w:tc>
                <w:tcPr>
                  <w:tcW w:w="1293" w:type="pct"/>
                  <w:noWrap w:val="0"/>
                  <w:vAlign w:val="center"/>
                </w:tcPr>
                <w:p w14:paraId="15B88CC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溴酸盐（使用臭氧时）</w:t>
                  </w:r>
                </w:p>
              </w:tc>
              <w:tc>
                <w:tcPr>
                  <w:tcW w:w="1115" w:type="pct"/>
                  <w:vMerge w:val="continue"/>
                  <w:noWrap w:val="0"/>
                  <w:vAlign w:val="center"/>
                </w:tcPr>
                <w:p w14:paraId="6C77D80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A4EBCD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7C625A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4D97A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8AE0FC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30</w:t>
                  </w:r>
                </w:p>
              </w:tc>
              <w:tc>
                <w:tcPr>
                  <w:tcW w:w="1293" w:type="pct"/>
                  <w:noWrap w:val="0"/>
                  <w:vAlign w:val="center"/>
                </w:tcPr>
                <w:p w14:paraId="7C23829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二氯乙酸</w:t>
                  </w:r>
                </w:p>
              </w:tc>
              <w:tc>
                <w:tcPr>
                  <w:tcW w:w="1115" w:type="pct"/>
                  <w:vMerge w:val="continue"/>
                  <w:noWrap w:val="0"/>
                  <w:vAlign w:val="center"/>
                </w:tcPr>
                <w:p w14:paraId="74D58E7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208F3F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ACC784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B84F8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492C5B9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31</w:t>
                  </w:r>
                </w:p>
              </w:tc>
              <w:tc>
                <w:tcPr>
                  <w:tcW w:w="1293" w:type="pct"/>
                  <w:noWrap w:val="0"/>
                  <w:vAlign w:val="center"/>
                </w:tcPr>
                <w:p w14:paraId="3F9ABEE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三氯乙酸</w:t>
                  </w:r>
                </w:p>
              </w:tc>
              <w:tc>
                <w:tcPr>
                  <w:tcW w:w="1115" w:type="pct"/>
                  <w:vMerge w:val="continue"/>
                  <w:noWrap w:val="0"/>
                  <w:vAlign w:val="center"/>
                </w:tcPr>
                <w:p w14:paraId="732DC67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863D3F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56A1B2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B7B7D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A553E6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32</w:t>
                  </w:r>
                </w:p>
              </w:tc>
              <w:tc>
                <w:tcPr>
                  <w:tcW w:w="1293" w:type="pct"/>
                  <w:noWrap w:val="0"/>
                  <w:vAlign w:val="center"/>
                </w:tcPr>
                <w:p w14:paraId="17E58F0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三氯甲烷</w:t>
                  </w:r>
                </w:p>
              </w:tc>
              <w:tc>
                <w:tcPr>
                  <w:tcW w:w="1115" w:type="pct"/>
                  <w:vMerge w:val="restart"/>
                  <w:noWrap w:val="0"/>
                  <w:vAlign w:val="center"/>
                </w:tcPr>
                <w:p w14:paraId="3EB3769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0D1DD16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A9973F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CDEA8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5297A0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33</w:t>
                  </w:r>
                </w:p>
              </w:tc>
              <w:tc>
                <w:tcPr>
                  <w:tcW w:w="1293" w:type="pct"/>
                  <w:noWrap w:val="0"/>
                  <w:vAlign w:val="center"/>
                </w:tcPr>
                <w:p w14:paraId="6416AC3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一氯二溴甲烷</w:t>
                  </w:r>
                </w:p>
              </w:tc>
              <w:tc>
                <w:tcPr>
                  <w:tcW w:w="1115" w:type="pct"/>
                  <w:vMerge w:val="continue"/>
                  <w:noWrap w:val="0"/>
                  <w:vAlign w:val="center"/>
                </w:tcPr>
                <w:p w14:paraId="199D1D2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E1E074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6DC8B5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0AE71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657E82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34</w:t>
                  </w:r>
                </w:p>
              </w:tc>
              <w:tc>
                <w:tcPr>
                  <w:tcW w:w="1293" w:type="pct"/>
                  <w:noWrap w:val="0"/>
                  <w:vAlign w:val="center"/>
                </w:tcPr>
                <w:p w14:paraId="7921DE6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二氯一溴甲烷</w:t>
                  </w:r>
                </w:p>
              </w:tc>
              <w:tc>
                <w:tcPr>
                  <w:tcW w:w="1115" w:type="pct"/>
                  <w:vMerge w:val="continue"/>
                  <w:noWrap w:val="0"/>
                  <w:vAlign w:val="center"/>
                </w:tcPr>
                <w:p w14:paraId="63502B1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5F68CB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6C2BBC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FCB19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4C1034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35</w:t>
                  </w:r>
                </w:p>
              </w:tc>
              <w:tc>
                <w:tcPr>
                  <w:tcW w:w="1293" w:type="pct"/>
                  <w:noWrap w:val="0"/>
                  <w:vAlign w:val="center"/>
                </w:tcPr>
                <w:p w14:paraId="0860BF9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三卤甲烷（三氯甲烷、一氯二溴甲烷、二氯一溴甲烷、三溴甲烷的总和）</w:t>
                  </w:r>
                </w:p>
              </w:tc>
              <w:tc>
                <w:tcPr>
                  <w:tcW w:w="1115" w:type="pct"/>
                  <w:vMerge w:val="continue"/>
                  <w:noWrap w:val="0"/>
                  <w:vAlign w:val="center"/>
                </w:tcPr>
                <w:p w14:paraId="4C1926D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96DD1A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7A2775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17BF5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F6422D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36</w:t>
                  </w:r>
                </w:p>
              </w:tc>
              <w:tc>
                <w:tcPr>
                  <w:tcW w:w="1293" w:type="pct"/>
                  <w:noWrap w:val="0"/>
                  <w:vAlign w:val="center"/>
                </w:tcPr>
                <w:p w14:paraId="1C86A5F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三溴甲烷</w:t>
                  </w:r>
                </w:p>
              </w:tc>
              <w:tc>
                <w:tcPr>
                  <w:tcW w:w="1115" w:type="pct"/>
                  <w:vMerge w:val="continue"/>
                  <w:noWrap w:val="0"/>
                  <w:vAlign w:val="center"/>
                </w:tcPr>
                <w:p w14:paraId="532CA77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0C978EA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9D0CC5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7DFB4B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0AA911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37</w:t>
                  </w:r>
                </w:p>
              </w:tc>
              <w:tc>
                <w:tcPr>
                  <w:tcW w:w="1293" w:type="pct"/>
                  <w:noWrap w:val="0"/>
                  <w:vAlign w:val="center"/>
                </w:tcPr>
                <w:p w14:paraId="0A9B27C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色度（铂钴色度单位）</w:t>
                  </w:r>
                </w:p>
              </w:tc>
              <w:tc>
                <w:tcPr>
                  <w:tcW w:w="1115" w:type="pct"/>
                  <w:noWrap w:val="0"/>
                  <w:vAlign w:val="center"/>
                </w:tcPr>
                <w:p w14:paraId="0D9034A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3934A89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0814F5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6C223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8AC351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38</w:t>
                  </w:r>
                </w:p>
              </w:tc>
              <w:tc>
                <w:tcPr>
                  <w:tcW w:w="1293" w:type="pct"/>
                  <w:noWrap w:val="0"/>
                  <w:vAlign w:val="center"/>
                </w:tcPr>
                <w:p w14:paraId="700111B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浑浊度（散射浑浊度单位）/NTU</w:t>
                  </w:r>
                </w:p>
              </w:tc>
              <w:tc>
                <w:tcPr>
                  <w:tcW w:w="1115" w:type="pct"/>
                  <w:noWrap w:val="0"/>
                  <w:vAlign w:val="center"/>
                </w:tcPr>
                <w:p w14:paraId="2352C75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3E5C086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E7E1E8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91356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2C0DF7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39</w:t>
                  </w:r>
                </w:p>
              </w:tc>
              <w:tc>
                <w:tcPr>
                  <w:tcW w:w="1293" w:type="pct"/>
                  <w:noWrap w:val="0"/>
                  <w:vAlign w:val="center"/>
                </w:tcPr>
                <w:p w14:paraId="345D5CF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臭和味</w:t>
                  </w:r>
                </w:p>
              </w:tc>
              <w:tc>
                <w:tcPr>
                  <w:tcW w:w="1115" w:type="pct"/>
                  <w:noWrap w:val="0"/>
                  <w:vAlign w:val="center"/>
                </w:tcPr>
                <w:p w14:paraId="3983488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35C7F36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EC1CB2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E1BB6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A4F45A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40</w:t>
                  </w:r>
                </w:p>
              </w:tc>
              <w:tc>
                <w:tcPr>
                  <w:tcW w:w="1293" w:type="pct"/>
                  <w:noWrap w:val="0"/>
                  <w:vAlign w:val="center"/>
                </w:tcPr>
                <w:p w14:paraId="7A20BF8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肉眼可见物</w:t>
                  </w:r>
                </w:p>
              </w:tc>
              <w:tc>
                <w:tcPr>
                  <w:tcW w:w="1115" w:type="pct"/>
                  <w:noWrap w:val="0"/>
                  <w:vAlign w:val="center"/>
                </w:tcPr>
                <w:p w14:paraId="3DFD622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CA7928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C7D4DA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3C228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2273B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41</w:t>
                  </w:r>
                </w:p>
              </w:tc>
              <w:tc>
                <w:tcPr>
                  <w:tcW w:w="1293" w:type="pct"/>
                  <w:noWrap w:val="0"/>
                  <w:vAlign w:val="center"/>
                </w:tcPr>
                <w:p w14:paraId="1838AB8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pH</w:t>
                  </w:r>
                </w:p>
              </w:tc>
              <w:tc>
                <w:tcPr>
                  <w:tcW w:w="1115" w:type="pct"/>
                  <w:noWrap w:val="0"/>
                  <w:vAlign w:val="center"/>
                </w:tcPr>
                <w:p w14:paraId="39A8255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2B9BBD0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42C812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900E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49B2BD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42</w:t>
                  </w:r>
                </w:p>
              </w:tc>
              <w:tc>
                <w:tcPr>
                  <w:tcW w:w="1293" w:type="pct"/>
                  <w:noWrap w:val="0"/>
                  <w:vAlign w:val="center"/>
                </w:tcPr>
                <w:p w14:paraId="269C7D9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游离余氯</w:t>
                  </w:r>
                </w:p>
              </w:tc>
              <w:tc>
                <w:tcPr>
                  <w:tcW w:w="1115" w:type="pct"/>
                  <w:noWrap w:val="0"/>
                  <w:vAlign w:val="center"/>
                </w:tcPr>
                <w:p w14:paraId="1DD6443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28428E2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0ECD56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EDA02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C33C63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43</w:t>
                  </w:r>
                </w:p>
              </w:tc>
              <w:tc>
                <w:tcPr>
                  <w:tcW w:w="1293" w:type="pct"/>
                  <w:noWrap w:val="0"/>
                  <w:vAlign w:val="center"/>
                </w:tcPr>
                <w:p w14:paraId="6141461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一氯胺（总氯）</w:t>
                  </w:r>
                </w:p>
              </w:tc>
              <w:tc>
                <w:tcPr>
                  <w:tcW w:w="1115" w:type="pct"/>
                  <w:noWrap w:val="0"/>
                  <w:vAlign w:val="center"/>
                </w:tcPr>
                <w:p w14:paraId="3D349F9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09421AE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D55E85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C8F72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B9BBAB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44</w:t>
                  </w:r>
                </w:p>
              </w:tc>
              <w:tc>
                <w:tcPr>
                  <w:tcW w:w="1293" w:type="pct"/>
                  <w:noWrap w:val="0"/>
                  <w:vAlign w:val="center"/>
                </w:tcPr>
                <w:p w14:paraId="2AAA16E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二氧化氯</w:t>
                  </w:r>
                </w:p>
              </w:tc>
              <w:tc>
                <w:tcPr>
                  <w:tcW w:w="1115" w:type="pct"/>
                  <w:noWrap w:val="0"/>
                  <w:vAlign w:val="center"/>
                </w:tcPr>
                <w:p w14:paraId="7EB541E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D44DA3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DAD210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F232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1F8FD3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45</w:t>
                  </w:r>
                </w:p>
              </w:tc>
              <w:tc>
                <w:tcPr>
                  <w:tcW w:w="1293" w:type="pct"/>
                  <w:noWrap w:val="0"/>
                  <w:vAlign w:val="center"/>
                </w:tcPr>
                <w:p w14:paraId="77946F8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臭氧</w:t>
                  </w:r>
                </w:p>
              </w:tc>
              <w:tc>
                <w:tcPr>
                  <w:tcW w:w="1115" w:type="pct"/>
                  <w:noWrap w:val="0"/>
                  <w:vAlign w:val="center"/>
                </w:tcPr>
                <w:p w14:paraId="46D13ED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1B8476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D808B7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35244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5A8A6F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46</w:t>
                  </w:r>
                </w:p>
              </w:tc>
              <w:tc>
                <w:tcPr>
                  <w:tcW w:w="1293" w:type="pct"/>
                  <w:noWrap w:val="0"/>
                  <w:vAlign w:val="center"/>
                </w:tcPr>
                <w:p w14:paraId="1869018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溶解性总固体</w:t>
                  </w:r>
                </w:p>
              </w:tc>
              <w:tc>
                <w:tcPr>
                  <w:tcW w:w="1115" w:type="pct"/>
                  <w:noWrap w:val="0"/>
                  <w:vAlign w:val="center"/>
                </w:tcPr>
                <w:p w14:paraId="7304309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ED1DF9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A0EB9A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C0E3B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65B4C0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47</w:t>
                  </w:r>
                </w:p>
              </w:tc>
              <w:tc>
                <w:tcPr>
                  <w:tcW w:w="1293" w:type="pct"/>
                  <w:noWrap w:val="0"/>
                  <w:vAlign w:val="center"/>
                </w:tcPr>
                <w:p w14:paraId="429F23D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总硬度（以碳酸钙计）</w:t>
                  </w:r>
                </w:p>
              </w:tc>
              <w:tc>
                <w:tcPr>
                  <w:tcW w:w="1115" w:type="pct"/>
                  <w:noWrap w:val="0"/>
                  <w:vAlign w:val="center"/>
                </w:tcPr>
                <w:p w14:paraId="58D9CF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4BD181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A058C1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6A8E5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F4280E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48</w:t>
                  </w:r>
                </w:p>
              </w:tc>
              <w:tc>
                <w:tcPr>
                  <w:tcW w:w="1293" w:type="pct"/>
                  <w:noWrap w:val="0"/>
                  <w:vAlign w:val="center"/>
                </w:tcPr>
                <w:p w14:paraId="239FAA6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高锰酸盐指数（以O</w:t>
                  </w:r>
                  <w:r>
                    <w:rPr>
                      <w:rFonts w:hint="default" w:ascii="Times New Roman" w:hAnsi="Times New Roman" w:cs="Times New Roman"/>
                      <w:color w:val="auto"/>
                      <w:szCs w:val="20"/>
                      <w:highlight w:val="none"/>
                      <w:vertAlign w:val="subscript"/>
                    </w:rPr>
                    <w:t>2</w:t>
                  </w:r>
                  <w:r>
                    <w:rPr>
                      <w:rFonts w:hint="default" w:ascii="Times New Roman" w:hAnsi="Times New Roman" w:cs="Times New Roman"/>
                      <w:color w:val="auto"/>
                      <w:szCs w:val="20"/>
                      <w:highlight w:val="none"/>
                    </w:rPr>
                    <w:t>计）</w:t>
                  </w:r>
                </w:p>
              </w:tc>
              <w:tc>
                <w:tcPr>
                  <w:tcW w:w="1115" w:type="pct"/>
                  <w:noWrap w:val="0"/>
                  <w:vAlign w:val="center"/>
                </w:tcPr>
                <w:p w14:paraId="0C67CC7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22293A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E071D7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7A585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48" w:hRule="atLeast"/>
                <w:jc w:val="center"/>
              </w:trPr>
              <w:tc>
                <w:tcPr>
                  <w:tcW w:w="375" w:type="pct"/>
                  <w:noWrap w:val="0"/>
                  <w:vAlign w:val="center"/>
                </w:tcPr>
                <w:p w14:paraId="07180D1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49</w:t>
                  </w:r>
                </w:p>
              </w:tc>
              <w:tc>
                <w:tcPr>
                  <w:tcW w:w="1293" w:type="pct"/>
                  <w:noWrap w:val="0"/>
                  <w:vAlign w:val="center"/>
                </w:tcPr>
                <w:p w14:paraId="4A0DDB1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总α放射性/（Bq/L）</w:t>
                  </w:r>
                </w:p>
              </w:tc>
              <w:tc>
                <w:tcPr>
                  <w:tcW w:w="1115" w:type="pct"/>
                  <w:noWrap w:val="0"/>
                  <w:vAlign w:val="center"/>
                </w:tcPr>
                <w:p w14:paraId="5159694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4050ED1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DABF87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D96B8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3DD5A3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50</w:t>
                  </w:r>
                </w:p>
              </w:tc>
              <w:tc>
                <w:tcPr>
                  <w:tcW w:w="1293" w:type="pct"/>
                  <w:noWrap w:val="0"/>
                  <w:vAlign w:val="center"/>
                </w:tcPr>
                <w:p w14:paraId="6DDB22B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总β放射性/（Bq/L）</w:t>
                  </w:r>
                </w:p>
              </w:tc>
              <w:tc>
                <w:tcPr>
                  <w:tcW w:w="1115" w:type="pct"/>
                  <w:noWrap w:val="0"/>
                  <w:vAlign w:val="center"/>
                </w:tcPr>
                <w:p w14:paraId="4747C58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F88B77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EB5527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E98B6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7F258F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51</w:t>
                  </w:r>
                </w:p>
              </w:tc>
              <w:tc>
                <w:tcPr>
                  <w:tcW w:w="1293" w:type="pct"/>
                  <w:noWrap w:val="0"/>
                  <w:vAlign w:val="center"/>
                </w:tcPr>
                <w:p w14:paraId="6B56E6E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化学需氧量（COD）</w:t>
                  </w:r>
                </w:p>
              </w:tc>
              <w:tc>
                <w:tcPr>
                  <w:tcW w:w="1115" w:type="pct"/>
                  <w:noWrap w:val="0"/>
                  <w:vAlign w:val="center"/>
                </w:tcPr>
                <w:p w14:paraId="7D6A35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24C5DC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D63F90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EC119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7" w:hRule="atLeast"/>
                <w:jc w:val="center"/>
              </w:trPr>
              <w:tc>
                <w:tcPr>
                  <w:tcW w:w="375" w:type="pct"/>
                  <w:noWrap w:val="0"/>
                  <w:vAlign w:val="center"/>
                </w:tcPr>
                <w:p w14:paraId="5EEBF2A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52</w:t>
                  </w:r>
                </w:p>
              </w:tc>
              <w:tc>
                <w:tcPr>
                  <w:tcW w:w="1293" w:type="pct"/>
                  <w:noWrap w:val="0"/>
                  <w:vAlign w:val="center"/>
                </w:tcPr>
                <w:p w14:paraId="25DF5A3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溶解氧</w:t>
                  </w:r>
                </w:p>
              </w:tc>
              <w:tc>
                <w:tcPr>
                  <w:tcW w:w="1115" w:type="pct"/>
                  <w:noWrap w:val="0"/>
                  <w:vAlign w:val="center"/>
                </w:tcPr>
                <w:p w14:paraId="0409AC1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1C53F66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5ED12D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DFCB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4A73C1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53</w:t>
                  </w:r>
                </w:p>
              </w:tc>
              <w:tc>
                <w:tcPr>
                  <w:tcW w:w="1293" w:type="pct"/>
                  <w:noWrap w:val="0"/>
                  <w:vAlign w:val="center"/>
                </w:tcPr>
                <w:p w14:paraId="4E58D11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五日生化需氧量（BOD</w:t>
                  </w:r>
                  <w:r>
                    <w:rPr>
                      <w:rFonts w:hint="default" w:ascii="Times New Roman" w:hAnsi="Times New Roman" w:cs="Times New Roman"/>
                      <w:color w:val="auto"/>
                      <w:szCs w:val="20"/>
                      <w:highlight w:val="none"/>
                      <w:vertAlign w:val="subscript"/>
                    </w:rPr>
                    <w:t>5</w:t>
                  </w:r>
                  <w:r>
                    <w:rPr>
                      <w:rFonts w:hint="default" w:ascii="Times New Roman" w:hAnsi="Times New Roman" w:cs="Times New Roman"/>
                      <w:color w:val="auto"/>
                      <w:szCs w:val="20"/>
                      <w:highlight w:val="none"/>
                    </w:rPr>
                    <w:t>）</w:t>
                  </w:r>
                </w:p>
              </w:tc>
              <w:tc>
                <w:tcPr>
                  <w:tcW w:w="1115" w:type="pct"/>
                  <w:noWrap w:val="0"/>
                  <w:vAlign w:val="center"/>
                </w:tcPr>
                <w:p w14:paraId="0FD105F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10865D5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86C6D7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8843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681458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54</w:t>
                  </w:r>
                </w:p>
              </w:tc>
              <w:tc>
                <w:tcPr>
                  <w:tcW w:w="1293" w:type="pct"/>
                  <w:noWrap w:val="0"/>
                  <w:vAlign w:val="center"/>
                </w:tcPr>
                <w:p w14:paraId="78D318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石油类</w:t>
                  </w:r>
                </w:p>
              </w:tc>
              <w:tc>
                <w:tcPr>
                  <w:tcW w:w="1115" w:type="pct"/>
                  <w:noWrap w:val="0"/>
                  <w:vAlign w:val="center"/>
                </w:tcPr>
                <w:p w14:paraId="6C8ED80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6E1190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E98BE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97746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0" w:hRule="atLeast"/>
                <w:jc w:val="center"/>
              </w:trPr>
              <w:tc>
                <w:tcPr>
                  <w:tcW w:w="375" w:type="pct"/>
                  <w:noWrap w:val="0"/>
                  <w:vAlign w:val="center"/>
                </w:tcPr>
                <w:p w14:paraId="60AB9FE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55</w:t>
                  </w:r>
                </w:p>
              </w:tc>
              <w:tc>
                <w:tcPr>
                  <w:tcW w:w="1293" w:type="pct"/>
                  <w:noWrap w:val="0"/>
                  <w:vAlign w:val="center"/>
                </w:tcPr>
                <w:p w14:paraId="5C09665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贾第鞭毛虫</w:t>
                  </w:r>
                </w:p>
              </w:tc>
              <w:tc>
                <w:tcPr>
                  <w:tcW w:w="1115" w:type="pct"/>
                  <w:vMerge w:val="restart"/>
                  <w:noWrap w:val="0"/>
                  <w:vAlign w:val="center"/>
                </w:tcPr>
                <w:p w14:paraId="74A7F14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0B6B810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restart"/>
                  <w:noWrap w:val="0"/>
                  <w:vAlign w:val="center"/>
                </w:tcPr>
                <w:p w14:paraId="13664D6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《生活饮用水卫生标准》（GB 5749-2022）拓展指标</w:t>
                  </w:r>
                </w:p>
              </w:tc>
            </w:tr>
            <w:tr w14:paraId="45347C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0950B5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56</w:t>
                  </w:r>
                </w:p>
              </w:tc>
              <w:tc>
                <w:tcPr>
                  <w:tcW w:w="1293" w:type="pct"/>
                  <w:noWrap w:val="0"/>
                  <w:vAlign w:val="center"/>
                </w:tcPr>
                <w:p w14:paraId="5427DBA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隐孢子虫</w:t>
                  </w:r>
                </w:p>
              </w:tc>
              <w:tc>
                <w:tcPr>
                  <w:tcW w:w="1115" w:type="pct"/>
                  <w:vMerge w:val="continue"/>
                  <w:noWrap w:val="0"/>
                  <w:vAlign w:val="center"/>
                </w:tcPr>
                <w:p w14:paraId="7B396C9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E2B701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D1BA77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CE13A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375" w:type="pct"/>
                  <w:noWrap w:val="0"/>
                  <w:vAlign w:val="center"/>
                </w:tcPr>
                <w:p w14:paraId="26CD07B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57</w:t>
                  </w:r>
                </w:p>
              </w:tc>
              <w:tc>
                <w:tcPr>
                  <w:tcW w:w="1293" w:type="pct"/>
                  <w:noWrap w:val="0"/>
                  <w:vAlign w:val="center"/>
                </w:tcPr>
                <w:p w14:paraId="74416A3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锑</w:t>
                  </w:r>
                </w:p>
              </w:tc>
              <w:tc>
                <w:tcPr>
                  <w:tcW w:w="1115" w:type="pct"/>
                  <w:noWrap w:val="0"/>
                  <w:vAlign w:val="center"/>
                </w:tcPr>
                <w:p w14:paraId="2EDE126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1502A93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EA9CDD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C401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BB8271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58</w:t>
                  </w:r>
                </w:p>
              </w:tc>
              <w:tc>
                <w:tcPr>
                  <w:tcW w:w="1293" w:type="pct"/>
                  <w:noWrap w:val="0"/>
                  <w:vAlign w:val="center"/>
                </w:tcPr>
                <w:p w14:paraId="420D16F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钡</w:t>
                  </w:r>
                </w:p>
              </w:tc>
              <w:tc>
                <w:tcPr>
                  <w:tcW w:w="1115" w:type="pct"/>
                  <w:vMerge w:val="restart"/>
                  <w:noWrap w:val="0"/>
                  <w:vAlign w:val="center"/>
                </w:tcPr>
                <w:p w14:paraId="7EAD7C4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55DC940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486A7E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B2548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36E0BA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59</w:t>
                  </w:r>
                </w:p>
              </w:tc>
              <w:tc>
                <w:tcPr>
                  <w:tcW w:w="1293" w:type="pct"/>
                  <w:noWrap w:val="0"/>
                  <w:vAlign w:val="center"/>
                </w:tcPr>
                <w:p w14:paraId="44382D9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铍</w:t>
                  </w:r>
                </w:p>
              </w:tc>
              <w:tc>
                <w:tcPr>
                  <w:tcW w:w="1115" w:type="pct"/>
                  <w:vMerge w:val="continue"/>
                  <w:noWrap w:val="0"/>
                  <w:vAlign w:val="center"/>
                </w:tcPr>
                <w:p w14:paraId="2A0C71E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2EA9D94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79BF51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187C8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B786E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60</w:t>
                  </w:r>
                </w:p>
              </w:tc>
              <w:tc>
                <w:tcPr>
                  <w:tcW w:w="1293" w:type="pct"/>
                  <w:noWrap w:val="0"/>
                  <w:vAlign w:val="center"/>
                </w:tcPr>
                <w:p w14:paraId="3971886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硼</w:t>
                  </w:r>
                </w:p>
              </w:tc>
              <w:tc>
                <w:tcPr>
                  <w:tcW w:w="1115" w:type="pct"/>
                  <w:vMerge w:val="continue"/>
                  <w:noWrap w:val="0"/>
                  <w:vAlign w:val="center"/>
                </w:tcPr>
                <w:p w14:paraId="714DD0C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5C41E6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DAFB28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7374E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92F4E6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61</w:t>
                  </w:r>
                </w:p>
              </w:tc>
              <w:tc>
                <w:tcPr>
                  <w:tcW w:w="1293" w:type="pct"/>
                  <w:noWrap w:val="0"/>
                  <w:vAlign w:val="center"/>
                </w:tcPr>
                <w:p w14:paraId="1AFF213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钼</w:t>
                  </w:r>
                </w:p>
              </w:tc>
              <w:tc>
                <w:tcPr>
                  <w:tcW w:w="1115" w:type="pct"/>
                  <w:vMerge w:val="continue"/>
                  <w:noWrap w:val="0"/>
                  <w:vAlign w:val="center"/>
                </w:tcPr>
                <w:p w14:paraId="588F8A9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0B9099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385B7A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A8E1B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E461B8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62</w:t>
                  </w:r>
                </w:p>
              </w:tc>
              <w:tc>
                <w:tcPr>
                  <w:tcW w:w="1293" w:type="pct"/>
                  <w:noWrap w:val="0"/>
                  <w:vAlign w:val="center"/>
                </w:tcPr>
                <w:p w14:paraId="248F603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镍</w:t>
                  </w:r>
                </w:p>
              </w:tc>
              <w:tc>
                <w:tcPr>
                  <w:tcW w:w="1115" w:type="pct"/>
                  <w:vMerge w:val="continue"/>
                  <w:noWrap w:val="0"/>
                  <w:vAlign w:val="center"/>
                </w:tcPr>
                <w:p w14:paraId="3D34B63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2FC527E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720A27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8C183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B5059D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63</w:t>
                  </w:r>
                </w:p>
              </w:tc>
              <w:tc>
                <w:tcPr>
                  <w:tcW w:w="1293" w:type="pct"/>
                  <w:noWrap w:val="0"/>
                  <w:vAlign w:val="center"/>
                </w:tcPr>
                <w:p w14:paraId="0ABC337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银</w:t>
                  </w:r>
                </w:p>
              </w:tc>
              <w:tc>
                <w:tcPr>
                  <w:tcW w:w="1115" w:type="pct"/>
                  <w:vMerge w:val="continue"/>
                  <w:noWrap w:val="0"/>
                  <w:vAlign w:val="center"/>
                </w:tcPr>
                <w:p w14:paraId="6DDEDE1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470EBE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2F508F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F22A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28ABE5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64</w:t>
                  </w:r>
                </w:p>
              </w:tc>
              <w:tc>
                <w:tcPr>
                  <w:tcW w:w="1293" w:type="pct"/>
                  <w:noWrap w:val="0"/>
                  <w:vAlign w:val="center"/>
                </w:tcPr>
                <w:p w14:paraId="212FB5B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铊</w:t>
                  </w:r>
                </w:p>
              </w:tc>
              <w:tc>
                <w:tcPr>
                  <w:tcW w:w="1115" w:type="pct"/>
                  <w:vMerge w:val="continue"/>
                  <w:noWrap w:val="0"/>
                  <w:vAlign w:val="center"/>
                </w:tcPr>
                <w:p w14:paraId="6AC4525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10CE497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A89D2B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4D549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370B5E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65</w:t>
                  </w:r>
                </w:p>
              </w:tc>
              <w:tc>
                <w:tcPr>
                  <w:tcW w:w="1293" w:type="pct"/>
                  <w:noWrap w:val="0"/>
                  <w:vAlign w:val="center"/>
                </w:tcPr>
                <w:p w14:paraId="1237012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硒</w:t>
                  </w:r>
                </w:p>
              </w:tc>
              <w:tc>
                <w:tcPr>
                  <w:tcW w:w="1115" w:type="pct"/>
                  <w:noWrap w:val="0"/>
                  <w:vAlign w:val="center"/>
                </w:tcPr>
                <w:p w14:paraId="22712F0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1B5B24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59AF0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C48D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3E0846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66</w:t>
                  </w:r>
                </w:p>
              </w:tc>
              <w:tc>
                <w:tcPr>
                  <w:tcW w:w="1293" w:type="pct"/>
                  <w:noWrap w:val="0"/>
                  <w:vAlign w:val="center"/>
                </w:tcPr>
                <w:p w14:paraId="55D74DA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高氯酸盐</w:t>
                  </w:r>
                </w:p>
              </w:tc>
              <w:tc>
                <w:tcPr>
                  <w:tcW w:w="1115" w:type="pct"/>
                  <w:noWrap w:val="0"/>
                  <w:vAlign w:val="center"/>
                </w:tcPr>
                <w:p w14:paraId="1656A1B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1907AF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3E9D29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73008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2945ACC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67</w:t>
                  </w:r>
                </w:p>
              </w:tc>
              <w:tc>
                <w:tcPr>
                  <w:tcW w:w="1293" w:type="pct"/>
                  <w:noWrap w:val="0"/>
                  <w:vAlign w:val="center"/>
                </w:tcPr>
                <w:p w14:paraId="4250F5C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二氯甲烷</w:t>
                  </w:r>
                </w:p>
              </w:tc>
              <w:tc>
                <w:tcPr>
                  <w:tcW w:w="1115" w:type="pct"/>
                  <w:vMerge w:val="restart"/>
                  <w:noWrap w:val="0"/>
                  <w:vAlign w:val="center"/>
                </w:tcPr>
                <w:p w14:paraId="7761564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0221B90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599A9E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24C95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F4B315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68</w:t>
                  </w:r>
                </w:p>
              </w:tc>
              <w:tc>
                <w:tcPr>
                  <w:tcW w:w="1293" w:type="pct"/>
                  <w:noWrap w:val="0"/>
                  <w:vAlign w:val="center"/>
                </w:tcPr>
                <w:p w14:paraId="3C36769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1,2-二氯乙烷</w:t>
                  </w:r>
                </w:p>
              </w:tc>
              <w:tc>
                <w:tcPr>
                  <w:tcW w:w="1115" w:type="pct"/>
                  <w:vMerge w:val="continue"/>
                  <w:noWrap w:val="0"/>
                  <w:vAlign w:val="center"/>
                </w:tcPr>
                <w:p w14:paraId="319782A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71C5751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F79C97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AE3E0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D14251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69</w:t>
                  </w:r>
                </w:p>
              </w:tc>
              <w:tc>
                <w:tcPr>
                  <w:tcW w:w="1293" w:type="pct"/>
                  <w:noWrap w:val="0"/>
                  <w:vAlign w:val="center"/>
                </w:tcPr>
                <w:p w14:paraId="2234591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四氯化碳</w:t>
                  </w:r>
                </w:p>
              </w:tc>
              <w:tc>
                <w:tcPr>
                  <w:tcW w:w="1115" w:type="pct"/>
                  <w:vMerge w:val="continue"/>
                  <w:noWrap w:val="0"/>
                  <w:vAlign w:val="center"/>
                </w:tcPr>
                <w:p w14:paraId="78DCCC3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A776A3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2FDEFE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83025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C1FAC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70</w:t>
                  </w:r>
                </w:p>
              </w:tc>
              <w:tc>
                <w:tcPr>
                  <w:tcW w:w="1293" w:type="pct"/>
                  <w:noWrap w:val="0"/>
                  <w:vAlign w:val="center"/>
                </w:tcPr>
                <w:p w14:paraId="7A293AA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氯乙烯</w:t>
                  </w:r>
                </w:p>
              </w:tc>
              <w:tc>
                <w:tcPr>
                  <w:tcW w:w="1115" w:type="pct"/>
                  <w:vMerge w:val="continue"/>
                  <w:noWrap w:val="0"/>
                  <w:vAlign w:val="center"/>
                </w:tcPr>
                <w:p w14:paraId="700413A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A82894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D759DD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AF1C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9AA922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71</w:t>
                  </w:r>
                </w:p>
              </w:tc>
              <w:tc>
                <w:tcPr>
                  <w:tcW w:w="1293" w:type="pct"/>
                  <w:noWrap w:val="0"/>
                  <w:vAlign w:val="center"/>
                </w:tcPr>
                <w:p w14:paraId="29C93F9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1,1-二氯乙烯</w:t>
                  </w:r>
                </w:p>
              </w:tc>
              <w:tc>
                <w:tcPr>
                  <w:tcW w:w="1115" w:type="pct"/>
                  <w:vMerge w:val="continue"/>
                  <w:noWrap w:val="0"/>
                  <w:vAlign w:val="center"/>
                </w:tcPr>
                <w:p w14:paraId="758974E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B8AA71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B9845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EDE41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412C40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72</w:t>
                  </w:r>
                </w:p>
              </w:tc>
              <w:tc>
                <w:tcPr>
                  <w:tcW w:w="1293" w:type="pct"/>
                  <w:noWrap w:val="0"/>
                  <w:vAlign w:val="center"/>
                </w:tcPr>
                <w:p w14:paraId="771B23C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1,2-二氯乙烯（总量）</w:t>
                  </w:r>
                </w:p>
              </w:tc>
              <w:tc>
                <w:tcPr>
                  <w:tcW w:w="1115" w:type="pct"/>
                  <w:vMerge w:val="continue"/>
                  <w:noWrap w:val="0"/>
                  <w:vAlign w:val="center"/>
                </w:tcPr>
                <w:p w14:paraId="7AF9747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0BA7903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BB25C6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43F37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37A9E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73</w:t>
                  </w:r>
                </w:p>
              </w:tc>
              <w:tc>
                <w:tcPr>
                  <w:tcW w:w="1293" w:type="pct"/>
                  <w:noWrap w:val="0"/>
                  <w:vAlign w:val="center"/>
                </w:tcPr>
                <w:p w14:paraId="0F4BFF1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三氯乙烯</w:t>
                  </w:r>
                </w:p>
              </w:tc>
              <w:tc>
                <w:tcPr>
                  <w:tcW w:w="1115" w:type="pct"/>
                  <w:vMerge w:val="continue"/>
                  <w:noWrap w:val="0"/>
                  <w:vAlign w:val="center"/>
                </w:tcPr>
                <w:p w14:paraId="15BF937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1CEC30B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E71200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95F4C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B2C9F4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74</w:t>
                  </w:r>
                </w:p>
              </w:tc>
              <w:tc>
                <w:tcPr>
                  <w:tcW w:w="1293" w:type="pct"/>
                  <w:noWrap w:val="0"/>
                  <w:vAlign w:val="center"/>
                </w:tcPr>
                <w:p w14:paraId="547F9D4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四氯乙烯</w:t>
                  </w:r>
                </w:p>
              </w:tc>
              <w:tc>
                <w:tcPr>
                  <w:tcW w:w="1115" w:type="pct"/>
                  <w:vMerge w:val="continue"/>
                  <w:noWrap w:val="0"/>
                  <w:vAlign w:val="center"/>
                </w:tcPr>
                <w:p w14:paraId="788987A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2F7732C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87E2C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10C35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DA0888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75</w:t>
                  </w:r>
                </w:p>
              </w:tc>
              <w:tc>
                <w:tcPr>
                  <w:tcW w:w="1293" w:type="pct"/>
                  <w:noWrap w:val="0"/>
                  <w:vAlign w:val="center"/>
                </w:tcPr>
                <w:p w14:paraId="46A865A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六氯丁二烯</w:t>
                  </w:r>
                </w:p>
              </w:tc>
              <w:tc>
                <w:tcPr>
                  <w:tcW w:w="1115" w:type="pct"/>
                  <w:vMerge w:val="continue"/>
                  <w:noWrap w:val="0"/>
                  <w:vAlign w:val="center"/>
                </w:tcPr>
                <w:p w14:paraId="280A81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A03984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A13F5B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CE514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6B726BC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76</w:t>
                  </w:r>
                </w:p>
              </w:tc>
              <w:tc>
                <w:tcPr>
                  <w:tcW w:w="1293" w:type="pct"/>
                  <w:noWrap w:val="0"/>
                  <w:vAlign w:val="center"/>
                </w:tcPr>
                <w:p w14:paraId="1E5E4A7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苯</w:t>
                  </w:r>
                </w:p>
              </w:tc>
              <w:tc>
                <w:tcPr>
                  <w:tcW w:w="1115" w:type="pct"/>
                  <w:vMerge w:val="continue"/>
                  <w:noWrap w:val="0"/>
                  <w:vAlign w:val="center"/>
                </w:tcPr>
                <w:p w14:paraId="183F0C4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14AC0B7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022538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61BD3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71DE9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77</w:t>
                  </w:r>
                </w:p>
              </w:tc>
              <w:tc>
                <w:tcPr>
                  <w:tcW w:w="1293" w:type="pct"/>
                  <w:noWrap w:val="0"/>
                  <w:vAlign w:val="center"/>
                </w:tcPr>
                <w:p w14:paraId="1010778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甲苯</w:t>
                  </w:r>
                </w:p>
              </w:tc>
              <w:tc>
                <w:tcPr>
                  <w:tcW w:w="1115" w:type="pct"/>
                  <w:vMerge w:val="continue"/>
                  <w:noWrap w:val="0"/>
                  <w:vAlign w:val="center"/>
                </w:tcPr>
                <w:p w14:paraId="1E69B88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81BAE2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4EC351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975F8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08B815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78</w:t>
                  </w:r>
                </w:p>
              </w:tc>
              <w:tc>
                <w:tcPr>
                  <w:tcW w:w="1293" w:type="pct"/>
                  <w:noWrap w:val="0"/>
                  <w:vAlign w:val="center"/>
                </w:tcPr>
                <w:p w14:paraId="23CFFC7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二甲苯（总量）</w:t>
                  </w:r>
                </w:p>
              </w:tc>
              <w:tc>
                <w:tcPr>
                  <w:tcW w:w="1115" w:type="pct"/>
                  <w:vMerge w:val="continue"/>
                  <w:noWrap w:val="0"/>
                  <w:vAlign w:val="center"/>
                </w:tcPr>
                <w:p w14:paraId="61DD404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BB9812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05D7EF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D92A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3E6CE0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79</w:t>
                  </w:r>
                </w:p>
              </w:tc>
              <w:tc>
                <w:tcPr>
                  <w:tcW w:w="1293" w:type="pct"/>
                  <w:noWrap w:val="0"/>
                  <w:vAlign w:val="center"/>
                </w:tcPr>
                <w:p w14:paraId="757DFF1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苯乙烯</w:t>
                  </w:r>
                </w:p>
              </w:tc>
              <w:tc>
                <w:tcPr>
                  <w:tcW w:w="1115" w:type="pct"/>
                  <w:vMerge w:val="continue"/>
                  <w:noWrap w:val="0"/>
                  <w:vAlign w:val="center"/>
                </w:tcPr>
                <w:p w14:paraId="69F5280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F3162F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EE8679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B50D4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8D659B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80</w:t>
                  </w:r>
                </w:p>
              </w:tc>
              <w:tc>
                <w:tcPr>
                  <w:tcW w:w="1293" w:type="pct"/>
                  <w:noWrap w:val="0"/>
                  <w:vAlign w:val="center"/>
                </w:tcPr>
                <w:p w14:paraId="1D70907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氯苯</w:t>
                  </w:r>
                </w:p>
              </w:tc>
              <w:tc>
                <w:tcPr>
                  <w:tcW w:w="1115" w:type="pct"/>
                  <w:noWrap w:val="0"/>
                  <w:vAlign w:val="center"/>
                </w:tcPr>
                <w:p w14:paraId="6A98975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ascii="Times New Roman" w:hAnsi="Times New Roman" w:eastAsia="宋体" w:cs="Times New Roman"/>
                      <w:color w:val="auto"/>
                      <w:szCs w:val="20"/>
                      <w:highlight w:val="none"/>
                      <w:lang w:val="en-US" w:eastAsia="zh-CN"/>
                    </w:rPr>
                  </w:pPr>
                </w:p>
              </w:tc>
              <w:tc>
                <w:tcPr>
                  <w:tcW w:w="1216" w:type="pct"/>
                  <w:vMerge w:val="continue"/>
                  <w:noWrap w:val="0"/>
                  <w:vAlign w:val="center"/>
                </w:tcPr>
                <w:p w14:paraId="7B0A475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5B8A3E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0E9C3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1E6C12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81</w:t>
                  </w:r>
                </w:p>
              </w:tc>
              <w:tc>
                <w:tcPr>
                  <w:tcW w:w="1293" w:type="pct"/>
                  <w:noWrap w:val="0"/>
                  <w:vAlign w:val="center"/>
                </w:tcPr>
                <w:p w14:paraId="044ADE6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1,4-二氯苯</w:t>
                  </w:r>
                </w:p>
              </w:tc>
              <w:tc>
                <w:tcPr>
                  <w:tcW w:w="1115" w:type="pct"/>
                  <w:vMerge w:val="restart"/>
                  <w:noWrap w:val="0"/>
                  <w:vAlign w:val="center"/>
                </w:tcPr>
                <w:p w14:paraId="39D6FE5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35F6628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BE21C3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ECEB9B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A2AC3E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82</w:t>
                  </w:r>
                </w:p>
              </w:tc>
              <w:tc>
                <w:tcPr>
                  <w:tcW w:w="1293" w:type="pct"/>
                  <w:noWrap w:val="0"/>
                  <w:vAlign w:val="center"/>
                </w:tcPr>
                <w:p w14:paraId="249BFA3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三氯苯（总量）</w:t>
                  </w:r>
                </w:p>
              </w:tc>
              <w:tc>
                <w:tcPr>
                  <w:tcW w:w="1115" w:type="pct"/>
                  <w:vMerge w:val="continue"/>
                  <w:noWrap w:val="0"/>
                  <w:vAlign w:val="center"/>
                </w:tcPr>
                <w:p w14:paraId="33C2AB8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CBD88C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B1957D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06B051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860F8C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83</w:t>
                  </w:r>
                </w:p>
              </w:tc>
              <w:tc>
                <w:tcPr>
                  <w:tcW w:w="1293" w:type="pct"/>
                  <w:noWrap w:val="0"/>
                  <w:vAlign w:val="center"/>
                </w:tcPr>
                <w:p w14:paraId="11555B5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六氯苯</w:t>
                  </w:r>
                </w:p>
              </w:tc>
              <w:tc>
                <w:tcPr>
                  <w:tcW w:w="1115" w:type="pct"/>
                  <w:vMerge w:val="restart"/>
                  <w:noWrap w:val="0"/>
                  <w:vAlign w:val="center"/>
                </w:tcPr>
                <w:p w14:paraId="7FC70E4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restart"/>
                  <w:noWrap w:val="0"/>
                  <w:vAlign w:val="center"/>
                </w:tcPr>
                <w:p w14:paraId="0319247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1B91813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D01E4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C8FBDA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84</w:t>
                  </w:r>
                </w:p>
              </w:tc>
              <w:tc>
                <w:tcPr>
                  <w:tcW w:w="1293" w:type="pct"/>
                  <w:noWrap w:val="0"/>
                  <w:vAlign w:val="center"/>
                </w:tcPr>
                <w:p w14:paraId="7BC2557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七氯</w:t>
                  </w:r>
                </w:p>
              </w:tc>
              <w:tc>
                <w:tcPr>
                  <w:tcW w:w="1115" w:type="pct"/>
                  <w:vMerge w:val="continue"/>
                  <w:noWrap w:val="0"/>
                  <w:vAlign w:val="center"/>
                </w:tcPr>
                <w:p w14:paraId="1E7798D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6ED3C0C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E2941D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DA89F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70EC88D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85</w:t>
                  </w:r>
                </w:p>
              </w:tc>
              <w:tc>
                <w:tcPr>
                  <w:tcW w:w="1293" w:type="pct"/>
                  <w:noWrap w:val="0"/>
                  <w:vAlign w:val="center"/>
                </w:tcPr>
                <w:p w14:paraId="4B0293D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马拉硫磷</w:t>
                  </w:r>
                </w:p>
              </w:tc>
              <w:tc>
                <w:tcPr>
                  <w:tcW w:w="1115" w:type="pct"/>
                  <w:vMerge w:val="continue"/>
                  <w:noWrap w:val="0"/>
                  <w:vAlign w:val="center"/>
                </w:tcPr>
                <w:p w14:paraId="16EDBAD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45B4220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59AFC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10D8E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78A97E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86</w:t>
                  </w:r>
                </w:p>
              </w:tc>
              <w:tc>
                <w:tcPr>
                  <w:tcW w:w="1293" w:type="pct"/>
                  <w:noWrap w:val="0"/>
                  <w:vAlign w:val="center"/>
                </w:tcPr>
                <w:p w14:paraId="5A64FA8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乐果</w:t>
                  </w:r>
                </w:p>
              </w:tc>
              <w:tc>
                <w:tcPr>
                  <w:tcW w:w="1115" w:type="pct"/>
                  <w:vMerge w:val="continue"/>
                  <w:noWrap w:val="0"/>
                  <w:vAlign w:val="center"/>
                </w:tcPr>
                <w:p w14:paraId="73AE1DC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vMerge w:val="continue"/>
                  <w:noWrap w:val="0"/>
                  <w:vAlign w:val="center"/>
                </w:tcPr>
                <w:p w14:paraId="543F07D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36C485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182E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7B1B58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87</w:t>
                  </w:r>
                </w:p>
              </w:tc>
              <w:tc>
                <w:tcPr>
                  <w:tcW w:w="1293" w:type="pct"/>
                  <w:noWrap w:val="0"/>
                  <w:vAlign w:val="center"/>
                </w:tcPr>
                <w:p w14:paraId="115360A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灭草松</w:t>
                  </w:r>
                </w:p>
              </w:tc>
              <w:tc>
                <w:tcPr>
                  <w:tcW w:w="1115" w:type="pct"/>
                  <w:noWrap w:val="0"/>
                  <w:vAlign w:val="center"/>
                </w:tcPr>
                <w:p w14:paraId="38995C0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540657A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A0694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CEA48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79EB7EE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88</w:t>
                  </w:r>
                </w:p>
              </w:tc>
              <w:tc>
                <w:tcPr>
                  <w:tcW w:w="1293" w:type="pct"/>
                  <w:noWrap w:val="0"/>
                  <w:vAlign w:val="center"/>
                </w:tcPr>
                <w:p w14:paraId="5763F39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百菌清</w:t>
                  </w:r>
                </w:p>
              </w:tc>
              <w:tc>
                <w:tcPr>
                  <w:tcW w:w="1115" w:type="pct"/>
                  <w:noWrap w:val="0"/>
                  <w:vAlign w:val="center"/>
                </w:tcPr>
                <w:p w14:paraId="42337BB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27294AE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9D990E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01B3A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42A94FC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89</w:t>
                  </w:r>
                </w:p>
              </w:tc>
              <w:tc>
                <w:tcPr>
                  <w:tcW w:w="1293" w:type="pct"/>
                  <w:noWrap w:val="0"/>
                  <w:vAlign w:val="center"/>
                </w:tcPr>
                <w:p w14:paraId="475D642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呋喃丹</w:t>
                  </w:r>
                </w:p>
              </w:tc>
              <w:tc>
                <w:tcPr>
                  <w:tcW w:w="1115" w:type="pct"/>
                  <w:noWrap w:val="0"/>
                  <w:vAlign w:val="center"/>
                </w:tcPr>
                <w:p w14:paraId="11A5789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544A45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BAA20A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9613C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B7B111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90</w:t>
                  </w:r>
                </w:p>
              </w:tc>
              <w:tc>
                <w:tcPr>
                  <w:tcW w:w="1293" w:type="pct"/>
                  <w:noWrap w:val="0"/>
                  <w:vAlign w:val="center"/>
                </w:tcPr>
                <w:p w14:paraId="3E2A280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毒死蜱</w:t>
                  </w:r>
                </w:p>
              </w:tc>
              <w:tc>
                <w:tcPr>
                  <w:tcW w:w="1115" w:type="pct"/>
                  <w:noWrap w:val="0"/>
                  <w:vAlign w:val="center"/>
                </w:tcPr>
                <w:p w14:paraId="7D9294E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4343F4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971F21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57DEE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CFEA94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91</w:t>
                  </w:r>
                </w:p>
              </w:tc>
              <w:tc>
                <w:tcPr>
                  <w:tcW w:w="1293" w:type="pct"/>
                  <w:noWrap w:val="0"/>
                  <w:vAlign w:val="center"/>
                </w:tcPr>
                <w:p w14:paraId="664F334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草甘膦</w:t>
                  </w:r>
                </w:p>
              </w:tc>
              <w:tc>
                <w:tcPr>
                  <w:tcW w:w="1115" w:type="pct"/>
                  <w:noWrap w:val="0"/>
                  <w:vAlign w:val="center"/>
                </w:tcPr>
                <w:p w14:paraId="6402CB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1B6DE8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26CC054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F71D8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2F2845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92</w:t>
                  </w:r>
                </w:p>
              </w:tc>
              <w:tc>
                <w:tcPr>
                  <w:tcW w:w="1293" w:type="pct"/>
                  <w:noWrap w:val="0"/>
                  <w:vAlign w:val="center"/>
                </w:tcPr>
                <w:p w14:paraId="1C17448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敌敌畏</w:t>
                  </w:r>
                </w:p>
              </w:tc>
              <w:tc>
                <w:tcPr>
                  <w:tcW w:w="1115" w:type="pct"/>
                  <w:noWrap w:val="0"/>
                  <w:vAlign w:val="center"/>
                </w:tcPr>
                <w:p w14:paraId="3F285B0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2414043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C1EC86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452F8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69C759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93</w:t>
                  </w:r>
                </w:p>
              </w:tc>
              <w:tc>
                <w:tcPr>
                  <w:tcW w:w="1293" w:type="pct"/>
                  <w:noWrap w:val="0"/>
                  <w:vAlign w:val="center"/>
                </w:tcPr>
                <w:p w14:paraId="6A10ECF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莠去津</w:t>
                  </w:r>
                </w:p>
              </w:tc>
              <w:tc>
                <w:tcPr>
                  <w:tcW w:w="1115" w:type="pct"/>
                  <w:noWrap w:val="0"/>
                  <w:vAlign w:val="center"/>
                </w:tcPr>
                <w:p w14:paraId="3DF2ED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559BE1F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F96EC6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2ED47A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1C507DA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94</w:t>
                  </w:r>
                </w:p>
              </w:tc>
              <w:tc>
                <w:tcPr>
                  <w:tcW w:w="1293" w:type="pct"/>
                  <w:noWrap w:val="0"/>
                  <w:vAlign w:val="center"/>
                </w:tcPr>
                <w:p w14:paraId="0A93879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溴氰菊酯</w:t>
                  </w:r>
                  <w:r>
                    <w:rPr>
                      <w:rFonts w:hint="default" w:ascii="Times New Roman" w:hAnsi="Times New Roman" w:cs="Times New Roman"/>
                      <w:color w:val="auto"/>
                      <w:szCs w:val="20"/>
                      <w:highlight w:val="none"/>
                    </w:rPr>
                    <w:drawing>
                      <wp:inline distT="0" distB="0" distL="114300" distR="114300">
                        <wp:extent cx="152400" cy="152400"/>
                        <wp:effectExtent l="0" t="0" r="0" b="0"/>
                        <wp:docPr id="8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 descr="IMG_257"/>
                                <pic:cNvPicPr>
                                  <a:picLocks noChangeAspect="1"/>
                                </pic:cNvPicPr>
                              </pic:nvPicPr>
                              <pic:blipFill>
                                <a:blip r:embed="rId18"/>
                                <a:stretch>
                                  <a:fillRect/>
                                </a:stretch>
                              </pic:blipFill>
                              <pic:spPr>
                                <a:xfrm>
                                  <a:off x="0" y="0"/>
                                  <a:ext cx="152400" cy="152400"/>
                                </a:xfrm>
                                <a:prstGeom prst="rect">
                                  <a:avLst/>
                                </a:prstGeom>
                                <a:noFill/>
                                <a:ln w="9525">
                                  <a:noFill/>
                                </a:ln>
                              </pic:spPr>
                            </pic:pic>
                          </a:graphicData>
                        </a:graphic>
                      </wp:inline>
                    </w:drawing>
                  </w:r>
                </w:p>
              </w:tc>
              <w:tc>
                <w:tcPr>
                  <w:tcW w:w="1115" w:type="pct"/>
                  <w:noWrap w:val="0"/>
                  <w:vAlign w:val="center"/>
                </w:tcPr>
                <w:p w14:paraId="791E3B4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CC9CF8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148248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E7968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0C146F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95</w:t>
                  </w:r>
                </w:p>
              </w:tc>
              <w:tc>
                <w:tcPr>
                  <w:tcW w:w="1293" w:type="pct"/>
                  <w:noWrap w:val="0"/>
                  <w:vAlign w:val="center"/>
                </w:tcPr>
                <w:p w14:paraId="4898787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2,4-滴</w:t>
                  </w:r>
                </w:p>
              </w:tc>
              <w:tc>
                <w:tcPr>
                  <w:tcW w:w="1115" w:type="pct"/>
                  <w:noWrap w:val="0"/>
                  <w:vAlign w:val="center"/>
                </w:tcPr>
                <w:p w14:paraId="6562DC4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B450F2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F73300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760B6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20FF3F7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96</w:t>
                  </w:r>
                </w:p>
              </w:tc>
              <w:tc>
                <w:tcPr>
                  <w:tcW w:w="1293" w:type="pct"/>
                  <w:noWrap w:val="0"/>
                  <w:vAlign w:val="center"/>
                </w:tcPr>
                <w:p w14:paraId="7F4A169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乙草胺</w:t>
                  </w:r>
                </w:p>
              </w:tc>
              <w:tc>
                <w:tcPr>
                  <w:tcW w:w="1115" w:type="pct"/>
                  <w:noWrap w:val="0"/>
                  <w:vAlign w:val="center"/>
                </w:tcPr>
                <w:p w14:paraId="5580DFB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38D503C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5B946D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1F1E3E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C0F85A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97</w:t>
                  </w:r>
                </w:p>
              </w:tc>
              <w:tc>
                <w:tcPr>
                  <w:tcW w:w="1293" w:type="pct"/>
                  <w:noWrap w:val="0"/>
                  <w:vAlign w:val="center"/>
                </w:tcPr>
                <w:p w14:paraId="2FE09FA5">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五氯酚</w:t>
                  </w:r>
                </w:p>
              </w:tc>
              <w:tc>
                <w:tcPr>
                  <w:tcW w:w="1115" w:type="pct"/>
                  <w:noWrap w:val="0"/>
                  <w:vAlign w:val="center"/>
                </w:tcPr>
                <w:p w14:paraId="029F884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1C7DB61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475E2F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819EC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333C9CF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98</w:t>
                  </w:r>
                </w:p>
              </w:tc>
              <w:tc>
                <w:tcPr>
                  <w:tcW w:w="1293" w:type="pct"/>
                  <w:noWrap w:val="0"/>
                  <w:vAlign w:val="center"/>
                </w:tcPr>
                <w:p w14:paraId="4C5AA27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2,4,6-三氯酚</w:t>
                  </w:r>
                </w:p>
              </w:tc>
              <w:tc>
                <w:tcPr>
                  <w:tcW w:w="1115" w:type="pct"/>
                  <w:noWrap w:val="0"/>
                  <w:vAlign w:val="center"/>
                </w:tcPr>
                <w:p w14:paraId="00DA8BD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32F6D1D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8E3758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403D25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3" w:hRule="atLeast"/>
                <w:jc w:val="center"/>
              </w:trPr>
              <w:tc>
                <w:tcPr>
                  <w:tcW w:w="375" w:type="pct"/>
                  <w:noWrap w:val="0"/>
                  <w:vAlign w:val="center"/>
                </w:tcPr>
                <w:p w14:paraId="755D554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99</w:t>
                  </w:r>
                </w:p>
              </w:tc>
              <w:tc>
                <w:tcPr>
                  <w:tcW w:w="1293" w:type="pct"/>
                  <w:noWrap w:val="0"/>
                  <w:vAlign w:val="center"/>
                </w:tcPr>
                <w:p w14:paraId="2615ACB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苯并</w:t>
                  </w:r>
                  <w:r>
                    <w:rPr>
                      <w:rFonts w:hint="default" w:ascii="Times New Roman" w:hAnsi="Times New Roman" w:cs="Times New Roman"/>
                      <w:color w:val="auto"/>
                      <w:szCs w:val="20"/>
                      <w:highlight w:val="none"/>
                      <w:shd w:val="clear" w:fill="FFFFFF"/>
                    </w:rPr>
                    <w:t>(</w:t>
                  </w:r>
                  <w:r>
                    <w:rPr>
                      <w:rFonts w:hint="default" w:ascii="Times New Roman" w:hAnsi="Times New Roman" w:cs="Times New Roman"/>
                      <w:color w:val="auto"/>
                      <w:szCs w:val="20"/>
                      <w:highlight w:val="none"/>
                    </w:rPr>
                    <w:t>a</w:t>
                  </w:r>
                  <w:r>
                    <w:rPr>
                      <w:rFonts w:hint="default" w:ascii="Times New Roman" w:hAnsi="Times New Roman" w:cs="Times New Roman"/>
                      <w:color w:val="auto"/>
                      <w:szCs w:val="20"/>
                      <w:highlight w:val="none"/>
                      <w:shd w:val="clear" w:fill="FFFFFF"/>
                    </w:rPr>
                    <w:t>)</w:t>
                  </w:r>
                  <w:r>
                    <w:rPr>
                      <w:rFonts w:hint="default" w:ascii="Times New Roman" w:hAnsi="Times New Roman" w:cs="Times New Roman"/>
                      <w:color w:val="auto"/>
                      <w:szCs w:val="20"/>
                      <w:highlight w:val="none"/>
                    </w:rPr>
                    <w:t>芘</w:t>
                  </w:r>
                </w:p>
              </w:tc>
              <w:tc>
                <w:tcPr>
                  <w:tcW w:w="1115" w:type="pct"/>
                  <w:noWrap w:val="0"/>
                  <w:vAlign w:val="center"/>
                </w:tcPr>
                <w:p w14:paraId="291C4E0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7C65FEF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5505B94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238F30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28A54E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100</w:t>
                  </w:r>
                </w:p>
              </w:tc>
              <w:tc>
                <w:tcPr>
                  <w:tcW w:w="1293" w:type="pct"/>
                  <w:noWrap w:val="0"/>
                  <w:vAlign w:val="center"/>
                </w:tcPr>
                <w:p w14:paraId="2D11097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邻苯二甲酸二</w:t>
                  </w:r>
                  <w:r>
                    <w:rPr>
                      <w:rFonts w:hint="default" w:ascii="Times New Roman" w:hAnsi="Times New Roman" w:cs="Times New Roman"/>
                      <w:color w:val="auto"/>
                      <w:szCs w:val="20"/>
                      <w:highlight w:val="none"/>
                      <w:shd w:val="clear" w:fill="FFFFFF"/>
                    </w:rPr>
                    <w:t>(</w:t>
                  </w:r>
                  <w:r>
                    <w:rPr>
                      <w:rFonts w:hint="default" w:ascii="Times New Roman" w:hAnsi="Times New Roman" w:cs="Times New Roman"/>
                      <w:color w:val="auto"/>
                      <w:szCs w:val="20"/>
                      <w:highlight w:val="none"/>
                    </w:rPr>
                    <w:t>2</w:t>
                  </w:r>
                  <w:r>
                    <w:rPr>
                      <w:rFonts w:hint="default" w:ascii="Times New Roman" w:hAnsi="Times New Roman" w:cs="Times New Roman"/>
                      <w:color w:val="auto"/>
                      <w:szCs w:val="20"/>
                      <w:highlight w:val="none"/>
                      <w:shd w:val="clear" w:fill="FFFFFF"/>
                    </w:rPr>
                    <w:t>-</w:t>
                  </w:r>
                  <w:r>
                    <w:rPr>
                      <w:rFonts w:hint="default" w:ascii="Times New Roman" w:hAnsi="Times New Roman" w:cs="Times New Roman"/>
                      <w:color w:val="auto"/>
                      <w:szCs w:val="20"/>
                      <w:highlight w:val="none"/>
                    </w:rPr>
                    <w:t>乙基己基）酯</w:t>
                  </w:r>
                </w:p>
              </w:tc>
              <w:tc>
                <w:tcPr>
                  <w:tcW w:w="1115" w:type="pct"/>
                  <w:noWrap w:val="0"/>
                  <w:vAlign w:val="center"/>
                </w:tcPr>
                <w:p w14:paraId="39BCB65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6368E9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3E3720E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37B8FA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3B753B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101</w:t>
                  </w:r>
                </w:p>
              </w:tc>
              <w:tc>
                <w:tcPr>
                  <w:tcW w:w="1293" w:type="pct"/>
                  <w:noWrap w:val="0"/>
                  <w:vAlign w:val="center"/>
                </w:tcPr>
                <w:p w14:paraId="0CCB275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丙烯酰胺</w:t>
                  </w:r>
                </w:p>
              </w:tc>
              <w:tc>
                <w:tcPr>
                  <w:tcW w:w="1115" w:type="pct"/>
                  <w:noWrap w:val="0"/>
                  <w:vAlign w:val="center"/>
                </w:tcPr>
                <w:p w14:paraId="6464243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376E1A1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7F16E4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C7F5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5F18133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102</w:t>
                  </w:r>
                </w:p>
              </w:tc>
              <w:tc>
                <w:tcPr>
                  <w:tcW w:w="1293" w:type="pct"/>
                  <w:noWrap w:val="0"/>
                  <w:vAlign w:val="center"/>
                </w:tcPr>
                <w:p w14:paraId="4E512CB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环氧氯丙烷</w:t>
                  </w:r>
                </w:p>
              </w:tc>
              <w:tc>
                <w:tcPr>
                  <w:tcW w:w="1115" w:type="pct"/>
                  <w:noWrap w:val="0"/>
                  <w:vAlign w:val="center"/>
                </w:tcPr>
                <w:p w14:paraId="1EF42C2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50B0A64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1A3F0E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FFD71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72179CA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103</w:t>
                  </w:r>
                </w:p>
              </w:tc>
              <w:tc>
                <w:tcPr>
                  <w:tcW w:w="1293" w:type="pct"/>
                  <w:noWrap w:val="0"/>
                  <w:vAlign w:val="center"/>
                </w:tcPr>
                <w:p w14:paraId="5E94C81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微囊藻毒素-LR（藻类暴发情况发生时）</w:t>
                  </w:r>
                </w:p>
              </w:tc>
              <w:tc>
                <w:tcPr>
                  <w:tcW w:w="1115" w:type="pct"/>
                  <w:noWrap w:val="0"/>
                  <w:vAlign w:val="center"/>
                </w:tcPr>
                <w:p w14:paraId="066859F6">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C89F09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036E3E4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72E8E2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4D683C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104</w:t>
                  </w:r>
                </w:p>
              </w:tc>
              <w:tc>
                <w:tcPr>
                  <w:tcW w:w="1293" w:type="pct"/>
                  <w:noWrap w:val="0"/>
                  <w:vAlign w:val="center"/>
                </w:tcPr>
                <w:p w14:paraId="57170FD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钠</w:t>
                  </w:r>
                </w:p>
              </w:tc>
              <w:tc>
                <w:tcPr>
                  <w:tcW w:w="1115" w:type="pct"/>
                  <w:noWrap w:val="0"/>
                  <w:vAlign w:val="center"/>
                </w:tcPr>
                <w:p w14:paraId="2D3846D8">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11620B4">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4426FB9E">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78AD3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95" w:hRule="atLeast"/>
                <w:jc w:val="center"/>
              </w:trPr>
              <w:tc>
                <w:tcPr>
                  <w:tcW w:w="375" w:type="pct"/>
                  <w:noWrap w:val="0"/>
                  <w:vAlign w:val="center"/>
                </w:tcPr>
                <w:p w14:paraId="038C176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105</w:t>
                  </w:r>
                </w:p>
              </w:tc>
              <w:tc>
                <w:tcPr>
                  <w:tcW w:w="1293" w:type="pct"/>
                  <w:noWrap w:val="0"/>
                  <w:vAlign w:val="center"/>
                </w:tcPr>
                <w:p w14:paraId="7D5100B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挥发酚类（以苯酚计）</w:t>
                  </w:r>
                </w:p>
              </w:tc>
              <w:tc>
                <w:tcPr>
                  <w:tcW w:w="1115" w:type="pct"/>
                  <w:noWrap w:val="0"/>
                  <w:vAlign w:val="center"/>
                </w:tcPr>
                <w:p w14:paraId="33B3D4C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613EDFE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789FE827">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16EC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3" w:hRule="atLeast"/>
                <w:jc w:val="center"/>
              </w:trPr>
              <w:tc>
                <w:tcPr>
                  <w:tcW w:w="375" w:type="pct"/>
                  <w:noWrap w:val="0"/>
                  <w:vAlign w:val="center"/>
                </w:tcPr>
                <w:p w14:paraId="3A93A08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106</w:t>
                  </w:r>
                </w:p>
              </w:tc>
              <w:tc>
                <w:tcPr>
                  <w:tcW w:w="1293" w:type="pct"/>
                  <w:noWrap w:val="0"/>
                  <w:vAlign w:val="center"/>
                </w:tcPr>
                <w:p w14:paraId="495B529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rPr>
                    <w:t>阴离子合成洗涤剂</w:t>
                  </w:r>
                </w:p>
              </w:tc>
              <w:tc>
                <w:tcPr>
                  <w:tcW w:w="1115" w:type="pct"/>
                  <w:noWrap w:val="0"/>
                  <w:vAlign w:val="center"/>
                </w:tcPr>
                <w:p w14:paraId="20184CF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1216" w:type="pct"/>
                  <w:noWrap w:val="0"/>
                  <w:vAlign w:val="center"/>
                </w:tcPr>
                <w:p w14:paraId="0A03936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c>
                <w:tcPr>
                  <w:tcW w:w="999" w:type="pct"/>
                  <w:vMerge w:val="continue"/>
                  <w:noWrap w:val="0"/>
                  <w:vAlign w:val="center"/>
                </w:tcPr>
                <w:p w14:paraId="6947C81A">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600312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3" w:hRule="atLeast"/>
                <w:jc w:val="center"/>
              </w:trPr>
              <w:tc>
                <w:tcPr>
                  <w:tcW w:w="375" w:type="pct"/>
                  <w:noWrap w:val="0"/>
                  <w:vAlign w:val="center"/>
                </w:tcPr>
                <w:p w14:paraId="0E3832A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107</w:t>
                  </w:r>
                </w:p>
              </w:tc>
              <w:tc>
                <w:tcPr>
                  <w:tcW w:w="1293" w:type="pct"/>
                  <w:noWrap w:val="0"/>
                  <w:vAlign w:val="center"/>
                </w:tcPr>
                <w:p w14:paraId="0AB1AF4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2-甲基异莰醇</w:t>
                  </w:r>
                </w:p>
              </w:tc>
              <w:tc>
                <w:tcPr>
                  <w:tcW w:w="1115" w:type="pct"/>
                  <w:noWrap w:val="0"/>
                  <w:vAlign w:val="center"/>
                </w:tcPr>
                <w:p w14:paraId="1346D1D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rPr>
                  </w:pPr>
                </w:p>
              </w:tc>
              <w:tc>
                <w:tcPr>
                  <w:tcW w:w="1216" w:type="pct"/>
                  <w:noWrap w:val="0"/>
                  <w:vAlign w:val="center"/>
                </w:tcPr>
                <w:p w14:paraId="62DA7383">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rPr>
                  </w:pPr>
                </w:p>
              </w:tc>
              <w:tc>
                <w:tcPr>
                  <w:tcW w:w="999" w:type="pct"/>
                  <w:vMerge w:val="continue"/>
                  <w:noWrap w:val="0"/>
                  <w:vAlign w:val="center"/>
                </w:tcPr>
                <w:p w14:paraId="349D4C32">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ascii="Times New Roman" w:hAnsi="Times New Roman" w:cs="Times New Roman"/>
                      <w:color w:val="auto"/>
                      <w:szCs w:val="20"/>
                      <w:highlight w:val="none"/>
                      <w:lang w:val="en-US" w:eastAsia="zh-CN"/>
                    </w:rPr>
                  </w:pPr>
                </w:p>
              </w:tc>
            </w:tr>
            <w:tr w14:paraId="533110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170" w:hRule="atLeast"/>
                <w:jc w:val="center"/>
              </w:trPr>
              <w:tc>
                <w:tcPr>
                  <w:tcW w:w="5000" w:type="pct"/>
                  <w:gridSpan w:val="5"/>
                  <w:noWrap w:val="0"/>
                  <w:vAlign w:val="center"/>
                </w:tcPr>
                <w:p w14:paraId="40E78699">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line="320" w:lineRule="exact"/>
                    <w:ind w:right="0"/>
                    <w:jc w:val="both"/>
                    <w:textAlignment w:val="auto"/>
                    <w:rPr>
                      <w:rFonts w:hint="default" w:ascii="Times New Roman" w:hAnsi="Times New Roman" w:cs="Times New Roman"/>
                      <w:color w:val="auto"/>
                      <w:szCs w:val="20"/>
                      <w:highlight w:val="none"/>
                      <w:lang w:val="en-US" w:eastAsia="zh-CN"/>
                    </w:rPr>
                  </w:pPr>
                  <w:r>
                    <w:rPr>
                      <w:rFonts w:hint="eastAsia" w:cs="Times New Roman"/>
                      <w:b/>
                      <w:bCs/>
                      <w:color w:val="auto"/>
                      <w:sz w:val="18"/>
                      <w:szCs w:val="16"/>
                      <w:highlight w:val="none"/>
                      <w:lang w:val="en-US" w:eastAsia="zh-CN"/>
                    </w:rPr>
                    <w:t>注：表中序号7及序号65均为</w:t>
                  </w:r>
                  <w:r>
                    <w:rPr>
                      <w:rFonts w:hint="eastAsia" w:cs="Times New Roman"/>
                      <w:b/>
                      <w:bCs/>
                      <w:color w:val="auto"/>
                      <w:sz w:val="18"/>
                      <w:szCs w:val="16"/>
                      <w:highlight w:val="none"/>
                      <w:lang w:eastAsia="zh-CN"/>
                    </w:rPr>
                    <w:t>“</w:t>
                  </w:r>
                  <w:r>
                    <w:rPr>
                      <w:rFonts w:hint="default" w:ascii="Times New Roman" w:hAnsi="Times New Roman" w:cs="Times New Roman"/>
                      <w:b/>
                      <w:bCs/>
                      <w:color w:val="auto"/>
                      <w:sz w:val="18"/>
                      <w:szCs w:val="16"/>
                      <w:highlight w:val="none"/>
                    </w:rPr>
                    <w:t>硒</w:t>
                  </w:r>
                  <w:r>
                    <w:rPr>
                      <w:rFonts w:hint="eastAsia" w:cs="Times New Roman"/>
                      <w:b/>
                      <w:bCs/>
                      <w:color w:val="auto"/>
                      <w:sz w:val="18"/>
                      <w:szCs w:val="16"/>
                      <w:highlight w:val="none"/>
                      <w:lang w:eastAsia="zh-CN"/>
                    </w:rPr>
                    <w:t>”，</w:t>
                  </w:r>
                  <w:r>
                    <w:rPr>
                      <w:rFonts w:hint="eastAsia" w:cs="Times New Roman"/>
                      <w:b/>
                      <w:bCs/>
                      <w:color w:val="auto"/>
                      <w:sz w:val="18"/>
                      <w:szCs w:val="16"/>
                      <w:highlight w:val="none"/>
                      <w:lang w:val="en-US" w:eastAsia="zh-CN"/>
                    </w:rPr>
                    <w:t>检测因子为106项。</w:t>
                  </w:r>
                </w:p>
              </w:tc>
            </w:tr>
          </w:tbl>
          <w:p w14:paraId="507B288A">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平面布局</w:t>
            </w:r>
          </w:p>
          <w:p w14:paraId="25C7FD4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本项目位于</w:t>
            </w:r>
            <w:r>
              <w:rPr>
                <w:rFonts w:hint="default" w:ascii="Times New Roman" w:hAnsi="Times New Roman" w:cs="Times New Roman"/>
                <w:color w:val="auto"/>
                <w:sz w:val="24"/>
                <w:szCs w:val="24"/>
                <w:highlight w:val="none"/>
                <w:u w:val="none"/>
              </w:rPr>
              <w:t>福建省</w:t>
            </w:r>
            <w:r>
              <w:rPr>
                <w:rFonts w:hint="default" w:ascii="Times New Roman" w:hAnsi="Times New Roman" w:cs="Times New Roman"/>
                <w:color w:val="auto"/>
                <w:sz w:val="24"/>
                <w:szCs w:val="24"/>
                <w:highlight w:val="none"/>
                <w:u w:val="none"/>
                <w:lang w:eastAsia="zh-CN"/>
              </w:rPr>
              <w:t>福州市福清市融侨经济技术开发区洪宽工业村</w:t>
            </w:r>
            <w:r>
              <w:rPr>
                <w:rFonts w:hint="default" w:ascii="Times New Roman" w:hAnsi="Times New Roman" w:cs="Times New Roman"/>
                <w:color w:val="auto"/>
                <w:sz w:val="24"/>
                <w:szCs w:val="24"/>
                <w:highlight w:val="none"/>
                <w:u w:val="none"/>
              </w:rPr>
              <w:t>（租赁</w:t>
            </w:r>
            <w:r>
              <w:rPr>
                <w:rFonts w:hint="default" w:ascii="Times New Roman" w:hAnsi="Times New Roman" w:cs="Times New Roman"/>
                <w:color w:val="auto"/>
                <w:sz w:val="24"/>
                <w:szCs w:val="24"/>
                <w:highlight w:val="none"/>
                <w:u w:val="none"/>
                <w:lang w:eastAsia="zh-CN"/>
              </w:rPr>
              <w:t>福清洪金机械有限</w:t>
            </w:r>
            <w:r>
              <w:rPr>
                <w:rFonts w:hint="eastAsia" w:cs="Times New Roman"/>
                <w:color w:val="auto"/>
                <w:sz w:val="24"/>
                <w:szCs w:val="24"/>
                <w:highlight w:val="none"/>
                <w:u w:val="none"/>
                <w:lang w:eastAsia="zh-CN"/>
              </w:rPr>
              <w:t>公司办公科研楼</w:t>
            </w:r>
            <w:r>
              <w:rPr>
                <w:rFonts w:hint="default" w:ascii="Times New Roman" w:hAnsi="Times New Roman" w:cs="Times New Roman"/>
                <w:color w:val="auto"/>
                <w:sz w:val="24"/>
                <w:szCs w:val="24"/>
                <w:highlight w:val="none"/>
                <w:u w:val="none"/>
                <w:lang w:eastAsia="zh-CN"/>
              </w:rPr>
              <w:t>4层、5层</w:t>
            </w:r>
            <w:r>
              <w:rPr>
                <w:rFonts w:hint="default" w:ascii="Times New Roman" w:hAnsi="Times New Roman" w:cs="Times New Roman"/>
                <w:color w:val="auto"/>
                <w:sz w:val="24"/>
                <w:szCs w:val="24"/>
                <w:highlight w:val="none"/>
                <w:u w:val="none"/>
              </w:rPr>
              <w:t>）</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kern w:val="2"/>
                <w:sz w:val="24"/>
                <w:szCs w:val="24"/>
                <w:highlight w:val="none"/>
                <w:lang w:val="en-US" w:eastAsia="zh-CN"/>
              </w:rPr>
              <w:t>项目平面布局根据实验工艺需要，办公区与实验区功能分区明确，紧凑合理，能够满足实验和办公需求。</w:t>
            </w:r>
            <w:r>
              <w:rPr>
                <w:rFonts w:hint="default" w:ascii="Times New Roman" w:hAnsi="Times New Roman" w:cs="Times New Roman"/>
                <w:color w:val="auto"/>
                <w:sz w:val="24"/>
                <w:highlight w:val="none"/>
              </w:rPr>
              <w:t>项目基本上按照</w:t>
            </w:r>
            <w:r>
              <w:rPr>
                <w:rFonts w:hint="default" w:ascii="Times New Roman" w:hAnsi="Times New Roman" w:cs="Times New Roman"/>
                <w:color w:val="auto"/>
                <w:sz w:val="24"/>
                <w:highlight w:val="none"/>
                <w:lang w:val="en-US" w:eastAsia="zh-CN"/>
              </w:rPr>
              <w:t>试验</w:t>
            </w:r>
            <w:r>
              <w:rPr>
                <w:rFonts w:hint="default" w:ascii="Times New Roman" w:hAnsi="Times New Roman" w:cs="Times New Roman"/>
                <w:color w:val="auto"/>
                <w:sz w:val="24"/>
                <w:highlight w:val="none"/>
              </w:rPr>
              <w:t>流程进行平面布局，项目的平面布局充分考虑了功能区分、交通组织，主要公建设施布局合理，且对污染防治均采取了有效防治措施；</w:t>
            </w:r>
            <w:r>
              <w:rPr>
                <w:rFonts w:hint="default" w:ascii="Times New Roman" w:hAnsi="Times New Roman" w:eastAsia="宋体" w:cs="Times New Roman"/>
                <w:color w:val="auto"/>
                <w:spacing w:val="2"/>
                <w:sz w:val="24"/>
                <w:szCs w:val="24"/>
                <w:highlight w:val="none"/>
              </w:rPr>
              <w:t>项目噪声级较高的设备</w:t>
            </w:r>
            <w:r>
              <w:rPr>
                <w:rFonts w:hint="default" w:ascii="Times New Roman" w:hAnsi="Times New Roman" w:cs="Times New Roman"/>
                <w:color w:val="auto"/>
                <w:spacing w:val="2"/>
                <w:sz w:val="24"/>
                <w:szCs w:val="24"/>
                <w:highlight w:val="none"/>
                <w:lang w:val="en-US" w:eastAsia="zh-CN"/>
              </w:rPr>
              <w:t>均</w:t>
            </w:r>
            <w:r>
              <w:rPr>
                <w:rFonts w:hint="default" w:ascii="Times New Roman" w:hAnsi="Times New Roman" w:eastAsia="宋体" w:cs="Times New Roman"/>
                <w:color w:val="auto"/>
                <w:spacing w:val="2"/>
                <w:sz w:val="24"/>
                <w:szCs w:val="24"/>
                <w:highlight w:val="none"/>
              </w:rPr>
              <w:t>安装在</w:t>
            </w:r>
            <w:r>
              <w:rPr>
                <w:rFonts w:hint="default" w:ascii="Times New Roman" w:hAnsi="Times New Roman" w:cs="Times New Roman"/>
                <w:color w:val="auto"/>
                <w:spacing w:val="2"/>
                <w:sz w:val="24"/>
                <w:szCs w:val="24"/>
                <w:highlight w:val="none"/>
                <w:lang w:val="en-US" w:eastAsia="zh-CN"/>
              </w:rPr>
              <w:t>实验室</w:t>
            </w:r>
            <w:r>
              <w:rPr>
                <w:rFonts w:hint="default" w:ascii="Times New Roman" w:hAnsi="Times New Roman" w:eastAsia="宋体" w:cs="Times New Roman"/>
                <w:color w:val="auto"/>
                <w:spacing w:val="2"/>
                <w:sz w:val="24"/>
                <w:szCs w:val="24"/>
                <w:highlight w:val="none"/>
              </w:rPr>
              <w:t>内部</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废气治理设施紧邻</w:t>
            </w:r>
            <w:r>
              <w:rPr>
                <w:rFonts w:hint="default" w:ascii="Times New Roman" w:hAnsi="Times New Roman" w:cs="Times New Roman"/>
                <w:color w:val="auto"/>
                <w:sz w:val="24"/>
                <w:szCs w:val="24"/>
                <w:highlight w:val="none"/>
                <w:lang w:val="en-US" w:eastAsia="zh-CN"/>
              </w:rPr>
              <w:t>通风橱</w:t>
            </w:r>
            <w:r>
              <w:rPr>
                <w:rFonts w:hint="default" w:ascii="Times New Roman" w:hAnsi="Times New Roman" w:eastAsia="宋体" w:cs="Times New Roman"/>
                <w:color w:val="auto"/>
                <w:sz w:val="24"/>
                <w:szCs w:val="24"/>
                <w:highlight w:val="none"/>
              </w:rPr>
              <w:t>布置，减少了有机废气的输送距离。</w:t>
            </w:r>
            <w:r>
              <w:rPr>
                <w:rFonts w:hint="default" w:ascii="Times New Roman" w:hAnsi="Times New Roman" w:cs="Times New Roman"/>
                <w:color w:val="auto"/>
                <w:sz w:val="24"/>
                <w:highlight w:val="none"/>
              </w:rPr>
              <w:t>从整体上看，项目平面布局空间安排紧凑，功能分区明确，物流比较通畅，可相互协调，便于管理；</w:t>
            </w:r>
            <w:r>
              <w:rPr>
                <w:rFonts w:hint="default" w:ascii="Times New Roman" w:hAnsi="Times New Roman" w:cs="Times New Roman"/>
                <w:color w:val="auto"/>
                <w:sz w:val="24"/>
                <w:highlight w:val="none"/>
                <w:lang w:val="en-US" w:eastAsia="zh-CN"/>
              </w:rPr>
              <w:t>实验室</w:t>
            </w:r>
            <w:r>
              <w:rPr>
                <w:rFonts w:hint="default" w:ascii="Times New Roman" w:hAnsi="Times New Roman" w:eastAsia="宋体" w:cs="Times New Roman"/>
                <w:color w:val="auto"/>
                <w:spacing w:val="2"/>
                <w:sz w:val="24"/>
                <w:szCs w:val="24"/>
                <w:highlight w:val="none"/>
              </w:rPr>
              <w:t>所在</w:t>
            </w:r>
            <w:r>
              <w:rPr>
                <w:rFonts w:hint="default" w:ascii="Times New Roman" w:hAnsi="Times New Roman" w:cs="Times New Roman"/>
                <w:color w:val="auto"/>
                <w:spacing w:val="2"/>
                <w:sz w:val="24"/>
                <w:szCs w:val="24"/>
                <w:highlight w:val="none"/>
                <w:lang w:val="en-US" w:eastAsia="zh-CN"/>
              </w:rPr>
              <w:t>办公楼</w:t>
            </w:r>
            <w:r>
              <w:rPr>
                <w:rFonts w:hint="default" w:ascii="Times New Roman" w:hAnsi="Times New Roman" w:eastAsia="宋体" w:cs="Times New Roman"/>
                <w:color w:val="auto"/>
                <w:spacing w:val="2"/>
                <w:sz w:val="24"/>
                <w:szCs w:val="24"/>
                <w:highlight w:val="none"/>
              </w:rPr>
              <w:t>与周围</w:t>
            </w:r>
            <w:r>
              <w:rPr>
                <w:rFonts w:hint="default" w:ascii="Times New Roman" w:hAnsi="Times New Roman" w:eastAsia="宋体" w:cs="Times New Roman"/>
                <w:color w:val="auto"/>
                <w:sz w:val="24"/>
                <w:szCs w:val="24"/>
                <w:highlight w:val="none"/>
              </w:rPr>
              <w:t>建筑物间留出必要的间距和通道，符合防火、卫生、安全要求</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cs="Times New Roman"/>
                <w:color w:val="auto"/>
                <w:sz w:val="24"/>
                <w:highlight w:val="none"/>
              </w:rPr>
              <w:t>从环境保护角度考虑，项目的平面布局合理可行</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项目</w:t>
            </w:r>
            <w:r>
              <w:rPr>
                <w:rFonts w:hint="default" w:ascii="Times New Roman" w:hAnsi="Times New Roman" w:cs="Times New Roman"/>
                <w:color w:val="auto"/>
                <w:highlight w:val="none"/>
              </w:rPr>
              <w:t>平面</w:t>
            </w:r>
            <w:r>
              <w:rPr>
                <w:rFonts w:hint="default" w:ascii="Times New Roman" w:hAnsi="Times New Roman" w:cs="Times New Roman"/>
                <w:color w:val="auto"/>
                <w:highlight w:val="none"/>
                <w:lang w:val="en-US" w:eastAsia="zh-CN"/>
              </w:rPr>
              <w:t>布置</w:t>
            </w:r>
            <w:r>
              <w:rPr>
                <w:rFonts w:hint="default" w:ascii="Times New Roman" w:hAnsi="Times New Roman" w:cs="Times New Roman"/>
                <w:color w:val="auto"/>
                <w:highlight w:val="none"/>
              </w:rPr>
              <w:t>见附图</w:t>
            </w:r>
            <w:bookmarkStart w:id="32" w:name="_Ref15455"/>
            <w:r>
              <w:rPr>
                <w:rFonts w:hint="default" w:ascii="Times New Roman" w:hAnsi="Times New Roman" w:cs="Times New Roman"/>
                <w:color w:val="auto"/>
                <w:highlight w:val="none"/>
              </w:rPr>
              <w:t>3。</w:t>
            </w:r>
            <w:bookmarkEnd w:id="32"/>
            <w:bookmarkStart w:id="33" w:name="_Toc10081"/>
            <w:bookmarkStart w:id="34" w:name="_Toc24506"/>
            <w:bookmarkStart w:id="35" w:name="_Toc6646"/>
            <w:bookmarkStart w:id="36" w:name="_Toc9977"/>
          </w:p>
          <w:p w14:paraId="20B74680">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主要生产设备</w:t>
            </w:r>
            <w:bookmarkEnd w:id="33"/>
            <w:bookmarkEnd w:id="34"/>
            <w:bookmarkEnd w:id="35"/>
            <w:bookmarkEnd w:id="36"/>
          </w:p>
          <w:p w14:paraId="2EC4AE1E">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本项目主要</w:t>
            </w:r>
            <w:r>
              <w:rPr>
                <w:rFonts w:hint="default" w:ascii="Times New Roman" w:hAnsi="Times New Roman" w:cs="Times New Roman"/>
                <w:color w:val="auto"/>
                <w:highlight w:val="none"/>
                <w:lang w:val="en-US" w:eastAsia="zh-CN"/>
              </w:rPr>
              <w:t>实验</w:t>
            </w:r>
            <w:r>
              <w:rPr>
                <w:rFonts w:hint="default" w:ascii="Times New Roman" w:hAnsi="Times New Roman" w:cs="Times New Roman"/>
                <w:color w:val="auto"/>
                <w:highlight w:val="none"/>
              </w:rPr>
              <w:t>设备如</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_Ref15628 \n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表2.3-3</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rPr>
              <w:t>所示。</w:t>
            </w:r>
          </w:p>
          <w:p w14:paraId="4DB49918">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rPr>
            </w:pPr>
            <w:bookmarkStart w:id="37" w:name="_Ref15628"/>
            <w:r>
              <w:rPr>
                <w:rFonts w:hint="default" w:ascii="Times New Roman" w:hAnsi="Times New Roman" w:cs="Times New Roman"/>
                <w:color w:val="auto"/>
                <w:highlight w:val="none"/>
              </w:rPr>
              <w:t>项目主要</w:t>
            </w:r>
            <w:r>
              <w:rPr>
                <w:rFonts w:hint="default" w:ascii="Times New Roman" w:hAnsi="Times New Roman" w:cs="Times New Roman"/>
                <w:color w:val="auto"/>
                <w:highlight w:val="none"/>
                <w:lang w:val="en-US" w:eastAsia="zh-CN"/>
              </w:rPr>
              <w:t>实验</w:t>
            </w:r>
            <w:r>
              <w:rPr>
                <w:rFonts w:hint="default" w:ascii="Times New Roman" w:hAnsi="Times New Roman" w:cs="Times New Roman"/>
                <w:color w:val="auto"/>
                <w:highlight w:val="none"/>
              </w:rPr>
              <w:t>设备清单</w:t>
            </w:r>
            <w:bookmarkEnd w:id="37"/>
          </w:p>
          <w:tbl>
            <w:tblPr>
              <w:tblStyle w:val="28"/>
              <w:tblW w:w="8255"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56"/>
              <w:gridCol w:w="3449"/>
              <w:gridCol w:w="1305"/>
              <w:gridCol w:w="1875"/>
              <w:gridCol w:w="970"/>
            </w:tblGrid>
            <w:tr w14:paraId="7A8CDE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F5D91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序号</w:t>
                  </w:r>
                </w:p>
              </w:tc>
              <w:tc>
                <w:tcPr>
                  <w:tcW w:w="3449" w:type="dxa"/>
                  <w:tcBorders>
                    <w:tl2br w:val="nil"/>
                    <w:tr2bl w:val="nil"/>
                  </w:tcBorders>
                  <w:shd w:val="clear" w:color="auto" w:fill="auto"/>
                  <w:vAlign w:val="center"/>
                </w:tcPr>
                <w:p w14:paraId="22E095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产品名称</w:t>
                  </w:r>
                </w:p>
              </w:tc>
              <w:tc>
                <w:tcPr>
                  <w:tcW w:w="1305" w:type="dxa"/>
                  <w:tcBorders>
                    <w:tl2br w:val="nil"/>
                    <w:tr2bl w:val="nil"/>
                  </w:tcBorders>
                  <w:shd w:val="clear" w:color="auto" w:fill="auto"/>
                  <w:vAlign w:val="center"/>
                </w:tcPr>
                <w:p w14:paraId="4FA9A22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品牌</w:t>
                  </w:r>
                </w:p>
              </w:tc>
              <w:tc>
                <w:tcPr>
                  <w:tcW w:w="1875" w:type="dxa"/>
                  <w:tcBorders>
                    <w:tl2br w:val="nil"/>
                    <w:tr2bl w:val="nil"/>
                  </w:tcBorders>
                  <w:shd w:val="clear" w:color="auto" w:fill="auto"/>
                  <w:vAlign w:val="center"/>
                </w:tcPr>
                <w:p w14:paraId="650E4A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规格型号</w:t>
                  </w:r>
                </w:p>
              </w:tc>
              <w:tc>
                <w:tcPr>
                  <w:tcW w:w="970" w:type="dxa"/>
                  <w:tcBorders>
                    <w:tl2br w:val="nil"/>
                    <w:tr2bl w:val="nil"/>
                  </w:tcBorders>
                  <w:shd w:val="clear" w:color="auto" w:fill="auto"/>
                  <w:vAlign w:val="center"/>
                </w:tcPr>
                <w:p w14:paraId="2CDBDD9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数 量</w:t>
                  </w:r>
                </w:p>
              </w:tc>
            </w:tr>
            <w:tr w14:paraId="40494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0DD2F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c>
                <w:tcPr>
                  <w:tcW w:w="3449" w:type="dxa"/>
                  <w:tcBorders>
                    <w:tl2br w:val="nil"/>
                    <w:tr2bl w:val="nil"/>
                  </w:tcBorders>
                  <w:shd w:val="clear" w:color="auto" w:fill="auto"/>
                  <w:vAlign w:val="center"/>
                </w:tcPr>
                <w:p w14:paraId="51062C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原子荧光光度计</w:t>
                  </w:r>
                </w:p>
              </w:tc>
              <w:tc>
                <w:tcPr>
                  <w:tcW w:w="1305" w:type="dxa"/>
                  <w:tcBorders>
                    <w:tl2br w:val="nil"/>
                    <w:tr2bl w:val="nil"/>
                  </w:tcBorders>
                  <w:shd w:val="clear" w:color="auto" w:fill="auto"/>
                  <w:vAlign w:val="center"/>
                </w:tcPr>
                <w:p w14:paraId="39DEF99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吉天</w:t>
                  </w:r>
                </w:p>
              </w:tc>
              <w:tc>
                <w:tcPr>
                  <w:tcW w:w="1875" w:type="dxa"/>
                  <w:tcBorders>
                    <w:tl2br w:val="nil"/>
                    <w:tr2bl w:val="nil"/>
                  </w:tcBorders>
                  <w:shd w:val="clear" w:color="auto" w:fill="auto"/>
                  <w:vAlign w:val="center"/>
                </w:tcPr>
                <w:p w14:paraId="59998B7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AFS-11U</w:t>
                  </w:r>
                </w:p>
              </w:tc>
              <w:tc>
                <w:tcPr>
                  <w:tcW w:w="970" w:type="dxa"/>
                  <w:tcBorders>
                    <w:tl2br w:val="nil"/>
                    <w:tr2bl w:val="nil"/>
                  </w:tcBorders>
                  <w:shd w:val="clear" w:color="auto" w:fill="auto"/>
                  <w:vAlign w:val="center"/>
                </w:tcPr>
                <w:p w14:paraId="47CA6B1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1A1F2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86B14D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c>
                <w:tcPr>
                  <w:tcW w:w="3449" w:type="dxa"/>
                  <w:tcBorders>
                    <w:tl2br w:val="nil"/>
                    <w:tr2bl w:val="nil"/>
                  </w:tcBorders>
                  <w:shd w:val="clear" w:color="auto" w:fill="auto"/>
                  <w:vAlign w:val="center"/>
                </w:tcPr>
                <w:p w14:paraId="359D71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电感耦合等离子体质谱仪（ICP-MS）</w:t>
                  </w:r>
                </w:p>
              </w:tc>
              <w:tc>
                <w:tcPr>
                  <w:tcW w:w="1305" w:type="dxa"/>
                  <w:tcBorders>
                    <w:tl2br w:val="nil"/>
                    <w:tr2bl w:val="nil"/>
                  </w:tcBorders>
                  <w:shd w:val="clear" w:color="auto" w:fill="auto"/>
                  <w:vAlign w:val="center"/>
                </w:tcPr>
                <w:p w14:paraId="29A5D5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赛默飞</w:t>
                  </w:r>
                </w:p>
              </w:tc>
              <w:tc>
                <w:tcPr>
                  <w:tcW w:w="1875" w:type="dxa"/>
                  <w:tcBorders>
                    <w:tl2br w:val="nil"/>
                    <w:tr2bl w:val="nil"/>
                  </w:tcBorders>
                  <w:shd w:val="clear" w:color="auto" w:fill="auto"/>
                  <w:vAlign w:val="center"/>
                </w:tcPr>
                <w:p w14:paraId="7AF13C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 xml:space="preserve">iCAP </w:t>
                  </w:r>
                  <w:r>
                    <w:rPr>
                      <w:rFonts w:hint="eastAsia" w:ascii="Times New Roman" w:hAnsi="Times New Roman" w:cs="Times New Roman"/>
                      <w:b w:val="0"/>
                      <w:bCs/>
                      <w:color w:val="auto"/>
                      <w:kern w:val="0"/>
                      <w:sz w:val="21"/>
                      <w:szCs w:val="21"/>
                      <w:highlight w:val="none"/>
                      <w:shd w:val="clear" w:fill="FFFFFF"/>
                      <w:lang w:val="en-US" w:eastAsia="zh-CN" w:bidi="ar"/>
                    </w:rPr>
                    <w:t>RQplus</w:t>
                  </w:r>
                </w:p>
              </w:tc>
              <w:tc>
                <w:tcPr>
                  <w:tcW w:w="970" w:type="dxa"/>
                  <w:tcBorders>
                    <w:tl2br w:val="nil"/>
                    <w:tr2bl w:val="nil"/>
                  </w:tcBorders>
                  <w:shd w:val="clear" w:color="auto" w:fill="auto"/>
                  <w:vAlign w:val="center"/>
                </w:tcPr>
                <w:p w14:paraId="69A2446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39262D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20E2C3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c>
                <w:tcPr>
                  <w:tcW w:w="3449" w:type="dxa"/>
                  <w:tcBorders>
                    <w:tl2br w:val="nil"/>
                    <w:tr2bl w:val="nil"/>
                  </w:tcBorders>
                  <w:shd w:val="clear" w:color="auto" w:fill="auto"/>
                  <w:vAlign w:val="center"/>
                </w:tcPr>
                <w:p w14:paraId="52DC413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流动注射分析仪</w:t>
                  </w:r>
                </w:p>
              </w:tc>
              <w:tc>
                <w:tcPr>
                  <w:tcW w:w="1305" w:type="dxa"/>
                  <w:tcBorders>
                    <w:tl2br w:val="nil"/>
                    <w:tr2bl w:val="nil"/>
                  </w:tcBorders>
                  <w:shd w:val="clear" w:color="auto" w:fill="auto"/>
                  <w:vAlign w:val="center"/>
                </w:tcPr>
                <w:p w14:paraId="5E029A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吉天</w:t>
                  </w:r>
                </w:p>
              </w:tc>
              <w:tc>
                <w:tcPr>
                  <w:tcW w:w="1875" w:type="dxa"/>
                  <w:tcBorders>
                    <w:tl2br w:val="nil"/>
                    <w:tr2bl w:val="nil"/>
                  </w:tcBorders>
                  <w:shd w:val="clear" w:color="auto" w:fill="auto"/>
                  <w:vAlign w:val="center"/>
                </w:tcPr>
                <w:p w14:paraId="31FA52E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iFIA</w:t>
                  </w:r>
                  <w:r>
                    <w:rPr>
                      <w:rFonts w:hint="eastAsia" w:ascii="Times New Roman" w:hAnsi="Times New Roman" w:cs="Times New Roman"/>
                      <w:b w:val="0"/>
                      <w:bCs/>
                      <w:color w:val="auto"/>
                      <w:kern w:val="0"/>
                      <w:sz w:val="21"/>
                      <w:szCs w:val="21"/>
                      <w:highlight w:val="none"/>
                      <w:lang w:val="en-US" w:eastAsia="zh-CN" w:bidi="ar"/>
                    </w:rPr>
                    <w:t xml:space="preserve"> E</w:t>
                  </w:r>
                </w:p>
              </w:tc>
              <w:tc>
                <w:tcPr>
                  <w:tcW w:w="970" w:type="dxa"/>
                  <w:tcBorders>
                    <w:tl2br w:val="nil"/>
                    <w:tr2bl w:val="nil"/>
                  </w:tcBorders>
                  <w:shd w:val="clear" w:color="auto" w:fill="auto"/>
                  <w:vAlign w:val="center"/>
                </w:tcPr>
                <w:p w14:paraId="1E6474F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153A00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8A8E89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w:t>
                  </w:r>
                </w:p>
              </w:tc>
              <w:tc>
                <w:tcPr>
                  <w:tcW w:w="3449" w:type="dxa"/>
                  <w:tcBorders>
                    <w:tl2br w:val="nil"/>
                    <w:tr2bl w:val="nil"/>
                  </w:tcBorders>
                  <w:shd w:val="clear" w:color="auto" w:fill="auto"/>
                  <w:vAlign w:val="center"/>
                </w:tcPr>
                <w:p w14:paraId="1592FE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离子色谱仪（双通道）</w:t>
                  </w:r>
                </w:p>
              </w:tc>
              <w:tc>
                <w:tcPr>
                  <w:tcW w:w="1305" w:type="dxa"/>
                  <w:tcBorders>
                    <w:tl2br w:val="nil"/>
                    <w:tr2bl w:val="nil"/>
                  </w:tcBorders>
                  <w:shd w:val="clear" w:color="auto" w:fill="auto"/>
                  <w:vAlign w:val="center"/>
                </w:tcPr>
                <w:p w14:paraId="32E49C7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瑞士万通</w:t>
                  </w:r>
                </w:p>
              </w:tc>
              <w:tc>
                <w:tcPr>
                  <w:tcW w:w="1875" w:type="dxa"/>
                  <w:tcBorders>
                    <w:tl2br w:val="nil"/>
                    <w:tr2bl w:val="nil"/>
                  </w:tcBorders>
                  <w:shd w:val="clear" w:color="auto" w:fill="auto"/>
                  <w:vAlign w:val="center"/>
                </w:tcPr>
                <w:p w14:paraId="60FE8F1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930</w:t>
                  </w:r>
                </w:p>
              </w:tc>
              <w:tc>
                <w:tcPr>
                  <w:tcW w:w="970" w:type="dxa"/>
                  <w:tcBorders>
                    <w:tl2br w:val="nil"/>
                    <w:tr2bl w:val="nil"/>
                  </w:tcBorders>
                  <w:shd w:val="clear" w:color="auto" w:fill="auto"/>
                  <w:vAlign w:val="center"/>
                </w:tcPr>
                <w:p w14:paraId="50C237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5BFEC8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6A08CE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5</w:t>
                  </w:r>
                </w:p>
              </w:tc>
              <w:tc>
                <w:tcPr>
                  <w:tcW w:w="3449" w:type="dxa"/>
                  <w:tcBorders>
                    <w:tl2br w:val="nil"/>
                    <w:tr2bl w:val="nil"/>
                  </w:tcBorders>
                  <w:shd w:val="clear" w:color="auto" w:fill="auto"/>
                  <w:vAlign w:val="center"/>
                </w:tcPr>
                <w:p w14:paraId="25AACB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气相色谱仪</w:t>
                  </w:r>
                </w:p>
              </w:tc>
              <w:tc>
                <w:tcPr>
                  <w:tcW w:w="1305" w:type="dxa"/>
                  <w:tcBorders>
                    <w:tl2br w:val="nil"/>
                    <w:tr2bl w:val="nil"/>
                  </w:tcBorders>
                  <w:shd w:val="clear" w:color="auto" w:fill="auto"/>
                  <w:vAlign w:val="center"/>
                </w:tcPr>
                <w:p w14:paraId="6D2830B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赛默飞</w:t>
                  </w:r>
                </w:p>
              </w:tc>
              <w:tc>
                <w:tcPr>
                  <w:tcW w:w="1875" w:type="dxa"/>
                  <w:tcBorders>
                    <w:tl2br w:val="nil"/>
                    <w:tr2bl w:val="nil"/>
                  </w:tcBorders>
                  <w:shd w:val="clear" w:color="auto" w:fill="auto"/>
                  <w:vAlign w:val="center"/>
                </w:tcPr>
                <w:p w14:paraId="3AEDCBE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Trace 1600</w:t>
                  </w:r>
                </w:p>
              </w:tc>
              <w:tc>
                <w:tcPr>
                  <w:tcW w:w="970" w:type="dxa"/>
                  <w:tcBorders>
                    <w:tl2br w:val="nil"/>
                    <w:tr2bl w:val="nil"/>
                  </w:tcBorders>
                  <w:shd w:val="clear" w:color="auto" w:fill="auto"/>
                  <w:vAlign w:val="center"/>
                </w:tcPr>
                <w:p w14:paraId="4BAE48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06D5A2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12B08D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6</w:t>
                  </w:r>
                </w:p>
              </w:tc>
              <w:tc>
                <w:tcPr>
                  <w:tcW w:w="3449" w:type="dxa"/>
                  <w:tcBorders>
                    <w:tl2br w:val="nil"/>
                    <w:tr2bl w:val="nil"/>
                  </w:tcBorders>
                  <w:shd w:val="clear" w:color="auto" w:fill="auto"/>
                  <w:vAlign w:val="center"/>
                </w:tcPr>
                <w:p w14:paraId="19FE80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全自动高锰酸盐指数测定仪</w:t>
                  </w:r>
                </w:p>
              </w:tc>
              <w:tc>
                <w:tcPr>
                  <w:tcW w:w="1305" w:type="dxa"/>
                  <w:tcBorders>
                    <w:tl2br w:val="nil"/>
                    <w:tr2bl w:val="nil"/>
                  </w:tcBorders>
                  <w:shd w:val="clear" w:color="auto" w:fill="auto"/>
                  <w:vAlign w:val="center"/>
                </w:tcPr>
                <w:p w14:paraId="3DCB03F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然诺</w:t>
                  </w:r>
                </w:p>
              </w:tc>
              <w:tc>
                <w:tcPr>
                  <w:tcW w:w="1875" w:type="dxa"/>
                  <w:tcBorders>
                    <w:tl2br w:val="nil"/>
                    <w:tr2bl w:val="nil"/>
                  </w:tcBorders>
                  <w:shd w:val="clear" w:color="auto" w:fill="auto"/>
                  <w:vAlign w:val="center"/>
                </w:tcPr>
                <w:p w14:paraId="54A2F4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RN6002</w:t>
                  </w:r>
                </w:p>
              </w:tc>
              <w:tc>
                <w:tcPr>
                  <w:tcW w:w="970" w:type="dxa"/>
                  <w:tcBorders>
                    <w:tl2br w:val="nil"/>
                    <w:tr2bl w:val="nil"/>
                  </w:tcBorders>
                  <w:shd w:val="clear" w:color="auto" w:fill="auto"/>
                  <w:vAlign w:val="center"/>
                </w:tcPr>
                <w:p w14:paraId="5630A5E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659AF7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0FC9C0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7</w:t>
                  </w:r>
                </w:p>
              </w:tc>
              <w:tc>
                <w:tcPr>
                  <w:tcW w:w="3449" w:type="dxa"/>
                  <w:tcBorders>
                    <w:tl2br w:val="nil"/>
                    <w:tr2bl w:val="nil"/>
                  </w:tcBorders>
                  <w:shd w:val="clear" w:color="auto" w:fill="auto"/>
                  <w:vAlign w:val="center"/>
                </w:tcPr>
                <w:p w14:paraId="6AE606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放射性水样蒸发仪</w:t>
                  </w:r>
                </w:p>
              </w:tc>
              <w:tc>
                <w:tcPr>
                  <w:tcW w:w="1305" w:type="dxa"/>
                  <w:tcBorders>
                    <w:tl2br w:val="nil"/>
                    <w:tr2bl w:val="nil"/>
                  </w:tcBorders>
                  <w:shd w:val="clear" w:color="auto" w:fill="auto"/>
                  <w:vAlign w:val="center"/>
                </w:tcPr>
                <w:p w14:paraId="0E25EED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德合创睿</w:t>
                  </w:r>
                </w:p>
              </w:tc>
              <w:tc>
                <w:tcPr>
                  <w:tcW w:w="1875" w:type="dxa"/>
                  <w:tcBorders>
                    <w:tl2br w:val="nil"/>
                    <w:tr2bl w:val="nil"/>
                  </w:tcBorders>
                  <w:shd w:val="clear" w:color="auto" w:fill="auto"/>
                  <w:vAlign w:val="center"/>
                </w:tcPr>
                <w:p w14:paraId="0E91B8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DH6060</w:t>
                  </w:r>
                </w:p>
              </w:tc>
              <w:tc>
                <w:tcPr>
                  <w:tcW w:w="970" w:type="dxa"/>
                  <w:tcBorders>
                    <w:tl2br w:val="nil"/>
                    <w:tr2bl w:val="nil"/>
                  </w:tcBorders>
                  <w:shd w:val="clear" w:color="auto" w:fill="auto"/>
                  <w:vAlign w:val="center"/>
                </w:tcPr>
                <w:p w14:paraId="56DA9D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248BDB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9C4FC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8</w:t>
                  </w:r>
                </w:p>
              </w:tc>
              <w:tc>
                <w:tcPr>
                  <w:tcW w:w="3449" w:type="dxa"/>
                  <w:tcBorders>
                    <w:tl2br w:val="nil"/>
                    <w:tr2bl w:val="nil"/>
                  </w:tcBorders>
                  <w:shd w:val="clear" w:color="auto" w:fill="auto"/>
                  <w:vAlign w:val="center"/>
                </w:tcPr>
                <w:p w14:paraId="1818890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低本底αβ测量仪（6通道）</w:t>
                  </w:r>
                </w:p>
              </w:tc>
              <w:tc>
                <w:tcPr>
                  <w:tcW w:w="1305" w:type="dxa"/>
                  <w:tcBorders>
                    <w:tl2br w:val="nil"/>
                    <w:tr2bl w:val="nil"/>
                  </w:tcBorders>
                  <w:shd w:val="clear" w:color="auto" w:fill="auto"/>
                  <w:vAlign w:val="center"/>
                </w:tcPr>
                <w:p w14:paraId="4AF68B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谱晰</w:t>
                  </w:r>
                </w:p>
              </w:tc>
              <w:tc>
                <w:tcPr>
                  <w:tcW w:w="1875" w:type="dxa"/>
                  <w:tcBorders>
                    <w:tl2br w:val="nil"/>
                    <w:tr2bl w:val="nil"/>
                  </w:tcBorders>
                  <w:shd w:val="clear" w:color="auto" w:fill="auto"/>
                  <w:vAlign w:val="center"/>
                </w:tcPr>
                <w:p w14:paraId="7BE0D2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PAB-6000</w:t>
                  </w:r>
                </w:p>
              </w:tc>
              <w:tc>
                <w:tcPr>
                  <w:tcW w:w="970" w:type="dxa"/>
                  <w:tcBorders>
                    <w:tl2br w:val="nil"/>
                    <w:tr2bl w:val="nil"/>
                  </w:tcBorders>
                  <w:shd w:val="clear" w:color="auto" w:fill="auto"/>
                  <w:vAlign w:val="center"/>
                </w:tcPr>
                <w:p w14:paraId="66484B7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45E09D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58D7E9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9</w:t>
                  </w:r>
                </w:p>
              </w:tc>
              <w:tc>
                <w:tcPr>
                  <w:tcW w:w="3449" w:type="dxa"/>
                  <w:tcBorders>
                    <w:tl2br w:val="nil"/>
                    <w:tr2bl w:val="nil"/>
                  </w:tcBorders>
                  <w:shd w:val="clear" w:color="auto" w:fill="auto"/>
                  <w:vAlign w:val="center"/>
                </w:tcPr>
                <w:p w14:paraId="7F87A3D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蒸发恒重分析仪</w:t>
                  </w:r>
                </w:p>
              </w:tc>
              <w:tc>
                <w:tcPr>
                  <w:tcW w:w="1305" w:type="dxa"/>
                  <w:tcBorders>
                    <w:tl2br w:val="nil"/>
                    <w:tr2bl w:val="nil"/>
                  </w:tcBorders>
                  <w:shd w:val="clear" w:color="auto" w:fill="auto"/>
                  <w:vAlign w:val="center"/>
                </w:tcPr>
                <w:p w14:paraId="1D5CFA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容广</w:t>
                  </w:r>
                </w:p>
              </w:tc>
              <w:tc>
                <w:tcPr>
                  <w:tcW w:w="1875" w:type="dxa"/>
                  <w:tcBorders>
                    <w:tl2br w:val="nil"/>
                    <w:tr2bl w:val="nil"/>
                  </w:tcBorders>
                  <w:shd w:val="clear" w:color="auto" w:fill="auto"/>
                  <w:vAlign w:val="center"/>
                </w:tcPr>
                <w:p w14:paraId="3A001BD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RG-AWS7H</w:t>
                  </w:r>
                </w:p>
              </w:tc>
              <w:tc>
                <w:tcPr>
                  <w:tcW w:w="970" w:type="dxa"/>
                  <w:tcBorders>
                    <w:tl2br w:val="nil"/>
                    <w:tr2bl w:val="nil"/>
                  </w:tcBorders>
                  <w:shd w:val="clear" w:color="auto" w:fill="auto"/>
                  <w:vAlign w:val="center"/>
                </w:tcPr>
                <w:p w14:paraId="6775BAC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393E1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00254F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10</w:t>
                  </w:r>
                </w:p>
              </w:tc>
              <w:tc>
                <w:tcPr>
                  <w:tcW w:w="3449" w:type="dxa"/>
                  <w:tcBorders>
                    <w:tl2br w:val="nil"/>
                    <w:tr2bl w:val="nil"/>
                  </w:tcBorders>
                  <w:shd w:val="clear" w:color="auto" w:fill="auto"/>
                  <w:vAlign w:val="center"/>
                </w:tcPr>
                <w:p w14:paraId="568A3EC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全自动</w:t>
                  </w:r>
                  <w:r>
                    <w:rPr>
                      <w:rFonts w:hint="eastAsia" w:ascii="Times New Roman" w:hAnsi="Times New Roman" w:cs="Times New Roman"/>
                      <w:b w:val="0"/>
                      <w:bCs/>
                      <w:color w:val="auto"/>
                      <w:kern w:val="0"/>
                      <w:sz w:val="21"/>
                      <w:szCs w:val="21"/>
                      <w:highlight w:val="none"/>
                      <w:shd w:val="clear" w:fill="FFFFFF"/>
                      <w:lang w:val="en-US" w:eastAsia="zh-CN" w:bidi="ar"/>
                    </w:rPr>
                    <w:t>CODcr</w:t>
                  </w:r>
                  <w:r>
                    <w:rPr>
                      <w:rFonts w:hint="eastAsia" w:ascii="Times New Roman" w:hAnsi="Times New Roman" w:cs="Times New Roman"/>
                      <w:b w:val="0"/>
                      <w:bCs/>
                      <w:color w:val="auto"/>
                      <w:kern w:val="0"/>
                      <w:sz w:val="21"/>
                      <w:szCs w:val="21"/>
                      <w:highlight w:val="none"/>
                      <w:lang w:val="en-US" w:eastAsia="zh-CN" w:bidi="ar"/>
                    </w:rPr>
                    <w:t>分析仪</w:t>
                  </w:r>
                </w:p>
              </w:tc>
              <w:tc>
                <w:tcPr>
                  <w:tcW w:w="1305" w:type="dxa"/>
                  <w:tcBorders>
                    <w:tl2br w:val="nil"/>
                    <w:tr2bl w:val="nil"/>
                  </w:tcBorders>
                  <w:shd w:val="clear" w:color="auto" w:fill="auto"/>
                  <w:noWrap/>
                  <w:vAlign w:val="center"/>
                </w:tcPr>
                <w:p w14:paraId="66B28F4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宁波然诺</w:t>
                  </w:r>
                </w:p>
              </w:tc>
              <w:tc>
                <w:tcPr>
                  <w:tcW w:w="1875" w:type="dxa"/>
                  <w:tcBorders>
                    <w:tl2br w:val="nil"/>
                    <w:tr2bl w:val="nil"/>
                  </w:tcBorders>
                  <w:shd w:val="clear" w:color="auto" w:fill="auto"/>
                  <w:vAlign w:val="center"/>
                </w:tcPr>
                <w:p w14:paraId="2548CA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RN6100</w:t>
                  </w:r>
                </w:p>
              </w:tc>
              <w:tc>
                <w:tcPr>
                  <w:tcW w:w="970" w:type="dxa"/>
                  <w:tcBorders>
                    <w:tl2br w:val="nil"/>
                    <w:tr2bl w:val="nil"/>
                  </w:tcBorders>
                  <w:shd w:val="clear" w:color="auto" w:fill="auto"/>
                  <w:noWrap/>
                  <w:vAlign w:val="center"/>
                </w:tcPr>
                <w:p w14:paraId="3B89187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0AE5DE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40BDE0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11</w:t>
                  </w:r>
                </w:p>
              </w:tc>
              <w:tc>
                <w:tcPr>
                  <w:tcW w:w="3449" w:type="dxa"/>
                  <w:tcBorders>
                    <w:tl2br w:val="nil"/>
                    <w:tr2bl w:val="nil"/>
                  </w:tcBorders>
                  <w:shd w:val="clear" w:color="auto" w:fill="auto"/>
                  <w:vAlign w:val="center"/>
                </w:tcPr>
                <w:p w14:paraId="581111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cs="Times New Roman"/>
                      <w:b w:val="0"/>
                      <w:bCs/>
                      <w:color w:val="auto"/>
                      <w:kern w:val="0"/>
                      <w:sz w:val="21"/>
                      <w:szCs w:val="21"/>
                      <w:highlight w:val="none"/>
                      <w:shd w:val="clear" w:fill="FFFFFF"/>
                      <w:lang w:val="en-US" w:eastAsia="zh-CN" w:bidi="ar"/>
                    </w:rPr>
                    <w:t>水中油分</w:t>
                  </w:r>
                  <w:r>
                    <w:rPr>
                      <w:rFonts w:hint="eastAsia" w:ascii="Times New Roman" w:hAnsi="Times New Roman" w:cs="Times New Roman"/>
                      <w:b w:val="0"/>
                      <w:bCs/>
                      <w:color w:val="auto"/>
                      <w:kern w:val="0"/>
                      <w:sz w:val="21"/>
                      <w:szCs w:val="21"/>
                      <w:highlight w:val="none"/>
                      <w:lang w:val="en-US" w:eastAsia="zh-CN" w:bidi="ar"/>
                    </w:rPr>
                    <w:t>浓度分析仪</w:t>
                  </w:r>
                </w:p>
              </w:tc>
              <w:tc>
                <w:tcPr>
                  <w:tcW w:w="1305" w:type="dxa"/>
                  <w:tcBorders>
                    <w:tl2br w:val="nil"/>
                    <w:tr2bl w:val="nil"/>
                  </w:tcBorders>
                  <w:shd w:val="clear" w:color="auto" w:fill="auto"/>
                  <w:noWrap/>
                  <w:vAlign w:val="center"/>
                </w:tcPr>
                <w:p w14:paraId="3D9E8C4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华夏科创</w:t>
                  </w:r>
                </w:p>
              </w:tc>
              <w:tc>
                <w:tcPr>
                  <w:tcW w:w="1875" w:type="dxa"/>
                  <w:tcBorders>
                    <w:tl2br w:val="nil"/>
                    <w:tr2bl w:val="nil"/>
                  </w:tcBorders>
                  <w:shd w:val="clear" w:color="auto" w:fill="auto"/>
                  <w:vAlign w:val="center"/>
                </w:tcPr>
                <w:p w14:paraId="0CD164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OIL520A</w:t>
                  </w:r>
                </w:p>
              </w:tc>
              <w:tc>
                <w:tcPr>
                  <w:tcW w:w="970" w:type="dxa"/>
                  <w:tcBorders>
                    <w:tl2br w:val="nil"/>
                    <w:tr2bl w:val="nil"/>
                  </w:tcBorders>
                  <w:shd w:val="clear" w:color="auto" w:fill="auto"/>
                  <w:noWrap/>
                  <w:vAlign w:val="center"/>
                </w:tcPr>
                <w:p w14:paraId="472552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4CC2B0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3B9D0C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12</w:t>
                  </w:r>
                </w:p>
              </w:tc>
              <w:tc>
                <w:tcPr>
                  <w:tcW w:w="3449" w:type="dxa"/>
                  <w:tcBorders>
                    <w:tl2br w:val="nil"/>
                    <w:tr2bl w:val="nil"/>
                  </w:tcBorders>
                  <w:shd w:val="clear" w:color="auto" w:fill="auto"/>
                  <w:vAlign w:val="center"/>
                </w:tcPr>
                <w:p w14:paraId="321427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两虫检测设备</w:t>
                  </w:r>
                </w:p>
              </w:tc>
              <w:tc>
                <w:tcPr>
                  <w:tcW w:w="1305" w:type="dxa"/>
                  <w:tcBorders>
                    <w:tl2br w:val="nil"/>
                    <w:tr2bl w:val="nil"/>
                  </w:tcBorders>
                  <w:shd w:val="clear" w:color="auto" w:fill="auto"/>
                  <w:noWrap/>
                  <w:vAlign w:val="center"/>
                </w:tcPr>
                <w:p w14:paraId="1BC02D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奎泰斯特</w:t>
                  </w:r>
                </w:p>
              </w:tc>
              <w:tc>
                <w:tcPr>
                  <w:tcW w:w="1875" w:type="dxa"/>
                  <w:tcBorders>
                    <w:tl2br w:val="nil"/>
                    <w:tr2bl w:val="nil"/>
                  </w:tcBorders>
                  <w:shd w:val="clear" w:color="auto" w:fill="auto"/>
                  <w:vAlign w:val="center"/>
                </w:tcPr>
                <w:p w14:paraId="40B8F3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LabChaser</w:t>
                  </w:r>
                  <w:r>
                    <w:rPr>
                      <w:rFonts w:hint="eastAsia" w:ascii="Times New Roman" w:hAnsi="Times New Roman" w:cs="Times New Roman"/>
                      <w:b w:val="0"/>
                      <w:bCs/>
                      <w:color w:val="auto"/>
                      <w:kern w:val="0"/>
                      <w:sz w:val="21"/>
                      <w:szCs w:val="21"/>
                      <w:highlight w:val="none"/>
                      <w:lang w:val="en-US" w:eastAsia="zh-CN" w:bidi="ar"/>
                    </w:rPr>
                    <w:t xml:space="preserve"> 2030</w:t>
                  </w:r>
                </w:p>
              </w:tc>
              <w:tc>
                <w:tcPr>
                  <w:tcW w:w="970" w:type="dxa"/>
                  <w:tcBorders>
                    <w:tl2br w:val="nil"/>
                    <w:tr2bl w:val="nil"/>
                  </w:tcBorders>
                  <w:shd w:val="clear" w:color="auto" w:fill="auto"/>
                  <w:noWrap/>
                  <w:vAlign w:val="center"/>
                </w:tcPr>
                <w:p w14:paraId="72B6054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39AEE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059F8EF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13</w:t>
                  </w:r>
                </w:p>
              </w:tc>
              <w:tc>
                <w:tcPr>
                  <w:tcW w:w="3449" w:type="dxa"/>
                  <w:tcBorders>
                    <w:tl2br w:val="nil"/>
                    <w:tr2bl w:val="nil"/>
                  </w:tcBorders>
                  <w:shd w:val="clear" w:color="auto" w:fill="auto"/>
                  <w:vAlign w:val="center"/>
                </w:tcPr>
                <w:p w14:paraId="6987C6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气相色谱质谱联用仪</w:t>
                  </w:r>
                </w:p>
              </w:tc>
              <w:tc>
                <w:tcPr>
                  <w:tcW w:w="1305" w:type="dxa"/>
                  <w:tcBorders>
                    <w:tl2br w:val="nil"/>
                    <w:tr2bl w:val="nil"/>
                  </w:tcBorders>
                  <w:shd w:val="clear" w:color="auto" w:fill="auto"/>
                  <w:noWrap/>
                  <w:vAlign w:val="center"/>
                </w:tcPr>
                <w:p w14:paraId="61B488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安捷伦</w:t>
                  </w:r>
                </w:p>
              </w:tc>
              <w:tc>
                <w:tcPr>
                  <w:tcW w:w="1875" w:type="dxa"/>
                  <w:tcBorders>
                    <w:tl2br w:val="nil"/>
                    <w:tr2bl w:val="nil"/>
                  </w:tcBorders>
                  <w:shd w:val="clear" w:color="auto" w:fill="auto"/>
                  <w:vAlign w:val="center"/>
                </w:tcPr>
                <w:p w14:paraId="03172C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8890</w:t>
                  </w:r>
                  <w:r>
                    <w:rPr>
                      <w:rFonts w:hint="eastAsia" w:ascii="Times New Roman" w:hAnsi="Times New Roman" w:cs="Times New Roman"/>
                      <w:b w:val="0"/>
                      <w:bCs/>
                      <w:color w:val="auto"/>
                      <w:kern w:val="0"/>
                      <w:sz w:val="21"/>
                      <w:szCs w:val="21"/>
                      <w:highlight w:val="none"/>
                      <w:shd w:val="clear" w:fill="FFFFFF"/>
                      <w:lang w:val="en-US" w:eastAsia="zh-CN" w:bidi="ar"/>
                    </w:rPr>
                    <w:t>-</w:t>
                  </w:r>
                  <w:r>
                    <w:rPr>
                      <w:rFonts w:hint="eastAsia" w:ascii="Times New Roman" w:hAnsi="Times New Roman" w:cs="Times New Roman"/>
                      <w:b w:val="0"/>
                      <w:bCs/>
                      <w:color w:val="auto"/>
                      <w:kern w:val="0"/>
                      <w:sz w:val="21"/>
                      <w:szCs w:val="21"/>
                      <w:highlight w:val="none"/>
                      <w:lang w:val="en-US" w:eastAsia="zh-CN" w:bidi="ar"/>
                    </w:rPr>
                    <w:t>5977C</w:t>
                  </w:r>
                </w:p>
              </w:tc>
              <w:tc>
                <w:tcPr>
                  <w:tcW w:w="970" w:type="dxa"/>
                  <w:tcBorders>
                    <w:tl2br w:val="nil"/>
                    <w:tr2bl w:val="nil"/>
                  </w:tcBorders>
                  <w:shd w:val="clear" w:color="auto" w:fill="auto"/>
                  <w:noWrap/>
                  <w:vAlign w:val="center"/>
                </w:tcPr>
                <w:p w14:paraId="38108FF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1709B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0E7D10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14</w:t>
                  </w:r>
                </w:p>
              </w:tc>
              <w:tc>
                <w:tcPr>
                  <w:tcW w:w="3449" w:type="dxa"/>
                  <w:tcBorders>
                    <w:tl2br w:val="nil"/>
                    <w:tr2bl w:val="nil"/>
                  </w:tcBorders>
                  <w:shd w:val="clear" w:color="auto" w:fill="auto"/>
                  <w:vAlign w:val="center"/>
                </w:tcPr>
                <w:p w14:paraId="216343E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三重四极杆气相色谱质谱联用仪</w:t>
                  </w:r>
                </w:p>
              </w:tc>
              <w:tc>
                <w:tcPr>
                  <w:tcW w:w="1305" w:type="dxa"/>
                  <w:tcBorders>
                    <w:tl2br w:val="nil"/>
                    <w:tr2bl w:val="nil"/>
                  </w:tcBorders>
                  <w:shd w:val="clear" w:color="auto" w:fill="auto"/>
                  <w:noWrap/>
                  <w:vAlign w:val="center"/>
                </w:tcPr>
                <w:p w14:paraId="67478F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安捷伦</w:t>
                  </w:r>
                </w:p>
              </w:tc>
              <w:tc>
                <w:tcPr>
                  <w:tcW w:w="1875" w:type="dxa"/>
                  <w:tcBorders>
                    <w:tl2br w:val="nil"/>
                    <w:tr2bl w:val="nil"/>
                  </w:tcBorders>
                  <w:shd w:val="clear" w:color="auto" w:fill="auto"/>
                  <w:vAlign w:val="center"/>
                </w:tcPr>
                <w:p w14:paraId="4AC4FF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8890-7000E</w:t>
                  </w:r>
                </w:p>
              </w:tc>
              <w:tc>
                <w:tcPr>
                  <w:tcW w:w="970" w:type="dxa"/>
                  <w:tcBorders>
                    <w:tl2br w:val="nil"/>
                    <w:tr2bl w:val="nil"/>
                  </w:tcBorders>
                  <w:shd w:val="clear" w:color="auto" w:fill="auto"/>
                  <w:noWrap/>
                  <w:vAlign w:val="center"/>
                </w:tcPr>
                <w:p w14:paraId="0DF9FB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7EA57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015E9CB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15</w:t>
                  </w:r>
                </w:p>
              </w:tc>
              <w:tc>
                <w:tcPr>
                  <w:tcW w:w="3449" w:type="dxa"/>
                  <w:tcBorders>
                    <w:tl2br w:val="nil"/>
                    <w:tr2bl w:val="nil"/>
                  </w:tcBorders>
                  <w:shd w:val="clear" w:color="auto" w:fill="auto"/>
                  <w:vAlign w:val="center"/>
                </w:tcPr>
                <w:p w14:paraId="4FE930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高效液相色谱仪</w:t>
                  </w:r>
                </w:p>
              </w:tc>
              <w:tc>
                <w:tcPr>
                  <w:tcW w:w="1305" w:type="dxa"/>
                  <w:tcBorders>
                    <w:tl2br w:val="nil"/>
                    <w:tr2bl w:val="nil"/>
                  </w:tcBorders>
                  <w:shd w:val="clear" w:color="auto" w:fill="auto"/>
                  <w:noWrap/>
                  <w:vAlign w:val="center"/>
                </w:tcPr>
                <w:p w14:paraId="66D0FB1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安捷伦</w:t>
                  </w:r>
                </w:p>
              </w:tc>
              <w:tc>
                <w:tcPr>
                  <w:tcW w:w="1875" w:type="dxa"/>
                  <w:tcBorders>
                    <w:tl2br w:val="nil"/>
                    <w:tr2bl w:val="nil"/>
                  </w:tcBorders>
                  <w:shd w:val="clear" w:color="auto" w:fill="auto"/>
                  <w:vAlign w:val="center"/>
                </w:tcPr>
                <w:p w14:paraId="7BB81B1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 xml:space="preserve">1260 Infinity </w:t>
                  </w:r>
                  <w:r>
                    <w:rPr>
                      <w:rFonts w:hint="eastAsia" w:ascii="Times New Roman" w:hAnsi="Times New Roman" w:cs="Times New Roman"/>
                      <w:b w:val="0"/>
                      <w:bCs/>
                      <w:color w:val="auto"/>
                      <w:kern w:val="0"/>
                      <w:sz w:val="21"/>
                      <w:szCs w:val="21"/>
                      <w:highlight w:val="none"/>
                      <w:shd w:val="clear" w:fill="FFFFFF"/>
                      <w:lang w:val="en-US" w:eastAsia="zh-CN" w:bidi="ar"/>
                    </w:rPr>
                    <w:t>III</w:t>
                  </w:r>
                </w:p>
              </w:tc>
              <w:tc>
                <w:tcPr>
                  <w:tcW w:w="970" w:type="dxa"/>
                  <w:tcBorders>
                    <w:tl2br w:val="nil"/>
                    <w:tr2bl w:val="nil"/>
                  </w:tcBorders>
                  <w:shd w:val="clear" w:color="auto" w:fill="auto"/>
                  <w:noWrap/>
                  <w:vAlign w:val="center"/>
                </w:tcPr>
                <w:p w14:paraId="190B05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061A8C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EFE44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16</w:t>
                  </w:r>
                </w:p>
              </w:tc>
              <w:tc>
                <w:tcPr>
                  <w:tcW w:w="3449" w:type="dxa"/>
                  <w:tcBorders>
                    <w:tl2br w:val="nil"/>
                    <w:tr2bl w:val="nil"/>
                  </w:tcBorders>
                  <w:shd w:val="clear" w:color="auto" w:fill="auto"/>
                  <w:vAlign w:val="center"/>
                </w:tcPr>
                <w:p w14:paraId="74DA75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三重四极杆液相质谱联用仪</w:t>
                  </w:r>
                </w:p>
              </w:tc>
              <w:tc>
                <w:tcPr>
                  <w:tcW w:w="1305" w:type="dxa"/>
                  <w:tcBorders>
                    <w:tl2br w:val="nil"/>
                    <w:tr2bl w:val="nil"/>
                  </w:tcBorders>
                  <w:shd w:val="clear" w:color="auto" w:fill="auto"/>
                  <w:noWrap/>
                  <w:vAlign w:val="center"/>
                </w:tcPr>
                <w:p w14:paraId="0FC31B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SCIEX</w:t>
                  </w:r>
                </w:p>
              </w:tc>
              <w:tc>
                <w:tcPr>
                  <w:tcW w:w="1875" w:type="dxa"/>
                  <w:tcBorders>
                    <w:tl2br w:val="nil"/>
                    <w:tr2bl w:val="nil"/>
                  </w:tcBorders>
                  <w:shd w:val="clear" w:color="auto" w:fill="auto"/>
                  <w:vAlign w:val="center"/>
                </w:tcPr>
                <w:p w14:paraId="40D56A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TripleQuad</w:t>
                  </w:r>
                  <w:r>
                    <w:rPr>
                      <w:rFonts w:hint="eastAsia" w:ascii="Times New Roman" w:hAnsi="Times New Roman" w:cs="Times New Roman"/>
                      <w:b w:val="0"/>
                      <w:bCs/>
                      <w:color w:val="auto"/>
                      <w:kern w:val="0"/>
                      <w:sz w:val="21"/>
                      <w:szCs w:val="21"/>
                      <w:highlight w:val="none"/>
                      <w:lang w:val="en-US" w:eastAsia="zh-CN" w:bidi="ar"/>
                    </w:rPr>
                    <w:t>4500</w:t>
                  </w:r>
                </w:p>
              </w:tc>
              <w:tc>
                <w:tcPr>
                  <w:tcW w:w="970" w:type="dxa"/>
                  <w:tcBorders>
                    <w:tl2br w:val="nil"/>
                    <w:tr2bl w:val="nil"/>
                  </w:tcBorders>
                  <w:shd w:val="clear" w:color="auto" w:fill="auto"/>
                  <w:noWrap/>
                  <w:vAlign w:val="center"/>
                </w:tcPr>
                <w:p w14:paraId="4EE735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1504DB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4752BB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17</w:t>
                  </w:r>
                </w:p>
              </w:tc>
              <w:tc>
                <w:tcPr>
                  <w:tcW w:w="3449" w:type="dxa"/>
                  <w:tcBorders>
                    <w:tl2br w:val="nil"/>
                    <w:tr2bl w:val="nil"/>
                  </w:tcBorders>
                  <w:shd w:val="clear" w:color="auto" w:fill="auto"/>
                  <w:vAlign w:val="center"/>
                </w:tcPr>
                <w:p w14:paraId="7EB6E1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全自动固相萃取仪</w:t>
                  </w:r>
                </w:p>
              </w:tc>
              <w:tc>
                <w:tcPr>
                  <w:tcW w:w="1305" w:type="dxa"/>
                  <w:tcBorders>
                    <w:tl2br w:val="nil"/>
                    <w:tr2bl w:val="nil"/>
                  </w:tcBorders>
                  <w:shd w:val="clear" w:color="auto" w:fill="auto"/>
                  <w:noWrap/>
                  <w:vAlign w:val="center"/>
                </w:tcPr>
                <w:p w14:paraId="2F66F2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莱伯泰科</w:t>
                  </w:r>
                </w:p>
              </w:tc>
              <w:tc>
                <w:tcPr>
                  <w:tcW w:w="1875" w:type="dxa"/>
                  <w:tcBorders>
                    <w:tl2br w:val="nil"/>
                    <w:tr2bl w:val="nil"/>
                  </w:tcBorders>
                  <w:shd w:val="clear" w:color="auto" w:fill="auto"/>
                  <w:vAlign w:val="center"/>
                </w:tcPr>
                <w:p w14:paraId="1653CF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SPE1000Plus</w:t>
                  </w:r>
                </w:p>
              </w:tc>
              <w:tc>
                <w:tcPr>
                  <w:tcW w:w="970" w:type="dxa"/>
                  <w:tcBorders>
                    <w:tl2br w:val="nil"/>
                    <w:tr2bl w:val="nil"/>
                  </w:tcBorders>
                  <w:shd w:val="clear" w:color="auto" w:fill="auto"/>
                  <w:noWrap/>
                  <w:vAlign w:val="center"/>
                </w:tcPr>
                <w:p w14:paraId="610A259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2D5500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656" w:type="dxa"/>
                  <w:tcBorders>
                    <w:tl2br w:val="nil"/>
                    <w:tr2bl w:val="nil"/>
                  </w:tcBorders>
                  <w:shd w:val="clear" w:color="auto" w:fill="auto"/>
                  <w:vAlign w:val="center"/>
                </w:tcPr>
                <w:p w14:paraId="26A656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18</w:t>
                  </w:r>
                </w:p>
              </w:tc>
              <w:tc>
                <w:tcPr>
                  <w:tcW w:w="3449" w:type="dxa"/>
                  <w:tcBorders>
                    <w:tl2br w:val="nil"/>
                    <w:tr2bl w:val="nil"/>
                  </w:tcBorders>
                  <w:shd w:val="clear" w:color="auto" w:fill="auto"/>
                  <w:vAlign w:val="center"/>
                </w:tcPr>
                <w:p w14:paraId="2C275D0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多联过滤装置</w:t>
                  </w:r>
                </w:p>
              </w:tc>
              <w:tc>
                <w:tcPr>
                  <w:tcW w:w="1305" w:type="dxa"/>
                  <w:tcBorders>
                    <w:tl2br w:val="nil"/>
                    <w:tr2bl w:val="nil"/>
                  </w:tcBorders>
                  <w:shd w:val="clear" w:color="auto" w:fill="auto"/>
                  <w:noWrap/>
                  <w:vAlign w:val="center"/>
                </w:tcPr>
                <w:p w14:paraId="6F4440C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上海力辰</w:t>
                  </w:r>
                </w:p>
              </w:tc>
              <w:tc>
                <w:tcPr>
                  <w:tcW w:w="1875" w:type="dxa"/>
                  <w:tcBorders>
                    <w:tl2br w:val="nil"/>
                    <w:tr2bl w:val="nil"/>
                  </w:tcBorders>
                  <w:shd w:val="clear" w:color="auto" w:fill="auto"/>
                  <w:vAlign w:val="center"/>
                </w:tcPr>
                <w:p w14:paraId="723428F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LC-MFS-6</w:t>
                  </w:r>
                </w:p>
              </w:tc>
              <w:tc>
                <w:tcPr>
                  <w:tcW w:w="970" w:type="dxa"/>
                  <w:tcBorders>
                    <w:tl2br w:val="nil"/>
                    <w:tr2bl w:val="nil"/>
                  </w:tcBorders>
                  <w:shd w:val="clear" w:color="auto" w:fill="auto"/>
                  <w:noWrap/>
                  <w:vAlign w:val="center"/>
                </w:tcPr>
                <w:p w14:paraId="3CED0EA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01520E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06B81D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19</w:t>
                  </w:r>
                </w:p>
              </w:tc>
              <w:tc>
                <w:tcPr>
                  <w:tcW w:w="3449" w:type="dxa"/>
                  <w:tcBorders>
                    <w:tl2br w:val="nil"/>
                    <w:tr2bl w:val="nil"/>
                  </w:tcBorders>
                  <w:shd w:val="clear" w:color="auto" w:fill="auto"/>
                  <w:vAlign w:val="center"/>
                </w:tcPr>
                <w:p w14:paraId="0859EA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手提式灭菌器</w:t>
                  </w:r>
                </w:p>
              </w:tc>
              <w:tc>
                <w:tcPr>
                  <w:tcW w:w="1305" w:type="dxa"/>
                  <w:tcBorders>
                    <w:tl2br w:val="nil"/>
                    <w:tr2bl w:val="nil"/>
                  </w:tcBorders>
                  <w:shd w:val="clear" w:color="auto" w:fill="auto"/>
                  <w:noWrap/>
                  <w:vAlign w:val="center"/>
                </w:tcPr>
                <w:p w14:paraId="3D48E24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浙江新丰</w:t>
                  </w:r>
                </w:p>
              </w:tc>
              <w:tc>
                <w:tcPr>
                  <w:tcW w:w="1875" w:type="dxa"/>
                  <w:tcBorders>
                    <w:tl2br w:val="nil"/>
                    <w:tr2bl w:val="nil"/>
                  </w:tcBorders>
                  <w:shd w:val="clear" w:color="auto" w:fill="auto"/>
                  <w:vAlign w:val="center"/>
                </w:tcPr>
                <w:p w14:paraId="0DC107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XFS-280CB+</w:t>
                  </w:r>
                </w:p>
              </w:tc>
              <w:tc>
                <w:tcPr>
                  <w:tcW w:w="970" w:type="dxa"/>
                  <w:tcBorders>
                    <w:tl2br w:val="nil"/>
                    <w:tr2bl w:val="nil"/>
                  </w:tcBorders>
                  <w:shd w:val="clear" w:color="auto" w:fill="auto"/>
                  <w:noWrap/>
                  <w:vAlign w:val="center"/>
                </w:tcPr>
                <w:p w14:paraId="13F897D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r>
            <w:tr w14:paraId="024AE6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19F614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20</w:t>
                  </w:r>
                </w:p>
              </w:tc>
              <w:tc>
                <w:tcPr>
                  <w:tcW w:w="3449" w:type="dxa"/>
                  <w:tcBorders>
                    <w:tl2br w:val="nil"/>
                    <w:tr2bl w:val="nil"/>
                  </w:tcBorders>
                  <w:shd w:val="clear" w:color="auto" w:fill="auto"/>
                  <w:vAlign w:val="center"/>
                </w:tcPr>
                <w:p w14:paraId="5740030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电热恒温鼓风干燥箱</w:t>
                  </w:r>
                </w:p>
              </w:tc>
              <w:tc>
                <w:tcPr>
                  <w:tcW w:w="1305" w:type="dxa"/>
                  <w:tcBorders>
                    <w:tl2br w:val="nil"/>
                    <w:tr2bl w:val="nil"/>
                  </w:tcBorders>
                  <w:shd w:val="clear" w:color="auto" w:fill="auto"/>
                  <w:noWrap/>
                  <w:vAlign w:val="center"/>
                </w:tcPr>
                <w:p w14:paraId="76D6E43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上海精宏</w:t>
                  </w:r>
                </w:p>
              </w:tc>
              <w:tc>
                <w:tcPr>
                  <w:tcW w:w="1875" w:type="dxa"/>
                  <w:tcBorders>
                    <w:tl2br w:val="nil"/>
                    <w:tr2bl w:val="nil"/>
                  </w:tcBorders>
                  <w:shd w:val="clear" w:color="auto" w:fill="auto"/>
                  <w:vAlign w:val="center"/>
                </w:tcPr>
                <w:p w14:paraId="763F6F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DHG-9070A</w:t>
                  </w:r>
                </w:p>
              </w:tc>
              <w:tc>
                <w:tcPr>
                  <w:tcW w:w="970" w:type="dxa"/>
                  <w:tcBorders>
                    <w:tl2br w:val="nil"/>
                    <w:tr2bl w:val="nil"/>
                  </w:tcBorders>
                  <w:shd w:val="clear" w:color="auto" w:fill="auto"/>
                  <w:noWrap/>
                  <w:vAlign w:val="center"/>
                </w:tcPr>
                <w:p w14:paraId="31E5C2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r>
            <w:tr w14:paraId="52C240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556F717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21</w:t>
                  </w:r>
                </w:p>
              </w:tc>
              <w:tc>
                <w:tcPr>
                  <w:tcW w:w="3449" w:type="dxa"/>
                  <w:tcBorders>
                    <w:tl2br w:val="nil"/>
                    <w:tr2bl w:val="nil"/>
                  </w:tcBorders>
                  <w:shd w:val="clear" w:color="auto" w:fill="auto"/>
                  <w:vAlign w:val="center"/>
                </w:tcPr>
                <w:p w14:paraId="488CDF8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电磁炉</w:t>
                  </w:r>
                </w:p>
              </w:tc>
              <w:tc>
                <w:tcPr>
                  <w:tcW w:w="1305" w:type="dxa"/>
                  <w:tcBorders>
                    <w:tl2br w:val="nil"/>
                    <w:tr2bl w:val="nil"/>
                  </w:tcBorders>
                  <w:shd w:val="clear" w:color="auto" w:fill="auto"/>
                  <w:noWrap/>
                  <w:vAlign w:val="center"/>
                </w:tcPr>
                <w:p w14:paraId="26B886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苏泊尔</w:t>
                  </w:r>
                </w:p>
              </w:tc>
              <w:tc>
                <w:tcPr>
                  <w:tcW w:w="1875" w:type="dxa"/>
                  <w:tcBorders>
                    <w:tl2br w:val="nil"/>
                    <w:tr2bl w:val="nil"/>
                  </w:tcBorders>
                  <w:shd w:val="clear" w:color="auto" w:fill="auto"/>
                  <w:vAlign w:val="center"/>
                </w:tcPr>
                <w:p w14:paraId="32A2F8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C22-IA825</w:t>
                  </w:r>
                </w:p>
              </w:tc>
              <w:tc>
                <w:tcPr>
                  <w:tcW w:w="970" w:type="dxa"/>
                  <w:tcBorders>
                    <w:tl2br w:val="nil"/>
                    <w:tr2bl w:val="nil"/>
                  </w:tcBorders>
                  <w:shd w:val="clear" w:color="auto" w:fill="auto"/>
                  <w:noWrap/>
                  <w:vAlign w:val="center"/>
                </w:tcPr>
                <w:p w14:paraId="7AEB8E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r>
            <w:tr w14:paraId="5C65B2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A32435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22</w:t>
                  </w:r>
                </w:p>
              </w:tc>
              <w:tc>
                <w:tcPr>
                  <w:tcW w:w="3449" w:type="dxa"/>
                  <w:tcBorders>
                    <w:tl2br w:val="nil"/>
                    <w:tr2bl w:val="nil"/>
                  </w:tcBorders>
                  <w:shd w:val="clear" w:color="auto" w:fill="auto"/>
                  <w:vAlign w:val="center"/>
                </w:tcPr>
                <w:p w14:paraId="2820516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紫外荧光灯</w:t>
                  </w:r>
                </w:p>
              </w:tc>
              <w:tc>
                <w:tcPr>
                  <w:tcW w:w="1305" w:type="dxa"/>
                  <w:tcBorders>
                    <w:tl2br w:val="nil"/>
                    <w:tr2bl w:val="nil"/>
                  </w:tcBorders>
                  <w:shd w:val="clear" w:color="auto" w:fill="auto"/>
                  <w:noWrap/>
                  <w:vAlign w:val="center"/>
                </w:tcPr>
                <w:p w14:paraId="37AEFA7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中仪博腾</w:t>
                  </w:r>
                </w:p>
              </w:tc>
              <w:tc>
                <w:tcPr>
                  <w:tcW w:w="1875" w:type="dxa"/>
                  <w:tcBorders>
                    <w:tl2br w:val="nil"/>
                    <w:tr2bl w:val="nil"/>
                  </w:tcBorders>
                  <w:shd w:val="clear" w:color="auto" w:fill="auto"/>
                  <w:vAlign w:val="center"/>
                </w:tcPr>
                <w:p w14:paraId="653F551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BOT-IIIA</w:t>
                  </w:r>
                </w:p>
              </w:tc>
              <w:tc>
                <w:tcPr>
                  <w:tcW w:w="970" w:type="dxa"/>
                  <w:tcBorders>
                    <w:tl2br w:val="nil"/>
                    <w:tr2bl w:val="nil"/>
                  </w:tcBorders>
                  <w:shd w:val="clear" w:color="auto" w:fill="auto"/>
                  <w:noWrap/>
                  <w:vAlign w:val="center"/>
                </w:tcPr>
                <w:p w14:paraId="58A780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384715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F5F63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23</w:t>
                  </w:r>
                </w:p>
              </w:tc>
              <w:tc>
                <w:tcPr>
                  <w:tcW w:w="3449" w:type="dxa"/>
                  <w:tcBorders>
                    <w:tl2br w:val="nil"/>
                    <w:tr2bl w:val="nil"/>
                  </w:tcBorders>
                  <w:shd w:val="clear" w:color="auto" w:fill="auto"/>
                  <w:vAlign w:val="center"/>
                </w:tcPr>
                <w:p w14:paraId="58A9CC6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医用冷藏箱</w:t>
                  </w:r>
                </w:p>
              </w:tc>
              <w:tc>
                <w:tcPr>
                  <w:tcW w:w="1305" w:type="dxa"/>
                  <w:tcBorders>
                    <w:tl2br w:val="nil"/>
                    <w:tr2bl w:val="nil"/>
                  </w:tcBorders>
                  <w:shd w:val="clear" w:color="auto" w:fill="auto"/>
                  <w:noWrap/>
                  <w:vAlign w:val="center"/>
                </w:tcPr>
                <w:p w14:paraId="4CEB02E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青岛海尔</w:t>
                  </w:r>
                </w:p>
              </w:tc>
              <w:tc>
                <w:tcPr>
                  <w:tcW w:w="1875" w:type="dxa"/>
                  <w:tcBorders>
                    <w:tl2br w:val="nil"/>
                    <w:tr2bl w:val="nil"/>
                  </w:tcBorders>
                  <w:shd w:val="clear" w:color="auto" w:fill="auto"/>
                  <w:vAlign w:val="center"/>
                </w:tcPr>
                <w:p w14:paraId="212FF1D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HYC-310S</w:t>
                  </w:r>
                </w:p>
              </w:tc>
              <w:tc>
                <w:tcPr>
                  <w:tcW w:w="970" w:type="dxa"/>
                  <w:tcBorders>
                    <w:tl2br w:val="nil"/>
                    <w:tr2bl w:val="nil"/>
                  </w:tcBorders>
                  <w:shd w:val="clear" w:color="auto" w:fill="auto"/>
                  <w:noWrap/>
                  <w:vAlign w:val="center"/>
                </w:tcPr>
                <w:p w14:paraId="70C86BE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8</w:t>
                  </w:r>
                </w:p>
              </w:tc>
            </w:tr>
            <w:tr w14:paraId="2A225F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BE333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24</w:t>
                  </w:r>
                </w:p>
              </w:tc>
              <w:tc>
                <w:tcPr>
                  <w:tcW w:w="3449" w:type="dxa"/>
                  <w:tcBorders>
                    <w:tl2br w:val="nil"/>
                    <w:tr2bl w:val="nil"/>
                  </w:tcBorders>
                  <w:shd w:val="clear" w:color="auto" w:fill="auto"/>
                  <w:vAlign w:val="center"/>
                </w:tcPr>
                <w:p w14:paraId="537F74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生化培养箱</w:t>
                  </w:r>
                </w:p>
              </w:tc>
              <w:tc>
                <w:tcPr>
                  <w:tcW w:w="1305" w:type="dxa"/>
                  <w:tcBorders>
                    <w:tl2br w:val="nil"/>
                    <w:tr2bl w:val="nil"/>
                  </w:tcBorders>
                  <w:shd w:val="clear" w:color="auto" w:fill="auto"/>
                  <w:noWrap/>
                  <w:vAlign w:val="center"/>
                </w:tcPr>
                <w:p w14:paraId="0F8771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上海精宏</w:t>
                  </w:r>
                </w:p>
              </w:tc>
              <w:tc>
                <w:tcPr>
                  <w:tcW w:w="1875" w:type="dxa"/>
                  <w:tcBorders>
                    <w:tl2br w:val="nil"/>
                    <w:tr2bl w:val="nil"/>
                  </w:tcBorders>
                  <w:shd w:val="clear" w:color="auto" w:fill="auto"/>
                  <w:vAlign w:val="center"/>
                </w:tcPr>
                <w:p w14:paraId="6C55A9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SHP-150</w:t>
                  </w:r>
                </w:p>
              </w:tc>
              <w:tc>
                <w:tcPr>
                  <w:tcW w:w="970" w:type="dxa"/>
                  <w:tcBorders>
                    <w:tl2br w:val="nil"/>
                    <w:tr2bl w:val="nil"/>
                  </w:tcBorders>
                  <w:shd w:val="clear" w:color="auto" w:fill="auto"/>
                  <w:noWrap/>
                  <w:vAlign w:val="center"/>
                </w:tcPr>
                <w:p w14:paraId="5CEE422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w:t>
                  </w:r>
                </w:p>
              </w:tc>
            </w:tr>
            <w:tr w14:paraId="337F54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4FD46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25</w:t>
                  </w:r>
                </w:p>
              </w:tc>
              <w:tc>
                <w:tcPr>
                  <w:tcW w:w="3449" w:type="dxa"/>
                  <w:tcBorders>
                    <w:tl2br w:val="nil"/>
                    <w:tr2bl w:val="nil"/>
                  </w:tcBorders>
                  <w:shd w:val="clear" w:color="auto" w:fill="auto"/>
                  <w:vAlign w:val="center"/>
                </w:tcPr>
                <w:p w14:paraId="1EECA9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菌落计数仪</w:t>
                  </w:r>
                </w:p>
              </w:tc>
              <w:tc>
                <w:tcPr>
                  <w:tcW w:w="1305" w:type="dxa"/>
                  <w:tcBorders>
                    <w:tl2br w:val="nil"/>
                    <w:tr2bl w:val="nil"/>
                  </w:tcBorders>
                  <w:shd w:val="clear" w:color="auto" w:fill="auto"/>
                  <w:noWrap/>
                  <w:vAlign w:val="center"/>
                </w:tcPr>
                <w:p w14:paraId="480FE5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无锡沃信</w:t>
                  </w:r>
                </w:p>
              </w:tc>
              <w:tc>
                <w:tcPr>
                  <w:tcW w:w="1875" w:type="dxa"/>
                  <w:tcBorders>
                    <w:tl2br w:val="nil"/>
                    <w:tr2bl w:val="nil"/>
                  </w:tcBorders>
                  <w:shd w:val="clear" w:color="auto" w:fill="auto"/>
                  <w:vAlign w:val="center"/>
                </w:tcPr>
                <w:p w14:paraId="3FA2B72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VS-J3</w:t>
                  </w:r>
                </w:p>
              </w:tc>
              <w:tc>
                <w:tcPr>
                  <w:tcW w:w="970" w:type="dxa"/>
                  <w:tcBorders>
                    <w:tl2br w:val="nil"/>
                    <w:tr2bl w:val="nil"/>
                  </w:tcBorders>
                  <w:shd w:val="clear" w:color="auto" w:fill="auto"/>
                  <w:noWrap/>
                  <w:vAlign w:val="center"/>
                </w:tcPr>
                <w:p w14:paraId="78935D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496E5D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0AEE41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26</w:t>
                  </w:r>
                </w:p>
              </w:tc>
              <w:tc>
                <w:tcPr>
                  <w:tcW w:w="3449" w:type="dxa"/>
                  <w:tcBorders>
                    <w:tl2br w:val="nil"/>
                    <w:tr2bl w:val="nil"/>
                  </w:tcBorders>
                  <w:shd w:val="clear" w:color="auto" w:fill="auto"/>
                  <w:vAlign w:val="center"/>
                </w:tcPr>
                <w:p w14:paraId="221F32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隔水式恒温培养箱</w:t>
                  </w:r>
                </w:p>
              </w:tc>
              <w:tc>
                <w:tcPr>
                  <w:tcW w:w="1305" w:type="dxa"/>
                  <w:tcBorders>
                    <w:tl2br w:val="nil"/>
                    <w:tr2bl w:val="nil"/>
                  </w:tcBorders>
                  <w:shd w:val="clear" w:color="auto" w:fill="auto"/>
                  <w:noWrap/>
                  <w:vAlign w:val="center"/>
                </w:tcPr>
                <w:p w14:paraId="24D40B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上海精宏</w:t>
                  </w:r>
                </w:p>
              </w:tc>
              <w:tc>
                <w:tcPr>
                  <w:tcW w:w="1875" w:type="dxa"/>
                  <w:tcBorders>
                    <w:tl2br w:val="nil"/>
                    <w:tr2bl w:val="nil"/>
                  </w:tcBorders>
                  <w:shd w:val="clear" w:color="auto" w:fill="auto"/>
                  <w:vAlign w:val="center"/>
                </w:tcPr>
                <w:p w14:paraId="0D2374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GNP-9080</w:t>
                  </w:r>
                </w:p>
              </w:tc>
              <w:tc>
                <w:tcPr>
                  <w:tcW w:w="970" w:type="dxa"/>
                  <w:tcBorders>
                    <w:tl2br w:val="nil"/>
                    <w:tr2bl w:val="nil"/>
                  </w:tcBorders>
                  <w:shd w:val="clear" w:color="auto" w:fill="auto"/>
                  <w:noWrap/>
                  <w:vAlign w:val="center"/>
                </w:tcPr>
                <w:p w14:paraId="6077E1E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27EBB3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02" w:hRule="exact"/>
                <w:jc w:val="center"/>
              </w:trPr>
              <w:tc>
                <w:tcPr>
                  <w:tcW w:w="656" w:type="dxa"/>
                  <w:tcBorders>
                    <w:tl2br w:val="nil"/>
                    <w:tr2bl w:val="nil"/>
                  </w:tcBorders>
                  <w:shd w:val="clear" w:color="auto" w:fill="auto"/>
                  <w:vAlign w:val="center"/>
                </w:tcPr>
                <w:p w14:paraId="2301F15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27</w:t>
                  </w:r>
                </w:p>
              </w:tc>
              <w:tc>
                <w:tcPr>
                  <w:tcW w:w="3449" w:type="dxa"/>
                  <w:tcBorders>
                    <w:tl2br w:val="nil"/>
                    <w:tr2bl w:val="nil"/>
                  </w:tcBorders>
                  <w:shd w:val="clear" w:color="auto" w:fill="auto"/>
                  <w:vAlign w:val="center"/>
                </w:tcPr>
                <w:p w14:paraId="280AA1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程控定量封口机</w:t>
                  </w:r>
                </w:p>
              </w:tc>
              <w:tc>
                <w:tcPr>
                  <w:tcW w:w="1305" w:type="dxa"/>
                  <w:tcBorders>
                    <w:tl2br w:val="nil"/>
                    <w:tr2bl w:val="nil"/>
                  </w:tcBorders>
                  <w:shd w:val="clear" w:color="auto" w:fill="auto"/>
                  <w:noWrap/>
                  <w:vAlign w:val="center"/>
                </w:tcPr>
                <w:p w14:paraId="1AC5F4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奎泰斯特</w:t>
                  </w:r>
                </w:p>
              </w:tc>
              <w:tc>
                <w:tcPr>
                  <w:tcW w:w="1875" w:type="dxa"/>
                  <w:tcBorders>
                    <w:tl2br w:val="nil"/>
                    <w:tr2bl w:val="nil"/>
                  </w:tcBorders>
                  <w:shd w:val="clear" w:color="auto" w:fill="auto"/>
                  <w:vAlign w:val="center"/>
                </w:tcPr>
                <w:p w14:paraId="36BB5E3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Denfender</w:t>
                  </w:r>
                  <w:r>
                    <w:rPr>
                      <w:rFonts w:hint="eastAsia" w:ascii="Times New Roman" w:hAnsi="Times New Roman" w:cs="Times New Roman"/>
                      <w:b w:val="0"/>
                      <w:bCs/>
                      <w:color w:val="auto"/>
                      <w:kern w:val="0"/>
                      <w:sz w:val="21"/>
                      <w:szCs w:val="21"/>
                      <w:highlight w:val="none"/>
                      <w:lang w:val="en-US" w:eastAsia="zh-CN" w:bidi="ar"/>
                    </w:rPr>
                    <w:t xml:space="preserve"> Sealer MAX</w:t>
                  </w:r>
                </w:p>
              </w:tc>
              <w:tc>
                <w:tcPr>
                  <w:tcW w:w="970" w:type="dxa"/>
                  <w:tcBorders>
                    <w:tl2br w:val="nil"/>
                    <w:tr2bl w:val="nil"/>
                  </w:tcBorders>
                  <w:shd w:val="clear" w:color="auto" w:fill="auto"/>
                  <w:noWrap/>
                  <w:vAlign w:val="center"/>
                </w:tcPr>
                <w:p w14:paraId="7D21B6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63E403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E2D48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28</w:t>
                  </w:r>
                </w:p>
              </w:tc>
              <w:tc>
                <w:tcPr>
                  <w:tcW w:w="3449" w:type="dxa"/>
                  <w:tcBorders>
                    <w:tl2br w:val="nil"/>
                    <w:tr2bl w:val="nil"/>
                  </w:tcBorders>
                  <w:shd w:val="clear" w:color="auto" w:fill="auto"/>
                  <w:vAlign w:val="center"/>
                </w:tcPr>
                <w:p w14:paraId="4B59354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生物安全柜</w:t>
                  </w:r>
                </w:p>
              </w:tc>
              <w:tc>
                <w:tcPr>
                  <w:tcW w:w="1305" w:type="dxa"/>
                  <w:tcBorders>
                    <w:tl2br w:val="nil"/>
                    <w:tr2bl w:val="nil"/>
                  </w:tcBorders>
                  <w:shd w:val="clear" w:color="auto" w:fill="auto"/>
                  <w:noWrap/>
                  <w:vAlign w:val="center"/>
                </w:tcPr>
                <w:p w14:paraId="0A6D18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青岛海尔</w:t>
                  </w:r>
                </w:p>
              </w:tc>
              <w:tc>
                <w:tcPr>
                  <w:tcW w:w="1875" w:type="dxa"/>
                  <w:tcBorders>
                    <w:tl2br w:val="nil"/>
                    <w:tr2bl w:val="nil"/>
                  </w:tcBorders>
                  <w:shd w:val="clear" w:color="auto" w:fill="auto"/>
                  <w:vAlign w:val="center"/>
                </w:tcPr>
                <w:p w14:paraId="6C1ADB7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HR-1360-IIA2</w:t>
                  </w:r>
                </w:p>
              </w:tc>
              <w:tc>
                <w:tcPr>
                  <w:tcW w:w="970" w:type="dxa"/>
                  <w:tcBorders>
                    <w:tl2br w:val="nil"/>
                    <w:tr2bl w:val="nil"/>
                  </w:tcBorders>
                  <w:shd w:val="clear" w:color="auto" w:fill="auto"/>
                  <w:noWrap/>
                  <w:vAlign w:val="center"/>
                </w:tcPr>
                <w:p w14:paraId="4CABD0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1053B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BC05F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29</w:t>
                  </w:r>
                </w:p>
              </w:tc>
              <w:tc>
                <w:tcPr>
                  <w:tcW w:w="3449" w:type="dxa"/>
                  <w:tcBorders>
                    <w:tl2br w:val="nil"/>
                    <w:tr2bl w:val="nil"/>
                  </w:tcBorders>
                  <w:shd w:val="clear" w:color="auto" w:fill="auto"/>
                  <w:vAlign w:val="center"/>
                </w:tcPr>
                <w:p w14:paraId="09F182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温湿度计</w:t>
                  </w:r>
                </w:p>
              </w:tc>
              <w:tc>
                <w:tcPr>
                  <w:tcW w:w="1305" w:type="dxa"/>
                  <w:tcBorders>
                    <w:tl2br w:val="nil"/>
                    <w:tr2bl w:val="nil"/>
                  </w:tcBorders>
                  <w:shd w:val="clear" w:color="auto" w:fill="auto"/>
                  <w:noWrap/>
                  <w:vAlign w:val="center"/>
                </w:tcPr>
                <w:p w14:paraId="376B25A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testo</w:t>
                  </w:r>
                </w:p>
              </w:tc>
              <w:tc>
                <w:tcPr>
                  <w:tcW w:w="1875" w:type="dxa"/>
                  <w:tcBorders>
                    <w:tl2br w:val="nil"/>
                    <w:tr2bl w:val="nil"/>
                  </w:tcBorders>
                  <w:shd w:val="clear" w:color="auto" w:fill="auto"/>
                  <w:vAlign w:val="center"/>
                </w:tcPr>
                <w:p w14:paraId="195FC1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shd w:val="clear" w:fill="FFFFFF"/>
                      <w:lang w:val="en-US" w:eastAsia="zh-CN" w:bidi="ar"/>
                    </w:rPr>
                    <w:t>testo</w:t>
                  </w:r>
                  <w:r>
                    <w:rPr>
                      <w:rFonts w:hint="eastAsia" w:ascii="Times New Roman" w:hAnsi="Times New Roman" w:cs="Times New Roman"/>
                      <w:b w:val="0"/>
                      <w:bCs/>
                      <w:color w:val="auto"/>
                      <w:kern w:val="0"/>
                      <w:sz w:val="21"/>
                      <w:szCs w:val="21"/>
                      <w:highlight w:val="none"/>
                      <w:lang w:val="en-US" w:eastAsia="zh-CN" w:bidi="ar"/>
                    </w:rPr>
                    <w:t>608H1</w:t>
                  </w:r>
                </w:p>
              </w:tc>
              <w:tc>
                <w:tcPr>
                  <w:tcW w:w="970" w:type="dxa"/>
                  <w:tcBorders>
                    <w:tl2br w:val="nil"/>
                    <w:tr2bl w:val="nil"/>
                  </w:tcBorders>
                  <w:shd w:val="clear" w:color="auto" w:fill="auto"/>
                  <w:noWrap/>
                  <w:vAlign w:val="center"/>
                </w:tcPr>
                <w:p w14:paraId="797742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20</w:t>
                  </w:r>
                </w:p>
              </w:tc>
            </w:tr>
            <w:tr w14:paraId="6C3F0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20B969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30</w:t>
                  </w:r>
                </w:p>
              </w:tc>
              <w:tc>
                <w:tcPr>
                  <w:tcW w:w="3449" w:type="dxa"/>
                  <w:tcBorders>
                    <w:tl2br w:val="nil"/>
                    <w:tr2bl w:val="nil"/>
                  </w:tcBorders>
                  <w:shd w:val="clear" w:color="auto" w:fill="auto"/>
                  <w:vAlign w:val="center"/>
                </w:tcPr>
                <w:p w14:paraId="26B1CF1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颠倒温度计</w:t>
                  </w:r>
                </w:p>
              </w:tc>
              <w:tc>
                <w:tcPr>
                  <w:tcW w:w="1305" w:type="dxa"/>
                  <w:tcBorders>
                    <w:tl2br w:val="nil"/>
                    <w:tr2bl w:val="nil"/>
                  </w:tcBorders>
                  <w:shd w:val="clear" w:color="auto" w:fill="auto"/>
                  <w:noWrap/>
                  <w:vAlign w:val="center"/>
                </w:tcPr>
                <w:p w14:paraId="683DAD2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宇檬哲</w:t>
                  </w:r>
                </w:p>
              </w:tc>
              <w:tc>
                <w:tcPr>
                  <w:tcW w:w="1875" w:type="dxa"/>
                  <w:tcBorders>
                    <w:tl2br w:val="nil"/>
                    <w:tr2bl w:val="nil"/>
                  </w:tcBorders>
                  <w:shd w:val="clear" w:color="auto" w:fill="auto"/>
                  <w:vAlign w:val="center"/>
                </w:tcPr>
                <w:p w14:paraId="63BDABE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JY-026</w:t>
                  </w:r>
                </w:p>
              </w:tc>
              <w:tc>
                <w:tcPr>
                  <w:tcW w:w="970" w:type="dxa"/>
                  <w:tcBorders>
                    <w:tl2br w:val="nil"/>
                    <w:tr2bl w:val="nil"/>
                  </w:tcBorders>
                  <w:shd w:val="clear" w:color="auto" w:fill="auto"/>
                  <w:noWrap/>
                  <w:vAlign w:val="center"/>
                </w:tcPr>
                <w:p w14:paraId="1C5050C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10814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71AD270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31</w:t>
                  </w:r>
                </w:p>
              </w:tc>
              <w:tc>
                <w:tcPr>
                  <w:tcW w:w="3449" w:type="dxa"/>
                  <w:tcBorders>
                    <w:tl2br w:val="nil"/>
                    <w:tr2bl w:val="nil"/>
                  </w:tcBorders>
                  <w:shd w:val="clear" w:color="auto" w:fill="auto"/>
                  <w:vAlign w:val="center"/>
                </w:tcPr>
                <w:p w14:paraId="04DC7D4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微波消解仪</w:t>
                  </w:r>
                </w:p>
              </w:tc>
              <w:tc>
                <w:tcPr>
                  <w:tcW w:w="1305" w:type="dxa"/>
                  <w:tcBorders>
                    <w:tl2br w:val="nil"/>
                    <w:tr2bl w:val="nil"/>
                  </w:tcBorders>
                  <w:shd w:val="clear" w:color="auto" w:fill="auto"/>
                  <w:noWrap/>
                  <w:vAlign w:val="center"/>
                </w:tcPr>
                <w:p w14:paraId="1BC44F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上海新仪</w:t>
                  </w:r>
                </w:p>
              </w:tc>
              <w:tc>
                <w:tcPr>
                  <w:tcW w:w="1875" w:type="dxa"/>
                  <w:tcBorders>
                    <w:tl2br w:val="nil"/>
                    <w:tr2bl w:val="nil"/>
                  </w:tcBorders>
                  <w:shd w:val="clear" w:color="auto" w:fill="auto"/>
                  <w:vAlign w:val="center"/>
                </w:tcPr>
                <w:p w14:paraId="073960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ECO</w:t>
                  </w:r>
                </w:p>
              </w:tc>
              <w:tc>
                <w:tcPr>
                  <w:tcW w:w="970" w:type="dxa"/>
                  <w:tcBorders>
                    <w:tl2br w:val="nil"/>
                    <w:tr2bl w:val="nil"/>
                  </w:tcBorders>
                  <w:shd w:val="clear" w:color="auto" w:fill="auto"/>
                  <w:noWrap/>
                  <w:vAlign w:val="center"/>
                </w:tcPr>
                <w:p w14:paraId="1FA192E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02322C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7B0FA4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32</w:t>
                  </w:r>
                </w:p>
              </w:tc>
              <w:tc>
                <w:tcPr>
                  <w:tcW w:w="3449" w:type="dxa"/>
                  <w:tcBorders>
                    <w:tl2br w:val="nil"/>
                    <w:tr2bl w:val="nil"/>
                  </w:tcBorders>
                  <w:shd w:val="clear" w:color="auto" w:fill="auto"/>
                  <w:vAlign w:val="center"/>
                </w:tcPr>
                <w:p w14:paraId="5BF749B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紫外可见分光光度计</w:t>
                  </w:r>
                </w:p>
              </w:tc>
              <w:tc>
                <w:tcPr>
                  <w:tcW w:w="1305" w:type="dxa"/>
                  <w:tcBorders>
                    <w:tl2br w:val="nil"/>
                    <w:tr2bl w:val="nil"/>
                  </w:tcBorders>
                  <w:shd w:val="clear" w:color="auto" w:fill="auto"/>
                  <w:noWrap/>
                  <w:vAlign w:val="center"/>
                </w:tcPr>
                <w:p w14:paraId="0A42271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上海元析</w:t>
                  </w:r>
                </w:p>
              </w:tc>
              <w:tc>
                <w:tcPr>
                  <w:tcW w:w="1875" w:type="dxa"/>
                  <w:tcBorders>
                    <w:tl2br w:val="nil"/>
                    <w:tr2bl w:val="nil"/>
                  </w:tcBorders>
                  <w:shd w:val="clear" w:color="auto" w:fill="auto"/>
                  <w:vAlign w:val="center"/>
                </w:tcPr>
                <w:p w14:paraId="70391F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UV-9000S</w:t>
                  </w:r>
                </w:p>
              </w:tc>
              <w:tc>
                <w:tcPr>
                  <w:tcW w:w="970" w:type="dxa"/>
                  <w:tcBorders>
                    <w:tl2br w:val="nil"/>
                    <w:tr2bl w:val="nil"/>
                  </w:tcBorders>
                  <w:shd w:val="clear" w:color="auto" w:fill="auto"/>
                  <w:noWrap/>
                  <w:vAlign w:val="center"/>
                </w:tcPr>
                <w:p w14:paraId="445F25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1E2DBC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2A5FABD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33</w:t>
                  </w:r>
                </w:p>
              </w:tc>
              <w:tc>
                <w:tcPr>
                  <w:tcW w:w="3449" w:type="dxa"/>
                  <w:tcBorders>
                    <w:tl2br w:val="nil"/>
                    <w:tr2bl w:val="nil"/>
                  </w:tcBorders>
                  <w:shd w:val="clear" w:color="auto" w:fill="auto"/>
                  <w:vAlign w:val="center"/>
                </w:tcPr>
                <w:p w14:paraId="75F83C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台式离心机</w:t>
                  </w:r>
                </w:p>
              </w:tc>
              <w:tc>
                <w:tcPr>
                  <w:tcW w:w="1305" w:type="dxa"/>
                  <w:tcBorders>
                    <w:tl2br w:val="nil"/>
                    <w:tr2bl w:val="nil"/>
                  </w:tcBorders>
                  <w:shd w:val="clear" w:color="auto" w:fill="auto"/>
                  <w:noWrap/>
                  <w:vAlign w:val="center"/>
                </w:tcPr>
                <w:p w14:paraId="6719AB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湖南湘仪</w:t>
                  </w:r>
                </w:p>
              </w:tc>
              <w:tc>
                <w:tcPr>
                  <w:tcW w:w="1875" w:type="dxa"/>
                  <w:tcBorders>
                    <w:tl2br w:val="nil"/>
                    <w:tr2bl w:val="nil"/>
                  </w:tcBorders>
                  <w:shd w:val="clear" w:color="auto" w:fill="auto"/>
                  <w:vAlign w:val="center"/>
                </w:tcPr>
                <w:p w14:paraId="20CA52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CLT55</w:t>
                  </w:r>
                </w:p>
              </w:tc>
              <w:tc>
                <w:tcPr>
                  <w:tcW w:w="970" w:type="dxa"/>
                  <w:tcBorders>
                    <w:tl2br w:val="nil"/>
                    <w:tr2bl w:val="nil"/>
                  </w:tcBorders>
                  <w:shd w:val="clear" w:color="auto" w:fill="auto"/>
                  <w:noWrap/>
                  <w:vAlign w:val="center"/>
                </w:tcPr>
                <w:p w14:paraId="0874525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60A53F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00F699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34</w:t>
                  </w:r>
                </w:p>
              </w:tc>
              <w:tc>
                <w:tcPr>
                  <w:tcW w:w="3449" w:type="dxa"/>
                  <w:tcBorders>
                    <w:tl2br w:val="nil"/>
                    <w:tr2bl w:val="nil"/>
                  </w:tcBorders>
                  <w:shd w:val="clear" w:color="auto" w:fill="auto"/>
                  <w:vAlign w:val="center"/>
                </w:tcPr>
                <w:p w14:paraId="3C103AC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pH计</w:t>
                  </w:r>
                </w:p>
              </w:tc>
              <w:tc>
                <w:tcPr>
                  <w:tcW w:w="1305" w:type="dxa"/>
                  <w:tcBorders>
                    <w:tl2br w:val="nil"/>
                    <w:tr2bl w:val="nil"/>
                  </w:tcBorders>
                  <w:shd w:val="clear" w:color="auto" w:fill="auto"/>
                  <w:noWrap/>
                  <w:vAlign w:val="center"/>
                </w:tcPr>
                <w:p w14:paraId="7792AD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上海雷磁</w:t>
                  </w:r>
                </w:p>
              </w:tc>
              <w:tc>
                <w:tcPr>
                  <w:tcW w:w="1875" w:type="dxa"/>
                  <w:tcBorders>
                    <w:tl2br w:val="nil"/>
                    <w:tr2bl w:val="nil"/>
                  </w:tcBorders>
                  <w:shd w:val="clear" w:color="auto" w:fill="auto"/>
                  <w:vAlign w:val="center"/>
                </w:tcPr>
                <w:p w14:paraId="6B1432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PHSJ-3F</w:t>
                  </w:r>
                </w:p>
              </w:tc>
              <w:tc>
                <w:tcPr>
                  <w:tcW w:w="970" w:type="dxa"/>
                  <w:tcBorders>
                    <w:tl2br w:val="nil"/>
                    <w:tr2bl w:val="nil"/>
                  </w:tcBorders>
                  <w:shd w:val="clear" w:color="auto" w:fill="auto"/>
                  <w:noWrap/>
                  <w:vAlign w:val="center"/>
                </w:tcPr>
                <w:p w14:paraId="234B3B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736E69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5AF644C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35</w:t>
                  </w:r>
                </w:p>
              </w:tc>
              <w:tc>
                <w:tcPr>
                  <w:tcW w:w="3449" w:type="dxa"/>
                  <w:tcBorders>
                    <w:tl2br w:val="nil"/>
                    <w:tr2bl w:val="nil"/>
                  </w:tcBorders>
                  <w:shd w:val="clear" w:color="auto" w:fill="auto"/>
                  <w:vAlign w:val="center"/>
                </w:tcPr>
                <w:p w14:paraId="1F1735C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浊度仪</w:t>
                  </w:r>
                </w:p>
              </w:tc>
              <w:tc>
                <w:tcPr>
                  <w:tcW w:w="1305" w:type="dxa"/>
                  <w:tcBorders>
                    <w:tl2br w:val="nil"/>
                    <w:tr2bl w:val="nil"/>
                  </w:tcBorders>
                  <w:shd w:val="clear" w:color="auto" w:fill="auto"/>
                  <w:noWrap/>
                  <w:vAlign w:val="center"/>
                </w:tcPr>
                <w:p w14:paraId="69E7F61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上海雷磁</w:t>
                  </w:r>
                </w:p>
              </w:tc>
              <w:tc>
                <w:tcPr>
                  <w:tcW w:w="1875" w:type="dxa"/>
                  <w:tcBorders>
                    <w:tl2br w:val="nil"/>
                    <w:tr2bl w:val="nil"/>
                  </w:tcBorders>
                  <w:shd w:val="clear" w:color="auto" w:fill="auto"/>
                  <w:vAlign w:val="center"/>
                </w:tcPr>
                <w:p w14:paraId="5D407F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WZB-172</w:t>
                  </w:r>
                </w:p>
              </w:tc>
              <w:tc>
                <w:tcPr>
                  <w:tcW w:w="970" w:type="dxa"/>
                  <w:tcBorders>
                    <w:tl2br w:val="nil"/>
                    <w:tr2bl w:val="nil"/>
                  </w:tcBorders>
                  <w:shd w:val="clear" w:color="auto" w:fill="auto"/>
                  <w:noWrap/>
                  <w:vAlign w:val="center"/>
                </w:tcPr>
                <w:p w14:paraId="33DC093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0CF59F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3BEDB4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36</w:t>
                  </w:r>
                </w:p>
              </w:tc>
              <w:tc>
                <w:tcPr>
                  <w:tcW w:w="3449" w:type="dxa"/>
                  <w:tcBorders>
                    <w:tl2br w:val="nil"/>
                    <w:tr2bl w:val="nil"/>
                  </w:tcBorders>
                  <w:shd w:val="clear" w:color="auto" w:fill="auto"/>
                  <w:vAlign w:val="center"/>
                </w:tcPr>
                <w:p w14:paraId="38BBCB1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色度仪</w:t>
                  </w:r>
                </w:p>
              </w:tc>
              <w:tc>
                <w:tcPr>
                  <w:tcW w:w="1305" w:type="dxa"/>
                  <w:tcBorders>
                    <w:tl2br w:val="nil"/>
                    <w:tr2bl w:val="nil"/>
                  </w:tcBorders>
                  <w:shd w:val="clear" w:color="auto" w:fill="auto"/>
                  <w:noWrap/>
                  <w:vAlign w:val="center"/>
                </w:tcPr>
                <w:p w14:paraId="6ECC47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上海昕瑞</w:t>
                  </w:r>
                </w:p>
              </w:tc>
              <w:tc>
                <w:tcPr>
                  <w:tcW w:w="1875" w:type="dxa"/>
                  <w:tcBorders>
                    <w:tl2br w:val="nil"/>
                    <w:tr2bl w:val="nil"/>
                  </w:tcBorders>
                  <w:shd w:val="clear" w:color="auto" w:fill="auto"/>
                  <w:vAlign w:val="center"/>
                </w:tcPr>
                <w:p w14:paraId="4C3525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SD9011B</w:t>
                  </w:r>
                </w:p>
              </w:tc>
              <w:tc>
                <w:tcPr>
                  <w:tcW w:w="970" w:type="dxa"/>
                  <w:tcBorders>
                    <w:tl2br w:val="nil"/>
                    <w:tr2bl w:val="nil"/>
                  </w:tcBorders>
                  <w:shd w:val="clear" w:color="auto" w:fill="auto"/>
                  <w:noWrap/>
                  <w:vAlign w:val="center"/>
                </w:tcPr>
                <w:p w14:paraId="57C820D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4C4AC3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3DB91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37</w:t>
                  </w:r>
                </w:p>
              </w:tc>
              <w:tc>
                <w:tcPr>
                  <w:tcW w:w="3449" w:type="dxa"/>
                  <w:tcBorders>
                    <w:tl2br w:val="nil"/>
                    <w:tr2bl w:val="nil"/>
                  </w:tcBorders>
                  <w:shd w:val="clear" w:color="auto" w:fill="auto"/>
                  <w:vAlign w:val="center"/>
                </w:tcPr>
                <w:p w14:paraId="31131B9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消毒剂测定仪</w:t>
                  </w:r>
                </w:p>
              </w:tc>
              <w:tc>
                <w:tcPr>
                  <w:tcW w:w="1305" w:type="dxa"/>
                  <w:tcBorders>
                    <w:tl2br w:val="nil"/>
                    <w:tr2bl w:val="nil"/>
                  </w:tcBorders>
                  <w:shd w:val="clear" w:color="auto" w:fill="auto"/>
                  <w:noWrap/>
                  <w:vAlign w:val="center"/>
                </w:tcPr>
                <w:p w14:paraId="02EB12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上海雷磁</w:t>
                  </w:r>
                </w:p>
              </w:tc>
              <w:tc>
                <w:tcPr>
                  <w:tcW w:w="1875" w:type="dxa"/>
                  <w:tcBorders>
                    <w:tl2br w:val="nil"/>
                    <w:tr2bl w:val="nil"/>
                  </w:tcBorders>
                  <w:shd w:val="clear" w:color="auto" w:fill="auto"/>
                  <w:vAlign w:val="center"/>
                </w:tcPr>
                <w:p w14:paraId="74BA560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DGB-403F</w:t>
                  </w:r>
                </w:p>
              </w:tc>
              <w:tc>
                <w:tcPr>
                  <w:tcW w:w="970" w:type="dxa"/>
                  <w:tcBorders>
                    <w:tl2br w:val="nil"/>
                    <w:tr2bl w:val="nil"/>
                  </w:tcBorders>
                  <w:shd w:val="clear" w:color="auto" w:fill="auto"/>
                  <w:noWrap/>
                  <w:vAlign w:val="center"/>
                </w:tcPr>
                <w:p w14:paraId="65FEC7D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63E21B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2571B9C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38</w:t>
                  </w:r>
                </w:p>
              </w:tc>
              <w:tc>
                <w:tcPr>
                  <w:tcW w:w="3449" w:type="dxa"/>
                  <w:tcBorders>
                    <w:tl2br w:val="nil"/>
                    <w:tr2bl w:val="nil"/>
                  </w:tcBorders>
                  <w:shd w:val="clear" w:color="auto" w:fill="auto"/>
                  <w:vAlign w:val="center"/>
                </w:tcPr>
                <w:p w14:paraId="58972BF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臭氧测定仪</w:t>
                  </w:r>
                </w:p>
              </w:tc>
              <w:tc>
                <w:tcPr>
                  <w:tcW w:w="1305" w:type="dxa"/>
                  <w:tcBorders>
                    <w:tl2br w:val="nil"/>
                    <w:tr2bl w:val="nil"/>
                  </w:tcBorders>
                  <w:shd w:val="clear" w:color="auto" w:fill="auto"/>
                  <w:noWrap/>
                  <w:vAlign w:val="center"/>
                </w:tcPr>
                <w:p w14:paraId="7C46480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上海昕瑞</w:t>
                  </w:r>
                </w:p>
              </w:tc>
              <w:tc>
                <w:tcPr>
                  <w:tcW w:w="1875" w:type="dxa"/>
                  <w:tcBorders>
                    <w:tl2br w:val="nil"/>
                    <w:tr2bl w:val="nil"/>
                  </w:tcBorders>
                  <w:shd w:val="clear" w:color="auto" w:fill="auto"/>
                  <w:vAlign w:val="center"/>
                </w:tcPr>
                <w:p w14:paraId="03D5283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SYL-3B</w:t>
                  </w:r>
                </w:p>
              </w:tc>
              <w:tc>
                <w:tcPr>
                  <w:tcW w:w="970" w:type="dxa"/>
                  <w:tcBorders>
                    <w:tl2br w:val="nil"/>
                    <w:tr2bl w:val="nil"/>
                  </w:tcBorders>
                  <w:shd w:val="clear" w:color="auto" w:fill="auto"/>
                  <w:noWrap/>
                  <w:vAlign w:val="center"/>
                </w:tcPr>
                <w:p w14:paraId="500A4E6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07BBB9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667DAC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39</w:t>
                  </w:r>
                </w:p>
              </w:tc>
              <w:tc>
                <w:tcPr>
                  <w:tcW w:w="3449" w:type="dxa"/>
                  <w:tcBorders>
                    <w:tl2br w:val="nil"/>
                    <w:tr2bl w:val="nil"/>
                  </w:tcBorders>
                  <w:shd w:val="clear" w:color="auto" w:fill="auto"/>
                  <w:vAlign w:val="center"/>
                </w:tcPr>
                <w:p w14:paraId="40A5A2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电子分析天平</w:t>
                  </w:r>
                </w:p>
              </w:tc>
              <w:tc>
                <w:tcPr>
                  <w:tcW w:w="1305" w:type="dxa"/>
                  <w:tcBorders>
                    <w:tl2br w:val="nil"/>
                    <w:tr2bl w:val="nil"/>
                  </w:tcBorders>
                  <w:shd w:val="clear" w:color="auto" w:fill="auto"/>
                  <w:noWrap/>
                  <w:vAlign w:val="center"/>
                </w:tcPr>
                <w:p w14:paraId="335206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赛多利斯</w:t>
                  </w:r>
                </w:p>
              </w:tc>
              <w:tc>
                <w:tcPr>
                  <w:tcW w:w="1875" w:type="dxa"/>
                  <w:tcBorders>
                    <w:tl2br w:val="nil"/>
                    <w:tr2bl w:val="nil"/>
                  </w:tcBorders>
                  <w:shd w:val="clear" w:color="auto" w:fill="auto"/>
                  <w:vAlign w:val="center"/>
                </w:tcPr>
                <w:p w14:paraId="0B00F6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BCE224-1CCN</w:t>
                  </w:r>
                </w:p>
              </w:tc>
              <w:tc>
                <w:tcPr>
                  <w:tcW w:w="970" w:type="dxa"/>
                  <w:tcBorders>
                    <w:tl2br w:val="nil"/>
                    <w:tr2bl w:val="nil"/>
                  </w:tcBorders>
                  <w:shd w:val="clear" w:color="auto" w:fill="auto"/>
                  <w:noWrap/>
                  <w:vAlign w:val="center"/>
                </w:tcPr>
                <w:p w14:paraId="2B8A250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0EAD7C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50DDA2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40</w:t>
                  </w:r>
                </w:p>
              </w:tc>
              <w:tc>
                <w:tcPr>
                  <w:tcW w:w="3449" w:type="dxa"/>
                  <w:tcBorders>
                    <w:tl2br w:val="nil"/>
                    <w:tr2bl w:val="nil"/>
                  </w:tcBorders>
                  <w:shd w:val="clear" w:color="auto" w:fill="auto"/>
                  <w:vAlign w:val="center"/>
                </w:tcPr>
                <w:p w14:paraId="53451B5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水浴锅</w:t>
                  </w:r>
                </w:p>
              </w:tc>
              <w:tc>
                <w:tcPr>
                  <w:tcW w:w="1305" w:type="dxa"/>
                  <w:tcBorders>
                    <w:tl2br w:val="nil"/>
                    <w:tr2bl w:val="nil"/>
                  </w:tcBorders>
                  <w:shd w:val="clear" w:color="auto" w:fill="auto"/>
                  <w:noWrap/>
                  <w:vAlign w:val="center"/>
                </w:tcPr>
                <w:p w14:paraId="183913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上海力辰</w:t>
                  </w:r>
                </w:p>
              </w:tc>
              <w:tc>
                <w:tcPr>
                  <w:tcW w:w="1875" w:type="dxa"/>
                  <w:tcBorders>
                    <w:tl2br w:val="nil"/>
                    <w:tr2bl w:val="nil"/>
                  </w:tcBorders>
                  <w:shd w:val="clear" w:color="auto" w:fill="auto"/>
                  <w:vAlign w:val="center"/>
                </w:tcPr>
                <w:p w14:paraId="029D2B3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HH-6</w:t>
                  </w:r>
                </w:p>
              </w:tc>
              <w:tc>
                <w:tcPr>
                  <w:tcW w:w="970" w:type="dxa"/>
                  <w:tcBorders>
                    <w:tl2br w:val="nil"/>
                    <w:tr2bl w:val="nil"/>
                  </w:tcBorders>
                  <w:shd w:val="clear" w:color="auto" w:fill="auto"/>
                  <w:noWrap/>
                  <w:vAlign w:val="center"/>
                </w:tcPr>
                <w:p w14:paraId="493F9B6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r>
            <w:tr w14:paraId="11C5AE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44CE6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41</w:t>
                  </w:r>
                </w:p>
              </w:tc>
              <w:tc>
                <w:tcPr>
                  <w:tcW w:w="3449" w:type="dxa"/>
                  <w:tcBorders>
                    <w:tl2br w:val="nil"/>
                    <w:tr2bl w:val="nil"/>
                  </w:tcBorders>
                  <w:shd w:val="clear" w:color="auto" w:fill="auto"/>
                  <w:vAlign w:val="center"/>
                </w:tcPr>
                <w:p w14:paraId="66D6A8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标准COD消解器</w:t>
                  </w:r>
                </w:p>
              </w:tc>
              <w:tc>
                <w:tcPr>
                  <w:tcW w:w="1305" w:type="dxa"/>
                  <w:tcBorders>
                    <w:tl2br w:val="nil"/>
                    <w:tr2bl w:val="nil"/>
                  </w:tcBorders>
                  <w:shd w:val="clear" w:color="auto" w:fill="auto"/>
                  <w:noWrap/>
                  <w:vAlign w:val="center"/>
                </w:tcPr>
                <w:p w14:paraId="4208970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江苏海环</w:t>
                  </w:r>
                </w:p>
              </w:tc>
              <w:tc>
                <w:tcPr>
                  <w:tcW w:w="1875" w:type="dxa"/>
                  <w:tcBorders>
                    <w:tl2br w:val="nil"/>
                    <w:tr2bl w:val="nil"/>
                  </w:tcBorders>
                  <w:shd w:val="clear" w:color="auto" w:fill="auto"/>
                  <w:vAlign w:val="center"/>
                </w:tcPr>
                <w:p w14:paraId="5AC105D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SH-108</w:t>
                  </w:r>
                </w:p>
              </w:tc>
              <w:tc>
                <w:tcPr>
                  <w:tcW w:w="970" w:type="dxa"/>
                  <w:tcBorders>
                    <w:tl2br w:val="nil"/>
                    <w:tr2bl w:val="nil"/>
                  </w:tcBorders>
                  <w:shd w:val="clear" w:color="auto" w:fill="auto"/>
                  <w:noWrap/>
                  <w:vAlign w:val="center"/>
                </w:tcPr>
                <w:p w14:paraId="251DC5E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3</w:t>
                  </w:r>
                </w:p>
              </w:tc>
            </w:tr>
            <w:tr w14:paraId="6C6A8A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519C0B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42</w:t>
                  </w:r>
                </w:p>
              </w:tc>
              <w:tc>
                <w:tcPr>
                  <w:tcW w:w="3449" w:type="dxa"/>
                  <w:tcBorders>
                    <w:tl2br w:val="nil"/>
                    <w:tr2bl w:val="nil"/>
                  </w:tcBorders>
                  <w:shd w:val="clear" w:color="auto" w:fill="auto"/>
                  <w:vAlign w:val="center"/>
                </w:tcPr>
                <w:p w14:paraId="7ED4F5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溶解氧仪</w:t>
                  </w:r>
                </w:p>
              </w:tc>
              <w:tc>
                <w:tcPr>
                  <w:tcW w:w="1305" w:type="dxa"/>
                  <w:tcBorders>
                    <w:tl2br w:val="nil"/>
                    <w:tr2bl w:val="nil"/>
                  </w:tcBorders>
                  <w:shd w:val="clear" w:color="auto" w:fill="auto"/>
                  <w:noWrap/>
                  <w:vAlign w:val="center"/>
                </w:tcPr>
                <w:p w14:paraId="381F148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上海雷磁</w:t>
                  </w:r>
                </w:p>
              </w:tc>
              <w:tc>
                <w:tcPr>
                  <w:tcW w:w="1875" w:type="dxa"/>
                  <w:tcBorders>
                    <w:tl2br w:val="nil"/>
                    <w:tr2bl w:val="nil"/>
                  </w:tcBorders>
                  <w:shd w:val="clear" w:color="auto" w:fill="auto"/>
                  <w:vAlign w:val="center"/>
                </w:tcPr>
                <w:p w14:paraId="07960A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JPB-607A</w:t>
                  </w:r>
                </w:p>
              </w:tc>
              <w:tc>
                <w:tcPr>
                  <w:tcW w:w="970" w:type="dxa"/>
                  <w:tcBorders>
                    <w:tl2br w:val="nil"/>
                    <w:tr2bl w:val="nil"/>
                  </w:tcBorders>
                  <w:shd w:val="clear" w:color="auto" w:fill="auto"/>
                  <w:noWrap/>
                  <w:vAlign w:val="center"/>
                </w:tcPr>
                <w:p w14:paraId="5C67A6D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5B303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4E9BA7C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43</w:t>
                  </w:r>
                </w:p>
              </w:tc>
              <w:tc>
                <w:tcPr>
                  <w:tcW w:w="3449" w:type="dxa"/>
                  <w:tcBorders>
                    <w:tl2br w:val="nil"/>
                    <w:tr2bl w:val="nil"/>
                  </w:tcBorders>
                  <w:shd w:val="clear" w:color="auto" w:fill="auto"/>
                  <w:vAlign w:val="center"/>
                </w:tcPr>
                <w:p w14:paraId="04D7698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电导率仪</w:t>
                  </w:r>
                </w:p>
              </w:tc>
              <w:tc>
                <w:tcPr>
                  <w:tcW w:w="1305" w:type="dxa"/>
                  <w:tcBorders>
                    <w:tl2br w:val="nil"/>
                    <w:tr2bl w:val="nil"/>
                  </w:tcBorders>
                  <w:shd w:val="clear" w:color="auto" w:fill="auto"/>
                  <w:noWrap/>
                  <w:vAlign w:val="center"/>
                </w:tcPr>
                <w:p w14:paraId="7E38603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上海雷磁</w:t>
                  </w:r>
                </w:p>
              </w:tc>
              <w:tc>
                <w:tcPr>
                  <w:tcW w:w="1875" w:type="dxa"/>
                  <w:tcBorders>
                    <w:tl2br w:val="nil"/>
                    <w:tr2bl w:val="nil"/>
                  </w:tcBorders>
                  <w:shd w:val="clear" w:color="auto" w:fill="auto"/>
                  <w:vAlign w:val="center"/>
                </w:tcPr>
                <w:p w14:paraId="7A8F7F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DDSJ-307F</w:t>
                  </w:r>
                </w:p>
              </w:tc>
              <w:tc>
                <w:tcPr>
                  <w:tcW w:w="970" w:type="dxa"/>
                  <w:tcBorders>
                    <w:tl2br w:val="nil"/>
                    <w:tr2bl w:val="nil"/>
                  </w:tcBorders>
                  <w:shd w:val="clear" w:color="auto" w:fill="auto"/>
                  <w:noWrap/>
                  <w:vAlign w:val="center"/>
                </w:tcPr>
                <w:p w14:paraId="02737CB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46EB63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71979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44</w:t>
                  </w:r>
                </w:p>
              </w:tc>
              <w:tc>
                <w:tcPr>
                  <w:tcW w:w="3449" w:type="dxa"/>
                  <w:tcBorders>
                    <w:tl2br w:val="nil"/>
                    <w:tr2bl w:val="nil"/>
                  </w:tcBorders>
                  <w:shd w:val="clear" w:color="auto" w:fill="auto"/>
                  <w:vAlign w:val="center"/>
                </w:tcPr>
                <w:p w14:paraId="281FD76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氮吹仪</w:t>
                  </w:r>
                </w:p>
              </w:tc>
              <w:tc>
                <w:tcPr>
                  <w:tcW w:w="1305" w:type="dxa"/>
                  <w:tcBorders>
                    <w:tl2br w:val="nil"/>
                    <w:tr2bl w:val="nil"/>
                  </w:tcBorders>
                  <w:shd w:val="clear" w:color="auto" w:fill="auto"/>
                  <w:noWrap/>
                  <w:vAlign w:val="center"/>
                </w:tcPr>
                <w:p w14:paraId="126F786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天津恒奥</w:t>
                  </w:r>
                </w:p>
              </w:tc>
              <w:tc>
                <w:tcPr>
                  <w:tcW w:w="1875" w:type="dxa"/>
                  <w:tcBorders>
                    <w:tl2br w:val="nil"/>
                    <w:tr2bl w:val="nil"/>
                  </w:tcBorders>
                  <w:shd w:val="clear" w:color="auto" w:fill="auto"/>
                  <w:vAlign w:val="center"/>
                </w:tcPr>
                <w:p w14:paraId="4D8EE3B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HGC–24Ai</w:t>
                  </w:r>
                </w:p>
              </w:tc>
              <w:tc>
                <w:tcPr>
                  <w:tcW w:w="970" w:type="dxa"/>
                  <w:tcBorders>
                    <w:tl2br w:val="nil"/>
                    <w:tr2bl w:val="nil"/>
                  </w:tcBorders>
                  <w:shd w:val="clear" w:color="auto" w:fill="auto"/>
                  <w:noWrap/>
                  <w:vAlign w:val="center"/>
                </w:tcPr>
                <w:p w14:paraId="1BE33B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5E862B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F33327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45</w:t>
                  </w:r>
                </w:p>
              </w:tc>
              <w:tc>
                <w:tcPr>
                  <w:tcW w:w="3449" w:type="dxa"/>
                  <w:tcBorders>
                    <w:tl2br w:val="nil"/>
                    <w:tr2bl w:val="nil"/>
                  </w:tcBorders>
                  <w:shd w:val="clear" w:color="auto" w:fill="auto"/>
                  <w:vAlign w:val="center"/>
                </w:tcPr>
                <w:p w14:paraId="00E290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电子天平0.01mg</w:t>
                  </w:r>
                </w:p>
              </w:tc>
              <w:tc>
                <w:tcPr>
                  <w:tcW w:w="1305" w:type="dxa"/>
                  <w:tcBorders>
                    <w:tl2br w:val="nil"/>
                    <w:tr2bl w:val="nil"/>
                  </w:tcBorders>
                  <w:shd w:val="clear" w:color="auto" w:fill="auto"/>
                  <w:noWrap/>
                  <w:vAlign w:val="center"/>
                </w:tcPr>
                <w:p w14:paraId="717EB36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赛多利斯</w:t>
                  </w:r>
                </w:p>
              </w:tc>
              <w:tc>
                <w:tcPr>
                  <w:tcW w:w="1875" w:type="dxa"/>
                  <w:tcBorders>
                    <w:tl2br w:val="nil"/>
                    <w:tr2bl w:val="nil"/>
                  </w:tcBorders>
                  <w:shd w:val="clear" w:color="auto" w:fill="auto"/>
                  <w:vAlign w:val="center"/>
                </w:tcPr>
                <w:p w14:paraId="72938B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BCE55i-1OCN</w:t>
                  </w:r>
                </w:p>
              </w:tc>
              <w:tc>
                <w:tcPr>
                  <w:tcW w:w="970" w:type="dxa"/>
                  <w:tcBorders>
                    <w:tl2br w:val="nil"/>
                    <w:tr2bl w:val="nil"/>
                  </w:tcBorders>
                  <w:shd w:val="clear" w:color="auto" w:fill="auto"/>
                  <w:noWrap/>
                  <w:vAlign w:val="center"/>
                </w:tcPr>
                <w:p w14:paraId="0CC4C8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316775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B3D1EF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46</w:t>
                  </w:r>
                </w:p>
              </w:tc>
              <w:tc>
                <w:tcPr>
                  <w:tcW w:w="3449" w:type="dxa"/>
                  <w:tcBorders>
                    <w:tl2br w:val="nil"/>
                    <w:tr2bl w:val="nil"/>
                  </w:tcBorders>
                  <w:shd w:val="clear" w:color="auto" w:fill="auto"/>
                  <w:vAlign w:val="center"/>
                </w:tcPr>
                <w:p w14:paraId="40884A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cs="Times New Roman"/>
                      <w:b w:val="0"/>
                      <w:bCs/>
                      <w:color w:val="auto"/>
                      <w:kern w:val="0"/>
                      <w:sz w:val="21"/>
                      <w:szCs w:val="21"/>
                      <w:highlight w:val="none"/>
                      <w:shd w:val="clear" w:fill="FFFFFF"/>
                      <w:lang w:val="en-US" w:eastAsia="zh-CN" w:bidi="ar"/>
                    </w:rPr>
                    <w:t>漩涡振荡器</w:t>
                  </w:r>
                </w:p>
              </w:tc>
              <w:tc>
                <w:tcPr>
                  <w:tcW w:w="1305" w:type="dxa"/>
                  <w:tcBorders>
                    <w:tl2br w:val="nil"/>
                    <w:tr2bl w:val="nil"/>
                  </w:tcBorders>
                  <w:shd w:val="clear" w:color="auto" w:fill="auto"/>
                  <w:noWrap/>
                  <w:vAlign w:val="center"/>
                </w:tcPr>
                <w:p w14:paraId="456951E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上海力辰</w:t>
                  </w:r>
                </w:p>
              </w:tc>
              <w:tc>
                <w:tcPr>
                  <w:tcW w:w="1875" w:type="dxa"/>
                  <w:tcBorders>
                    <w:tl2br w:val="nil"/>
                    <w:tr2bl w:val="nil"/>
                  </w:tcBorders>
                  <w:shd w:val="clear" w:color="auto" w:fill="auto"/>
                  <w:vAlign w:val="center"/>
                </w:tcPr>
                <w:p w14:paraId="0BA5734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LC-Vortex MS</w:t>
                  </w:r>
                </w:p>
              </w:tc>
              <w:tc>
                <w:tcPr>
                  <w:tcW w:w="970" w:type="dxa"/>
                  <w:tcBorders>
                    <w:tl2br w:val="nil"/>
                    <w:tr2bl w:val="nil"/>
                  </w:tcBorders>
                  <w:shd w:val="clear" w:color="auto" w:fill="auto"/>
                  <w:noWrap/>
                  <w:vAlign w:val="center"/>
                </w:tcPr>
                <w:p w14:paraId="6B2D67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1015C1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1C4CB0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47</w:t>
                  </w:r>
                </w:p>
              </w:tc>
              <w:tc>
                <w:tcPr>
                  <w:tcW w:w="3449" w:type="dxa"/>
                  <w:tcBorders>
                    <w:tl2br w:val="nil"/>
                    <w:tr2bl w:val="nil"/>
                  </w:tcBorders>
                  <w:shd w:val="clear" w:color="auto" w:fill="auto"/>
                  <w:vAlign w:val="center"/>
                </w:tcPr>
                <w:p w14:paraId="63118D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超纯水机</w:t>
                  </w:r>
                </w:p>
              </w:tc>
              <w:tc>
                <w:tcPr>
                  <w:tcW w:w="1305" w:type="dxa"/>
                  <w:tcBorders>
                    <w:tl2br w:val="nil"/>
                    <w:tr2bl w:val="nil"/>
                  </w:tcBorders>
                  <w:shd w:val="clear" w:color="auto" w:fill="auto"/>
                  <w:noWrap/>
                  <w:vAlign w:val="center"/>
                </w:tcPr>
                <w:p w14:paraId="5A44F5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科瑞峰</w:t>
                  </w:r>
                </w:p>
              </w:tc>
              <w:tc>
                <w:tcPr>
                  <w:tcW w:w="1875" w:type="dxa"/>
                  <w:tcBorders>
                    <w:tl2br w:val="nil"/>
                    <w:tr2bl w:val="nil"/>
                  </w:tcBorders>
                  <w:shd w:val="clear" w:color="auto" w:fill="auto"/>
                  <w:vAlign w:val="center"/>
                </w:tcPr>
                <w:p w14:paraId="73CDDFF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SU-S2-20L</w:t>
                  </w:r>
                </w:p>
              </w:tc>
              <w:tc>
                <w:tcPr>
                  <w:tcW w:w="970" w:type="dxa"/>
                  <w:tcBorders>
                    <w:tl2br w:val="nil"/>
                    <w:tr2bl w:val="nil"/>
                  </w:tcBorders>
                  <w:shd w:val="clear" w:color="auto" w:fill="auto"/>
                  <w:noWrap/>
                  <w:vAlign w:val="center"/>
                </w:tcPr>
                <w:p w14:paraId="1493A3F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2DB1D2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1B549D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48</w:t>
                  </w:r>
                </w:p>
              </w:tc>
              <w:tc>
                <w:tcPr>
                  <w:tcW w:w="3449" w:type="dxa"/>
                  <w:tcBorders>
                    <w:tl2br w:val="nil"/>
                    <w:tr2bl w:val="nil"/>
                  </w:tcBorders>
                  <w:shd w:val="clear" w:color="auto" w:fill="auto"/>
                  <w:vAlign w:val="center"/>
                </w:tcPr>
                <w:p w14:paraId="0500C4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数控超声波清洗器</w:t>
                  </w:r>
                </w:p>
              </w:tc>
              <w:tc>
                <w:tcPr>
                  <w:tcW w:w="1305" w:type="dxa"/>
                  <w:tcBorders>
                    <w:tl2br w:val="nil"/>
                    <w:tr2bl w:val="nil"/>
                  </w:tcBorders>
                  <w:shd w:val="clear" w:color="auto" w:fill="auto"/>
                  <w:noWrap/>
                  <w:vAlign w:val="center"/>
                </w:tcPr>
                <w:p w14:paraId="236F20E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昆山苏美</w:t>
                  </w:r>
                </w:p>
              </w:tc>
              <w:tc>
                <w:tcPr>
                  <w:tcW w:w="1875" w:type="dxa"/>
                  <w:tcBorders>
                    <w:tl2br w:val="nil"/>
                    <w:tr2bl w:val="nil"/>
                  </w:tcBorders>
                  <w:shd w:val="clear" w:color="auto" w:fill="auto"/>
                  <w:vAlign w:val="center"/>
                </w:tcPr>
                <w:p w14:paraId="65F2167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KQ-400KDE</w:t>
                  </w:r>
                </w:p>
              </w:tc>
              <w:tc>
                <w:tcPr>
                  <w:tcW w:w="970" w:type="dxa"/>
                  <w:tcBorders>
                    <w:tl2br w:val="nil"/>
                    <w:tr2bl w:val="nil"/>
                  </w:tcBorders>
                  <w:shd w:val="clear" w:color="auto" w:fill="auto"/>
                  <w:noWrap/>
                  <w:vAlign w:val="center"/>
                </w:tcPr>
                <w:p w14:paraId="1AA0F77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62955F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67C077B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49</w:t>
                  </w:r>
                </w:p>
              </w:tc>
              <w:tc>
                <w:tcPr>
                  <w:tcW w:w="3449" w:type="dxa"/>
                  <w:tcBorders>
                    <w:tl2br w:val="nil"/>
                    <w:tr2bl w:val="nil"/>
                  </w:tcBorders>
                  <w:shd w:val="clear" w:color="auto" w:fill="auto"/>
                  <w:vAlign w:val="center"/>
                </w:tcPr>
                <w:p w14:paraId="1ABF763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低温保存箱</w:t>
                  </w:r>
                </w:p>
              </w:tc>
              <w:tc>
                <w:tcPr>
                  <w:tcW w:w="1305" w:type="dxa"/>
                  <w:tcBorders>
                    <w:tl2br w:val="nil"/>
                    <w:tr2bl w:val="nil"/>
                  </w:tcBorders>
                  <w:shd w:val="clear" w:color="auto" w:fill="auto"/>
                  <w:noWrap/>
                  <w:vAlign w:val="center"/>
                </w:tcPr>
                <w:p w14:paraId="162ED1D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青岛海尔</w:t>
                  </w:r>
                </w:p>
              </w:tc>
              <w:tc>
                <w:tcPr>
                  <w:tcW w:w="1875" w:type="dxa"/>
                  <w:tcBorders>
                    <w:tl2br w:val="nil"/>
                    <w:tr2bl w:val="nil"/>
                  </w:tcBorders>
                  <w:shd w:val="clear" w:color="auto" w:fill="auto"/>
                  <w:vAlign w:val="center"/>
                </w:tcPr>
                <w:p w14:paraId="384E552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DW-25W198</w:t>
                  </w:r>
                </w:p>
              </w:tc>
              <w:tc>
                <w:tcPr>
                  <w:tcW w:w="970" w:type="dxa"/>
                  <w:tcBorders>
                    <w:tl2br w:val="nil"/>
                    <w:tr2bl w:val="nil"/>
                  </w:tcBorders>
                  <w:shd w:val="clear" w:color="auto" w:fill="auto"/>
                  <w:noWrap/>
                  <w:vAlign w:val="center"/>
                </w:tcPr>
                <w:p w14:paraId="47B968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59ED22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2871703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50</w:t>
                  </w:r>
                </w:p>
              </w:tc>
              <w:tc>
                <w:tcPr>
                  <w:tcW w:w="3449" w:type="dxa"/>
                  <w:tcBorders>
                    <w:tl2br w:val="nil"/>
                    <w:tr2bl w:val="nil"/>
                  </w:tcBorders>
                  <w:shd w:val="clear" w:color="auto" w:fill="auto"/>
                  <w:vAlign w:val="center"/>
                </w:tcPr>
                <w:p w14:paraId="09E0EFD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移液枪</w:t>
                  </w:r>
                </w:p>
              </w:tc>
              <w:tc>
                <w:tcPr>
                  <w:tcW w:w="1305" w:type="dxa"/>
                  <w:tcBorders>
                    <w:tl2br w:val="nil"/>
                    <w:tr2bl w:val="nil"/>
                  </w:tcBorders>
                  <w:shd w:val="clear" w:color="auto" w:fill="auto"/>
                  <w:noWrap/>
                  <w:vAlign w:val="center"/>
                </w:tcPr>
                <w:p w14:paraId="634B0C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Eppendorf</w:t>
                  </w:r>
                </w:p>
              </w:tc>
              <w:tc>
                <w:tcPr>
                  <w:tcW w:w="1875" w:type="dxa"/>
                  <w:tcBorders>
                    <w:tl2br w:val="nil"/>
                    <w:tr2bl w:val="nil"/>
                  </w:tcBorders>
                  <w:shd w:val="clear" w:color="auto" w:fill="auto"/>
                  <w:vAlign w:val="center"/>
                </w:tcPr>
                <w:p w14:paraId="45D90DF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Research plus</w:t>
                  </w:r>
                </w:p>
              </w:tc>
              <w:tc>
                <w:tcPr>
                  <w:tcW w:w="970" w:type="dxa"/>
                  <w:tcBorders>
                    <w:tl2br w:val="nil"/>
                    <w:tr2bl w:val="nil"/>
                  </w:tcBorders>
                  <w:shd w:val="clear" w:color="auto" w:fill="auto"/>
                  <w:noWrap/>
                  <w:vAlign w:val="center"/>
                </w:tcPr>
                <w:p w14:paraId="6ABC569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8</w:t>
                  </w:r>
                </w:p>
              </w:tc>
            </w:tr>
            <w:tr w14:paraId="39A179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EE2EEA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51</w:t>
                  </w:r>
                </w:p>
              </w:tc>
              <w:tc>
                <w:tcPr>
                  <w:tcW w:w="3449" w:type="dxa"/>
                  <w:tcBorders>
                    <w:tl2br w:val="nil"/>
                    <w:tr2bl w:val="nil"/>
                  </w:tcBorders>
                  <w:shd w:val="clear" w:color="auto" w:fill="auto"/>
                  <w:vAlign w:val="center"/>
                </w:tcPr>
                <w:p w14:paraId="255715B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磁力搅拌器</w:t>
                  </w:r>
                </w:p>
              </w:tc>
              <w:tc>
                <w:tcPr>
                  <w:tcW w:w="1305" w:type="dxa"/>
                  <w:tcBorders>
                    <w:tl2br w:val="nil"/>
                    <w:tr2bl w:val="nil"/>
                  </w:tcBorders>
                  <w:shd w:val="clear" w:color="auto" w:fill="auto"/>
                  <w:noWrap/>
                  <w:vAlign w:val="center"/>
                </w:tcPr>
                <w:p w14:paraId="3FB1D83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北京大龙</w:t>
                  </w:r>
                </w:p>
              </w:tc>
              <w:tc>
                <w:tcPr>
                  <w:tcW w:w="1875" w:type="dxa"/>
                  <w:tcBorders>
                    <w:tl2br w:val="nil"/>
                    <w:tr2bl w:val="nil"/>
                  </w:tcBorders>
                  <w:shd w:val="clear" w:color="auto" w:fill="auto"/>
                  <w:vAlign w:val="center"/>
                </w:tcPr>
                <w:p w14:paraId="1C45F1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MS-H-ProA</w:t>
                  </w:r>
                </w:p>
              </w:tc>
              <w:tc>
                <w:tcPr>
                  <w:tcW w:w="970" w:type="dxa"/>
                  <w:tcBorders>
                    <w:tl2br w:val="nil"/>
                    <w:tr2bl w:val="nil"/>
                  </w:tcBorders>
                  <w:shd w:val="clear" w:color="auto" w:fill="auto"/>
                  <w:noWrap/>
                  <w:vAlign w:val="center"/>
                </w:tcPr>
                <w:p w14:paraId="240C934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2</w:t>
                  </w:r>
                </w:p>
              </w:tc>
            </w:tr>
            <w:tr w14:paraId="64A413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341F328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52</w:t>
                  </w:r>
                </w:p>
              </w:tc>
              <w:tc>
                <w:tcPr>
                  <w:tcW w:w="3449" w:type="dxa"/>
                  <w:tcBorders>
                    <w:tl2br w:val="nil"/>
                    <w:tr2bl w:val="nil"/>
                  </w:tcBorders>
                  <w:shd w:val="clear" w:color="auto" w:fill="auto"/>
                  <w:vAlign w:val="center"/>
                </w:tcPr>
                <w:p w14:paraId="70B978E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玻璃仪器烘干器</w:t>
                  </w:r>
                </w:p>
              </w:tc>
              <w:tc>
                <w:tcPr>
                  <w:tcW w:w="1305" w:type="dxa"/>
                  <w:tcBorders>
                    <w:tl2br w:val="nil"/>
                    <w:tr2bl w:val="nil"/>
                  </w:tcBorders>
                  <w:shd w:val="clear" w:color="auto" w:fill="auto"/>
                  <w:noWrap/>
                  <w:vAlign w:val="center"/>
                </w:tcPr>
                <w:p w14:paraId="5DB9B20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上海力辰</w:t>
                  </w:r>
                </w:p>
              </w:tc>
              <w:tc>
                <w:tcPr>
                  <w:tcW w:w="1875" w:type="dxa"/>
                  <w:tcBorders>
                    <w:tl2br w:val="nil"/>
                    <w:tr2bl w:val="nil"/>
                  </w:tcBorders>
                  <w:shd w:val="clear" w:color="auto" w:fill="auto"/>
                  <w:vAlign w:val="center"/>
                </w:tcPr>
                <w:p w14:paraId="61E47F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C型</w:t>
                  </w:r>
                </w:p>
              </w:tc>
              <w:tc>
                <w:tcPr>
                  <w:tcW w:w="970" w:type="dxa"/>
                  <w:tcBorders>
                    <w:tl2br w:val="nil"/>
                    <w:tr2bl w:val="nil"/>
                  </w:tcBorders>
                  <w:shd w:val="clear" w:color="auto" w:fill="auto"/>
                  <w:noWrap/>
                  <w:vAlign w:val="center"/>
                </w:tcPr>
                <w:p w14:paraId="707F813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4</w:t>
                  </w:r>
                </w:p>
              </w:tc>
            </w:tr>
            <w:tr w14:paraId="548FF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656" w:type="dxa"/>
                  <w:tcBorders>
                    <w:tl2br w:val="nil"/>
                    <w:tr2bl w:val="nil"/>
                  </w:tcBorders>
                  <w:shd w:val="clear" w:color="auto" w:fill="auto"/>
                  <w:vAlign w:val="center"/>
                </w:tcPr>
                <w:p w14:paraId="5A8F1D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53</w:t>
                  </w:r>
                </w:p>
              </w:tc>
              <w:tc>
                <w:tcPr>
                  <w:tcW w:w="3449" w:type="dxa"/>
                  <w:tcBorders>
                    <w:tl2br w:val="nil"/>
                    <w:tr2bl w:val="nil"/>
                  </w:tcBorders>
                  <w:shd w:val="clear" w:color="auto" w:fill="auto"/>
                  <w:vAlign w:val="center"/>
                </w:tcPr>
                <w:p w14:paraId="0E9B1E5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自动液液萃取仪</w:t>
                  </w:r>
                </w:p>
              </w:tc>
              <w:tc>
                <w:tcPr>
                  <w:tcW w:w="1305" w:type="dxa"/>
                  <w:tcBorders>
                    <w:tl2br w:val="nil"/>
                    <w:tr2bl w:val="nil"/>
                  </w:tcBorders>
                  <w:shd w:val="clear" w:color="auto" w:fill="auto"/>
                  <w:noWrap/>
                  <w:vAlign w:val="center"/>
                </w:tcPr>
                <w:p w14:paraId="2183A0E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长沙永乐康</w:t>
                  </w:r>
                </w:p>
              </w:tc>
              <w:tc>
                <w:tcPr>
                  <w:tcW w:w="1875" w:type="dxa"/>
                  <w:tcBorders>
                    <w:tl2br w:val="nil"/>
                    <w:tr2bl w:val="nil"/>
                  </w:tcBorders>
                  <w:shd w:val="clear" w:color="auto" w:fill="auto"/>
                  <w:vAlign w:val="center"/>
                </w:tcPr>
                <w:p w14:paraId="1AD9C12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YKD-10</w:t>
                  </w:r>
                </w:p>
              </w:tc>
              <w:tc>
                <w:tcPr>
                  <w:tcW w:w="970" w:type="dxa"/>
                  <w:tcBorders>
                    <w:tl2br w:val="nil"/>
                    <w:tr2bl w:val="nil"/>
                  </w:tcBorders>
                  <w:shd w:val="clear" w:color="auto" w:fill="auto"/>
                  <w:noWrap/>
                  <w:vAlign w:val="center"/>
                </w:tcPr>
                <w:p w14:paraId="7F80323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eastAsia" w:ascii="Times New Roman" w:hAnsi="Times New Roman" w:cs="Times New Roman"/>
                      <w:b w:val="0"/>
                      <w:bCs/>
                      <w:color w:val="auto"/>
                      <w:kern w:val="0"/>
                      <w:sz w:val="21"/>
                      <w:szCs w:val="21"/>
                      <w:highlight w:val="none"/>
                      <w:lang w:val="en-US" w:eastAsia="zh-CN" w:bidi="ar"/>
                    </w:rPr>
                  </w:pPr>
                  <w:r>
                    <w:rPr>
                      <w:rFonts w:hint="eastAsia" w:ascii="Times New Roman" w:hAnsi="Times New Roman" w:cs="Times New Roman"/>
                      <w:b w:val="0"/>
                      <w:bCs/>
                      <w:color w:val="auto"/>
                      <w:kern w:val="0"/>
                      <w:sz w:val="21"/>
                      <w:szCs w:val="21"/>
                      <w:highlight w:val="none"/>
                      <w:lang w:val="en-US" w:eastAsia="zh-CN" w:bidi="ar"/>
                    </w:rPr>
                    <w:t>1</w:t>
                  </w:r>
                </w:p>
              </w:tc>
            </w:tr>
            <w:tr w14:paraId="72D143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24" w:hRule="exact"/>
                <w:jc w:val="center"/>
              </w:trPr>
              <w:tc>
                <w:tcPr>
                  <w:tcW w:w="8255" w:type="dxa"/>
                  <w:gridSpan w:val="5"/>
                  <w:tcBorders>
                    <w:tl2br w:val="nil"/>
                    <w:tr2bl w:val="nil"/>
                  </w:tcBorders>
                  <w:shd w:val="clear" w:color="auto" w:fill="auto"/>
                  <w:vAlign w:val="center"/>
                </w:tcPr>
                <w:p w14:paraId="6029B4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80" w:lineRule="exact"/>
                    <w:ind w:left="0" w:right="0"/>
                    <w:jc w:val="left"/>
                    <w:textAlignment w:val="center"/>
                    <w:rPr>
                      <w:rFonts w:hint="default" w:ascii="Times New Roman" w:hAnsi="Times New Roman" w:cs="Times New Roman"/>
                      <w:b w:val="0"/>
                      <w:bCs/>
                      <w:color w:val="auto"/>
                      <w:kern w:val="0"/>
                      <w:sz w:val="21"/>
                      <w:szCs w:val="21"/>
                      <w:highlight w:val="none"/>
                      <w:lang w:val="en-US" w:eastAsia="zh-CN" w:bidi="ar"/>
                    </w:rPr>
                  </w:pPr>
                  <w:r>
                    <w:rPr>
                      <w:rFonts w:hint="eastAsia" w:cs="Times New Roman"/>
                      <w:b/>
                      <w:bCs w:val="0"/>
                      <w:color w:val="auto"/>
                      <w:kern w:val="0"/>
                      <w:sz w:val="18"/>
                      <w:szCs w:val="18"/>
                      <w:highlight w:val="none"/>
                      <w:lang w:val="en-US" w:eastAsia="zh-CN" w:bidi="ar"/>
                    </w:rPr>
                    <w:t>注：本项目检测总α放射性、总β放射性使用低本底αβ测量仪。采购武汉谱晰科技有限公司，型号为PAB-6000为第六批豁免备案证明文件的放射性同位素设备。具体见附件8。</w:t>
                  </w:r>
                </w:p>
              </w:tc>
            </w:tr>
          </w:tbl>
          <w:p w14:paraId="300DF278">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实验室主要试剂</w:t>
            </w:r>
          </w:p>
          <w:p w14:paraId="0E4212EE">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（1）主要试剂清单</w:t>
            </w:r>
          </w:p>
          <w:p w14:paraId="05A1E22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项目主要试剂贮存于</w:t>
            </w:r>
            <w:r>
              <w:rPr>
                <w:rFonts w:hint="default" w:ascii="Times New Roman" w:hAnsi="Times New Roman" w:cs="Times New Roman"/>
                <w:color w:val="auto"/>
                <w:szCs w:val="20"/>
                <w:highlight w:val="none"/>
                <w:lang w:val="en-US" w:eastAsia="zh-CN"/>
              </w:rPr>
              <w:t>试剂室、易制爆室、易制毒室、惰性气体室、易燃易爆气体室</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实验试剂</w:t>
            </w:r>
            <w:r>
              <w:rPr>
                <w:rFonts w:hint="default" w:ascii="Times New Roman" w:hAnsi="Times New Roman" w:cs="Times New Roman"/>
                <w:color w:val="auto"/>
                <w:highlight w:val="none"/>
              </w:rPr>
              <w:t>用量</w:t>
            </w:r>
            <w:r>
              <w:rPr>
                <w:rFonts w:hint="default" w:ascii="Times New Roman" w:hAnsi="Times New Roman" w:cs="Times New Roman"/>
                <w:color w:val="auto"/>
                <w:highlight w:val="none"/>
                <w:lang w:val="en-US" w:eastAsia="zh-CN"/>
              </w:rPr>
              <w:t>情况</w:t>
            </w:r>
            <w:r>
              <w:rPr>
                <w:rFonts w:hint="default" w:ascii="Times New Roman" w:hAnsi="Times New Roman" w:cs="Times New Roman"/>
                <w:color w:val="auto"/>
                <w:highlight w:val="none"/>
              </w:rPr>
              <w:t>见</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REF _Ref5629 \n \h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表2.3-4</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主要试剂成分见</w:t>
            </w:r>
            <w:r>
              <w:rPr>
                <w:rFonts w:hint="default" w:ascii="Times New Roman" w:hAnsi="Times New Roman" w:cs="Times New Roman"/>
                <w:color w:val="auto"/>
                <w:highlight w:val="none"/>
                <w:lang w:val="en-US" w:eastAsia="zh-CN"/>
              </w:rPr>
              <w:fldChar w:fldCharType="begin"/>
            </w:r>
            <w:r>
              <w:rPr>
                <w:rFonts w:hint="default" w:ascii="Times New Roman" w:hAnsi="Times New Roman" w:cs="Times New Roman"/>
                <w:color w:val="auto"/>
                <w:highlight w:val="none"/>
                <w:lang w:val="en-US" w:eastAsia="zh-CN"/>
              </w:rPr>
              <w:instrText xml:space="preserve"> REF _Ref191 \n \h </w:instrText>
            </w:r>
            <w:r>
              <w:rPr>
                <w:rFonts w:hint="default" w:ascii="Times New Roman" w:hAnsi="Times New Roman" w:cs="Times New Roman"/>
                <w:color w:val="auto"/>
                <w:highlight w:val="none"/>
                <w:lang w:val="en-US" w:eastAsia="zh-CN"/>
              </w:rPr>
              <w:fldChar w:fldCharType="separate"/>
            </w:r>
            <w:r>
              <w:rPr>
                <w:rFonts w:hint="default" w:ascii="Times New Roman" w:hAnsi="Times New Roman" w:cs="Times New Roman"/>
                <w:color w:val="auto"/>
                <w:highlight w:val="none"/>
                <w:lang w:val="en-US" w:eastAsia="zh-CN"/>
              </w:rPr>
              <w:t>表2.3-5</w:t>
            </w:r>
            <w:r>
              <w:rPr>
                <w:rFonts w:hint="default" w:ascii="Times New Roman" w:hAnsi="Times New Roman" w:cs="Times New Roman"/>
                <w:color w:val="auto"/>
                <w:highlight w:val="none"/>
                <w:lang w:val="en-US" w:eastAsia="zh-CN"/>
              </w:rPr>
              <w:fldChar w:fldCharType="end"/>
            </w:r>
            <w:r>
              <w:rPr>
                <w:rFonts w:hint="default" w:ascii="Times New Roman" w:hAnsi="Times New Roman" w:cs="Times New Roman"/>
                <w:color w:val="auto"/>
                <w:highlight w:val="none"/>
              </w:rPr>
              <w:t>。</w:t>
            </w:r>
            <w:bookmarkStart w:id="38" w:name="_Ref15667"/>
          </w:p>
          <w:p w14:paraId="7C3EBA8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p>
          <w:p w14:paraId="4E599145">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rPr>
            </w:pPr>
            <w:bookmarkStart w:id="39" w:name="_Ref5629"/>
            <w:r>
              <w:rPr>
                <w:rFonts w:hint="default" w:ascii="Times New Roman" w:hAnsi="Times New Roman" w:cs="Times New Roman"/>
                <w:color w:val="auto"/>
                <w:highlight w:val="none"/>
              </w:rPr>
              <w:t>主要原辅材料预计消耗一览表</w:t>
            </w:r>
            <w:bookmarkEnd w:id="38"/>
            <w:bookmarkEnd w:id="39"/>
          </w:p>
          <w:tbl>
            <w:tblPr>
              <w:tblStyle w:val="28"/>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622"/>
              <w:gridCol w:w="1999"/>
              <w:gridCol w:w="881"/>
              <w:gridCol w:w="1183"/>
              <w:gridCol w:w="1605"/>
              <w:gridCol w:w="1027"/>
              <w:gridCol w:w="938"/>
            </w:tblGrid>
            <w:tr w14:paraId="0A83DF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55" w:hRule="atLeas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40D5CF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序号</w:t>
                  </w:r>
                </w:p>
              </w:tc>
              <w:tc>
                <w:tcPr>
                  <w:tcW w:w="1210" w:type="pct"/>
                  <w:tcBorders>
                    <w:tl2br w:val="nil"/>
                    <w:tr2bl w:val="nil"/>
                  </w:tcBorders>
                  <w:shd w:val="clear" w:color="auto" w:fill="auto"/>
                  <w:noWrap/>
                  <w:tcMar>
                    <w:top w:w="0" w:type="dxa"/>
                    <w:left w:w="51" w:type="dxa"/>
                    <w:bottom w:w="0" w:type="dxa"/>
                    <w:right w:w="51" w:type="dxa"/>
                  </w:tcMar>
                  <w:vAlign w:val="center"/>
                </w:tcPr>
                <w:p w14:paraId="33CB19E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药品名称</w:t>
                  </w:r>
                </w:p>
              </w:tc>
              <w:tc>
                <w:tcPr>
                  <w:tcW w:w="533" w:type="pct"/>
                  <w:tcBorders>
                    <w:tl2br w:val="nil"/>
                    <w:tr2bl w:val="nil"/>
                  </w:tcBorders>
                  <w:shd w:val="clear" w:color="auto" w:fill="auto"/>
                  <w:noWrap/>
                  <w:tcMar>
                    <w:top w:w="0" w:type="dxa"/>
                    <w:left w:w="51" w:type="dxa"/>
                    <w:bottom w:w="0" w:type="dxa"/>
                    <w:right w:w="51" w:type="dxa"/>
                  </w:tcMar>
                  <w:vAlign w:val="center"/>
                </w:tcPr>
                <w:p w14:paraId="000ABF2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单瓶重</w:t>
                  </w:r>
                </w:p>
              </w:tc>
              <w:tc>
                <w:tcPr>
                  <w:tcW w:w="716" w:type="pct"/>
                  <w:tcBorders>
                    <w:tl2br w:val="nil"/>
                    <w:tr2bl w:val="nil"/>
                  </w:tcBorders>
                  <w:shd w:val="clear" w:color="auto" w:fill="auto"/>
                  <w:noWrap/>
                  <w:tcMar>
                    <w:top w:w="0" w:type="dxa"/>
                    <w:left w:w="51" w:type="dxa"/>
                    <w:bottom w:w="0" w:type="dxa"/>
                    <w:right w:w="51" w:type="dxa"/>
                  </w:tcMar>
                  <w:vAlign w:val="center"/>
                </w:tcPr>
                <w:p w14:paraId="10624D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年用量（</w:t>
                  </w:r>
                  <w:r>
                    <w:rPr>
                      <w:rFonts w:hint="default" w:ascii="Times New Roman" w:hAnsi="Times New Roman" w:eastAsia="宋体" w:cs="Times New Roman"/>
                      <w:i w:val="0"/>
                      <w:iCs w:val="0"/>
                      <w:color w:val="auto"/>
                      <w:kern w:val="0"/>
                      <w:sz w:val="21"/>
                      <w:szCs w:val="21"/>
                      <w:highlight w:val="none"/>
                      <w:u w:val="none"/>
                      <w:lang w:val="en-US" w:eastAsia="zh-CN" w:bidi="ar"/>
                    </w:rPr>
                    <w:t>瓶</w:t>
                  </w:r>
                  <w:r>
                    <w:rPr>
                      <w:rFonts w:hint="default" w:ascii="Times New Roman" w:hAnsi="Times New Roman" w:cs="Times New Roman"/>
                      <w:color w:val="auto"/>
                      <w:kern w:val="0"/>
                      <w:sz w:val="21"/>
                      <w:szCs w:val="21"/>
                      <w:highlight w:val="none"/>
                      <w:lang w:val="en-US" w:eastAsia="zh-CN" w:bidi="ar"/>
                    </w:rPr>
                    <w:t>）</w:t>
                  </w:r>
                </w:p>
              </w:tc>
              <w:tc>
                <w:tcPr>
                  <w:tcW w:w="972" w:type="pct"/>
                  <w:tcBorders>
                    <w:tl2br w:val="nil"/>
                    <w:tr2bl w:val="nil"/>
                  </w:tcBorders>
                  <w:shd w:val="clear" w:color="auto" w:fill="auto"/>
                  <w:noWrap/>
                  <w:tcMar>
                    <w:top w:w="0" w:type="dxa"/>
                    <w:left w:w="51" w:type="dxa"/>
                    <w:bottom w:w="0" w:type="dxa"/>
                    <w:right w:w="51" w:type="dxa"/>
                  </w:tcMar>
                  <w:vAlign w:val="center"/>
                </w:tcPr>
                <w:p w14:paraId="4BB090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最大贮存量（</w:t>
                  </w:r>
                  <w:r>
                    <w:rPr>
                      <w:rFonts w:hint="default" w:ascii="Times New Roman" w:hAnsi="Times New Roman" w:eastAsia="宋体" w:cs="Times New Roman"/>
                      <w:i w:val="0"/>
                      <w:iCs w:val="0"/>
                      <w:color w:val="auto"/>
                      <w:kern w:val="0"/>
                      <w:sz w:val="21"/>
                      <w:szCs w:val="21"/>
                      <w:highlight w:val="none"/>
                      <w:u w:val="none"/>
                      <w:lang w:val="en-US" w:eastAsia="zh-CN" w:bidi="ar"/>
                    </w:rPr>
                    <w:t>瓶</w:t>
                  </w:r>
                  <w:r>
                    <w:rPr>
                      <w:rFonts w:hint="default" w:ascii="Times New Roman" w:hAnsi="Times New Roman" w:cs="Times New Roman"/>
                      <w:color w:val="auto"/>
                      <w:kern w:val="0"/>
                      <w:sz w:val="21"/>
                      <w:szCs w:val="21"/>
                      <w:highlight w:val="none"/>
                      <w:lang w:val="en-US" w:eastAsia="zh-CN" w:bidi="ar"/>
                    </w:rPr>
                    <w:t>）</w:t>
                  </w:r>
                </w:p>
              </w:tc>
              <w:tc>
                <w:tcPr>
                  <w:tcW w:w="622" w:type="pct"/>
                  <w:tcBorders>
                    <w:tl2br w:val="nil"/>
                    <w:tr2bl w:val="nil"/>
                  </w:tcBorders>
                  <w:shd w:val="clear" w:color="auto" w:fill="auto"/>
                  <w:noWrap/>
                  <w:tcMar>
                    <w:top w:w="0" w:type="dxa"/>
                    <w:left w:w="51" w:type="dxa"/>
                    <w:bottom w:w="0" w:type="dxa"/>
                    <w:right w:w="51" w:type="dxa"/>
                  </w:tcMar>
                  <w:vAlign w:val="center"/>
                </w:tcPr>
                <w:p w14:paraId="50271B6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性质</w:t>
                  </w:r>
                </w:p>
              </w:tc>
              <w:tc>
                <w:tcPr>
                  <w:tcW w:w="568" w:type="pct"/>
                  <w:tcBorders>
                    <w:tl2br w:val="nil"/>
                    <w:tr2bl w:val="nil"/>
                  </w:tcBorders>
                  <w:shd w:val="clear" w:color="auto" w:fill="auto"/>
                  <w:noWrap/>
                  <w:tcMar>
                    <w:top w:w="0" w:type="dxa"/>
                    <w:left w:w="51" w:type="dxa"/>
                    <w:bottom w:w="0" w:type="dxa"/>
                    <w:right w:w="51" w:type="dxa"/>
                  </w:tcMar>
                  <w:vAlign w:val="center"/>
                </w:tcPr>
                <w:p w14:paraId="38F433B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贮存室</w:t>
                  </w:r>
                </w:p>
              </w:tc>
            </w:tr>
            <w:tr w14:paraId="5662F8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C7A4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210" w:type="pct"/>
                  <w:tcBorders>
                    <w:tl2br w:val="nil"/>
                    <w:tr2bl w:val="nil"/>
                  </w:tcBorders>
                  <w:shd w:val="clear" w:color="auto" w:fill="auto"/>
                  <w:noWrap/>
                  <w:tcMar>
                    <w:top w:w="0" w:type="dxa"/>
                    <w:left w:w="51" w:type="dxa"/>
                    <w:bottom w:w="0" w:type="dxa"/>
                    <w:right w:w="51" w:type="dxa"/>
                  </w:tcMar>
                  <w:vAlign w:val="center"/>
                </w:tcPr>
                <w:p w14:paraId="2D1DEF3C">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邻苯二甲酸氢钾</w:t>
                  </w:r>
                </w:p>
              </w:tc>
              <w:tc>
                <w:tcPr>
                  <w:tcW w:w="533" w:type="pct"/>
                  <w:tcBorders>
                    <w:tl2br w:val="nil"/>
                    <w:tr2bl w:val="nil"/>
                  </w:tcBorders>
                  <w:shd w:val="clear" w:color="auto" w:fill="auto"/>
                  <w:noWrap/>
                  <w:tcMar>
                    <w:top w:w="0" w:type="dxa"/>
                    <w:left w:w="51" w:type="dxa"/>
                    <w:bottom w:w="0" w:type="dxa"/>
                    <w:right w:w="51" w:type="dxa"/>
                  </w:tcMar>
                  <w:vAlign w:val="center"/>
                </w:tcPr>
                <w:p w14:paraId="3EA6D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033D4C9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7C573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restart"/>
                  <w:tcBorders>
                    <w:tl2br w:val="nil"/>
                    <w:tr2bl w:val="nil"/>
                  </w:tcBorders>
                  <w:shd w:val="clear" w:color="auto" w:fill="auto"/>
                  <w:noWrap/>
                  <w:tcMar>
                    <w:top w:w="0" w:type="dxa"/>
                    <w:left w:w="51" w:type="dxa"/>
                    <w:bottom w:w="0" w:type="dxa"/>
                    <w:right w:w="51" w:type="dxa"/>
                  </w:tcMar>
                  <w:vAlign w:val="center"/>
                </w:tcPr>
                <w:p w14:paraId="79B89F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普通化学品</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66C5FB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试剂室</w:t>
                  </w:r>
                </w:p>
              </w:tc>
            </w:tr>
            <w:tr w14:paraId="2DB9C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457D3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210" w:type="pct"/>
                  <w:tcBorders>
                    <w:tl2br w:val="nil"/>
                    <w:tr2bl w:val="nil"/>
                  </w:tcBorders>
                  <w:shd w:val="clear" w:color="auto" w:fill="auto"/>
                  <w:noWrap/>
                  <w:tcMar>
                    <w:top w:w="0" w:type="dxa"/>
                    <w:left w:w="51" w:type="dxa"/>
                    <w:bottom w:w="0" w:type="dxa"/>
                    <w:right w:w="51" w:type="dxa"/>
                  </w:tcMar>
                  <w:vAlign w:val="center"/>
                </w:tcPr>
                <w:p w14:paraId="04E152C2">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葡萄糖</w:t>
                  </w:r>
                </w:p>
              </w:tc>
              <w:tc>
                <w:tcPr>
                  <w:tcW w:w="533" w:type="pct"/>
                  <w:tcBorders>
                    <w:tl2br w:val="nil"/>
                    <w:tr2bl w:val="nil"/>
                  </w:tcBorders>
                  <w:shd w:val="clear" w:color="auto" w:fill="auto"/>
                  <w:noWrap/>
                  <w:tcMar>
                    <w:top w:w="0" w:type="dxa"/>
                    <w:left w:w="51" w:type="dxa"/>
                    <w:bottom w:w="0" w:type="dxa"/>
                    <w:right w:w="51" w:type="dxa"/>
                  </w:tcMar>
                  <w:vAlign w:val="center"/>
                </w:tcPr>
                <w:p w14:paraId="228E22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7B64E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8600BF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9A1278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25652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4A829C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FF0E6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w:t>
                  </w:r>
                </w:p>
              </w:tc>
              <w:tc>
                <w:tcPr>
                  <w:tcW w:w="1210" w:type="pct"/>
                  <w:tcBorders>
                    <w:tl2br w:val="nil"/>
                    <w:tr2bl w:val="nil"/>
                  </w:tcBorders>
                  <w:shd w:val="clear" w:color="auto" w:fill="auto"/>
                  <w:noWrap/>
                  <w:tcMar>
                    <w:top w:w="0" w:type="dxa"/>
                    <w:left w:w="51" w:type="dxa"/>
                    <w:bottom w:w="0" w:type="dxa"/>
                    <w:right w:w="51" w:type="dxa"/>
                  </w:tcMar>
                  <w:vAlign w:val="center"/>
                </w:tcPr>
                <w:p w14:paraId="72731028">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谷氨酸</w:t>
                  </w:r>
                </w:p>
              </w:tc>
              <w:tc>
                <w:tcPr>
                  <w:tcW w:w="533" w:type="pct"/>
                  <w:tcBorders>
                    <w:tl2br w:val="nil"/>
                    <w:tr2bl w:val="nil"/>
                  </w:tcBorders>
                  <w:shd w:val="clear" w:color="auto" w:fill="auto"/>
                  <w:noWrap/>
                  <w:tcMar>
                    <w:top w:w="0" w:type="dxa"/>
                    <w:left w:w="51" w:type="dxa"/>
                    <w:bottom w:w="0" w:type="dxa"/>
                    <w:right w:w="51" w:type="dxa"/>
                  </w:tcMar>
                  <w:vAlign w:val="center"/>
                </w:tcPr>
                <w:p w14:paraId="02E26B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DE1DD3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BC14B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FC830D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DC42E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3471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DDA09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210" w:type="pct"/>
                  <w:tcBorders>
                    <w:tl2br w:val="nil"/>
                    <w:tr2bl w:val="nil"/>
                  </w:tcBorders>
                  <w:shd w:val="clear" w:color="auto" w:fill="auto"/>
                  <w:noWrap/>
                  <w:tcMar>
                    <w:top w:w="0" w:type="dxa"/>
                    <w:left w:w="51" w:type="dxa"/>
                    <w:bottom w:w="0" w:type="dxa"/>
                    <w:right w:w="51" w:type="dxa"/>
                  </w:tcMar>
                  <w:vAlign w:val="center"/>
                </w:tcPr>
                <w:p w14:paraId="7C385A38">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氯化铵</w:t>
                  </w:r>
                </w:p>
              </w:tc>
              <w:tc>
                <w:tcPr>
                  <w:tcW w:w="533" w:type="pct"/>
                  <w:tcBorders>
                    <w:tl2br w:val="nil"/>
                    <w:tr2bl w:val="nil"/>
                  </w:tcBorders>
                  <w:shd w:val="clear" w:color="auto" w:fill="auto"/>
                  <w:noWrap/>
                  <w:tcMar>
                    <w:top w:w="0" w:type="dxa"/>
                    <w:left w:w="51" w:type="dxa"/>
                    <w:bottom w:w="0" w:type="dxa"/>
                    <w:right w:w="51" w:type="dxa"/>
                  </w:tcMar>
                  <w:vAlign w:val="center"/>
                </w:tcPr>
                <w:p w14:paraId="36A0D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72D9D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E221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0E4EAE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C0874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CE03C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CA089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210" w:type="pct"/>
                  <w:tcBorders>
                    <w:tl2br w:val="nil"/>
                    <w:tr2bl w:val="nil"/>
                  </w:tcBorders>
                  <w:shd w:val="clear" w:color="auto" w:fill="auto"/>
                  <w:noWrap/>
                  <w:tcMar>
                    <w:top w:w="0" w:type="dxa"/>
                    <w:left w:w="51" w:type="dxa"/>
                    <w:bottom w:w="0" w:type="dxa"/>
                    <w:right w:w="51" w:type="dxa"/>
                  </w:tcMar>
                  <w:vAlign w:val="center"/>
                </w:tcPr>
                <w:p w14:paraId="10B28AF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抗坏血酸</w:t>
                  </w:r>
                </w:p>
              </w:tc>
              <w:tc>
                <w:tcPr>
                  <w:tcW w:w="533" w:type="pct"/>
                  <w:tcBorders>
                    <w:tl2br w:val="nil"/>
                    <w:tr2bl w:val="nil"/>
                  </w:tcBorders>
                  <w:shd w:val="clear" w:color="auto" w:fill="auto"/>
                  <w:noWrap/>
                  <w:tcMar>
                    <w:top w:w="0" w:type="dxa"/>
                    <w:left w:w="51" w:type="dxa"/>
                    <w:bottom w:w="0" w:type="dxa"/>
                    <w:right w:w="51" w:type="dxa"/>
                  </w:tcMar>
                  <w:vAlign w:val="center"/>
                </w:tcPr>
                <w:p w14:paraId="0600F7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D7C7A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A177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BB1ECA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16F0C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C94F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9569A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210" w:type="pct"/>
                  <w:tcBorders>
                    <w:tl2br w:val="nil"/>
                    <w:tr2bl w:val="nil"/>
                  </w:tcBorders>
                  <w:shd w:val="clear" w:color="auto" w:fill="auto"/>
                  <w:noWrap/>
                  <w:tcMar>
                    <w:top w:w="0" w:type="dxa"/>
                    <w:left w:w="51" w:type="dxa"/>
                    <w:bottom w:w="0" w:type="dxa"/>
                    <w:right w:w="51" w:type="dxa"/>
                  </w:tcMar>
                  <w:vAlign w:val="center"/>
                </w:tcPr>
                <w:p w14:paraId="15A95D2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甘油</w:t>
                  </w:r>
                </w:p>
              </w:tc>
              <w:tc>
                <w:tcPr>
                  <w:tcW w:w="533" w:type="pct"/>
                  <w:tcBorders>
                    <w:tl2br w:val="nil"/>
                    <w:tr2bl w:val="nil"/>
                  </w:tcBorders>
                  <w:shd w:val="clear" w:color="auto" w:fill="auto"/>
                  <w:noWrap/>
                  <w:tcMar>
                    <w:top w:w="0" w:type="dxa"/>
                    <w:left w:w="51" w:type="dxa"/>
                    <w:bottom w:w="0" w:type="dxa"/>
                    <w:right w:w="51" w:type="dxa"/>
                  </w:tcMar>
                  <w:vAlign w:val="center"/>
                </w:tcPr>
                <w:p w14:paraId="793F55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720DE14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EF06B1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F40837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7511EA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65F5A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A52D4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w:t>
                  </w:r>
                </w:p>
              </w:tc>
              <w:tc>
                <w:tcPr>
                  <w:tcW w:w="1210" w:type="pct"/>
                  <w:tcBorders>
                    <w:tl2br w:val="nil"/>
                    <w:tr2bl w:val="nil"/>
                  </w:tcBorders>
                  <w:shd w:val="clear" w:color="auto" w:fill="auto"/>
                  <w:noWrap/>
                  <w:tcMar>
                    <w:top w:w="0" w:type="dxa"/>
                    <w:left w:w="51" w:type="dxa"/>
                    <w:bottom w:w="0" w:type="dxa"/>
                    <w:right w:w="51" w:type="dxa"/>
                  </w:tcMar>
                  <w:vAlign w:val="center"/>
                </w:tcPr>
                <w:p w14:paraId="0153DE2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磷酸二氢钾</w:t>
                  </w:r>
                </w:p>
              </w:tc>
              <w:tc>
                <w:tcPr>
                  <w:tcW w:w="533" w:type="pct"/>
                  <w:tcBorders>
                    <w:tl2br w:val="nil"/>
                    <w:tr2bl w:val="nil"/>
                  </w:tcBorders>
                  <w:shd w:val="clear" w:color="auto" w:fill="auto"/>
                  <w:noWrap/>
                  <w:tcMar>
                    <w:top w:w="0" w:type="dxa"/>
                    <w:left w:w="51" w:type="dxa"/>
                    <w:bottom w:w="0" w:type="dxa"/>
                    <w:right w:w="51" w:type="dxa"/>
                  </w:tcMar>
                  <w:vAlign w:val="center"/>
                </w:tcPr>
                <w:p w14:paraId="4AD808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E8A9C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1DB36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430C29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7504AA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D8E27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BF38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210" w:type="pct"/>
                  <w:tcBorders>
                    <w:tl2br w:val="nil"/>
                    <w:tr2bl w:val="nil"/>
                  </w:tcBorders>
                  <w:shd w:val="clear" w:color="auto" w:fill="auto"/>
                  <w:noWrap/>
                  <w:tcMar>
                    <w:top w:w="0" w:type="dxa"/>
                    <w:left w:w="51" w:type="dxa"/>
                    <w:bottom w:w="0" w:type="dxa"/>
                    <w:right w:w="51" w:type="dxa"/>
                  </w:tcMar>
                  <w:vAlign w:val="center"/>
                </w:tcPr>
                <w:p w14:paraId="3BC9D11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硫化钠</w:t>
                  </w:r>
                </w:p>
              </w:tc>
              <w:tc>
                <w:tcPr>
                  <w:tcW w:w="533" w:type="pct"/>
                  <w:tcBorders>
                    <w:tl2br w:val="nil"/>
                    <w:tr2bl w:val="nil"/>
                  </w:tcBorders>
                  <w:shd w:val="clear" w:color="auto" w:fill="auto"/>
                  <w:noWrap/>
                  <w:tcMar>
                    <w:top w:w="0" w:type="dxa"/>
                    <w:left w:w="51" w:type="dxa"/>
                    <w:bottom w:w="0" w:type="dxa"/>
                    <w:right w:w="51" w:type="dxa"/>
                  </w:tcMar>
                  <w:vAlign w:val="center"/>
                </w:tcPr>
                <w:p w14:paraId="43FFFB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97B8FA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C63955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C54D65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7E22B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69DED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0919EF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1210" w:type="pct"/>
                  <w:tcBorders>
                    <w:tl2br w:val="nil"/>
                    <w:tr2bl w:val="nil"/>
                  </w:tcBorders>
                  <w:shd w:val="clear" w:color="auto" w:fill="auto"/>
                  <w:noWrap/>
                  <w:tcMar>
                    <w:top w:w="0" w:type="dxa"/>
                    <w:left w:w="51" w:type="dxa"/>
                    <w:bottom w:w="0" w:type="dxa"/>
                    <w:right w:w="51" w:type="dxa"/>
                  </w:tcMar>
                  <w:vAlign w:val="center"/>
                </w:tcPr>
                <w:p w14:paraId="78D442E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硫酸钾</w:t>
                  </w:r>
                </w:p>
              </w:tc>
              <w:tc>
                <w:tcPr>
                  <w:tcW w:w="533" w:type="pct"/>
                  <w:tcBorders>
                    <w:tl2br w:val="nil"/>
                    <w:tr2bl w:val="nil"/>
                  </w:tcBorders>
                  <w:shd w:val="clear" w:color="auto" w:fill="auto"/>
                  <w:noWrap/>
                  <w:tcMar>
                    <w:top w:w="0" w:type="dxa"/>
                    <w:left w:w="51" w:type="dxa"/>
                    <w:bottom w:w="0" w:type="dxa"/>
                    <w:right w:w="51" w:type="dxa"/>
                  </w:tcMar>
                  <w:vAlign w:val="center"/>
                </w:tcPr>
                <w:p w14:paraId="4BFB9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03CF5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A9BF5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5A1BFF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E82C3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14076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BA69A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1210" w:type="pct"/>
                  <w:tcBorders>
                    <w:tl2br w:val="nil"/>
                    <w:tr2bl w:val="nil"/>
                  </w:tcBorders>
                  <w:shd w:val="clear" w:color="auto" w:fill="auto"/>
                  <w:noWrap/>
                  <w:tcMar>
                    <w:top w:w="0" w:type="dxa"/>
                    <w:left w:w="51" w:type="dxa"/>
                    <w:bottom w:w="0" w:type="dxa"/>
                    <w:right w:w="51" w:type="dxa"/>
                  </w:tcMar>
                  <w:vAlign w:val="center"/>
                </w:tcPr>
                <w:p w14:paraId="3F137286">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碘酸钾</w:t>
                  </w:r>
                </w:p>
              </w:tc>
              <w:tc>
                <w:tcPr>
                  <w:tcW w:w="533" w:type="pct"/>
                  <w:tcBorders>
                    <w:tl2br w:val="nil"/>
                    <w:tr2bl w:val="nil"/>
                  </w:tcBorders>
                  <w:shd w:val="clear" w:color="auto" w:fill="auto"/>
                  <w:noWrap/>
                  <w:tcMar>
                    <w:top w:w="0" w:type="dxa"/>
                    <w:left w:w="51" w:type="dxa"/>
                    <w:bottom w:w="0" w:type="dxa"/>
                    <w:right w:w="51" w:type="dxa"/>
                  </w:tcMar>
                  <w:vAlign w:val="center"/>
                </w:tcPr>
                <w:p w14:paraId="36983E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100mL</w:t>
                  </w:r>
                </w:p>
              </w:tc>
              <w:tc>
                <w:tcPr>
                  <w:tcW w:w="716" w:type="pct"/>
                  <w:tcBorders>
                    <w:tl2br w:val="nil"/>
                    <w:tr2bl w:val="nil"/>
                  </w:tcBorders>
                  <w:shd w:val="clear" w:color="auto" w:fill="auto"/>
                  <w:noWrap/>
                  <w:tcMar>
                    <w:top w:w="0" w:type="dxa"/>
                    <w:left w:w="51" w:type="dxa"/>
                    <w:bottom w:w="0" w:type="dxa"/>
                    <w:right w:w="51" w:type="dxa"/>
                  </w:tcMar>
                  <w:vAlign w:val="center"/>
                </w:tcPr>
                <w:p w14:paraId="236C06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CDE174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67E33A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92C94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D82DC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3191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1210" w:type="pct"/>
                  <w:tcBorders>
                    <w:tl2br w:val="nil"/>
                    <w:tr2bl w:val="nil"/>
                  </w:tcBorders>
                  <w:shd w:val="clear" w:color="auto" w:fill="auto"/>
                  <w:noWrap/>
                  <w:tcMar>
                    <w:top w:w="0" w:type="dxa"/>
                    <w:left w:w="51" w:type="dxa"/>
                    <w:bottom w:w="0" w:type="dxa"/>
                    <w:right w:w="51" w:type="dxa"/>
                  </w:tcMar>
                  <w:vAlign w:val="center"/>
                </w:tcPr>
                <w:p w14:paraId="77F198E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六氯铂酸钾</w:t>
                  </w:r>
                </w:p>
              </w:tc>
              <w:tc>
                <w:tcPr>
                  <w:tcW w:w="533" w:type="pct"/>
                  <w:tcBorders>
                    <w:tl2br w:val="nil"/>
                    <w:tr2bl w:val="nil"/>
                  </w:tcBorders>
                  <w:shd w:val="clear" w:color="auto" w:fill="auto"/>
                  <w:noWrap/>
                  <w:tcMar>
                    <w:top w:w="0" w:type="dxa"/>
                    <w:left w:w="51" w:type="dxa"/>
                    <w:bottom w:w="0" w:type="dxa"/>
                    <w:right w:w="51" w:type="dxa"/>
                  </w:tcMar>
                  <w:vAlign w:val="center"/>
                </w:tcPr>
                <w:p w14:paraId="3CA87A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5B1EF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76705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30D67E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219BF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7E18F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5B0C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210" w:type="pct"/>
                  <w:tcBorders>
                    <w:tl2br w:val="nil"/>
                    <w:tr2bl w:val="nil"/>
                  </w:tcBorders>
                  <w:shd w:val="clear" w:color="auto" w:fill="auto"/>
                  <w:noWrap/>
                  <w:tcMar>
                    <w:top w:w="0" w:type="dxa"/>
                    <w:left w:w="51" w:type="dxa"/>
                    <w:bottom w:w="0" w:type="dxa"/>
                    <w:right w:w="51" w:type="dxa"/>
                  </w:tcMar>
                  <w:vAlign w:val="center"/>
                </w:tcPr>
                <w:p w14:paraId="039B934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硫氰酸钾</w:t>
                  </w:r>
                </w:p>
              </w:tc>
              <w:tc>
                <w:tcPr>
                  <w:tcW w:w="533" w:type="pct"/>
                  <w:tcBorders>
                    <w:tl2br w:val="nil"/>
                    <w:tr2bl w:val="nil"/>
                  </w:tcBorders>
                  <w:shd w:val="clear" w:color="auto" w:fill="auto"/>
                  <w:noWrap/>
                  <w:tcMar>
                    <w:top w:w="0" w:type="dxa"/>
                    <w:left w:w="51" w:type="dxa"/>
                    <w:bottom w:w="0" w:type="dxa"/>
                    <w:right w:w="51" w:type="dxa"/>
                  </w:tcMar>
                  <w:vAlign w:val="center"/>
                </w:tcPr>
                <w:p w14:paraId="2E27E4D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898E0C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DBA996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FD9A75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7AE73A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E005E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C41E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1210" w:type="pct"/>
                  <w:tcBorders>
                    <w:tl2br w:val="nil"/>
                    <w:tr2bl w:val="nil"/>
                  </w:tcBorders>
                  <w:shd w:val="clear" w:color="auto" w:fill="auto"/>
                  <w:noWrap/>
                  <w:tcMar>
                    <w:top w:w="0" w:type="dxa"/>
                    <w:left w:w="51" w:type="dxa"/>
                    <w:bottom w:w="0" w:type="dxa"/>
                    <w:right w:w="51" w:type="dxa"/>
                  </w:tcMar>
                  <w:vAlign w:val="center"/>
                </w:tcPr>
                <w:p w14:paraId="00FFFF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丁基黄原酸钾</w:t>
                  </w:r>
                </w:p>
              </w:tc>
              <w:tc>
                <w:tcPr>
                  <w:tcW w:w="533" w:type="pct"/>
                  <w:tcBorders>
                    <w:tl2br w:val="nil"/>
                    <w:tr2bl w:val="nil"/>
                  </w:tcBorders>
                  <w:shd w:val="clear" w:color="auto" w:fill="auto"/>
                  <w:noWrap/>
                  <w:tcMar>
                    <w:top w:w="0" w:type="dxa"/>
                    <w:left w:w="51" w:type="dxa"/>
                    <w:bottom w:w="0" w:type="dxa"/>
                    <w:right w:w="51" w:type="dxa"/>
                  </w:tcMar>
                  <w:vAlign w:val="center"/>
                </w:tcPr>
                <w:p w14:paraId="3460E7D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B7048C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4BC6E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3D38F9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81F292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4E8330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7E4AF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w:t>
                  </w:r>
                </w:p>
              </w:tc>
              <w:tc>
                <w:tcPr>
                  <w:tcW w:w="1210" w:type="pct"/>
                  <w:tcBorders>
                    <w:tl2br w:val="nil"/>
                    <w:tr2bl w:val="nil"/>
                  </w:tcBorders>
                  <w:shd w:val="clear" w:color="auto" w:fill="auto"/>
                  <w:noWrap/>
                  <w:tcMar>
                    <w:top w:w="0" w:type="dxa"/>
                    <w:left w:w="51" w:type="dxa"/>
                    <w:bottom w:w="0" w:type="dxa"/>
                    <w:right w:w="51" w:type="dxa"/>
                  </w:tcMar>
                  <w:vAlign w:val="center"/>
                </w:tcPr>
                <w:p w14:paraId="7623FF3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碳酸钾</w:t>
                  </w:r>
                </w:p>
              </w:tc>
              <w:tc>
                <w:tcPr>
                  <w:tcW w:w="533" w:type="pct"/>
                  <w:tcBorders>
                    <w:tl2br w:val="nil"/>
                    <w:tr2bl w:val="nil"/>
                  </w:tcBorders>
                  <w:shd w:val="clear" w:color="auto" w:fill="auto"/>
                  <w:noWrap/>
                  <w:tcMar>
                    <w:top w:w="0" w:type="dxa"/>
                    <w:left w:w="51" w:type="dxa"/>
                    <w:bottom w:w="0" w:type="dxa"/>
                    <w:right w:w="51" w:type="dxa"/>
                  </w:tcMar>
                  <w:vAlign w:val="center"/>
                </w:tcPr>
                <w:p w14:paraId="140AC2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69114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061A2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2605CD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6162F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0BD6F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C90009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w:t>
                  </w:r>
                </w:p>
              </w:tc>
              <w:tc>
                <w:tcPr>
                  <w:tcW w:w="1210" w:type="pct"/>
                  <w:tcBorders>
                    <w:tl2br w:val="nil"/>
                    <w:tr2bl w:val="nil"/>
                  </w:tcBorders>
                  <w:shd w:val="clear" w:color="auto" w:fill="auto"/>
                  <w:noWrap/>
                  <w:tcMar>
                    <w:top w:w="0" w:type="dxa"/>
                    <w:left w:w="51" w:type="dxa"/>
                    <w:bottom w:w="0" w:type="dxa"/>
                    <w:right w:w="51" w:type="dxa"/>
                  </w:tcMar>
                  <w:vAlign w:val="center"/>
                </w:tcPr>
                <w:p w14:paraId="22B6B3C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铬酸钾</w:t>
                  </w:r>
                </w:p>
              </w:tc>
              <w:tc>
                <w:tcPr>
                  <w:tcW w:w="533" w:type="pct"/>
                  <w:tcBorders>
                    <w:tl2br w:val="nil"/>
                    <w:tr2bl w:val="nil"/>
                  </w:tcBorders>
                  <w:shd w:val="clear" w:color="auto" w:fill="auto"/>
                  <w:noWrap/>
                  <w:tcMar>
                    <w:top w:w="0" w:type="dxa"/>
                    <w:left w:w="51" w:type="dxa"/>
                    <w:bottom w:w="0" w:type="dxa"/>
                    <w:right w:w="51" w:type="dxa"/>
                  </w:tcMar>
                  <w:vAlign w:val="center"/>
                </w:tcPr>
                <w:p w14:paraId="40FD9F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FC8AD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AD7A2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DD8B9D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5A364E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15D13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8E568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w:t>
                  </w:r>
                </w:p>
              </w:tc>
              <w:tc>
                <w:tcPr>
                  <w:tcW w:w="1210" w:type="pct"/>
                  <w:tcBorders>
                    <w:tl2br w:val="nil"/>
                    <w:tr2bl w:val="nil"/>
                  </w:tcBorders>
                  <w:shd w:val="clear" w:color="auto" w:fill="auto"/>
                  <w:noWrap/>
                  <w:tcMar>
                    <w:top w:w="0" w:type="dxa"/>
                    <w:left w:w="51" w:type="dxa"/>
                    <w:bottom w:w="0" w:type="dxa"/>
                    <w:right w:w="51" w:type="dxa"/>
                  </w:tcMar>
                  <w:vAlign w:val="center"/>
                </w:tcPr>
                <w:p w14:paraId="7071439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过硫酸钾</w:t>
                  </w:r>
                </w:p>
              </w:tc>
              <w:tc>
                <w:tcPr>
                  <w:tcW w:w="533" w:type="pct"/>
                  <w:tcBorders>
                    <w:tl2br w:val="nil"/>
                    <w:tr2bl w:val="nil"/>
                  </w:tcBorders>
                  <w:shd w:val="clear" w:color="auto" w:fill="auto"/>
                  <w:noWrap/>
                  <w:tcMar>
                    <w:top w:w="0" w:type="dxa"/>
                    <w:left w:w="51" w:type="dxa"/>
                    <w:bottom w:w="0" w:type="dxa"/>
                    <w:right w:w="51" w:type="dxa"/>
                  </w:tcMar>
                  <w:vAlign w:val="center"/>
                </w:tcPr>
                <w:p w14:paraId="5FDFE0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9FEFDE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A6FFC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AFB85C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390A53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D8C2E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C735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w:t>
                  </w:r>
                </w:p>
              </w:tc>
              <w:tc>
                <w:tcPr>
                  <w:tcW w:w="1210" w:type="pct"/>
                  <w:tcBorders>
                    <w:tl2br w:val="nil"/>
                    <w:tr2bl w:val="nil"/>
                  </w:tcBorders>
                  <w:shd w:val="clear" w:color="auto" w:fill="auto"/>
                  <w:noWrap/>
                  <w:tcMar>
                    <w:top w:w="0" w:type="dxa"/>
                    <w:left w:w="51" w:type="dxa"/>
                    <w:bottom w:w="0" w:type="dxa"/>
                    <w:right w:w="51" w:type="dxa"/>
                  </w:tcMar>
                  <w:vAlign w:val="center"/>
                </w:tcPr>
                <w:p w14:paraId="5F72368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氯铂酸钾</w:t>
                  </w:r>
                </w:p>
              </w:tc>
              <w:tc>
                <w:tcPr>
                  <w:tcW w:w="533" w:type="pct"/>
                  <w:tcBorders>
                    <w:tl2br w:val="nil"/>
                    <w:tr2bl w:val="nil"/>
                  </w:tcBorders>
                  <w:shd w:val="clear" w:color="auto" w:fill="auto"/>
                  <w:noWrap/>
                  <w:tcMar>
                    <w:top w:w="0" w:type="dxa"/>
                    <w:left w:w="51" w:type="dxa"/>
                    <w:bottom w:w="0" w:type="dxa"/>
                    <w:right w:w="51" w:type="dxa"/>
                  </w:tcMar>
                  <w:vAlign w:val="center"/>
                </w:tcPr>
                <w:p w14:paraId="0491C4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r>
                    <w:rPr>
                      <w:rFonts w:hint="default" w:ascii="Times New Roman" w:hAnsi="Times New Roman" w:cs="Times New Roman"/>
                      <w:i w:val="0"/>
                      <w:iCs w:val="0"/>
                      <w:color w:val="auto"/>
                      <w:kern w:val="0"/>
                      <w:sz w:val="21"/>
                      <w:szCs w:val="21"/>
                      <w:highlight w:val="none"/>
                      <w:u w:val="none"/>
                      <w:lang w:val="en-US" w:eastAsia="zh-CN" w:bidi="ar"/>
                    </w:rPr>
                    <w:t>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56A06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3B11E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2CEF72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3C488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88C9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884E4E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w:t>
                  </w:r>
                </w:p>
              </w:tc>
              <w:tc>
                <w:tcPr>
                  <w:tcW w:w="1210" w:type="pct"/>
                  <w:tcBorders>
                    <w:tl2br w:val="nil"/>
                    <w:tr2bl w:val="nil"/>
                  </w:tcBorders>
                  <w:shd w:val="clear" w:color="auto" w:fill="auto"/>
                  <w:noWrap/>
                  <w:tcMar>
                    <w:top w:w="0" w:type="dxa"/>
                    <w:left w:w="51" w:type="dxa"/>
                    <w:bottom w:w="0" w:type="dxa"/>
                    <w:right w:w="51" w:type="dxa"/>
                  </w:tcMar>
                  <w:vAlign w:val="center"/>
                </w:tcPr>
                <w:p w14:paraId="68BC1D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高碘酸钾</w:t>
                  </w:r>
                </w:p>
              </w:tc>
              <w:tc>
                <w:tcPr>
                  <w:tcW w:w="533" w:type="pct"/>
                  <w:tcBorders>
                    <w:tl2br w:val="nil"/>
                    <w:tr2bl w:val="nil"/>
                  </w:tcBorders>
                  <w:shd w:val="clear" w:color="auto" w:fill="auto"/>
                  <w:noWrap/>
                  <w:tcMar>
                    <w:top w:w="0" w:type="dxa"/>
                    <w:left w:w="51" w:type="dxa"/>
                    <w:bottom w:w="0" w:type="dxa"/>
                    <w:right w:w="51" w:type="dxa"/>
                  </w:tcMar>
                  <w:vAlign w:val="center"/>
                </w:tcPr>
                <w:p w14:paraId="364A13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CE122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CC9E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33A9EC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2E8D33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83F1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2E16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w:t>
                  </w:r>
                </w:p>
              </w:tc>
              <w:tc>
                <w:tcPr>
                  <w:tcW w:w="1210" w:type="pct"/>
                  <w:tcBorders>
                    <w:tl2br w:val="nil"/>
                    <w:tr2bl w:val="nil"/>
                  </w:tcBorders>
                  <w:shd w:val="clear" w:color="auto" w:fill="auto"/>
                  <w:noWrap/>
                  <w:tcMar>
                    <w:top w:w="0" w:type="dxa"/>
                    <w:left w:w="51" w:type="dxa"/>
                    <w:bottom w:w="0" w:type="dxa"/>
                    <w:right w:w="51" w:type="dxa"/>
                  </w:tcMar>
                  <w:vAlign w:val="center"/>
                </w:tcPr>
                <w:p w14:paraId="0D91105C">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碳酸钙</w:t>
                  </w:r>
                </w:p>
              </w:tc>
              <w:tc>
                <w:tcPr>
                  <w:tcW w:w="533" w:type="pct"/>
                  <w:tcBorders>
                    <w:tl2br w:val="nil"/>
                    <w:tr2bl w:val="nil"/>
                  </w:tcBorders>
                  <w:shd w:val="clear" w:color="auto" w:fill="auto"/>
                  <w:noWrap/>
                  <w:tcMar>
                    <w:top w:w="0" w:type="dxa"/>
                    <w:left w:w="51" w:type="dxa"/>
                    <w:bottom w:w="0" w:type="dxa"/>
                    <w:right w:w="51" w:type="dxa"/>
                  </w:tcMar>
                  <w:vAlign w:val="center"/>
                </w:tcPr>
                <w:p w14:paraId="34F15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0D1EAE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A2FDC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8A968F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37AE7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760DE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21F89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w:t>
                  </w:r>
                </w:p>
              </w:tc>
              <w:tc>
                <w:tcPr>
                  <w:tcW w:w="1210" w:type="pct"/>
                  <w:tcBorders>
                    <w:tl2br w:val="nil"/>
                    <w:tr2bl w:val="nil"/>
                  </w:tcBorders>
                  <w:shd w:val="clear" w:color="auto" w:fill="auto"/>
                  <w:noWrap/>
                  <w:tcMar>
                    <w:top w:w="0" w:type="dxa"/>
                    <w:left w:w="51" w:type="dxa"/>
                    <w:bottom w:w="0" w:type="dxa"/>
                    <w:right w:w="51" w:type="dxa"/>
                  </w:tcMar>
                  <w:vAlign w:val="center"/>
                </w:tcPr>
                <w:p w14:paraId="344A02D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丙烯腈</w:t>
                  </w:r>
                </w:p>
              </w:tc>
              <w:tc>
                <w:tcPr>
                  <w:tcW w:w="533" w:type="pct"/>
                  <w:tcBorders>
                    <w:tl2br w:val="nil"/>
                    <w:tr2bl w:val="nil"/>
                  </w:tcBorders>
                  <w:shd w:val="clear" w:color="auto" w:fill="auto"/>
                  <w:noWrap/>
                  <w:tcMar>
                    <w:top w:w="0" w:type="dxa"/>
                    <w:left w:w="51" w:type="dxa"/>
                    <w:bottom w:w="0" w:type="dxa"/>
                    <w:right w:w="51" w:type="dxa"/>
                  </w:tcMar>
                  <w:vAlign w:val="center"/>
                </w:tcPr>
                <w:p w14:paraId="178BE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84534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7A7E10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F9C473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C5E19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CDB67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BCD83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w:t>
                  </w:r>
                </w:p>
              </w:tc>
              <w:tc>
                <w:tcPr>
                  <w:tcW w:w="1210" w:type="pct"/>
                  <w:tcBorders>
                    <w:tl2br w:val="nil"/>
                    <w:tr2bl w:val="nil"/>
                  </w:tcBorders>
                  <w:shd w:val="clear" w:color="auto" w:fill="auto"/>
                  <w:noWrap/>
                  <w:tcMar>
                    <w:top w:w="0" w:type="dxa"/>
                    <w:left w:w="51" w:type="dxa"/>
                    <w:bottom w:w="0" w:type="dxa"/>
                    <w:right w:w="51" w:type="dxa"/>
                  </w:tcMar>
                  <w:vAlign w:val="center"/>
                </w:tcPr>
                <w:p w14:paraId="44017164">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碘化钾</w:t>
                  </w:r>
                </w:p>
              </w:tc>
              <w:tc>
                <w:tcPr>
                  <w:tcW w:w="533" w:type="pct"/>
                  <w:tcBorders>
                    <w:tl2br w:val="nil"/>
                    <w:tr2bl w:val="nil"/>
                  </w:tcBorders>
                  <w:shd w:val="clear" w:color="auto" w:fill="auto"/>
                  <w:noWrap/>
                  <w:tcMar>
                    <w:top w:w="0" w:type="dxa"/>
                    <w:left w:w="51" w:type="dxa"/>
                    <w:bottom w:w="0" w:type="dxa"/>
                    <w:right w:w="51" w:type="dxa"/>
                  </w:tcMar>
                  <w:vAlign w:val="center"/>
                </w:tcPr>
                <w:p w14:paraId="261AAE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85C76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D34F0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9413AF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353D2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FEA95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8562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w:t>
                  </w:r>
                </w:p>
              </w:tc>
              <w:tc>
                <w:tcPr>
                  <w:tcW w:w="1210" w:type="pct"/>
                  <w:tcBorders>
                    <w:tl2br w:val="nil"/>
                    <w:tr2bl w:val="nil"/>
                  </w:tcBorders>
                  <w:shd w:val="clear" w:color="auto" w:fill="auto"/>
                  <w:noWrap/>
                  <w:tcMar>
                    <w:top w:w="0" w:type="dxa"/>
                    <w:left w:w="51" w:type="dxa"/>
                    <w:bottom w:w="0" w:type="dxa"/>
                    <w:right w:w="51" w:type="dxa"/>
                  </w:tcMar>
                  <w:vAlign w:val="center"/>
                </w:tcPr>
                <w:p w14:paraId="6492294A">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氟化钠</w:t>
                  </w:r>
                </w:p>
              </w:tc>
              <w:tc>
                <w:tcPr>
                  <w:tcW w:w="533" w:type="pct"/>
                  <w:tcBorders>
                    <w:tl2br w:val="nil"/>
                    <w:tr2bl w:val="nil"/>
                  </w:tcBorders>
                  <w:shd w:val="clear" w:color="auto" w:fill="auto"/>
                  <w:noWrap/>
                  <w:tcMar>
                    <w:top w:w="0" w:type="dxa"/>
                    <w:left w:w="51" w:type="dxa"/>
                    <w:bottom w:w="0" w:type="dxa"/>
                    <w:right w:w="51" w:type="dxa"/>
                  </w:tcMar>
                  <w:vAlign w:val="center"/>
                </w:tcPr>
                <w:p w14:paraId="5CCD63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731DF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B6F6C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842D1B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473A9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3951D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2EC2E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w:t>
                  </w:r>
                </w:p>
              </w:tc>
              <w:tc>
                <w:tcPr>
                  <w:tcW w:w="1210" w:type="pct"/>
                  <w:tcBorders>
                    <w:tl2br w:val="nil"/>
                    <w:tr2bl w:val="nil"/>
                  </w:tcBorders>
                  <w:shd w:val="clear" w:color="auto" w:fill="auto"/>
                  <w:noWrap/>
                  <w:tcMar>
                    <w:top w:w="0" w:type="dxa"/>
                    <w:left w:w="51" w:type="dxa"/>
                    <w:bottom w:w="0" w:type="dxa"/>
                    <w:right w:w="51" w:type="dxa"/>
                  </w:tcMar>
                  <w:vAlign w:val="center"/>
                </w:tcPr>
                <w:p w14:paraId="7233AE22">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氯化钠</w:t>
                  </w:r>
                </w:p>
              </w:tc>
              <w:tc>
                <w:tcPr>
                  <w:tcW w:w="533" w:type="pct"/>
                  <w:tcBorders>
                    <w:tl2br w:val="nil"/>
                    <w:tr2bl w:val="nil"/>
                  </w:tcBorders>
                  <w:shd w:val="clear" w:color="auto" w:fill="auto"/>
                  <w:noWrap/>
                  <w:tcMar>
                    <w:top w:w="0" w:type="dxa"/>
                    <w:left w:w="51" w:type="dxa"/>
                    <w:bottom w:w="0" w:type="dxa"/>
                    <w:right w:w="51" w:type="dxa"/>
                  </w:tcMar>
                  <w:vAlign w:val="center"/>
                </w:tcPr>
                <w:p w14:paraId="269BD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76A7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A63CD7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54311D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4C2277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3416A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16089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210" w:type="pct"/>
                  <w:tcBorders>
                    <w:tl2br w:val="nil"/>
                    <w:tr2bl w:val="nil"/>
                  </w:tcBorders>
                  <w:shd w:val="clear" w:color="auto" w:fill="auto"/>
                  <w:noWrap/>
                  <w:tcMar>
                    <w:top w:w="0" w:type="dxa"/>
                    <w:left w:w="51" w:type="dxa"/>
                    <w:bottom w:w="0" w:type="dxa"/>
                    <w:right w:w="51" w:type="dxa"/>
                  </w:tcMar>
                  <w:vAlign w:val="center"/>
                </w:tcPr>
                <w:p w14:paraId="7B641D64">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溴化钾</w:t>
                  </w:r>
                </w:p>
              </w:tc>
              <w:tc>
                <w:tcPr>
                  <w:tcW w:w="533" w:type="pct"/>
                  <w:tcBorders>
                    <w:tl2br w:val="nil"/>
                    <w:tr2bl w:val="nil"/>
                  </w:tcBorders>
                  <w:shd w:val="clear" w:color="auto" w:fill="auto"/>
                  <w:noWrap/>
                  <w:tcMar>
                    <w:top w:w="0" w:type="dxa"/>
                    <w:left w:w="51" w:type="dxa"/>
                    <w:bottom w:w="0" w:type="dxa"/>
                    <w:right w:w="51" w:type="dxa"/>
                  </w:tcMar>
                  <w:vAlign w:val="center"/>
                </w:tcPr>
                <w:p w14:paraId="62CA6F7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482279A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1A1E2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F8877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9E8634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ED041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C2F25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w:t>
                  </w:r>
                </w:p>
              </w:tc>
              <w:tc>
                <w:tcPr>
                  <w:tcW w:w="1210" w:type="pct"/>
                  <w:tcBorders>
                    <w:tl2br w:val="nil"/>
                    <w:tr2bl w:val="nil"/>
                  </w:tcBorders>
                  <w:shd w:val="clear" w:color="auto" w:fill="auto"/>
                  <w:noWrap/>
                  <w:tcMar>
                    <w:top w:w="0" w:type="dxa"/>
                    <w:left w:w="51" w:type="dxa"/>
                    <w:bottom w:w="0" w:type="dxa"/>
                    <w:right w:w="51" w:type="dxa"/>
                  </w:tcMar>
                  <w:vAlign w:val="center"/>
                </w:tcPr>
                <w:p w14:paraId="07F601F4">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亚硝酸钠</w:t>
                  </w:r>
                </w:p>
              </w:tc>
              <w:tc>
                <w:tcPr>
                  <w:tcW w:w="533" w:type="pct"/>
                  <w:tcBorders>
                    <w:tl2br w:val="nil"/>
                    <w:tr2bl w:val="nil"/>
                  </w:tcBorders>
                  <w:shd w:val="clear" w:color="auto" w:fill="auto"/>
                  <w:noWrap/>
                  <w:tcMar>
                    <w:top w:w="0" w:type="dxa"/>
                    <w:left w:w="51" w:type="dxa"/>
                    <w:bottom w:w="0" w:type="dxa"/>
                    <w:right w:w="51" w:type="dxa"/>
                  </w:tcMar>
                  <w:vAlign w:val="center"/>
                </w:tcPr>
                <w:p w14:paraId="7C786AE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18F55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FDB54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27704E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F2AD1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F192D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11162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w:t>
                  </w:r>
                </w:p>
              </w:tc>
              <w:tc>
                <w:tcPr>
                  <w:tcW w:w="1210" w:type="pct"/>
                  <w:tcBorders>
                    <w:tl2br w:val="nil"/>
                    <w:tr2bl w:val="nil"/>
                  </w:tcBorders>
                  <w:shd w:val="clear" w:color="auto" w:fill="auto"/>
                  <w:noWrap/>
                  <w:tcMar>
                    <w:top w:w="0" w:type="dxa"/>
                    <w:left w:w="51" w:type="dxa"/>
                    <w:bottom w:w="0" w:type="dxa"/>
                    <w:right w:w="51" w:type="dxa"/>
                  </w:tcMar>
                  <w:vAlign w:val="center"/>
                </w:tcPr>
                <w:p w14:paraId="323F400A">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亚硫酸钠</w:t>
                  </w:r>
                </w:p>
              </w:tc>
              <w:tc>
                <w:tcPr>
                  <w:tcW w:w="533" w:type="pct"/>
                  <w:tcBorders>
                    <w:tl2br w:val="nil"/>
                    <w:tr2bl w:val="nil"/>
                  </w:tcBorders>
                  <w:shd w:val="clear" w:color="auto" w:fill="auto"/>
                  <w:noWrap/>
                  <w:tcMar>
                    <w:top w:w="0" w:type="dxa"/>
                    <w:left w:w="51" w:type="dxa"/>
                    <w:bottom w:w="0" w:type="dxa"/>
                    <w:right w:w="51" w:type="dxa"/>
                  </w:tcMar>
                  <w:vAlign w:val="center"/>
                </w:tcPr>
                <w:p w14:paraId="557051E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369F41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4658B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A935FE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FEBB7B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6892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1D93B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27</w:t>
                  </w:r>
                </w:p>
              </w:tc>
              <w:tc>
                <w:tcPr>
                  <w:tcW w:w="1210" w:type="pct"/>
                  <w:tcBorders>
                    <w:tl2br w:val="nil"/>
                    <w:tr2bl w:val="nil"/>
                  </w:tcBorders>
                  <w:shd w:val="clear" w:color="auto" w:fill="auto"/>
                  <w:noWrap/>
                  <w:tcMar>
                    <w:top w:w="0" w:type="dxa"/>
                    <w:left w:w="51" w:type="dxa"/>
                    <w:bottom w:w="0" w:type="dxa"/>
                    <w:right w:w="51" w:type="dxa"/>
                  </w:tcMar>
                  <w:vAlign w:val="center"/>
                </w:tcPr>
                <w:p w14:paraId="7259049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无水硫酸钠</w:t>
                  </w:r>
                </w:p>
              </w:tc>
              <w:tc>
                <w:tcPr>
                  <w:tcW w:w="533" w:type="pct"/>
                  <w:tcBorders>
                    <w:tl2br w:val="nil"/>
                    <w:tr2bl w:val="nil"/>
                  </w:tcBorders>
                  <w:shd w:val="clear" w:color="auto" w:fill="auto"/>
                  <w:noWrap/>
                  <w:tcMar>
                    <w:top w:w="0" w:type="dxa"/>
                    <w:left w:w="51" w:type="dxa"/>
                    <w:bottom w:w="0" w:type="dxa"/>
                    <w:right w:w="51" w:type="dxa"/>
                  </w:tcMar>
                  <w:vAlign w:val="center"/>
                </w:tcPr>
                <w:p w14:paraId="0DA957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06DB18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A146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0F2F63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40253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3C29A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AC804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28</w:t>
                  </w:r>
                </w:p>
              </w:tc>
              <w:tc>
                <w:tcPr>
                  <w:tcW w:w="1210" w:type="pct"/>
                  <w:tcBorders>
                    <w:tl2br w:val="nil"/>
                    <w:tr2bl w:val="nil"/>
                  </w:tcBorders>
                  <w:shd w:val="clear" w:color="auto" w:fill="auto"/>
                  <w:noWrap/>
                  <w:tcMar>
                    <w:top w:w="0" w:type="dxa"/>
                    <w:left w:w="51" w:type="dxa"/>
                    <w:bottom w:w="0" w:type="dxa"/>
                    <w:right w:w="51" w:type="dxa"/>
                  </w:tcMar>
                  <w:vAlign w:val="center"/>
                </w:tcPr>
                <w:p w14:paraId="72ED7EF3">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硫代硫酸钠</w:t>
                  </w:r>
                </w:p>
              </w:tc>
              <w:tc>
                <w:tcPr>
                  <w:tcW w:w="533" w:type="pct"/>
                  <w:tcBorders>
                    <w:tl2br w:val="nil"/>
                    <w:tr2bl w:val="nil"/>
                  </w:tcBorders>
                  <w:shd w:val="clear" w:color="auto" w:fill="auto"/>
                  <w:noWrap/>
                  <w:tcMar>
                    <w:top w:w="0" w:type="dxa"/>
                    <w:left w:w="51" w:type="dxa"/>
                    <w:bottom w:w="0" w:type="dxa"/>
                    <w:right w:w="51" w:type="dxa"/>
                  </w:tcMar>
                  <w:vAlign w:val="center"/>
                </w:tcPr>
                <w:p w14:paraId="77E98E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583A58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963EF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FC1248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7CA746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853FF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6917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29</w:t>
                  </w:r>
                </w:p>
              </w:tc>
              <w:tc>
                <w:tcPr>
                  <w:tcW w:w="1210" w:type="pct"/>
                  <w:tcBorders>
                    <w:tl2br w:val="nil"/>
                    <w:tr2bl w:val="nil"/>
                  </w:tcBorders>
                  <w:shd w:val="clear" w:color="auto" w:fill="auto"/>
                  <w:noWrap/>
                  <w:tcMar>
                    <w:top w:w="0" w:type="dxa"/>
                    <w:left w:w="51" w:type="dxa"/>
                    <w:bottom w:w="0" w:type="dxa"/>
                    <w:right w:w="51" w:type="dxa"/>
                  </w:tcMar>
                  <w:vAlign w:val="center"/>
                </w:tcPr>
                <w:p w14:paraId="5782CE64">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偏重亚硫酸钠</w:t>
                  </w:r>
                </w:p>
              </w:tc>
              <w:tc>
                <w:tcPr>
                  <w:tcW w:w="533" w:type="pct"/>
                  <w:tcBorders>
                    <w:tl2br w:val="nil"/>
                    <w:tr2bl w:val="nil"/>
                  </w:tcBorders>
                  <w:shd w:val="clear" w:color="auto" w:fill="auto"/>
                  <w:noWrap/>
                  <w:tcMar>
                    <w:top w:w="0" w:type="dxa"/>
                    <w:left w:w="51" w:type="dxa"/>
                    <w:bottom w:w="0" w:type="dxa"/>
                    <w:right w:w="51" w:type="dxa"/>
                  </w:tcMar>
                  <w:vAlign w:val="center"/>
                </w:tcPr>
                <w:p w14:paraId="0E610E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02B91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24B0C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BA4470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5E1DF1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E27C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54774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w:t>
                  </w:r>
                </w:p>
              </w:tc>
              <w:tc>
                <w:tcPr>
                  <w:tcW w:w="1210" w:type="pct"/>
                  <w:tcBorders>
                    <w:tl2br w:val="nil"/>
                    <w:tr2bl w:val="nil"/>
                  </w:tcBorders>
                  <w:shd w:val="clear" w:color="auto" w:fill="auto"/>
                  <w:noWrap/>
                  <w:tcMar>
                    <w:top w:w="0" w:type="dxa"/>
                    <w:left w:w="51" w:type="dxa"/>
                    <w:bottom w:w="0" w:type="dxa"/>
                    <w:right w:w="51" w:type="dxa"/>
                  </w:tcMar>
                  <w:vAlign w:val="center"/>
                </w:tcPr>
                <w:p w14:paraId="1E88CA2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二氧化钛</w:t>
                  </w:r>
                </w:p>
              </w:tc>
              <w:tc>
                <w:tcPr>
                  <w:tcW w:w="533" w:type="pct"/>
                  <w:tcBorders>
                    <w:tl2br w:val="nil"/>
                    <w:tr2bl w:val="nil"/>
                  </w:tcBorders>
                  <w:shd w:val="clear" w:color="auto" w:fill="auto"/>
                  <w:noWrap/>
                  <w:tcMar>
                    <w:top w:w="0" w:type="dxa"/>
                    <w:left w:w="51" w:type="dxa"/>
                    <w:bottom w:w="0" w:type="dxa"/>
                    <w:right w:w="51" w:type="dxa"/>
                  </w:tcMar>
                  <w:vAlign w:val="center"/>
                </w:tcPr>
                <w:p w14:paraId="5047F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ED46E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AE32E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E4C419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5EB974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490DF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D10E9C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w:t>
                  </w:r>
                </w:p>
              </w:tc>
              <w:tc>
                <w:tcPr>
                  <w:tcW w:w="1210" w:type="pct"/>
                  <w:tcBorders>
                    <w:tl2br w:val="nil"/>
                    <w:tr2bl w:val="nil"/>
                  </w:tcBorders>
                  <w:shd w:val="clear" w:color="auto" w:fill="auto"/>
                  <w:noWrap/>
                  <w:tcMar>
                    <w:top w:w="0" w:type="dxa"/>
                    <w:left w:w="51" w:type="dxa"/>
                    <w:bottom w:w="0" w:type="dxa"/>
                    <w:right w:w="51" w:type="dxa"/>
                  </w:tcMar>
                  <w:vAlign w:val="center"/>
                </w:tcPr>
                <w:p w14:paraId="4CB3F20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无水碳酸钠</w:t>
                  </w:r>
                </w:p>
              </w:tc>
              <w:tc>
                <w:tcPr>
                  <w:tcW w:w="533" w:type="pct"/>
                  <w:tcBorders>
                    <w:tl2br w:val="nil"/>
                    <w:tr2bl w:val="nil"/>
                  </w:tcBorders>
                  <w:shd w:val="clear" w:color="auto" w:fill="auto"/>
                  <w:noWrap/>
                  <w:tcMar>
                    <w:top w:w="0" w:type="dxa"/>
                    <w:left w:w="51" w:type="dxa"/>
                    <w:bottom w:w="0" w:type="dxa"/>
                    <w:right w:w="51" w:type="dxa"/>
                  </w:tcMar>
                  <w:vAlign w:val="center"/>
                </w:tcPr>
                <w:p w14:paraId="7F38F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62FA3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902A3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63273D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4DE02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9E270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8A513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w:t>
                  </w:r>
                </w:p>
              </w:tc>
              <w:tc>
                <w:tcPr>
                  <w:tcW w:w="1210" w:type="pct"/>
                  <w:tcBorders>
                    <w:tl2br w:val="nil"/>
                    <w:tr2bl w:val="nil"/>
                  </w:tcBorders>
                  <w:shd w:val="clear" w:color="auto" w:fill="auto"/>
                  <w:noWrap/>
                  <w:tcMar>
                    <w:top w:w="0" w:type="dxa"/>
                    <w:left w:w="51" w:type="dxa"/>
                    <w:bottom w:w="0" w:type="dxa"/>
                    <w:right w:w="51" w:type="dxa"/>
                  </w:tcMar>
                  <w:vAlign w:val="center"/>
                </w:tcPr>
                <w:p w14:paraId="1CF2076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碳酸氢钠</w:t>
                  </w:r>
                </w:p>
              </w:tc>
              <w:tc>
                <w:tcPr>
                  <w:tcW w:w="533" w:type="pct"/>
                  <w:tcBorders>
                    <w:tl2br w:val="nil"/>
                    <w:tr2bl w:val="nil"/>
                  </w:tcBorders>
                  <w:shd w:val="clear" w:color="auto" w:fill="auto"/>
                  <w:noWrap/>
                  <w:tcMar>
                    <w:top w:w="0" w:type="dxa"/>
                    <w:left w:w="51" w:type="dxa"/>
                    <w:bottom w:w="0" w:type="dxa"/>
                    <w:right w:w="51" w:type="dxa"/>
                  </w:tcMar>
                  <w:vAlign w:val="center"/>
                </w:tcPr>
                <w:p w14:paraId="73F3D1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67543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C2E4B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F2CB7E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191C52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3DB16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443566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33</w:t>
                  </w:r>
                </w:p>
              </w:tc>
              <w:tc>
                <w:tcPr>
                  <w:tcW w:w="1210" w:type="pct"/>
                  <w:tcBorders>
                    <w:tl2br w:val="nil"/>
                    <w:tr2bl w:val="nil"/>
                  </w:tcBorders>
                  <w:shd w:val="clear" w:color="auto" w:fill="auto"/>
                  <w:noWrap/>
                  <w:tcMar>
                    <w:top w:w="0" w:type="dxa"/>
                    <w:left w:w="51" w:type="dxa"/>
                    <w:bottom w:w="0" w:type="dxa"/>
                    <w:right w:w="51" w:type="dxa"/>
                  </w:tcMar>
                  <w:vAlign w:val="center"/>
                </w:tcPr>
                <w:p w14:paraId="282AE623">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硫酸铵</w:t>
                  </w:r>
                </w:p>
              </w:tc>
              <w:tc>
                <w:tcPr>
                  <w:tcW w:w="533" w:type="pct"/>
                  <w:tcBorders>
                    <w:tl2br w:val="nil"/>
                    <w:tr2bl w:val="nil"/>
                  </w:tcBorders>
                  <w:shd w:val="clear" w:color="auto" w:fill="auto"/>
                  <w:noWrap/>
                  <w:tcMar>
                    <w:top w:w="0" w:type="dxa"/>
                    <w:left w:w="51" w:type="dxa"/>
                    <w:bottom w:w="0" w:type="dxa"/>
                    <w:right w:w="51" w:type="dxa"/>
                  </w:tcMar>
                  <w:vAlign w:val="center"/>
                </w:tcPr>
                <w:p w14:paraId="7484F2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A184B3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F715B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F0BF18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674F6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5CFC9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54BC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34</w:t>
                  </w:r>
                </w:p>
              </w:tc>
              <w:tc>
                <w:tcPr>
                  <w:tcW w:w="1210" w:type="pct"/>
                  <w:tcBorders>
                    <w:tl2br w:val="nil"/>
                    <w:tr2bl w:val="nil"/>
                  </w:tcBorders>
                  <w:shd w:val="clear" w:color="auto" w:fill="auto"/>
                  <w:noWrap/>
                  <w:tcMar>
                    <w:top w:w="0" w:type="dxa"/>
                    <w:left w:w="51" w:type="dxa"/>
                    <w:bottom w:w="0" w:type="dxa"/>
                    <w:right w:w="51" w:type="dxa"/>
                  </w:tcMar>
                  <w:vAlign w:val="center"/>
                </w:tcPr>
                <w:p w14:paraId="6EBCB666">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氨水p=0.91g/ml</w:t>
                  </w:r>
                </w:p>
              </w:tc>
              <w:tc>
                <w:tcPr>
                  <w:tcW w:w="533" w:type="pct"/>
                  <w:tcBorders>
                    <w:tl2br w:val="nil"/>
                    <w:tr2bl w:val="nil"/>
                  </w:tcBorders>
                  <w:shd w:val="clear" w:color="auto" w:fill="auto"/>
                  <w:noWrap/>
                  <w:tcMar>
                    <w:top w:w="0" w:type="dxa"/>
                    <w:left w:w="51" w:type="dxa"/>
                    <w:bottom w:w="0" w:type="dxa"/>
                    <w:right w:w="51" w:type="dxa"/>
                  </w:tcMar>
                  <w:vAlign w:val="center"/>
                </w:tcPr>
                <w:p w14:paraId="6C4927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6941D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E6AD8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E36AF2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7D3C11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B43C3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574115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w:t>
                  </w:r>
                </w:p>
              </w:tc>
              <w:tc>
                <w:tcPr>
                  <w:tcW w:w="1210" w:type="pct"/>
                  <w:tcBorders>
                    <w:tl2br w:val="nil"/>
                    <w:tr2bl w:val="nil"/>
                  </w:tcBorders>
                  <w:shd w:val="clear" w:color="auto" w:fill="auto"/>
                  <w:noWrap/>
                  <w:tcMar>
                    <w:top w:w="0" w:type="dxa"/>
                    <w:left w:w="51" w:type="dxa"/>
                    <w:bottom w:w="0" w:type="dxa"/>
                    <w:right w:w="51" w:type="dxa"/>
                  </w:tcMar>
                  <w:vAlign w:val="center"/>
                </w:tcPr>
                <w:p w14:paraId="721F09E7">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氨基磺酸</w:t>
                  </w:r>
                </w:p>
              </w:tc>
              <w:tc>
                <w:tcPr>
                  <w:tcW w:w="533" w:type="pct"/>
                  <w:tcBorders>
                    <w:tl2br w:val="nil"/>
                    <w:tr2bl w:val="nil"/>
                  </w:tcBorders>
                  <w:shd w:val="clear" w:color="auto" w:fill="auto"/>
                  <w:noWrap/>
                  <w:tcMar>
                    <w:top w:w="0" w:type="dxa"/>
                    <w:left w:w="51" w:type="dxa"/>
                    <w:bottom w:w="0" w:type="dxa"/>
                    <w:right w:w="51" w:type="dxa"/>
                  </w:tcMar>
                  <w:vAlign w:val="center"/>
                </w:tcPr>
                <w:p w14:paraId="76F9A4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22FD34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7F0AA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442D15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9C82C1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0B762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73908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36</w:t>
                  </w:r>
                </w:p>
              </w:tc>
              <w:tc>
                <w:tcPr>
                  <w:tcW w:w="1210" w:type="pct"/>
                  <w:tcBorders>
                    <w:tl2br w:val="nil"/>
                    <w:tr2bl w:val="nil"/>
                  </w:tcBorders>
                  <w:shd w:val="clear" w:color="auto" w:fill="auto"/>
                  <w:noWrap/>
                  <w:tcMar>
                    <w:top w:w="0" w:type="dxa"/>
                    <w:left w:w="51" w:type="dxa"/>
                    <w:bottom w:w="0" w:type="dxa"/>
                    <w:right w:w="51" w:type="dxa"/>
                  </w:tcMar>
                  <w:vAlign w:val="center"/>
                </w:tcPr>
                <w:p w14:paraId="49290F0A">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乙二胺四乙酸二钠盐</w:t>
                  </w:r>
                </w:p>
              </w:tc>
              <w:tc>
                <w:tcPr>
                  <w:tcW w:w="533" w:type="pct"/>
                  <w:tcBorders>
                    <w:tl2br w:val="nil"/>
                    <w:tr2bl w:val="nil"/>
                  </w:tcBorders>
                  <w:shd w:val="clear" w:color="auto" w:fill="auto"/>
                  <w:noWrap/>
                  <w:tcMar>
                    <w:top w:w="0" w:type="dxa"/>
                    <w:left w:w="51" w:type="dxa"/>
                    <w:bottom w:w="0" w:type="dxa"/>
                    <w:right w:w="51" w:type="dxa"/>
                  </w:tcMar>
                  <w:vAlign w:val="center"/>
                </w:tcPr>
                <w:p w14:paraId="08C6AC3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5EC88E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1C6F14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C9985F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7BFC68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73184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1"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4FE96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37</w:t>
                  </w:r>
                </w:p>
              </w:tc>
              <w:tc>
                <w:tcPr>
                  <w:tcW w:w="1210" w:type="pct"/>
                  <w:tcBorders>
                    <w:tl2br w:val="nil"/>
                    <w:tr2bl w:val="nil"/>
                  </w:tcBorders>
                  <w:shd w:val="clear" w:color="auto" w:fill="auto"/>
                  <w:noWrap/>
                  <w:tcMar>
                    <w:top w:w="0" w:type="dxa"/>
                    <w:left w:w="51" w:type="dxa"/>
                    <w:bottom w:w="0" w:type="dxa"/>
                    <w:right w:w="51" w:type="dxa"/>
                  </w:tcMar>
                  <w:vAlign w:val="center"/>
                </w:tcPr>
                <w:p w14:paraId="7FE55932">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试银灵（对</w:t>
                  </w:r>
                  <w:r>
                    <w:rPr>
                      <w:rFonts w:hint="eastAsia" w:cs="Times New Roman"/>
                      <w:i w:val="0"/>
                      <w:iCs w:val="0"/>
                      <w:color w:val="auto"/>
                      <w:kern w:val="0"/>
                      <w:sz w:val="21"/>
                      <w:szCs w:val="21"/>
                      <w:highlight w:val="none"/>
                      <w:u w:val="none"/>
                      <w:shd w:val="clear" w:fill="FFFFFF"/>
                      <w:lang w:val="en-US" w:eastAsia="zh-CN" w:bidi="ar"/>
                    </w:rPr>
                    <w:t>二甲胺基</w:t>
                  </w:r>
                  <w:r>
                    <w:rPr>
                      <w:rFonts w:hint="default" w:ascii="Times New Roman" w:hAnsi="Times New Roman" w:eastAsia="宋体" w:cs="Times New Roman"/>
                      <w:i w:val="0"/>
                      <w:iCs w:val="0"/>
                      <w:color w:val="auto"/>
                      <w:kern w:val="0"/>
                      <w:sz w:val="21"/>
                      <w:szCs w:val="21"/>
                      <w:highlight w:val="none"/>
                      <w:u w:val="none"/>
                      <w:lang w:val="en-US" w:eastAsia="zh-CN" w:bidi="ar"/>
                    </w:rPr>
                    <w:t>亚芐基罗丹宁）</w:t>
                  </w:r>
                </w:p>
              </w:tc>
              <w:tc>
                <w:tcPr>
                  <w:tcW w:w="533" w:type="pct"/>
                  <w:tcBorders>
                    <w:tl2br w:val="nil"/>
                    <w:tr2bl w:val="nil"/>
                  </w:tcBorders>
                  <w:shd w:val="clear" w:color="auto" w:fill="auto"/>
                  <w:noWrap/>
                  <w:tcMar>
                    <w:top w:w="0" w:type="dxa"/>
                    <w:left w:w="51" w:type="dxa"/>
                    <w:bottom w:w="0" w:type="dxa"/>
                    <w:right w:w="51" w:type="dxa"/>
                  </w:tcMar>
                  <w:vAlign w:val="center"/>
                </w:tcPr>
                <w:p w14:paraId="054EF5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25g</w:t>
                  </w:r>
                </w:p>
              </w:tc>
              <w:tc>
                <w:tcPr>
                  <w:tcW w:w="716" w:type="pct"/>
                  <w:tcBorders>
                    <w:tl2br w:val="nil"/>
                    <w:tr2bl w:val="nil"/>
                  </w:tcBorders>
                  <w:shd w:val="clear" w:color="auto" w:fill="auto"/>
                  <w:noWrap/>
                  <w:tcMar>
                    <w:top w:w="0" w:type="dxa"/>
                    <w:left w:w="51" w:type="dxa"/>
                    <w:bottom w:w="0" w:type="dxa"/>
                    <w:right w:w="51" w:type="dxa"/>
                  </w:tcMar>
                  <w:vAlign w:val="center"/>
                </w:tcPr>
                <w:p w14:paraId="2E0BB8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051A9E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1CC60E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703D80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F5C54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25131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38</w:t>
                  </w:r>
                </w:p>
              </w:tc>
              <w:tc>
                <w:tcPr>
                  <w:tcW w:w="1210" w:type="pct"/>
                  <w:tcBorders>
                    <w:tl2br w:val="nil"/>
                    <w:tr2bl w:val="nil"/>
                  </w:tcBorders>
                  <w:shd w:val="clear" w:color="auto" w:fill="auto"/>
                  <w:noWrap/>
                  <w:tcMar>
                    <w:top w:w="0" w:type="dxa"/>
                    <w:left w:w="51" w:type="dxa"/>
                    <w:bottom w:w="0" w:type="dxa"/>
                    <w:right w:w="51" w:type="dxa"/>
                  </w:tcMar>
                  <w:vAlign w:val="center"/>
                </w:tcPr>
                <w:p w14:paraId="70D903C6">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氯胺T</w:t>
                  </w:r>
                </w:p>
              </w:tc>
              <w:tc>
                <w:tcPr>
                  <w:tcW w:w="533" w:type="pct"/>
                  <w:tcBorders>
                    <w:tl2br w:val="nil"/>
                    <w:tr2bl w:val="nil"/>
                  </w:tcBorders>
                  <w:shd w:val="clear" w:color="auto" w:fill="auto"/>
                  <w:noWrap/>
                  <w:tcMar>
                    <w:top w:w="0" w:type="dxa"/>
                    <w:left w:w="51" w:type="dxa"/>
                    <w:bottom w:w="0" w:type="dxa"/>
                    <w:right w:w="51" w:type="dxa"/>
                  </w:tcMar>
                  <w:vAlign w:val="center"/>
                </w:tcPr>
                <w:p w14:paraId="6BFB90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00g</w:t>
                  </w:r>
                </w:p>
              </w:tc>
              <w:tc>
                <w:tcPr>
                  <w:tcW w:w="716" w:type="pct"/>
                  <w:tcBorders>
                    <w:tl2br w:val="nil"/>
                    <w:tr2bl w:val="nil"/>
                  </w:tcBorders>
                  <w:shd w:val="clear" w:color="auto" w:fill="auto"/>
                  <w:noWrap/>
                  <w:tcMar>
                    <w:top w:w="0" w:type="dxa"/>
                    <w:left w:w="51" w:type="dxa"/>
                    <w:bottom w:w="0" w:type="dxa"/>
                    <w:right w:w="51" w:type="dxa"/>
                  </w:tcMar>
                  <w:vAlign w:val="center"/>
                </w:tcPr>
                <w:p w14:paraId="2B5CA9E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75E897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90793C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3AE39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F60CA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A998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39</w:t>
                  </w:r>
                </w:p>
              </w:tc>
              <w:tc>
                <w:tcPr>
                  <w:tcW w:w="1210" w:type="pct"/>
                  <w:tcBorders>
                    <w:tl2br w:val="nil"/>
                    <w:tr2bl w:val="nil"/>
                  </w:tcBorders>
                  <w:shd w:val="clear" w:color="auto" w:fill="auto"/>
                  <w:noWrap/>
                  <w:tcMar>
                    <w:top w:w="0" w:type="dxa"/>
                    <w:left w:w="51" w:type="dxa"/>
                    <w:bottom w:w="0" w:type="dxa"/>
                    <w:right w:w="51" w:type="dxa"/>
                  </w:tcMar>
                  <w:vAlign w:val="center"/>
                </w:tcPr>
                <w:p w14:paraId="18107E49">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异烟酸</w:t>
                  </w:r>
                </w:p>
              </w:tc>
              <w:tc>
                <w:tcPr>
                  <w:tcW w:w="533" w:type="pct"/>
                  <w:tcBorders>
                    <w:tl2br w:val="nil"/>
                    <w:tr2bl w:val="nil"/>
                  </w:tcBorders>
                  <w:shd w:val="clear" w:color="auto" w:fill="auto"/>
                  <w:noWrap/>
                  <w:tcMar>
                    <w:top w:w="0" w:type="dxa"/>
                    <w:left w:w="51" w:type="dxa"/>
                    <w:bottom w:w="0" w:type="dxa"/>
                    <w:right w:w="51" w:type="dxa"/>
                  </w:tcMar>
                  <w:vAlign w:val="center"/>
                </w:tcPr>
                <w:p w14:paraId="5C45E21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3A047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DC679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812470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FB3C8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E601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842C3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210" w:type="pct"/>
                  <w:tcBorders>
                    <w:tl2br w:val="nil"/>
                    <w:tr2bl w:val="nil"/>
                  </w:tcBorders>
                  <w:shd w:val="clear" w:color="auto" w:fill="auto"/>
                  <w:noWrap/>
                  <w:tcMar>
                    <w:top w:w="0" w:type="dxa"/>
                    <w:left w:w="51" w:type="dxa"/>
                    <w:bottom w:w="0" w:type="dxa"/>
                    <w:right w:w="51" w:type="dxa"/>
                  </w:tcMar>
                  <w:vAlign w:val="center"/>
                </w:tcPr>
                <w:p w14:paraId="2450A81B">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吡唑啉酮</w:t>
                  </w:r>
                </w:p>
              </w:tc>
              <w:tc>
                <w:tcPr>
                  <w:tcW w:w="533" w:type="pct"/>
                  <w:tcBorders>
                    <w:tl2br w:val="nil"/>
                    <w:tr2bl w:val="nil"/>
                  </w:tcBorders>
                  <w:shd w:val="clear" w:color="auto" w:fill="auto"/>
                  <w:noWrap/>
                  <w:tcMar>
                    <w:top w:w="0" w:type="dxa"/>
                    <w:left w:w="51" w:type="dxa"/>
                    <w:bottom w:w="0" w:type="dxa"/>
                    <w:right w:w="51" w:type="dxa"/>
                  </w:tcMar>
                  <w:vAlign w:val="center"/>
                </w:tcPr>
                <w:p w14:paraId="0B19A1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7111F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2DD98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D93563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C1EA06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C1C32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9DAF7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41</w:t>
                  </w:r>
                </w:p>
              </w:tc>
              <w:tc>
                <w:tcPr>
                  <w:tcW w:w="1210" w:type="pct"/>
                  <w:tcBorders>
                    <w:tl2br w:val="nil"/>
                    <w:tr2bl w:val="nil"/>
                  </w:tcBorders>
                  <w:shd w:val="clear" w:color="auto" w:fill="auto"/>
                  <w:noWrap/>
                  <w:tcMar>
                    <w:top w:w="0" w:type="dxa"/>
                    <w:left w:w="51" w:type="dxa"/>
                    <w:bottom w:w="0" w:type="dxa"/>
                    <w:right w:w="51" w:type="dxa"/>
                  </w:tcMar>
                  <w:vAlign w:val="center"/>
                </w:tcPr>
                <w:p w14:paraId="099D45E1">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巴比妥酸</w:t>
                  </w:r>
                </w:p>
              </w:tc>
              <w:tc>
                <w:tcPr>
                  <w:tcW w:w="533" w:type="pct"/>
                  <w:tcBorders>
                    <w:tl2br w:val="nil"/>
                    <w:tr2bl w:val="nil"/>
                  </w:tcBorders>
                  <w:shd w:val="clear" w:color="auto" w:fill="auto"/>
                  <w:noWrap/>
                  <w:tcMar>
                    <w:top w:w="0" w:type="dxa"/>
                    <w:left w:w="51" w:type="dxa"/>
                    <w:bottom w:w="0" w:type="dxa"/>
                    <w:right w:w="51" w:type="dxa"/>
                  </w:tcMar>
                  <w:vAlign w:val="center"/>
                </w:tcPr>
                <w:p w14:paraId="4BE64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021450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51C873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46C6BB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7B2E59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0E38D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0D2A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42</w:t>
                  </w:r>
                </w:p>
              </w:tc>
              <w:tc>
                <w:tcPr>
                  <w:tcW w:w="1210" w:type="pct"/>
                  <w:tcBorders>
                    <w:tl2br w:val="nil"/>
                    <w:tr2bl w:val="nil"/>
                  </w:tcBorders>
                  <w:shd w:val="clear" w:color="auto" w:fill="auto"/>
                  <w:noWrap/>
                  <w:tcMar>
                    <w:top w:w="0" w:type="dxa"/>
                    <w:left w:w="51" w:type="dxa"/>
                    <w:bottom w:w="0" w:type="dxa"/>
                    <w:right w:w="51" w:type="dxa"/>
                  </w:tcMar>
                  <w:vAlign w:val="center"/>
                </w:tcPr>
                <w:p w14:paraId="5161606F">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吡啶</w:t>
                  </w:r>
                </w:p>
              </w:tc>
              <w:tc>
                <w:tcPr>
                  <w:tcW w:w="533" w:type="pct"/>
                  <w:tcBorders>
                    <w:tl2br w:val="nil"/>
                    <w:tr2bl w:val="nil"/>
                  </w:tcBorders>
                  <w:shd w:val="clear" w:color="auto" w:fill="auto"/>
                  <w:noWrap/>
                  <w:tcMar>
                    <w:top w:w="0" w:type="dxa"/>
                    <w:left w:w="51" w:type="dxa"/>
                    <w:bottom w:w="0" w:type="dxa"/>
                    <w:right w:w="51" w:type="dxa"/>
                  </w:tcMar>
                  <w:vAlign w:val="center"/>
                </w:tcPr>
                <w:p w14:paraId="5ACD7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E696B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1D081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8292E1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A7290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51BDB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B795E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43</w:t>
                  </w:r>
                </w:p>
              </w:tc>
              <w:tc>
                <w:tcPr>
                  <w:tcW w:w="1210" w:type="pct"/>
                  <w:tcBorders>
                    <w:tl2br w:val="nil"/>
                    <w:tr2bl w:val="nil"/>
                  </w:tcBorders>
                  <w:shd w:val="clear" w:color="auto" w:fill="auto"/>
                  <w:noWrap/>
                  <w:tcMar>
                    <w:top w:w="0" w:type="dxa"/>
                    <w:left w:w="51" w:type="dxa"/>
                    <w:bottom w:w="0" w:type="dxa"/>
                    <w:right w:w="51" w:type="dxa"/>
                  </w:tcMar>
                  <w:vAlign w:val="center"/>
                </w:tcPr>
                <w:p w14:paraId="4D55C099">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硫酸亚铁</w:t>
                  </w:r>
                </w:p>
              </w:tc>
              <w:tc>
                <w:tcPr>
                  <w:tcW w:w="533" w:type="pct"/>
                  <w:tcBorders>
                    <w:tl2br w:val="nil"/>
                    <w:tr2bl w:val="nil"/>
                  </w:tcBorders>
                  <w:shd w:val="clear" w:color="auto" w:fill="auto"/>
                  <w:noWrap/>
                  <w:tcMar>
                    <w:top w:w="0" w:type="dxa"/>
                    <w:left w:w="51" w:type="dxa"/>
                    <w:bottom w:w="0" w:type="dxa"/>
                    <w:right w:w="51" w:type="dxa"/>
                  </w:tcMar>
                  <w:vAlign w:val="center"/>
                </w:tcPr>
                <w:p w14:paraId="59E40FF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E48E6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739D90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EB0497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8E8988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60B77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B28BB8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44</w:t>
                  </w:r>
                </w:p>
              </w:tc>
              <w:tc>
                <w:tcPr>
                  <w:tcW w:w="1210" w:type="pct"/>
                  <w:tcBorders>
                    <w:tl2br w:val="nil"/>
                    <w:tr2bl w:val="nil"/>
                  </w:tcBorders>
                  <w:shd w:val="clear" w:color="auto" w:fill="auto"/>
                  <w:noWrap/>
                  <w:tcMar>
                    <w:top w:w="0" w:type="dxa"/>
                    <w:left w:w="51" w:type="dxa"/>
                    <w:bottom w:w="0" w:type="dxa"/>
                    <w:right w:w="51" w:type="dxa"/>
                  </w:tcMar>
                  <w:vAlign w:val="center"/>
                </w:tcPr>
                <w:p w14:paraId="249CF760">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硫酸亚铁铵</w:t>
                  </w:r>
                </w:p>
              </w:tc>
              <w:tc>
                <w:tcPr>
                  <w:tcW w:w="533" w:type="pct"/>
                  <w:tcBorders>
                    <w:tl2br w:val="nil"/>
                    <w:tr2bl w:val="nil"/>
                  </w:tcBorders>
                  <w:shd w:val="clear" w:color="auto" w:fill="auto"/>
                  <w:noWrap/>
                  <w:tcMar>
                    <w:top w:w="0" w:type="dxa"/>
                    <w:left w:w="51" w:type="dxa"/>
                    <w:bottom w:w="0" w:type="dxa"/>
                    <w:right w:w="51" w:type="dxa"/>
                  </w:tcMar>
                  <w:vAlign w:val="center"/>
                </w:tcPr>
                <w:p w14:paraId="2EF3876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CD7B79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D44655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432C45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EB247E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8E4FF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62BBB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45</w:t>
                  </w:r>
                </w:p>
              </w:tc>
              <w:tc>
                <w:tcPr>
                  <w:tcW w:w="1210" w:type="pct"/>
                  <w:tcBorders>
                    <w:tl2br w:val="nil"/>
                    <w:tr2bl w:val="nil"/>
                  </w:tcBorders>
                  <w:shd w:val="clear" w:color="auto" w:fill="auto"/>
                  <w:noWrap/>
                  <w:tcMar>
                    <w:top w:w="0" w:type="dxa"/>
                    <w:left w:w="51" w:type="dxa"/>
                    <w:bottom w:w="0" w:type="dxa"/>
                    <w:right w:w="51" w:type="dxa"/>
                  </w:tcMar>
                  <w:vAlign w:val="center"/>
                </w:tcPr>
                <w:p w14:paraId="4AA4BCEB">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七水硫酸亚铁</w:t>
                  </w:r>
                </w:p>
              </w:tc>
              <w:tc>
                <w:tcPr>
                  <w:tcW w:w="533" w:type="pct"/>
                  <w:tcBorders>
                    <w:tl2br w:val="nil"/>
                    <w:tr2bl w:val="nil"/>
                  </w:tcBorders>
                  <w:shd w:val="clear" w:color="auto" w:fill="auto"/>
                  <w:noWrap/>
                  <w:tcMar>
                    <w:top w:w="0" w:type="dxa"/>
                    <w:left w:w="51" w:type="dxa"/>
                    <w:bottom w:w="0" w:type="dxa"/>
                    <w:right w:w="51" w:type="dxa"/>
                  </w:tcMar>
                  <w:vAlign w:val="center"/>
                </w:tcPr>
                <w:p w14:paraId="6CC0F6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42834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E00F7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E4190F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F240E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625CF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9EBCE2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46</w:t>
                  </w:r>
                </w:p>
              </w:tc>
              <w:tc>
                <w:tcPr>
                  <w:tcW w:w="1210" w:type="pct"/>
                  <w:tcBorders>
                    <w:tl2br w:val="nil"/>
                    <w:tr2bl w:val="nil"/>
                  </w:tcBorders>
                  <w:shd w:val="clear" w:color="auto" w:fill="auto"/>
                  <w:noWrap/>
                  <w:tcMar>
                    <w:top w:w="0" w:type="dxa"/>
                    <w:left w:w="51" w:type="dxa"/>
                    <w:bottom w:w="0" w:type="dxa"/>
                    <w:right w:w="51" w:type="dxa"/>
                  </w:tcMar>
                  <w:vAlign w:val="center"/>
                </w:tcPr>
                <w:p w14:paraId="17007E6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苯酚</w:t>
                  </w:r>
                </w:p>
              </w:tc>
              <w:tc>
                <w:tcPr>
                  <w:tcW w:w="533" w:type="pct"/>
                  <w:tcBorders>
                    <w:tl2br w:val="nil"/>
                    <w:tr2bl w:val="nil"/>
                  </w:tcBorders>
                  <w:shd w:val="clear" w:color="auto" w:fill="auto"/>
                  <w:noWrap/>
                  <w:tcMar>
                    <w:top w:w="0" w:type="dxa"/>
                    <w:left w:w="51" w:type="dxa"/>
                    <w:bottom w:w="0" w:type="dxa"/>
                    <w:right w:w="51" w:type="dxa"/>
                  </w:tcMar>
                  <w:vAlign w:val="center"/>
                </w:tcPr>
                <w:p w14:paraId="6069F05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438AFA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7CDD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C80164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E0154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4CB6F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816B2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47</w:t>
                  </w:r>
                </w:p>
              </w:tc>
              <w:tc>
                <w:tcPr>
                  <w:tcW w:w="1210" w:type="pct"/>
                  <w:tcBorders>
                    <w:tl2br w:val="nil"/>
                    <w:tr2bl w:val="nil"/>
                  </w:tcBorders>
                  <w:shd w:val="clear" w:color="auto" w:fill="auto"/>
                  <w:noWrap/>
                  <w:tcMar>
                    <w:top w:w="0" w:type="dxa"/>
                    <w:left w:w="51" w:type="dxa"/>
                    <w:bottom w:w="0" w:type="dxa"/>
                    <w:right w:w="51" w:type="dxa"/>
                  </w:tcMar>
                  <w:vAlign w:val="center"/>
                </w:tcPr>
                <w:p w14:paraId="7DDF4B0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对氯苯酚</w:t>
                  </w:r>
                </w:p>
              </w:tc>
              <w:tc>
                <w:tcPr>
                  <w:tcW w:w="533" w:type="pct"/>
                  <w:tcBorders>
                    <w:tl2br w:val="nil"/>
                    <w:tr2bl w:val="nil"/>
                  </w:tcBorders>
                  <w:shd w:val="clear" w:color="auto" w:fill="auto"/>
                  <w:noWrap/>
                  <w:tcMar>
                    <w:top w:w="0" w:type="dxa"/>
                    <w:left w:w="51" w:type="dxa"/>
                    <w:bottom w:w="0" w:type="dxa"/>
                    <w:right w:w="51" w:type="dxa"/>
                  </w:tcMar>
                  <w:vAlign w:val="center"/>
                </w:tcPr>
                <w:p w14:paraId="318902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8EAA5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158D1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91D5D0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D891B6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57310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0BA4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48</w:t>
                  </w:r>
                </w:p>
              </w:tc>
              <w:tc>
                <w:tcPr>
                  <w:tcW w:w="1210" w:type="pct"/>
                  <w:tcBorders>
                    <w:tl2br w:val="nil"/>
                    <w:tr2bl w:val="nil"/>
                  </w:tcBorders>
                  <w:shd w:val="clear" w:color="auto" w:fill="auto"/>
                  <w:noWrap/>
                  <w:tcMar>
                    <w:top w:w="0" w:type="dxa"/>
                    <w:left w:w="51" w:type="dxa"/>
                    <w:bottom w:w="0" w:type="dxa"/>
                    <w:right w:w="51" w:type="dxa"/>
                  </w:tcMar>
                  <w:vAlign w:val="center"/>
                </w:tcPr>
                <w:p w14:paraId="1966746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对硝基苯酚</w:t>
                  </w:r>
                </w:p>
              </w:tc>
              <w:tc>
                <w:tcPr>
                  <w:tcW w:w="533" w:type="pct"/>
                  <w:tcBorders>
                    <w:tl2br w:val="nil"/>
                    <w:tr2bl w:val="nil"/>
                  </w:tcBorders>
                  <w:shd w:val="clear" w:color="auto" w:fill="auto"/>
                  <w:noWrap/>
                  <w:tcMar>
                    <w:top w:w="0" w:type="dxa"/>
                    <w:left w:w="51" w:type="dxa"/>
                    <w:bottom w:w="0" w:type="dxa"/>
                    <w:right w:w="51" w:type="dxa"/>
                  </w:tcMar>
                  <w:vAlign w:val="center"/>
                </w:tcPr>
                <w:p w14:paraId="258CC9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A14AE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32DA3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2ED70F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1E7518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82FC1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20041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49</w:t>
                  </w:r>
                </w:p>
              </w:tc>
              <w:tc>
                <w:tcPr>
                  <w:tcW w:w="1210" w:type="pct"/>
                  <w:tcBorders>
                    <w:tl2br w:val="nil"/>
                    <w:tr2bl w:val="nil"/>
                  </w:tcBorders>
                  <w:shd w:val="clear" w:color="auto" w:fill="auto"/>
                  <w:noWrap/>
                  <w:tcMar>
                    <w:top w:w="0" w:type="dxa"/>
                    <w:left w:w="51" w:type="dxa"/>
                    <w:bottom w:w="0" w:type="dxa"/>
                    <w:right w:w="51" w:type="dxa"/>
                  </w:tcMar>
                  <w:vAlign w:val="center"/>
                </w:tcPr>
                <w:p w14:paraId="770779B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4-安基斯替比林</w:t>
                  </w:r>
                </w:p>
              </w:tc>
              <w:tc>
                <w:tcPr>
                  <w:tcW w:w="533" w:type="pct"/>
                  <w:tcBorders>
                    <w:tl2br w:val="nil"/>
                    <w:tr2bl w:val="nil"/>
                  </w:tcBorders>
                  <w:shd w:val="clear" w:color="auto" w:fill="auto"/>
                  <w:noWrap/>
                  <w:tcMar>
                    <w:top w:w="0" w:type="dxa"/>
                    <w:left w:w="51" w:type="dxa"/>
                    <w:bottom w:w="0" w:type="dxa"/>
                    <w:right w:w="51" w:type="dxa"/>
                  </w:tcMar>
                  <w:vAlign w:val="center"/>
                </w:tcPr>
                <w:p w14:paraId="2F4E76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53237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25F3DB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186519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814C0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0C1ED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77C9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w:t>
                  </w:r>
                </w:p>
              </w:tc>
              <w:tc>
                <w:tcPr>
                  <w:tcW w:w="1210" w:type="pct"/>
                  <w:tcBorders>
                    <w:tl2br w:val="nil"/>
                    <w:tr2bl w:val="nil"/>
                  </w:tcBorders>
                  <w:shd w:val="clear" w:color="auto" w:fill="auto"/>
                  <w:noWrap/>
                  <w:tcMar>
                    <w:top w:w="0" w:type="dxa"/>
                    <w:left w:w="51" w:type="dxa"/>
                    <w:bottom w:w="0" w:type="dxa"/>
                    <w:right w:w="51" w:type="dxa"/>
                  </w:tcMar>
                  <w:vAlign w:val="center"/>
                </w:tcPr>
                <w:p w14:paraId="0148512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安替比林</w:t>
                  </w:r>
                </w:p>
              </w:tc>
              <w:tc>
                <w:tcPr>
                  <w:tcW w:w="533" w:type="pct"/>
                  <w:tcBorders>
                    <w:tl2br w:val="nil"/>
                    <w:tr2bl w:val="nil"/>
                  </w:tcBorders>
                  <w:shd w:val="clear" w:color="auto" w:fill="auto"/>
                  <w:noWrap/>
                  <w:tcMar>
                    <w:top w:w="0" w:type="dxa"/>
                    <w:left w:w="51" w:type="dxa"/>
                    <w:bottom w:w="0" w:type="dxa"/>
                    <w:right w:w="51" w:type="dxa"/>
                  </w:tcMar>
                  <w:vAlign w:val="center"/>
                </w:tcPr>
                <w:p w14:paraId="26210E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A05A4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BC48F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F0F5A2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39640F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81B77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71360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51</w:t>
                  </w:r>
                </w:p>
              </w:tc>
              <w:tc>
                <w:tcPr>
                  <w:tcW w:w="1210" w:type="pct"/>
                  <w:tcBorders>
                    <w:tl2br w:val="nil"/>
                    <w:tr2bl w:val="nil"/>
                  </w:tcBorders>
                  <w:shd w:val="clear" w:color="auto" w:fill="auto"/>
                  <w:noWrap/>
                  <w:tcMar>
                    <w:top w:w="0" w:type="dxa"/>
                    <w:left w:w="51" w:type="dxa"/>
                    <w:bottom w:w="0" w:type="dxa"/>
                    <w:right w:w="51" w:type="dxa"/>
                  </w:tcMar>
                  <w:vAlign w:val="center"/>
                </w:tcPr>
                <w:p w14:paraId="2ACE969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硅酸镁</w:t>
                  </w:r>
                </w:p>
              </w:tc>
              <w:tc>
                <w:tcPr>
                  <w:tcW w:w="533" w:type="pct"/>
                  <w:tcBorders>
                    <w:tl2br w:val="nil"/>
                    <w:tr2bl w:val="nil"/>
                  </w:tcBorders>
                  <w:shd w:val="clear" w:color="auto" w:fill="auto"/>
                  <w:noWrap/>
                  <w:tcMar>
                    <w:top w:w="0" w:type="dxa"/>
                    <w:left w:w="51" w:type="dxa"/>
                    <w:bottom w:w="0" w:type="dxa"/>
                    <w:right w:w="51" w:type="dxa"/>
                  </w:tcMar>
                  <w:vAlign w:val="center"/>
                </w:tcPr>
                <w:p w14:paraId="2882F1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63E5D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C312E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B8D624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E87E6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455A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0FFE4B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52</w:t>
                  </w:r>
                </w:p>
              </w:tc>
              <w:tc>
                <w:tcPr>
                  <w:tcW w:w="1210" w:type="pct"/>
                  <w:tcBorders>
                    <w:tl2br w:val="nil"/>
                    <w:tr2bl w:val="nil"/>
                  </w:tcBorders>
                  <w:shd w:val="clear" w:color="auto" w:fill="auto"/>
                  <w:noWrap/>
                  <w:tcMar>
                    <w:top w:w="0" w:type="dxa"/>
                    <w:left w:w="51" w:type="dxa"/>
                    <w:bottom w:w="0" w:type="dxa"/>
                    <w:right w:w="51" w:type="dxa"/>
                  </w:tcMar>
                  <w:vAlign w:val="center"/>
                </w:tcPr>
                <w:p w14:paraId="29FF77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支链烷基苯磺酸钠</w:t>
                  </w:r>
                </w:p>
              </w:tc>
              <w:tc>
                <w:tcPr>
                  <w:tcW w:w="533" w:type="pct"/>
                  <w:tcBorders>
                    <w:tl2br w:val="nil"/>
                    <w:tr2bl w:val="nil"/>
                  </w:tcBorders>
                  <w:shd w:val="clear" w:color="auto" w:fill="auto"/>
                  <w:noWrap/>
                  <w:tcMar>
                    <w:top w:w="0" w:type="dxa"/>
                    <w:left w:w="51" w:type="dxa"/>
                    <w:bottom w:w="0" w:type="dxa"/>
                    <w:right w:w="51" w:type="dxa"/>
                  </w:tcMar>
                  <w:vAlign w:val="center"/>
                </w:tcPr>
                <w:p w14:paraId="723064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8A59C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41311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ADC211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A8D83C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23921E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7F1A7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53</w:t>
                  </w:r>
                </w:p>
              </w:tc>
              <w:tc>
                <w:tcPr>
                  <w:tcW w:w="1210" w:type="pct"/>
                  <w:tcBorders>
                    <w:tl2br w:val="nil"/>
                    <w:tr2bl w:val="nil"/>
                  </w:tcBorders>
                  <w:shd w:val="clear" w:color="auto" w:fill="auto"/>
                  <w:noWrap/>
                  <w:tcMar>
                    <w:top w:w="0" w:type="dxa"/>
                    <w:left w:w="51" w:type="dxa"/>
                    <w:bottom w:w="0" w:type="dxa"/>
                    <w:right w:w="51" w:type="dxa"/>
                  </w:tcMar>
                  <w:vAlign w:val="center"/>
                </w:tcPr>
                <w:p w14:paraId="3DFCA1C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水磷酸二氢钠</w:t>
                  </w:r>
                </w:p>
              </w:tc>
              <w:tc>
                <w:tcPr>
                  <w:tcW w:w="533" w:type="pct"/>
                  <w:tcBorders>
                    <w:tl2br w:val="nil"/>
                    <w:tr2bl w:val="nil"/>
                  </w:tcBorders>
                  <w:shd w:val="clear" w:color="auto" w:fill="auto"/>
                  <w:noWrap/>
                  <w:tcMar>
                    <w:top w:w="0" w:type="dxa"/>
                    <w:left w:w="51" w:type="dxa"/>
                    <w:bottom w:w="0" w:type="dxa"/>
                    <w:right w:w="51" w:type="dxa"/>
                  </w:tcMar>
                  <w:vAlign w:val="center"/>
                </w:tcPr>
                <w:p w14:paraId="1F5C28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0BAF5A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A3CA4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B3808E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DCD20B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1CA82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7"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219C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54</w:t>
                  </w:r>
                </w:p>
              </w:tc>
              <w:tc>
                <w:tcPr>
                  <w:tcW w:w="1210" w:type="pct"/>
                  <w:tcBorders>
                    <w:tl2br w:val="nil"/>
                    <w:tr2bl w:val="nil"/>
                  </w:tcBorders>
                  <w:shd w:val="clear" w:color="auto" w:fill="auto"/>
                  <w:noWrap/>
                  <w:tcMar>
                    <w:top w:w="0" w:type="dxa"/>
                    <w:left w:w="51" w:type="dxa"/>
                    <w:bottom w:w="0" w:type="dxa"/>
                    <w:right w:w="51" w:type="dxa"/>
                  </w:tcMar>
                  <w:vAlign w:val="center"/>
                </w:tcPr>
                <w:p w14:paraId="136A154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N,N二甲基对苯二胺盐酸</w:t>
                  </w:r>
                </w:p>
              </w:tc>
              <w:tc>
                <w:tcPr>
                  <w:tcW w:w="533" w:type="pct"/>
                  <w:tcBorders>
                    <w:tl2br w:val="nil"/>
                    <w:tr2bl w:val="nil"/>
                  </w:tcBorders>
                  <w:shd w:val="clear" w:color="auto" w:fill="auto"/>
                  <w:noWrap/>
                  <w:tcMar>
                    <w:top w:w="0" w:type="dxa"/>
                    <w:left w:w="51" w:type="dxa"/>
                    <w:bottom w:w="0" w:type="dxa"/>
                    <w:right w:w="51" w:type="dxa"/>
                  </w:tcMar>
                  <w:vAlign w:val="center"/>
                </w:tcPr>
                <w:p w14:paraId="7440E1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CDD6E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57AD5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9A5BBB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E9D5D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99092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4C4C47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55</w:t>
                  </w:r>
                </w:p>
              </w:tc>
              <w:tc>
                <w:tcPr>
                  <w:tcW w:w="1210" w:type="pct"/>
                  <w:tcBorders>
                    <w:tl2br w:val="nil"/>
                    <w:tr2bl w:val="nil"/>
                  </w:tcBorders>
                  <w:shd w:val="clear" w:color="auto" w:fill="auto"/>
                  <w:noWrap/>
                  <w:tcMar>
                    <w:top w:w="0" w:type="dxa"/>
                    <w:left w:w="51" w:type="dxa"/>
                    <w:bottom w:w="0" w:type="dxa"/>
                    <w:right w:w="51" w:type="dxa"/>
                  </w:tcMar>
                  <w:vAlign w:val="center"/>
                </w:tcPr>
                <w:p w14:paraId="79224FF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硫酸铁铵</w:t>
                  </w:r>
                </w:p>
              </w:tc>
              <w:tc>
                <w:tcPr>
                  <w:tcW w:w="533" w:type="pct"/>
                  <w:tcBorders>
                    <w:tl2br w:val="nil"/>
                    <w:tr2bl w:val="nil"/>
                  </w:tcBorders>
                  <w:shd w:val="clear" w:color="auto" w:fill="auto"/>
                  <w:noWrap/>
                  <w:tcMar>
                    <w:top w:w="0" w:type="dxa"/>
                    <w:left w:w="51" w:type="dxa"/>
                    <w:bottom w:w="0" w:type="dxa"/>
                    <w:right w:w="51" w:type="dxa"/>
                  </w:tcMar>
                  <w:vAlign w:val="center"/>
                </w:tcPr>
                <w:p w14:paraId="600022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BE403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74D5D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2B9480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3CA53D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997C3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9F22E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56</w:t>
                  </w:r>
                </w:p>
              </w:tc>
              <w:tc>
                <w:tcPr>
                  <w:tcW w:w="1210" w:type="pct"/>
                  <w:tcBorders>
                    <w:tl2br w:val="nil"/>
                    <w:tr2bl w:val="nil"/>
                  </w:tcBorders>
                  <w:shd w:val="clear" w:color="auto" w:fill="auto"/>
                  <w:noWrap/>
                  <w:tcMar>
                    <w:top w:w="0" w:type="dxa"/>
                    <w:left w:w="51" w:type="dxa"/>
                    <w:bottom w:w="0" w:type="dxa"/>
                    <w:right w:w="51" w:type="dxa"/>
                  </w:tcMar>
                  <w:vAlign w:val="center"/>
                </w:tcPr>
                <w:p w14:paraId="6B83945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乙酸锌</w:t>
                  </w:r>
                </w:p>
              </w:tc>
              <w:tc>
                <w:tcPr>
                  <w:tcW w:w="533" w:type="pct"/>
                  <w:tcBorders>
                    <w:tl2br w:val="nil"/>
                    <w:tr2bl w:val="nil"/>
                  </w:tcBorders>
                  <w:shd w:val="clear" w:color="auto" w:fill="auto"/>
                  <w:noWrap/>
                  <w:tcMar>
                    <w:top w:w="0" w:type="dxa"/>
                    <w:left w:w="51" w:type="dxa"/>
                    <w:bottom w:w="0" w:type="dxa"/>
                    <w:right w:w="51" w:type="dxa"/>
                  </w:tcMar>
                  <w:vAlign w:val="center"/>
                </w:tcPr>
                <w:p w14:paraId="675332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1E2DBC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27E8D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EE7A7C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91ACD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0F317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1B2F16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57</w:t>
                  </w:r>
                </w:p>
              </w:tc>
              <w:tc>
                <w:tcPr>
                  <w:tcW w:w="1210" w:type="pct"/>
                  <w:tcBorders>
                    <w:tl2br w:val="nil"/>
                    <w:tr2bl w:val="nil"/>
                  </w:tcBorders>
                  <w:shd w:val="clear" w:color="auto" w:fill="auto"/>
                  <w:noWrap/>
                  <w:tcMar>
                    <w:top w:w="0" w:type="dxa"/>
                    <w:left w:w="51" w:type="dxa"/>
                    <w:bottom w:w="0" w:type="dxa"/>
                    <w:right w:w="51" w:type="dxa"/>
                  </w:tcMar>
                  <w:vAlign w:val="center"/>
                </w:tcPr>
                <w:p w14:paraId="509365E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乙酸铵</w:t>
                  </w:r>
                </w:p>
              </w:tc>
              <w:tc>
                <w:tcPr>
                  <w:tcW w:w="533" w:type="pct"/>
                  <w:tcBorders>
                    <w:tl2br w:val="nil"/>
                    <w:tr2bl w:val="nil"/>
                  </w:tcBorders>
                  <w:shd w:val="clear" w:color="auto" w:fill="auto"/>
                  <w:noWrap/>
                  <w:tcMar>
                    <w:top w:w="0" w:type="dxa"/>
                    <w:left w:w="51" w:type="dxa"/>
                    <w:bottom w:w="0" w:type="dxa"/>
                    <w:right w:w="51" w:type="dxa"/>
                  </w:tcMar>
                  <w:vAlign w:val="center"/>
                </w:tcPr>
                <w:p w14:paraId="734F08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E9C9A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4BAE8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75DF97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4B25F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04EDE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15378A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58</w:t>
                  </w:r>
                </w:p>
              </w:tc>
              <w:tc>
                <w:tcPr>
                  <w:tcW w:w="1210" w:type="pct"/>
                  <w:tcBorders>
                    <w:tl2br w:val="nil"/>
                    <w:tr2bl w:val="nil"/>
                  </w:tcBorders>
                  <w:shd w:val="clear" w:color="auto" w:fill="auto"/>
                  <w:noWrap/>
                  <w:tcMar>
                    <w:top w:w="0" w:type="dxa"/>
                    <w:left w:w="51" w:type="dxa"/>
                    <w:bottom w:w="0" w:type="dxa"/>
                    <w:right w:w="51" w:type="dxa"/>
                  </w:tcMar>
                  <w:vAlign w:val="center"/>
                </w:tcPr>
                <w:p w14:paraId="37B9D8D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乙酸钙</w:t>
                  </w:r>
                </w:p>
              </w:tc>
              <w:tc>
                <w:tcPr>
                  <w:tcW w:w="533" w:type="pct"/>
                  <w:tcBorders>
                    <w:tl2br w:val="nil"/>
                    <w:tr2bl w:val="nil"/>
                  </w:tcBorders>
                  <w:shd w:val="clear" w:color="auto" w:fill="auto"/>
                  <w:noWrap/>
                  <w:tcMar>
                    <w:top w:w="0" w:type="dxa"/>
                    <w:left w:w="51" w:type="dxa"/>
                    <w:bottom w:w="0" w:type="dxa"/>
                    <w:right w:w="51" w:type="dxa"/>
                  </w:tcMar>
                  <w:vAlign w:val="center"/>
                </w:tcPr>
                <w:p w14:paraId="375EC0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019858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807D1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8629BD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E7D5C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C370F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CFC6CA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59</w:t>
                  </w:r>
                </w:p>
              </w:tc>
              <w:tc>
                <w:tcPr>
                  <w:tcW w:w="1210" w:type="pct"/>
                  <w:tcBorders>
                    <w:tl2br w:val="nil"/>
                    <w:tr2bl w:val="nil"/>
                  </w:tcBorders>
                  <w:shd w:val="clear" w:color="auto" w:fill="auto"/>
                  <w:noWrap/>
                  <w:tcMar>
                    <w:top w:w="0" w:type="dxa"/>
                    <w:left w:w="51" w:type="dxa"/>
                    <w:bottom w:w="0" w:type="dxa"/>
                    <w:right w:w="51" w:type="dxa"/>
                  </w:tcMar>
                  <w:vAlign w:val="center"/>
                </w:tcPr>
                <w:p w14:paraId="2A0BA13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乙酸钠</w:t>
                  </w:r>
                </w:p>
              </w:tc>
              <w:tc>
                <w:tcPr>
                  <w:tcW w:w="533" w:type="pct"/>
                  <w:tcBorders>
                    <w:tl2br w:val="nil"/>
                    <w:tr2bl w:val="nil"/>
                  </w:tcBorders>
                  <w:shd w:val="clear" w:color="auto" w:fill="auto"/>
                  <w:noWrap/>
                  <w:tcMar>
                    <w:top w:w="0" w:type="dxa"/>
                    <w:left w:w="51" w:type="dxa"/>
                    <w:bottom w:w="0" w:type="dxa"/>
                    <w:right w:w="51" w:type="dxa"/>
                  </w:tcMar>
                  <w:vAlign w:val="center"/>
                </w:tcPr>
                <w:p w14:paraId="58B7AF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19558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94C221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165B4E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6C02F5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60D4A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9BEF34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w:t>
                  </w:r>
                </w:p>
              </w:tc>
              <w:tc>
                <w:tcPr>
                  <w:tcW w:w="1210" w:type="pct"/>
                  <w:tcBorders>
                    <w:tl2br w:val="nil"/>
                    <w:tr2bl w:val="nil"/>
                  </w:tcBorders>
                  <w:shd w:val="clear" w:color="auto" w:fill="auto"/>
                  <w:noWrap/>
                  <w:tcMar>
                    <w:top w:w="0" w:type="dxa"/>
                    <w:left w:w="51" w:type="dxa"/>
                    <w:bottom w:w="0" w:type="dxa"/>
                    <w:right w:w="51" w:type="dxa"/>
                  </w:tcMar>
                  <w:vAlign w:val="center"/>
                </w:tcPr>
                <w:p w14:paraId="62BFD5C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氯化锌</w:t>
                  </w:r>
                </w:p>
              </w:tc>
              <w:tc>
                <w:tcPr>
                  <w:tcW w:w="533" w:type="pct"/>
                  <w:tcBorders>
                    <w:tl2br w:val="nil"/>
                    <w:tr2bl w:val="nil"/>
                  </w:tcBorders>
                  <w:shd w:val="clear" w:color="auto" w:fill="auto"/>
                  <w:noWrap/>
                  <w:tcMar>
                    <w:top w:w="0" w:type="dxa"/>
                    <w:left w:w="51" w:type="dxa"/>
                    <w:bottom w:w="0" w:type="dxa"/>
                    <w:right w:w="51" w:type="dxa"/>
                  </w:tcMar>
                  <w:vAlign w:val="center"/>
                </w:tcPr>
                <w:p w14:paraId="26908C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2FC096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19A95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5AF277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81A05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D4174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60BD05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61</w:t>
                  </w:r>
                </w:p>
              </w:tc>
              <w:tc>
                <w:tcPr>
                  <w:tcW w:w="1210" w:type="pct"/>
                  <w:tcBorders>
                    <w:tl2br w:val="nil"/>
                    <w:tr2bl w:val="nil"/>
                  </w:tcBorders>
                  <w:shd w:val="clear" w:color="auto" w:fill="auto"/>
                  <w:noWrap/>
                  <w:tcMar>
                    <w:top w:w="0" w:type="dxa"/>
                    <w:left w:w="51" w:type="dxa"/>
                    <w:bottom w:w="0" w:type="dxa"/>
                    <w:right w:w="51" w:type="dxa"/>
                  </w:tcMar>
                  <w:vAlign w:val="center"/>
                </w:tcPr>
                <w:p w14:paraId="4EE7D97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七水合硫酸镁</w:t>
                  </w:r>
                </w:p>
              </w:tc>
              <w:tc>
                <w:tcPr>
                  <w:tcW w:w="533" w:type="pct"/>
                  <w:tcBorders>
                    <w:tl2br w:val="nil"/>
                    <w:tr2bl w:val="nil"/>
                  </w:tcBorders>
                  <w:shd w:val="clear" w:color="auto" w:fill="auto"/>
                  <w:noWrap/>
                  <w:tcMar>
                    <w:top w:w="0" w:type="dxa"/>
                    <w:left w:w="51" w:type="dxa"/>
                    <w:bottom w:w="0" w:type="dxa"/>
                    <w:right w:w="51" w:type="dxa"/>
                  </w:tcMar>
                  <w:vAlign w:val="center"/>
                </w:tcPr>
                <w:p w14:paraId="0009C8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399E77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BF45D5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ADE9A7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0CFE1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09C98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BB634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62</w:t>
                  </w:r>
                </w:p>
              </w:tc>
              <w:tc>
                <w:tcPr>
                  <w:tcW w:w="1210" w:type="pct"/>
                  <w:tcBorders>
                    <w:tl2br w:val="nil"/>
                    <w:tr2bl w:val="nil"/>
                  </w:tcBorders>
                  <w:shd w:val="clear" w:color="auto" w:fill="auto"/>
                  <w:noWrap/>
                  <w:tcMar>
                    <w:top w:w="0" w:type="dxa"/>
                    <w:left w:w="51" w:type="dxa"/>
                    <w:bottom w:w="0" w:type="dxa"/>
                    <w:right w:w="51" w:type="dxa"/>
                  </w:tcMar>
                  <w:vAlign w:val="center"/>
                </w:tcPr>
                <w:p w14:paraId="1A21CA2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五水合硫代硫酸钠</w:t>
                  </w:r>
                </w:p>
              </w:tc>
              <w:tc>
                <w:tcPr>
                  <w:tcW w:w="533" w:type="pct"/>
                  <w:tcBorders>
                    <w:tl2br w:val="nil"/>
                    <w:tr2bl w:val="nil"/>
                  </w:tcBorders>
                  <w:shd w:val="clear" w:color="auto" w:fill="auto"/>
                  <w:noWrap/>
                  <w:tcMar>
                    <w:top w:w="0" w:type="dxa"/>
                    <w:left w:w="51" w:type="dxa"/>
                    <w:bottom w:w="0" w:type="dxa"/>
                    <w:right w:w="51" w:type="dxa"/>
                  </w:tcMar>
                  <w:vAlign w:val="center"/>
                </w:tcPr>
                <w:p w14:paraId="7750634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453312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2BB477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99974D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0F1AB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22B1E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06F92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w:t>
                  </w:r>
                </w:p>
              </w:tc>
              <w:tc>
                <w:tcPr>
                  <w:tcW w:w="1210" w:type="pct"/>
                  <w:tcBorders>
                    <w:tl2br w:val="nil"/>
                    <w:tr2bl w:val="nil"/>
                  </w:tcBorders>
                  <w:shd w:val="clear" w:color="auto" w:fill="auto"/>
                  <w:noWrap/>
                  <w:tcMar>
                    <w:top w:w="0" w:type="dxa"/>
                    <w:left w:w="51" w:type="dxa"/>
                    <w:bottom w:w="0" w:type="dxa"/>
                    <w:right w:w="51" w:type="dxa"/>
                  </w:tcMar>
                  <w:vAlign w:val="center"/>
                </w:tcPr>
                <w:p w14:paraId="719652D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五水合硫酸铜</w:t>
                  </w:r>
                </w:p>
              </w:tc>
              <w:tc>
                <w:tcPr>
                  <w:tcW w:w="533" w:type="pct"/>
                  <w:tcBorders>
                    <w:tl2br w:val="nil"/>
                    <w:tr2bl w:val="nil"/>
                  </w:tcBorders>
                  <w:shd w:val="clear" w:color="auto" w:fill="auto"/>
                  <w:noWrap/>
                  <w:tcMar>
                    <w:top w:w="0" w:type="dxa"/>
                    <w:left w:w="51" w:type="dxa"/>
                    <w:bottom w:w="0" w:type="dxa"/>
                    <w:right w:w="51" w:type="dxa"/>
                  </w:tcMar>
                  <w:vAlign w:val="center"/>
                </w:tcPr>
                <w:p w14:paraId="4FE4F6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E13E7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7AA8F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5DD806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76579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5AAC9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0032C8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64</w:t>
                  </w:r>
                </w:p>
              </w:tc>
              <w:tc>
                <w:tcPr>
                  <w:tcW w:w="1210" w:type="pct"/>
                  <w:tcBorders>
                    <w:tl2br w:val="nil"/>
                    <w:tr2bl w:val="nil"/>
                  </w:tcBorders>
                  <w:shd w:val="clear" w:color="auto" w:fill="auto"/>
                  <w:noWrap/>
                  <w:tcMar>
                    <w:top w:w="0" w:type="dxa"/>
                    <w:left w:w="51" w:type="dxa"/>
                    <w:bottom w:w="0" w:type="dxa"/>
                    <w:right w:w="51" w:type="dxa"/>
                  </w:tcMar>
                  <w:vAlign w:val="center"/>
                </w:tcPr>
                <w:p w14:paraId="22B4756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二水合氯化亚锡</w:t>
                  </w:r>
                </w:p>
              </w:tc>
              <w:tc>
                <w:tcPr>
                  <w:tcW w:w="533" w:type="pct"/>
                  <w:tcBorders>
                    <w:tl2br w:val="nil"/>
                    <w:tr2bl w:val="nil"/>
                  </w:tcBorders>
                  <w:shd w:val="clear" w:color="auto" w:fill="auto"/>
                  <w:noWrap/>
                  <w:tcMar>
                    <w:top w:w="0" w:type="dxa"/>
                    <w:left w:w="51" w:type="dxa"/>
                    <w:bottom w:w="0" w:type="dxa"/>
                    <w:right w:w="51" w:type="dxa"/>
                  </w:tcMar>
                  <w:vAlign w:val="center"/>
                </w:tcPr>
                <w:p w14:paraId="1C122E3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71F1610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26DB1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6BB7A7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10791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0352A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D1E14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65</w:t>
                  </w:r>
                </w:p>
              </w:tc>
              <w:tc>
                <w:tcPr>
                  <w:tcW w:w="1210" w:type="pct"/>
                  <w:tcBorders>
                    <w:tl2br w:val="nil"/>
                    <w:tr2bl w:val="nil"/>
                  </w:tcBorders>
                  <w:shd w:val="clear" w:color="auto" w:fill="auto"/>
                  <w:noWrap/>
                  <w:tcMar>
                    <w:top w:w="0" w:type="dxa"/>
                    <w:left w:w="51" w:type="dxa"/>
                    <w:bottom w:w="0" w:type="dxa"/>
                    <w:right w:w="51" w:type="dxa"/>
                  </w:tcMar>
                  <w:vAlign w:val="center"/>
                </w:tcPr>
                <w:p w14:paraId="7E8F125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二水合钼酸钠</w:t>
                  </w:r>
                </w:p>
              </w:tc>
              <w:tc>
                <w:tcPr>
                  <w:tcW w:w="533" w:type="pct"/>
                  <w:tcBorders>
                    <w:tl2br w:val="nil"/>
                    <w:tr2bl w:val="nil"/>
                  </w:tcBorders>
                  <w:shd w:val="clear" w:color="auto" w:fill="auto"/>
                  <w:noWrap/>
                  <w:tcMar>
                    <w:top w:w="0" w:type="dxa"/>
                    <w:left w:w="51" w:type="dxa"/>
                    <w:bottom w:w="0" w:type="dxa"/>
                    <w:right w:w="51" w:type="dxa"/>
                  </w:tcMar>
                  <w:vAlign w:val="center"/>
                </w:tcPr>
                <w:p w14:paraId="045790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557C6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C68F2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49E6EB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F8770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995D8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72183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66</w:t>
                  </w:r>
                </w:p>
              </w:tc>
              <w:tc>
                <w:tcPr>
                  <w:tcW w:w="1210" w:type="pct"/>
                  <w:tcBorders>
                    <w:tl2br w:val="nil"/>
                    <w:tr2bl w:val="nil"/>
                  </w:tcBorders>
                  <w:shd w:val="clear" w:color="auto" w:fill="auto"/>
                  <w:noWrap/>
                  <w:tcMar>
                    <w:top w:w="0" w:type="dxa"/>
                    <w:left w:w="51" w:type="dxa"/>
                    <w:bottom w:w="0" w:type="dxa"/>
                    <w:right w:w="51" w:type="dxa"/>
                  </w:tcMar>
                  <w:vAlign w:val="center"/>
                </w:tcPr>
                <w:p w14:paraId="58341BA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二水合氯化钡</w:t>
                  </w:r>
                </w:p>
              </w:tc>
              <w:tc>
                <w:tcPr>
                  <w:tcW w:w="533" w:type="pct"/>
                  <w:tcBorders>
                    <w:tl2br w:val="nil"/>
                    <w:tr2bl w:val="nil"/>
                  </w:tcBorders>
                  <w:shd w:val="clear" w:color="auto" w:fill="auto"/>
                  <w:noWrap/>
                  <w:tcMar>
                    <w:top w:w="0" w:type="dxa"/>
                    <w:left w:w="51" w:type="dxa"/>
                    <w:bottom w:w="0" w:type="dxa"/>
                    <w:right w:w="51" w:type="dxa"/>
                  </w:tcMar>
                  <w:vAlign w:val="center"/>
                </w:tcPr>
                <w:p w14:paraId="207087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B3088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0816A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C98D63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5A1DC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07118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DE9C7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67</w:t>
                  </w:r>
                </w:p>
              </w:tc>
              <w:tc>
                <w:tcPr>
                  <w:tcW w:w="1210" w:type="pct"/>
                  <w:tcBorders>
                    <w:tl2br w:val="nil"/>
                    <w:tr2bl w:val="nil"/>
                  </w:tcBorders>
                  <w:shd w:val="clear" w:color="auto" w:fill="auto"/>
                  <w:noWrap/>
                  <w:tcMar>
                    <w:top w:w="0" w:type="dxa"/>
                    <w:left w:w="51" w:type="dxa"/>
                    <w:bottom w:w="0" w:type="dxa"/>
                    <w:right w:w="51" w:type="dxa"/>
                  </w:tcMar>
                  <w:vAlign w:val="center"/>
                </w:tcPr>
                <w:p w14:paraId="6DCD4E1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一水合柠檬酸</w:t>
                  </w:r>
                </w:p>
              </w:tc>
              <w:tc>
                <w:tcPr>
                  <w:tcW w:w="533" w:type="pct"/>
                  <w:tcBorders>
                    <w:tl2br w:val="nil"/>
                    <w:tr2bl w:val="nil"/>
                  </w:tcBorders>
                  <w:shd w:val="clear" w:color="auto" w:fill="auto"/>
                  <w:noWrap/>
                  <w:tcMar>
                    <w:top w:w="0" w:type="dxa"/>
                    <w:left w:w="51" w:type="dxa"/>
                    <w:bottom w:w="0" w:type="dxa"/>
                    <w:right w:w="51" w:type="dxa"/>
                  </w:tcMar>
                  <w:vAlign w:val="center"/>
                </w:tcPr>
                <w:p w14:paraId="2CD973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5A579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3FA9E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A19CD4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137A49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F4485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FA659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68</w:t>
                  </w:r>
                </w:p>
              </w:tc>
              <w:tc>
                <w:tcPr>
                  <w:tcW w:w="1210" w:type="pct"/>
                  <w:tcBorders>
                    <w:tl2br w:val="nil"/>
                    <w:tr2bl w:val="nil"/>
                  </w:tcBorders>
                  <w:shd w:val="clear" w:color="auto" w:fill="auto"/>
                  <w:noWrap/>
                  <w:tcMar>
                    <w:top w:w="0" w:type="dxa"/>
                    <w:left w:w="51" w:type="dxa"/>
                    <w:bottom w:w="0" w:type="dxa"/>
                    <w:right w:w="51" w:type="dxa"/>
                  </w:tcMar>
                  <w:vAlign w:val="center"/>
                </w:tcPr>
                <w:p w14:paraId="4980942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甲基红钠盐</w:t>
                  </w:r>
                </w:p>
              </w:tc>
              <w:tc>
                <w:tcPr>
                  <w:tcW w:w="533" w:type="pct"/>
                  <w:tcBorders>
                    <w:tl2br w:val="nil"/>
                    <w:tr2bl w:val="nil"/>
                  </w:tcBorders>
                  <w:shd w:val="clear" w:color="auto" w:fill="auto"/>
                  <w:noWrap/>
                  <w:tcMar>
                    <w:top w:w="0" w:type="dxa"/>
                    <w:left w:w="51" w:type="dxa"/>
                    <w:bottom w:w="0" w:type="dxa"/>
                    <w:right w:w="51" w:type="dxa"/>
                  </w:tcMar>
                  <w:vAlign w:val="center"/>
                </w:tcPr>
                <w:p w14:paraId="0A9E1D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6BBC9B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0D747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53361D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2647D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5FCAD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9DF89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69</w:t>
                  </w:r>
                </w:p>
              </w:tc>
              <w:tc>
                <w:tcPr>
                  <w:tcW w:w="1210" w:type="pct"/>
                  <w:tcBorders>
                    <w:tl2br w:val="nil"/>
                    <w:tr2bl w:val="nil"/>
                  </w:tcBorders>
                  <w:shd w:val="clear" w:color="auto" w:fill="auto"/>
                  <w:noWrap/>
                  <w:tcMar>
                    <w:top w:w="0" w:type="dxa"/>
                    <w:left w:w="51" w:type="dxa"/>
                    <w:bottom w:w="0" w:type="dxa"/>
                    <w:right w:w="51" w:type="dxa"/>
                  </w:tcMar>
                  <w:vAlign w:val="center"/>
                </w:tcPr>
                <w:p w14:paraId="5CB00BB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硫酸铝钾</w:t>
                  </w:r>
                </w:p>
              </w:tc>
              <w:tc>
                <w:tcPr>
                  <w:tcW w:w="533" w:type="pct"/>
                  <w:tcBorders>
                    <w:tl2br w:val="nil"/>
                    <w:tr2bl w:val="nil"/>
                  </w:tcBorders>
                  <w:shd w:val="clear" w:color="auto" w:fill="auto"/>
                  <w:noWrap/>
                  <w:tcMar>
                    <w:top w:w="0" w:type="dxa"/>
                    <w:left w:w="51" w:type="dxa"/>
                    <w:bottom w:w="0" w:type="dxa"/>
                    <w:right w:w="51" w:type="dxa"/>
                  </w:tcMar>
                  <w:vAlign w:val="center"/>
                </w:tcPr>
                <w:p w14:paraId="6F97C3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7F78BB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13BF8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302A13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3C3CFC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8547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C2C98B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70</w:t>
                  </w:r>
                </w:p>
              </w:tc>
              <w:tc>
                <w:tcPr>
                  <w:tcW w:w="1210" w:type="pct"/>
                  <w:tcBorders>
                    <w:tl2br w:val="nil"/>
                    <w:tr2bl w:val="nil"/>
                  </w:tcBorders>
                  <w:shd w:val="clear" w:color="auto" w:fill="auto"/>
                  <w:noWrap/>
                  <w:tcMar>
                    <w:top w:w="0" w:type="dxa"/>
                    <w:left w:w="51" w:type="dxa"/>
                    <w:bottom w:w="0" w:type="dxa"/>
                    <w:right w:w="51" w:type="dxa"/>
                  </w:tcMar>
                  <w:vAlign w:val="center"/>
                </w:tcPr>
                <w:p w14:paraId="2414E03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柠檬酸三钠</w:t>
                  </w:r>
                </w:p>
              </w:tc>
              <w:tc>
                <w:tcPr>
                  <w:tcW w:w="533" w:type="pct"/>
                  <w:tcBorders>
                    <w:tl2br w:val="nil"/>
                    <w:tr2bl w:val="nil"/>
                  </w:tcBorders>
                  <w:shd w:val="clear" w:color="auto" w:fill="auto"/>
                  <w:noWrap/>
                  <w:tcMar>
                    <w:top w:w="0" w:type="dxa"/>
                    <w:left w:w="51" w:type="dxa"/>
                    <w:bottom w:w="0" w:type="dxa"/>
                    <w:right w:w="51" w:type="dxa"/>
                  </w:tcMar>
                  <w:vAlign w:val="center"/>
                </w:tcPr>
                <w:p w14:paraId="0245BE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8675E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29B54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2BD3F2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780B81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D4801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2CDF2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71</w:t>
                  </w:r>
                </w:p>
              </w:tc>
              <w:tc>
                <w:tcPr>
                  <w:tcW w:w="1210" w:type="pct"/>
                  <w:tcBorders>
                    <w:tl2br w:val="nil"/>
                    <w:tr2bl w:val="nil"/>
                  </w:tcBorders>
                  <w:shd w:val="clear" w:color="auto" w:fill="auto"/>
                  <w:noWrap/>
                  <w:tcMar>
                    <w:top w:w="0" w:type="dxa"/>
                    <w:left w:w="51" w:type="dxa"/>
                    <w:bottom w:w="0" w:type="dxa"/>
                    <w:right w:w="51" w:type="dxa"/>
                  </w:tcMar>
                  <w:vAlign w:val="center"/>
                </w:tcPr>
                <w:p w14:paraId="672433F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氯化钙</w:t>
                  </w:r>
                </w:p>
              </w:tc>
              <w:tc>
                <w:tcPr>
                  <w:tcW w:w="533" w:type="pct"/>
                  <w:tcBorders>
                    <w:tl2br w:val="nil"/>
                    <w:tr2bl w:val="nil"/>
                  </w:tcBorders>
                  <w:shd w:val="clear" w:color="auto" w:fill="auto"/>
                  <w:noWrap/>
                  <w:tcMar>
                    <w:top w:w="0" w:type="dxa"/>
                    <w:left w:w="51" w:type="dxa"/>
                    <w:bottom w:w="0" w:type="dxa"/>
                    <w:right w:w="51" w:type="dxa"/>
                  </w:tcMar>
                  <w:vAlign w:val="center"/>
                </w:tcPr>
                <w:p w14:paraId="6C5F85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B2AE9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5CD26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E12D54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00E948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941F9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430185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72</w:t>
                  </w:r>
                </w:p>
              </w:tc>
              <w:tc>
                <w:tcPr>
                  <w:tcW w:w="1210" w:type="pct"/>
                  <w:tcBorders>
                    <w:tl2br w:val="nil"/>
                    <w:tr2bl w:val="nil"/>
                  </w:tcBorders>
                  <w:shd w:val="clear" w:color="auto" w:fill="auto"/>
                  <w:noWrap/>
                  <w:tcMar>
                    <w:top w:w="0" w:type="dxa"/>
                    <w:left w:w="51" w:type="dxa"/>
                    <w:bottom w:w="0" w:type="dxa"/>
                    <w:right w:w="51" w:type="dxa"/>
                  </w:tcMar>
                  <w:vAlign w:val="center"/>
                </w:tcPr>
                <w:p w14:paraId="2171C2D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二氮杂菲</w:t>
                  </w:r>
                </w:p>
              </w:tc>
              <w:tc>
                <w:tcPr>
                  <w:tcW w:w="533" w:type="pct"/>
                  <w:tcBorders>
                    <w:tl2br w:val="nil"/>
                    <w:tr2bl w:val="nil"/>
                  </w:tcBorders>
                  <w:shd w:val="clear" w:color="auto" w:fill="auto"/>
                  <w:noWrap/>
                  <w:tcMar>
                    <w:top w:w="0" w:type="dxa"/>
                    <w:left w:w="51" w:type="dxa"/>
                    <w:bottom w:w="0" w:type="dxa"/>
                    <w:right w:w="51" w:type="dxa"/>
                  </w:tcMar>
                  <w:vAlign w:val="center"/>
                </w:tcPr>
                <w:p w14:paraId="0CA3C8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100g</w:t>
                  </w:r>
                </w:p>
              </w:tc>
              <w:tc>
                <w:tcPr>
                  <w:tcW w:w="716" w:type="pct"/>
                  <w:tcBorders>
                    <w:tl2br w:val="nil"/>
                    <w:tr2bl w:val="nil"/>
                  </w:tcBorders>
                  <w:shd w:val="clear" w:color="auto" w:fill="auto"/>
                  <w:noWrap/>
                  <w:tcMar>
                    <w:top w:w="0" w:type="dxa"/>
                    <w:left w:w="51" w:type="dxa"/>
                    <w:bottom w:w="0" w:type="dxa"/>
                    <w:right w:w="51" w:type="dxa"/>
                  </w:tcMar>
                  <w:vAlign w:val="center"/>
                </w:tcPr>
                <w:p w14:paraId="5B8D0E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FEFC8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FA2153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5C1E6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ABB91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0798C9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73</w:t>
                  </w:r>
                </w:p>
              </w:tc>
              <w:tc>
                <w:tcPr>
                  <w:tcW w:w="1210" w:type="pct"/>
                  <w:tcBorders>
                    <w:tl2br w:val="nil"/>
                    <w:tr2bl w:val="nil"/>
                  </w:tcBorders>
                  <w:shd w:val="clear" w:color="auto" w:fill="auto"/>
                  <w:noWrap/>
                  <w:tcMar>
                    <w:top w:w="0" w:type="dxa"/>
                    <w:left w:w="51" w:type="dxa"/>
                    <w:bottom w:w="0" w:type="dxa"/>
                    <w:right w:w="51" w:type="dxa"/>
                  </w:tcMar>
                  <w:vAlign w:val="center"/>
                </w:tcPr>
                <w:p w14:paraId="60C512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六水氯化钴</w:t>
                  </w:r>
                </w:p>
              </w:tc>
              <w:tc>
                <w:tcPr>
                  <w:tcW w:w="533" w:type="pct"/>
                  <w:tcBorders>
                    <w:tl2br w:val="nil"/>
                    <w:tr2bl w:val="nil"/>
                  </w:tcBorders>
                  <w:shd w:val="clear" w:color="auto" w:fill="auto"/>
                  <w:noWrap/>
                  <w:tcMar>
                    <w:top w:w="0" w:type="dxa"/>
                    <w:left w:w="51" w:type="dxa"/>
                    <w:bottom w:w="0" w:type="dxa"/>
                    <w:right w:w="51" w:type="dxa"/>
                  </w:tcMar>
                  <w:vAlign w:val="center"/>
                </w:tcPr>
                <w:p w14:paraId="60098E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22B9D2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48381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9D9831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BA688D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6A508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28AB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74</w:t>
                  </w:r>
                </w:p>
              </w:tc>
              <w:tc>
                <w:tcPr>
                  <w:tcW w:w="1210" w:type="pct"/>
                  <w:tcBorders>
                    <w:tl2br w:val="nil"/>
                    <w:tr2bl w:val="nil"/>
                  </w:tcBorders>
                  <w:shd w:val="clear" w:color="auto" w:fill="auto"/>
                  <w:noWrap/>
                  <w:tcMar>
                    <w:top w:w="0" w:type="dxa"/>
                    <w:left w:w="51" w:type="dxa"/>
                    <w:bottom w:w="0" w:type="dxa"/>
                    <w:right w:w="51" w:type="dxa"/>
                  </w:tcMar>
                  <w:vAlign w:val="center"/>
                </w:tcPr>
                <w:p w14:paraId="38B732E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硫酸肼</w:t>
                  </w:r>
                </w:p>
              </w:tc>
              <w:tc>
                <w:tcPr>
                  <w:tcW w:w="533" w:type="pct"/>
                  <w:tcBorders>
                    <w:tl2br w:val="nil"/>
                    <w:tr2bl w:val="nil"/>
                  </w:tcBorders>
                  <w:shd w:val="clear" w:color="auto" w:fill="auto"/>
                  <w:noWrap/>
                  <w:tcMar>
                    <w:top w:w="0" w:type="dxa"/>
                    <w:left w:w="51" w:type="dxa"/>
                    <w:bottom w:w="0" w:type="dxa"/>
                    <w:right w:w="51" w:type="dxa"/>
                  </w:tcMar>
                  <w:vAlign w:val="center"/>
                </w:tcPr>
                <w:p w14:paraId="4548F9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67D18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2882F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F1F06B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76E301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ACF48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B23FD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75</w:t>
                  </w:r>
                </w:p>
              </w:tc>
              <w:tc>
                <w:tcPr>
                  <w:tcW w:w="1210" w:type="pct"/>
                  <w:tcBorders>
                    <w:tl2br w:val="nil"/>
                    <w:tr2bl w:val="nil"/>
                  </w:tcBorders>
                  <w:shd w:val="clear" w:color="auto" w:fill="auto"/>
                  <w:noWrap/>
                  <w:tcMar>
                    <w:top w:w="0" w:type="dxa"/>
                    <w:left w:w="51" w:type="dxa"/>
                    <w:bottom w:w="0" w:type="dxa"/>
                    <w:right w:w="51" w:type="dxa"/>
                  </w:tcMar>
                  <w:vAlign w:val="center"/>
                </w:tcPr>
                <w:p w14:paraId="233A7E7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硅藻土</w:t>
                  </w:r>
                </w:p>
              </w:tc>
              <w:tc>
                <w:tcPr>
                  <w:tcW w:w="533" w:type="pct"/>
                  <w:tcBorders>
                    <w:tl2br w:val="nil"/>
                    <w:tr2bl w:val="nil"/>
                  </w:tcBorders>
                  <w:shd w:val="clear" w:color="auto" w:fill="auto"/>
                  <w:noWrap/>
                  <w:tcMar>
                    <w:top w:w="0" w:type="dxa"/>
                    <w:left w:w="51" w:type="dxa"/>
                    <w:bottom w:w="0" w:type="dxa"/>
                    <w:right w:w="51" w:type="dxa"/>
                  </w:tcMar>
                  <w:vAlign w:val="center"/>
                </w:tcPr>
                <w:p w14:paraId="676AA55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3F2BC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C8772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297EC7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D99E48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AFD0D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CB7530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76</w:t>
                  </w:r>
                </w:p>
              </w:tc>
              <w:tc>
                <w:tcPr>
                  <w:tcW w:w="1210" w:type="pct"/>
                  <w:tcBorders>
                    <w:tl2br w:val="nil"/>
                    <w:tr2bl w:val="nil"/>
                  </w:tcBorders>
                  <w:shd w:val="clear" w:color="auto" w:fill="auto"/>
                  <w:noWrap/>
                  <w:tcMar>
                    <w:top w:w="0" w:type="dxa"/>
                    <w:left w:w="51" w:type="dxa"/>
                    <w:bottom w:w="0" w:type="dxa"/>
                    <w:right w:w="51" w:type="dxa"/>
                  </w:tcMar>
                  <w:vAlign w:val="center"/>
                </w:tcPr>
                <w:p w14:paraId="226C5CE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二水合EDTA二钠溶液</w:t>
                  </w:r>
                </w:p>
              </w:tc>
              <w:tc>
                <w:tcPr>
                  <w:tcW w:w="533" w:type="pct"/>
                  <w:tcBorders>
                    <w:tl2br w:val="nil"/>
                    <w:tr2bl w:val="nil"/>
                  </w:tcBorders>
                  <w:shd w:val="clear" w:color="auto" w:fill="auto"/>
                  <w:noWrap/>
                  <w:tcMar>
                    <w:top w:w="0" w:type="dxa"/>
                    <w:left w:w="51" w:type="dxa"/>
                    <w:bottom w:w="0" w:type="dxa"/>
                    <w:right w:w="51" w:type="dxa"/>
                  </w:tcMar>
                  <w:vAlign w:val="center"/>
                </w:tcPr>
                <w:p w14:paraId="782904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4784C8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E12BC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A0B02E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516FD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C67E4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C6ED4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77</w:t>
                  </w:r>
                </w:p>
              </w:tc>
              <w:tc>
                <w:tcPr>
                  <w:tcW w:w="1210" w:type="pct"/>
                  <w:tcBorders>
                    <w:tl2br w:val="nil"/>
                    <w:tr2bl w:val="nil"/>
                  </w:tcBorders>
                  <w:shd w:val="clear" w:color="auto" w:fill="auto"/>
                  <w:noWrap/>
                  <w:tcMar>
                    <w:top w:w="0" w:type="dxa"/>
                    <w:left w:w="51" w:type="dxa"/>
                    <w:bottom w:w="0" w:type="dxa"/>
                    <w:right w:w="51" w:type="dxa"/>
                  </w:tcMar>
                  <w:vAlign w:val="center"/>
                </w:tcPr>
                <w:p w14:paraId="19A5401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无水DPD硫酸盐溶液</w:t>
                  </w:r>
                </w:p>
              </w:tc>
              <w:tc>
                <w:tcPr>
                  <w:tcW w:w="533" w:type="pct"/>
                  <w:tcBorders>
                    <w:tl2br w:val="nil"/>
                    <w:tr2bl w:val="nil"/>
                  </w:tcBorders>
                  <w:shd w:val="clear" w:color="auto" w:fill="auto"/>
                  <w:noWrap/>
                  <w:tcMar>
                    <w:top w:w="0" w:type="dxa"/>
                    <w:left w:w="51" w:type="dxa"/>
                    <w:bottom w:w="0" w:type="dxa"/>
                    <w:right w:w="51" w:type="dxa"/>
                  </w:tcMar>
                  <w:vAlign w:val="center"/>
                </w:tcPr>
                <w:p w14:paraId="7C916F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20D38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103A8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1EA2DE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9E0ACD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CEE2B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AA43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78</w:t>
                  </w:r>
                </w:p>
              </w:tc>
              <w:tc>
                <w:tcPr>
                  <w:tcW w:w="1210" w:type="pct"/>
                  <w:tcBorders>
                    <w:tl2br w:val="nil"/>
                    <w:tr2bl w:val="nil"/>
                  </w:tcBorders>
                  <w:shd w:val="clear" w:color="auto" w:fill="auto"/>
                  <w:noWrap/>
                  <w:tcMar>
                    <w:top w:w="0" w:type="dxa"/>
                    <w:left w:w="51" w:type="dxa"/>
                    <w:bottom w:w="0" w:type="dxa"/>
                    <w:right w:w="51" w:type="dxa"/>
                  </w:tcMar>
                  <w:vAlign w:val="center"/>
                </w:tcPr>
                <w:p w14:paraId="2EF41C3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氧化镧</w:t>
                  </w:r>
                </w:p>
              </w:tc>
              <w:tc>
                <w:tcPr>
                  <w:tcW w:w="533" w:type="pct"/>
                  <w:tcBorders>
                    <w:tl2br w:val="nil"/>
                    <w:tr2bl w:val="nil"/>
                  </w:tcBorders>
                  <w:shd w:val="clear" w:color="auto" w:fill="auto"/>
                  <w:noWrap/>
                  <w:tcMar>
                    <w:top w:w="0" w:type="dxa"/>
                    <w:left w:w="51" w:type="dxa"/>
                    <w:bottom w:w="0" w:type="dxa"/>
                    <w:right w:w="51" w:type="dxa"/>
                  </w:tcMar>
                  <w:vAlign w:val="center"/>
                </w:tcPr>
                <w:p w14:paraId="637FF8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5253B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55A1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B57BB9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84025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7F734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B77FD1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79</w:t>
                  </w:r>
                </w:p>
              </w:tc>
              <w:tc>
                <w:tcPr>
                  <w:tcW w:w="1210" w:type="pct"/>
                  <w:tcBorders>
                    <w:tl2br w:val="nil"/>
                    <w:tr2bl w:val="nil"/>
                  </w:tcBorders>
                  <w:shd w:val="clear" w:color="auto" w:fill="auto"/>
                  <w:noWrap/>
                  <w:tcMar>
                    <w:top w:w="0" w:type="dxa"/>
                    <w:left w:w="51" w:type="dxa"/>
                    <w:bottom w:w="0" w:type="dxa"/>
                    <w:right w:w="51" w:type="dxa"/>
                  </w:tcMar>
                  <w:vAlign w:val="center"/>
                </w:tcPr>
                <w:p w14:paraId="320601B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氧化镁</w:t>
                  </w:r>
                </w:p>
              </w:tc>
              <w:tc>
                <w:tcPr>
                  <w:tcW w:w="533" w:type="pct"/>
                  <w:tcBorders>
                    <w:tl2br w:val="nil"/>
                    <w:tr2bl w:val="nil"/>
                  </w:tcBorders>
                  <w:shd w:val="clear" w:color="auto" w:fill="auto"/>
                  <w:noWrap/>
                  <w:tcMar>
                    <w:top w:w="0" w:type="dxa"/>
                    <w:left w:w="51" w:type="dxa"/>
                    <w:bottom w:w="0" w:type="dxa"/>
                    <w:right w:w="51" w:type="dxa"/>
                  </w:tcMar>
                  <w:vAlign w:val="center"/>
                </w:tcPr>
                <w:p w14:paraId="081CCD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55273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2425C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36A89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1FA9DD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2FDF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F86CC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w:t>
                  </w:r>
                </w:p>
              </w:tc>
              <w:tc>
                <w:tcPr>
                  <w:tcW w:w="1210" w:type="pct"/>
                  <w:tcBorders>
                    <w:tl2br w:val="nil"/>
                    <w:tr2bl w:val="nil"/>
                  </w:tcBorders>
                  <w:shd w:val="clear" w:color="auto" w:fill="auto"/>
                  <w:noWrap/>
                  <w:tcMar>
                    <w:top w:w="0" w:type="dxa"/>
                    <w:left w:w="51" w:type="dxa"/>
                    <w:bottom w:w="0" w:type="dxa"/>
                    <w:right w:w="51" w:type="dxa"/>
                  </w:tcMar>
                  <w:vAlign w:val="center"/>
                </w:tcPr>
                <w:p w14:paraId="4FD6173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碳酸镁</w:t>
                  </w:r>
                </w:p>
              </w:tc>
              <w:tc>
                <w:tcPr>
                  <w:tcW w:w="533" w:type="pct"/>
                  <w:tcBorders>
                    <w:tl2br w:val="nil"/>
                    <w:tr2bl w:val="nil"/>
                  </w:tcBorders>
                  <w:shd w:val="clear" w:color="auto" w:fill="auto"/>
                  <w:noWrap/>
                  <w:tcMar>
                    <w:top w:w="0" w:type="dxa"/>
                    <w:left w:w="51" w:type="dxa"/>
                    <w:bottom w:w="0" w:type="dxa"/>
                    <w:right w:w="51" w:type="dxa"/>
                  </w:tcMar>
                  <w:vAlign w:val="center"/>
                </w:tcPr>
                <w:p w14:paraId="58A252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6DA0D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8E803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00A67E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E746F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44D48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10A308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81</w:t>
                  </w:r>
                </w:p>
              </w:tc>
              <w:tc>
                <w:tcPr>
                  <w:tcW w:w="1210" w:type="pct"/>
                  <w:tcBorders>
                    <w:tl2br w:val="nil"/>
                    <w:tr2bl w:val="nil"/>
                  </w:tcBorders>
                  <w:shd w:val="clear" w:color="auto" w:fill="auto"/>
                  <w:noWrap/>
                  <w:tcMar>
                    <w:top w:w="0" w:type="dxa"/>
                    <w:left w:w="51" w:type="dxa"/>
                    <w:bottom w:w="0" w:type="dxa"/>
                    <w:right w:w="51" w:type="dxa"/>
                  </w:tcMar>
                  <w:vAlign w:val="center"/>
                </w:tcPr>
                <w:p w14:paraId="2088FBD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硫脲</w:t>
                  </w:r>
                </w:p>
              </w:tc>
              <w:tc>
                <w:tcPr>
                  <w:tcW w:w="533" w:type="pct"/>
                  <w:tcBorders>
                    <w:tl2br w:val="nil"/>
                    <w:tr2bl w:val="nil"/>
                  </w:tcBorders>
                  <w:shd w:val="clear" w:color="auto" w:fill="auto"/>
                  <w:noWrap/>
                  <w:tcMar>
                    <w:top w:w="0" w:type="dxa"/>
                    <w:left w:w="51" w:type="dxa"/>
                    <w:bottom w:w="0" w:type="dxa"/>
                    <w:right w:w="51" w:type="dxa"/>
                  </w:tcMar>
                  <w:vAlign w:val="center"/>
                </w:tcPr>
                <w:p w14:paraId="344407F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95725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BCAA5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C17D52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5F9FE7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AE735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C21074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82</w:t>
                  </w:r>
                </w:p>
              </w:tc>
              <w:tc>
                <w:tcPr>
                  <w:tcW w:w="1210" w:type="pct"/>
                  <w:tcBorders>
                    <w:tl2br w:val="nil"/>
                    <w:tr2bl w:val="nil"/>
                  </w:tcBorders>
                  <w:shd w:val="clear" w:color="auto" w:fill="auto"/>
                  <w:noWrap/>
                  <w:tcMar>
                    <w:top w:w="0" w:type="dxa"/>
                    <w:left w:w="51" w:type="dxa"/>
                    <w:bottom w:w="0" w:type="dxa"/>
                    <w:right w:w="51" w:type="dxa"/>
                  </w:tcMar>
                  <w:vAlign w:val="center"/>
                </w:tcPr>
                <w:p w14:paraId="1E47A26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乙酰丙酮</w:t>
                  </w:r>
                </w:p>
              </w:tc>
              <w:tc>
                <w:tcPr>
                  <w:tcW w:w="533" w:type="pct"/>
                  <w:tcBorders>
                    <w:tl2br w:val="nil"/>
                    <w:tr2bl w:val="nil"/>
                  </w:tcBorders>
                  <w:shd w:val="clear" w:color="auto" w:fill="auto"/>
                  <w:noWrap/>
                  <w:tcMar>
                    <w:top w:w="0" w:type="dxa"/>
                    <w:left w:w="51" w:type="dxa"/>
                    <w:bottom w:w="0" w:type="dxa"/>
                    <w:right w:w="51" w:type="dxa"/>
                  </w:tcMar>
                  <w:vAlign w:val="center"/>
                </w:tcPr>
                <w:p w14:paraId="47808AE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1629B5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EA0A8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D5469B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68DB95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80A65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9D82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83</w:t>
                  </w:r>
                </w:p>
              </w:tc>
              <w:tc>
                <w:tcPr>
                  <w:tcW w:w="1210" w:type="pct"/>
                  <w:tcBorders>
                    <w:tl2br w:val="nil"/>
                    <w:tr2bl w:val="nil"/>
                  </w:tcBorders>
                  <w:shd w:val="clear" w:color="auto" w:fill="auto"/>
                  <w:noWrap/>
                  <w:tcMar>
                    <w:top w:w="0" w:type="dxa"/>
                    <w:left w:w="51" w:type="dxa"/>
                    <w:bottom w:w="0" w:type="dxa"/>
                    <w:right w:w="51" w:type="dxa"/>
                  </w:tcMar>
                  <w:vAlign w:val="center"/>
                </w:tcPr>
                <w:p w14:paraId="70F8C9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玻璃棉</w:t>
                  </w:r>
                </w:p>
              </w:tc>
              <w:tc>
                <w:tcPr>
                  <w:tcW w:w="533" w:type="pct"/>
                  <w:tcBorders>
                    <w:tl2br w:val="nil"/>
                    <w:tr2bl w:val="nil"/>
                  </w:tcBorders>
                  <w:shd w:val="clear" w:color="auto" w:fill="auto"/>
                  <w:noWrap/>
                  <w:tcMar>
                    <w:top w:w="0" w:type="dxa"/>
                    <w:left w:w="51" w:type="dxa"/>
                    <w:bottom w:w="0" w:type="dxa"/>
                    <w:right w:w="51" w:type="dxa"/>
                  </w:tcMar>
                  <w:vAlign w:val="center"/>
                </w:tcPr>
                <w:p w14:paraId="67A16F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154A26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5833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5F0CA5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E45D2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210B6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74662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84</w:t>
                  </w:r>
                </w:p>
              </w:tc>
              <w:tc>
                <w:tcPr>
                  <w:tcW w:w="1210" w:type="pct"/>
                  <w:tcBorders>
                    <w:tl2br w:val="nil"/>
                    <w:tr2bl w:val="nil"/>
                  </w:tcBorders>
                  <w:shd w:val="clear" w:color="auto" w:fill="auto"/>
                  <w:noWrap/>
                  <w:tcMar>
                    <w:top w:w="0" w:type="dxa"/>
                    <w:left w:w="51" w:type="dxa"/>
                    <w:bottom w:w="0" w:type="dxa"/>
                    <w:right w:w="51" w:type="dxa"/>
                  </w:tcMar>
                  <w:vAlign w:val="center"/>
                </w:tcPr>
                <w:p w14:paraId="07851FD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AHMT溶液</w:t>
                  </w:r>
                </w:p>
              </w:tc>
              <w:tc>
                <w:tcPr>
                  <w:tcW w:w="533" w:type="pct"/>
                  <w:tcBorders>
                    <w:tl2br w:val="nil"/>
                    <w:tr2bl w:val="nil"/>
                  </w:tcBorders>
                  <w:shd w:val="clear" w:color="auto" w:fill="auto"/>
                  <w:noWrap/>
                  <w:tcMar>
                    <w:top w:w="0" w:type="dxa"/>
                    <w:left w:w="51" w:type="dxa"/>
                    <w:bottom w:w="0" w:type="dxa"/>
                    <w:right w:w="51" w:type="dxa"/>
                  </w:tcMar>
                  <w:vAlign w:val="center"/>
                </w:tcPr>
                <w:p w14:paraId="49E67E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C5531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276F3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66BB3A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3D6EA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8944C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3BEDB7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85</w:t>
                  </w:r>
                </w:p>
              </w:tc>
              <w:tc>
                <w:tcPr>
                  <w:tcW w:w="1210" w:type="pct"/>
                  <w:tcBorders>
                    <w:tl2br w:val="nil"/>
                    <w:tr2bl w:val="nil"/>
                  </w:tcBorders>
                  <w:shd w:val="clear" w:color="auto" w:fill="auto"/>
                  <w:noWrap/>
                  <w:tcMar>
                    <w:top w:w="0" w:type="dxa"/>
                    <w:left w:w="51" w:type="dxa"/>
                    <w:bottom w:w="0" w:type="dxa"/>
                    <w:right w:w="51" w:type="dxa"/>
                  </w:tcMar>
                  <w:vAlign w:val="center"/>
                </w:tcPr>
                <w:p w14:paraId="34748FC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磷酸氢二钾</w:t>
                  </w:r>
                </w:p>
              </w:tc>
              <w:tc>
                <w:tcPr>
                  <w:tcW w:w="533" w:type="pct"/>
                  <w:tcBorders>
                    <w:tl2br w:val="nil"/>
                    <w:tr2bl w:val="nil"/>
                  </w:tcBorders>
                  <w:shd w:val="clear" w:color="auto" w:fill="auto"/>
                  <w:noWrap/>
                  <w:tcMar>
                    <w:top w:w="0" w:type="dxa"/>
                    <w:left w:w="51" w:type="dxa"/>
                    <w:bottom w:w="0" w:type="dxa"/>
                    <w:right w:w="51" w:type="dxa"/>
                  </w:tcMar>
                  <w:vAlign w:val="center"/>
                </w:tcPr>
                <w:p w14:paraId="63670A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CCB7F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A683C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BE0F9A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5ED869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60E57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361F05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86</w:t>
                  </w:r>
                </w:p>
              </w:tc>
              <w:tc>
                <w:tcPr>
                  <w:tcW w:w="1210" w:type="pct"/>
                  <w:tcBorders>
                    <w:tl2br w:val="nil"/>
                    <w:tr2bl w:val="nil"/>
                  </w:tcBorders>
                  <w:shd w:val="clear" w:color="auto" w:fill="auto"/>
                  <w:noWrap/>
                  <w:tcMar>
                    <w:top w:w="0" w:type="dxa"/>
                    <w:left w:w="51" w:type="dxa"/>
                    <w:bottom w:w="0" w:type="dxa"/>
                    <w:right w:w="51" w:type="dxa"/>
                  </w:tcMar>
                  <w:vAlign w:val="center"/>
                </w:tcPr>
                <w:p w14:paraId="7B92594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结晶紫</w:t>
                  </w:r>
                </w:p>
              </w:tc>
              <w:tc>
                <w:tcPr>
                  <w:tcW w:w="533" w:type="pct"/>
                  <w:tcBorders>
                    <w:tl2br w:val="nil"/>
                    <w:tr2bl w:val="nil"/>
                  </w:tcBorders>
                  <w:shd w:val="clear" w:color="auto" w:fill="auto"/>
                  <w:noWrap/>
                  <w:tcMar>
                    <w:top w:w="0" w:type="dxa"/>
                    <w:left w:w="51" w:type="dxa"/>
                    <w:bottom w:w="0" w:type="dxa"/>
                    <w:right w:w="51" w:type="dxa"/>
                  </w:tcMar>
                  <w:vAlign w:val="center"/>
                </w:tcPr>
                <w:p w14:paraId="3974BB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5g</w:t>
                  </w:r>
                </w:p>
              </w:tc>
              <w:tc>
                <w:tcPr>
                  <w:tcW w:w="716" w:type="pct"/>
                  <w:tcBorders>
                    <w:tl2br w:val="nil"/>
                    <w:tr2bl w:val="nil"/>
                  </w:tcBorders>
                  <w:shd w:val="clear" w:color="auto" w:fill="auto"/>
                  <w:noWrap/>
                  <w:tcMar>
                    <w:top w:w="0" w:type="dxa"/>
                    <w:left w:w="51" w:type="dxa"/>
                    <w:bottom w:w="0" w:type="dxa"/>
                    <w:right w:w="51" w:type="dxa"/>
                  </w:tcMar>
                  <w:vAlign w:val="center"/>
                </w:tcPr>
                <w:p w14:paraId="72F161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0A053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00E3D5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0A632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1A329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73C25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87</w:t>
                  </w:r>
                </w:p>
              </w:tc>
              <w:tc>
                <w:tcPr>
                  <w:tcW w:w="1210" w:type="pct"/>
                  <w:tcBorders>
                    <w:tl2br w:val="nil"/>
                    <w:tr2bl w:val="nil"/>
                  </w:tcBorders>
                  <w:shd w:val="clear" w:color="auto" w:fill="auto"/>
                  <w:noWrap/>
                  <w:tcMar>
                    <w:top w:w="0" w:type="dxa"/>
                    <w:left w:w="51" w:type="dxa"/>
                    <w:bottom w:w="0" w:type="dxa"/>
                    <w:right w:w="51" w:type="dxa"/>
                  </w:tcMar>
                  <w:vAlign w:val="center"/>
                </w:tcPr>
                <w:p w14:paraId="56E7A53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草酸铵</w:t>
                  </w:r>
                </w:p>
              </w:tc>
              <w:tc>
                <w:tcPr>
                  <w:tcW w:w="533" w:type="pct"/>
                  <w:tcBorders>
                    <w:tl2br w:val="nil"/>
                    <w:tr2bl w:val="nil"/>
                  </w:tcBorders>
                  <w:shd w:val="clear" w:color="auto" w:fill="auto"/>
                  <w:noWrap/>
                  <w:tcMar>
                    <w:top w:w="0" w:type="dxa"/>
                    <w:left w:w="51" w:type="dxa"/>
                    <w:bottom w:w="0" w:type="dxa"/>
                    <w:right w:w="51" w:type="dxa"/>
                  </w:tcMar>
                  <w:vAlign w:val="center"/>
                </w:tcPr>
                <w:p w14:paraId="4CB335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AE1AF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E1A18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544125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BAFE75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AD367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BF6F4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88</w:t>
                  </w:r>
                </w:p>
              </w:tc>
              <w:tc>
                <w:tcPr>
                  <w:tcW w:w="1210" w:type="pct"/>
                  <w:tcBorders>
                    <w:tl2br w:val="nil"/>
                    <w:tr2bl w:val="nil"/>
                  </w:tcBorders>
                  <w:shd w:val="clear" w:color="auto" w:fill="auto"/>
                  <w:noWrap/>
                  <w:tcMar>
                    <w:top w:w="0" w:type="dxa"/>
                    <w:left w:w="51" w:type="dxa"/>
                    <w:bottom w:w="0" w:type="dxa"/>
                    <w:right w:w="51" w:type="dxa"/>
                  </w:tcMar>
                  <w:vAlign w:val="center"/>
                </w:tcPr>
                <w:p w14:paraId="448D5A4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草酸钛钾</w:t>
                  </w:r>
                </w:p>
              </w:tc>
              <w:tc>
                <w:tcPr>
                  <w:tcW w:w="533" w:type="pct"/>
                  <w:tcBorders>
                    <w:tl2br w:val="nil"/>
                    <w:tr2bl w:val="nil"/>
                  </w:tcBorders>
                  <w:shd w:val="clear" w:color="auto" w:fill="auto"/>
                  <w:noWrap/>
                  <w:tcMar>
                    <w:top w:w="0" w:type="dxa"/>
                    <w:left w:w="51" w:type="dxa"/>
                    <w:bottom w:w="0" w:type="dxa"/>
                    <w:right w:w="51" w:type="dxa"/>
                  </w:tcMar>
                  <w:vAlign w:val="center"/>
                </w:tcPr>
                <w:p w14:paraId="233974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05200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A46AE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C315D7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8295DE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FBA08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9427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89</w:t>
                  </w:r>
                </w:p>
              </w:tc>
              <w:tc>
                <w:tcPr>
                  <w:tcW w:w="1210" w:type="pct"/>
                  <w:tcBorders>
                    <w:tl2br w:val="nil"/>
                    <w:tr2bl w:val="nil"/>
                  </w:tcBorders>
                  <w:shd w:val="clear" w:color="auto" w:fill="auto"/>
                  <w:noWrap/>
                  <w:tcMar>
                    <w:top w:w="0" w:type="dxa"/>
                    <w:left w:w="51" w:type="dxa"/>
                    <w:bottom w:w="0" w:type="dxa"/>
                    <w:right w:w="51" w:type="dxa"/>
                  </w:tcMar>
                  <w:vAlign w:val="center"/>
                </w:tcPr>
                <w:p w14:paraId="60413E1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沙黄</w:t>
                  </w:r>
                </w:p>
              </w:tc>
              <w:tc>
                <w:tcPr>
                  <w:tcW w:w="533" w:type="pct"/>
                  <w:tcBorders>
                    <w:tl2br w:val="nil"/>
                    <w:tr2bl w:val="nil"/>
                  </w:tcBorders>
                  <w:shd w:val="clear" w:color="auto" w:fill="auto"/>
                  <w:noWrap/>
                  <w:tcMar>
                    <w:top w:w="0" w:type="dxa"/>
                    <w:left w:w="51" w:type="dxa"/>
                    <w:bottom w:w="0" w:type="dxa"/>
                    <w:right w:w="51" w:type="dxa"/>
                  </w:tcMar>
                  <w:vAlign w:val="center"/>
                </w:tcPr>
                <w:p w14:paraId="01934A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00mL</w:t>
                  </w:r>
                </w:p>
              </w:tc>
              <w:tc>
                <w:tcPr>
                  <w:tcW w:w="716" w:type="pct"/>
                  <w:tcBorders>
                    <w:tl2br w:val="nil"/>
                    <w:tr2bl w:val="nil"/>
                  </w:tcBorders>
                  <w:shd w:val="clear" w:color="auto" w:fill="auto"/>
                  <w:noWrap/>
                  <w:tcMar>
                    <w:top w:w="0" w:type="dxa"/>
                    <w:left w:w="51" w:type="dxa"/>
                    <w:bottom w:w="0" w:type="dxa"/>
                    <w:right w:w="51" w:type="dxa"/>
                  </w:tcMar>
                  <w:vAlign w:val="center"/>
                </w:tcPr>
                <w:p w14:paraId="77A59B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E3360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3DC99E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E756E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85450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0B202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90</w:t>
                  </w:r>
                </w:p>
              </w:tc>
              <w:tc>
                <w:tcPr>
                  <w:tcW w:w="1210" w:type="pct"/>
                  <w:tcBorders>
                    <w:tl2br w:val="nil"/>
                    <w:tr2bl w:val="nil"/>
                  </w:tcBorders>
                  <w:shd w:val="clear" w:color="auto" w:fill="auto"/>
                  <w:noWrap/>
                  <w:tcMar>
                    <w:top w:w="0" w:type="dxa"/>
                    <w:left w:w="51" w:type="dxa"/>
                    <w:bottom w:w="0" w:type="dxa"/>
                    <w:right w:w="51" w:type="dxa"/>
                  </w:tcMar>
                  <w:vAlign w:val="center"/>
                </w:tcPr>
                <w:p w14:paraId="4CE4BF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二氨基萘</w:t>
                  </w:r>
                </w:p>
              </w:tc>
              <w:tc>
                <w:tcPr>
                  <w:tcW w:w="533" w:type="pct"/>
                  <w:tcBorders>
                    <w:tl2br w:val="nil"/>
                    <w:tr2bl w:val="nil"/>
                  </w:tcBorders>
                  <w:shd w:val="clear" w:color="auto" w:fill="auto"/>
                  <w:noWrap/>
                  <w:tcMar>
                    <w:top w:w="0" w:type="dxa"/>
                    <w:left w:w="51" w:type="dxa"/>
                    <w:bottom w:w="0" w:type="dxa"/>
                    <w:right w:w="51" w:type="dxa"/>
                  </w:tcMar>
                  <w:vAlign w:val="center"/>
                </w:tcPr>
                <w:p w14:paraId="7FF152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5g</w:t>
                  </w:r>
                </w:p>
              </w:tc>
              <w:tc>
                <w:tcPr>
                  <w:tcW w:w="716" w:type="pct"/>
                  <w:tcBorders>
                    <w:tl2br w:val="nil"/>
                    <w:tr2bl w:val="nil"/>
                  </w:tcBorders>
                  <w:shd w:val="clear" w:color="auto" w:fill="auto"/>
                  <w:noWrap/>
                  <w:tcMar>
                    <w:top w:w="0" w:type="dxa"/>
                    <w:left w:w="51" w:type="dxa"/>
                    <w:bottom w:w="0" w:type="dxa"/>
                    <w:right w:w="51" w:type="dxa"/>
                  </w:tcMar>
                  <w:vAlign w:val="center"/>
                </w:tcPr>
                <w:p w14:paraId="04CDF1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DDB69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975054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86134C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FAE0A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C68F45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91</w:t>
                  </w:r>
                </w:p>
              </w:tc>
              <w:tc>
                <w:tcPr>
                  <w:tcW w:w="1210" w:type="pct"/>
                  <w:tcBorders>
                    <w:tl2br w:val="nil"/>
                    <w:tr2bl w:val="nil"/>
                  </w:tcBorders>
                  <w:shd w:val="clear" w:color="auto" w:fill="auto"/>
                  <w:noWrap/>
                  <w:tcMar>
                    <w:top w:w="0" w:type="dxa"/>
                    <w:left w:w="51" w:type="dxa"/>
                    <w:bottom w:w="0" w:type="dxa"/>
                    <w:right w:w="51" w:type="dxa"/>
                  </w:tcMar>
                  <w:vAlign w:val="center"/>
                </w:tcPr>
                <w:p w14:paraId="38CB18C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硫酸铈</w:t>
                  </w:r>
                </w:p>
              </w:tc>
              <w:tc>
                <w:tcPr>
                  <w:tcW w:w="533" w:type="pct"/>
                  <w:tcBorders>
                    <w:tl2br w:val="nil"/>
                    <w:tr2bl w:val="nil"/>
                  </w:tcBorders>
                  <w:shd w:val="clear" w:color="auto" w:fill="auto"/>
                  <w:noWrap/>
                  <w:tcMar>
                    <w:top w:w="0" w:type="dxa"/>
                    <w:left w:w="51" w:type="dxa"/>
                    <w:bottom w:w="0" w:type="dxa"/>
                    <w:right w:w="51" w:type="dxa"/>
                  </w:tcMar>
                  <w:vAlign w:val="center"/>
                </w:tcPr>
                <w:p w14:paraId="15D19C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969B8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BD030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A45301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B00ED0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6348E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3DC09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92</w:t>
                  </w:r>
                </w:p>
              </w:tc>
              <w:tc>
                <w:tcPr>
                  <w:tcW w:w="1210" w:type="pct"/>
                  <w:tcBorders>
                    <w:tl2br w:val="nil"/>
                    <w:tr2bl w:val="nil"/>
                  </w:tcBorders>
                  <w:shd w:val="clear" w:color="auto" w:fill="auto"/>
                  <w:noWrap/>
                  <w:tcMar>
                    <w:top w:w="0" w:type="dxa"/>
                    <w:left w:w="51" w:type="dxa"/>
                    <w:bottom w:w="0" w:type="dxa"/>
                    <w:right w:w="51" w:type="dxa"/>
                  </w:tcMar>
                  <w:vAlign w:val="center"/>
                </w:tcPr>
                <w:p w14:paraId="2B2A228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硫酸铜</w:t>
                  </w:r>
                </w:p>
              </w:tc>
              <w:tc>
                <w:tcPr>
                  <w:tcW w:w="533" w:type="pct"/>
                  <w:tcBorders>
                    <w:tl2br w:val="nil"/>
                    <w:tr2bl w:val="nil"/>
                  </w:tcBorders>
                  <w:shd w:val="clear" w:color="auto" w:fill="auto"/>
                  <w:noWrap/>
                  <w:tcMar>
                    <w:top w:w="0" w:type="dxa"/>
                    <w:left w:w="51" w:type="dxa"/>
                    <w:bottom w:w="0" w:type="dxa"/>
                    <w:right w:w="51" w:type="dxa"/>
                  </w:tcMar>
                  <w:vAlign w:val="center"/>
                </w:tcPr>
                <w:p w14:paraId="4E8856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B487E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F53DB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683912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D96E90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7B851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98D6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93</w:t>
                  </w:r>
                </w:p>
              </w:tc>
              <w:tc>
                <w:tcPr>
                  <w:tcW w:w="1210" w:type="pct"/>
                  <w:tcBorders>
                    <w:tl2br w:val="nil"/>
                    <w:tr2bl w:val="nil"/>
                  </w:tcBorders>
                  <w:shd w:val="clear" w:color="auto" w:fill="auto"/>
                  <w:noWrap/>
                  <w:tcMar>
                    <w:top w:w="0" w:type="dxa"/>
                    <w:left w:w="51" w:type="dxa"/>
                    <w:bottom w:w="0" w:type="dxa"/>
                    <w:right w:w="51" w:type="dxa"/>
                  </w:tcMar>
                  <w:vAlign w:val="center"/>
                </w:tcPr>
                <w:p w14:paraId="5762E6D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铂-钴标准溶液</w:t>
                  </w:r>
                </w:p>
              </w:tc>
              <w:tc>
                <w:tcPr>
                  <w:tcW w:w="533" w:type="pct"/>
                  <w:tcBorders>
                    <w:tl2br w:val="nil"/>
                    <w:tr2bl w:val="nil"/>
                  </w:tcBorders>
                  <w:shd w:val="clear" w:color="auto" w:fill="auto"/>
                  <w:noWrap/>
                  <w:tcMar>
                    <w:top w:w="0" w:type="dxa"/>
                    <w:left w:w="51" w:type="dxa"/>
                    <w:bottom w:w="0" w:type="dxa"/>
                    <w:right w:w="51" w:type="dxa"/>
                  </w:tcMar>
                  <w:vAlign w:val="center"/>
                </w:tcPr>
                <w:p w14:paraId="652DD0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7522BA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5E24D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2515D2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F9FEF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3D148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26913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94</w:t>
                  </w:r>
                </w:p>
              </w:tc>
              <w:tc>
                <w:tcPr>
                  <w:tcW w:w="1210" w:type="pct"/>
                  <w:tcBorders>
                    <w:tl2br w:val="nil"/>
                    <w:tr2bl w:val="nil"/>
                  </w:tcBorders>
                  <w:shd w:val="clear" w:color="auto" w:fill="auto"/>
                  <w:noWrap/>
                  <w:tcMar>
                    <w:top w:w="0" w:type="dxa"/>
                    <w:left w:w="51" w:type="dxa"/>
                    <w:bottom w:w="0" w:type="dxa"/>
                    <w:right w:w="51" w:type="dxa"/>
                  </w:tcMar>
                  <w:vAlign w:val="center"/>
                </w:tcPr>
                <w:p w14:paraId="4306A17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姜黄素</w:t>
                  </w:r>
                </w:p>
              </w:tc>
              <w:tc>
                <w:tcPr>
                  <w:tcW w:w="533" w:type="pct"/>
                  <w:tcBorders>
                    <w:tl2br w:val="nil"/>
                    <w:tr2bl w:val="nil"/>
                  </w:tcBorders>
                  <w:shd w:val="clear" w:color="auto" w:fill="auto"/>
                  <w:noWrap/>
                  <w:tcMar>
                    <w:top w:w="0" w:type="dxa"/>
                    <w:left w:w="51" w:type="dxa"/>
                    <w:bottom w:w="0" w:type="dxa"/>
                    <w:right w:w="51" w:type="dxa"/>
                  </w:tcMar>
                  <w:vAlign w:val="center"/>
                </w:tcPr>
                <w:p w14:paraId="062F4F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A4256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DCA96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3B494A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BB7CC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90452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10A93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95</w:t>
                  </w:r>
                </w:p>
              </w:tc>
              <w:tc>
                <w:tcPr>
                  <w:tcW w:w="1210" w:type="pct"/>
                  <w:tcBorders>
                    <w:tl2br w:val="nil"/>
                    <w:tr2bl w:val="nil"/>
                  </w:tcBorders>
                  <w:shd w:val="clear" w:color="auto" w:fill="auto"/>
                  <w:noWrap/>
                  <w:tcMar>
                    <w:top w:w="0" w:type="dxa"/>
                    <w:left w:w="51" w:type="dxa"/>
                    <w:bottom w:w="0" w:type="dxa"/>
                    <w:right w:w="51" w:type="dxa"/>
                  </w:tcMar>
                  <w:vAlign w:val="center"/>
                </w:tcPr>
                <w:p w14:paraId="43B22D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w:t>
                  </w:r>
                </w:p>
              </w:tc>
              <w:tc>
                <w:tcPr>
                  <w:tcW w:w="533" w:type="pct"/>
                  <w:tcBorders>
                    <w:tl2br w:val="nil"/>
                    <w:tr2bl w:val="nil"/>
                  </w:tcBorders>
                  <w:shd w:val="clear" w:color="auto" w:fill="auto"/>
                  <w:noWrap/>
                  <w:tcMar>
                    <w:top w:w="0" w:type="dxa"/>
                    <w:left w:w="51" w:type="dxa"/>
                    <w:bottom w:w="0" w:type="dxa"/>
                    <w:right w:w="51" w:type="dxa"/>
                  </w:tcMar>
                  <w:vAlign w:val="center"/>
                </w:tcPr>
                <w:p w14:paraId="0F005A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5454F2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F4407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240BD0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8E5A76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BEB88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16A802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96</w:t>
                  </w:r>
                </w:p>
              </w:tc>
              <w:tc>
                <w:tcPr>
                  <w:tcW w:w="1210" w:type="pct"/>
                  <w:tcBorders>
                    <w:tl2br w:val="nil"/>
                    <w:tr2bl w:val="nil"/>
                  </w:tcBorders>
                  <w:shd w:val="clear" w:color="auto" w:fill="auto"/>
                  <w:noWrap/>
                  <w:tcMar>
                    <w:top w:w="0" w:type="dxa"/>
                    <w:left w:w="51" w:type="dxa"/>
                    <w:bottom w:w="0" w:type="dxa"/>
                    <w:right w:w="51" w:type="dxa"/>
                  </w:tcMar>
                  <w:vAlign w:val="center"/>
                </w:tcPr>
                <w:p w14:paraId="2884622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铜铁试剂</w:t>
                  </w:r>
                </w:p>
              </w:tc>
              <w:tc>
                <w:tcPr>
                  <w:tcW w:w="533" w:type="pct"/>
                  <w:tcBorders>
                    <w:tl2br w:val="nil"/>
                    <w:tr2bl w:val="nil"/>
                  </w:tcBorders>
                  <w:shd w:val="clear" w:color="auto" w:fill="auto"/>
                  <w:noWrap/>
                  <w:tcMar>
                    <w:top w:w="0" w:type="dxa"/>
                    <w:left w:w="51" w:type="dxa"/>
                    <w:bottom w:w="0" w:type="dxa"/>
                    <w:right w:w="51" w:type="dxa"/>
                  </w:tcMar>
                  <w:vAlign w:val="center"/>
                </w:tcPr>
                <w:p w14:paraId="3902555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FDB37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4F868D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629C79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145229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BC238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638D19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97</w:t>
                  </w:r>
                </w:p>
              </w:tc>
              <w:tc>
                <w:tcPr>
                  <w:tcW w:w="1210" w:type="pct"/>
                  <w:tcBorders>
                    <w:tl2br w:val="nil"/>
                    <w:tr2bl w:val="nil"/>
                  </w:tcBorders>
                  <w:shd w:val="clear" w:color="auto" w:fill="auto"/>
                  <w:noWrap/>
                  <w:tcMar>
                    <w:top w:w="0" w:type="dxa"/>
                    <w:left w:w="51" w:type="dxa"/>
                    <w:bottom w:w="0" w:type="dxa"/>
                    <w:right w:w="51" w:type="dxa"/>
                  </w:tcMar>
                  <w:vAlign w:val="center"/>
                </w:tcPr>
                <w:p w14:paraId="2CDF9AF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二氯甲烷</w:t>
                  </w:r>
                </w:p>
              </w:tc>
              <w:tc>
                <w:tcPr>
                  <w:tcW w:w="533" w:type="pct"/>
                  <w:tcBorders>
                    <w:tl2br w:val="nil"/>
                    <w:tr2bl w:val="nil"/>
                  </w:tcBorders>
                  <w:shd w:val="clear" w:color="auto" w:fill="auto"/>
                  <w:noWrap/>
                  <w:tcMar>
                    <w:top w:w="0" w:type="dxa"/>
                    <w:left w:w="51" w:type="dxa"/>
                    <w:bottom w:w="0" w:type="dxa"/>
                    <w:right w:w="51" w:type="dxa"/>
                  </w:tcMar>
                  <w:vAlign w:val="center"/>
                </w:tcPr>
                <w:p w14:paraId="77D2FA1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2713A1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AFCAE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D3B1ED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386BD3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AEAFD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0040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98</w:t>
                  </w:r>
                </w:p>
              </w:tc>
              <w:tc>
                <w:tcPr>
                  <w:tcW w:w="1210" w:type="pct"/>
                  <w:tcBorders>
                    <w:tl2br w:val="nil"/>
                    <w:tr2bl w:val="nil"/>
                  </w:tcBorders>
                  <w:shd w:val="clear" w:color="auto" w:fill="auto"/>
                  <w:noWrap/>
                  <w:tcMar>
                    <w:top w:w="0" w:type="dxa"/>
                    <w:left w:w="51" w:type="dxa"/>
                    <w:bottom w:w="0" w:type="dxa"/>
                    <w:right w:w="51" w:type="dxa"/>
                  </w:tcMar>
                  <w:vAlign w:val="center"/>
                </w:tcPr>
                <w:p w14:paraId="3AEE63F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正己烷</w:t>
                  </w:r>
                </w:p>
              </w:tc>
              <w:tc>
                <w:tcPr>
                  <w:tcW w:w="533" w:type="pct"/>
                  <w:tcBorders>
                    <w:tl2br w:val="nil"/>
                    <w:tr2bl w:val="nil"/>
                  </w:tcBorders>
                  <w:shd w:val="clear" w:color="auto" w:fill="auto"/>
                  <w:noWrap/>
                  <w:tcMar>
                    <w:top w:w="0" w:type="dxa"/>
                    <w:left w:w="51" w:type="dxa"/>
                    <w:bottom w:w="0" w:type="dxa"/>
                    <w:right w:w="51" w:type="dxa"/>
                  </w:tcMar>
                  <w:vAlign w:val="center"/>
                </w:tcPr>
                <w:p w14:paraId="5AAE95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1E23AD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044EA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46864C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BE65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F6FF2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295951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99</w:t>
                  </w:r>
                </w:p>
              </w:tc>
              <w:tc>
                <w:tcPr>
                  <w:tcW w:w="1210" w:type="pct"/>
                  <w:tcBorders>
                    <w:tl2br w:val="nil"/>
                    <w:tr2bl w:val="nil"/>
                  </w:tcBorders>
                  <w:shd w:val="clear" w:color="auto" w:fill="auto"/>
                  <w:noWrap/>
                  <w:tcMar>
                    <w:top w:w="0" w:type="dxa"/>
                    <w:left w:w="51" w:type="dxa"/>
                    <w:bottom w:w="0" w:type="dxa"/>
                    <w:right w:w="51" w:type="dxa"/>
                  </w:tcMar>
                  <w:vAlign w:val="center"/>
                </w:tcPr>
                <w:p w14:paraId="4088BB1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三氯乙醛</w:t>
                  </w:r>
                </w:p>
              </w:tc>
              <w:tc>
                <w:tcPr>
                  <w:tcW w:w="533" w:type="pct"/>
                  <w:tcBorders>
                    <w:tl2br w:val="nil"/>
                    <w:tr2bl w:val="nil"/>
                  </w:tcBorders>
                  <w:shd w:val="clear" w:color="auto" w:fill="auto"/>
                  <w:noWrap/>
                  <w:tcMar>
                    <w:top w:w="0" w:type="dxa"/>
                    <w:left w:w="51" w:type="dxa"/>
                    <w:bottom w:w="0" w:type="dxa"/>
                    <w:right w:w="51" w:type="dxa"/>
                  </w:tcMar>
                  <w:vAlign w:val="center"/>
                </w:tcPr>
                <w:p w14:paraId="59382A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69025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0E3F5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E09572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BE613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F5CEE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30FBC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w:t>
                  </w:r>
                </w:p>
              </w:tc>
              <w:tc>
                <w:tcPr>
                  <w:tcW w:w="1210" w:type="pct"/>
                  <w:tcBorders>
                    <w:tl2br w:val="nil"/>
                    <w:tr2bl w:val="nil"/>
                  </w:tcBorders>
                  <w:shd w:val="clear" w:color="auto" w:fill="auto"/>
                  <w:noWrap/>
                  <w:tcMar>
                    <w:top w:w="0" w:type="dxa"/>
                    <w:left w:w="51" w:type="dxa"/>
                    <w:bottom w:w="0" w:type="dxa"/>
                    <w:right w:w="51" w:type="dxa"/>
                  </w:tcMar>
                  <w:vAlign w:val="center"/>
                </w:tcPr>
                <w:p w14:paraId="2017282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三聚乙醛</w:t>
                  </w:r>
                </w:p>
              </w:tc>
              <w:tc>
                <w:tcPr>
                  <w:tcW w:w="533" w:type="pct"/>
                  <w:tcBorders>
                    <w:tl2br w:val="nil"/>
                    <w:tr2bl w:val="nil"/>
                  </w:tcBorders>
                  <w:shd w:val="clear" w:color="auto" w:fill="auto"/>
                  <w:noWrap/>
                  <w:tcMar>
                    <w:top w:w="0" w:type="dxa"/>
                    <w:left w:w="51" w:type="dxa"/>
                    <w:bottom w:w="0" w:type="dxa"/>
                    <w:right w:w="51" w:type="dxa"/>
                  </w:tcMar>
                  <w:vAlign w:val="center"/>
                </w:tcPr>
                <w:p w14:paraId="630478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728E09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2D2A5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95982B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AD06B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4520F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4AE177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101</w:t>
                  </w:r>
                </w:p>
              </w:tc>
              <w:tc>
                <w:tcPr>
                  <w:tcW w:w="1210" w:type="pct"/>
                  <w:tcBorders>
                    <w:tl2br w:val="nil"/>
                    <w:tr2bl w:val="nil"/>
                  </w:tcBorders>
                  <w:shd w:val="clear" w:color="auto" w:fill="auto"/>
                  <w:noWrap/>
                  <w:tcMar>
                    <w:top w:w="0" w:type="dxa"/>
                    <w:left w:w="51" w:type="dxa"/>
                    <w:bottom w:w="0" w:type="dxa"/>
                    <w:right w:w="51" w:type="dxa"/>
                  </w:tcMar>
                  <w:vAlign w:val="center"/>
                </w:tcPr>
                <w:p w14:paraId="32B3966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水合三氯乙醛</w:t>
                  </w:r>
                </w:p>
              </w:tc>
              <w:tc>
                <w:tcPr>
                  <w:tcW w:w="533" w:type="pct"/>
                  <w:tcBorders>
                    <w:tl2br w:val="nil"/>
                    <w:tr2bl w:val="nil"/>
                  </w:tcBorders>
                  <w:shd w:val="clear" w:color="auto" w:fill="auto"/>
                  <w:noWrap/>
                  <w:tcMar>
                    <w:top w:w="0" w:type="dxa"/>
                    <w:left w:w="51" w:type="dxa"/>
                    <w:bottom w:w="0" w:type="dxa"/>
                    <w:right w:w="51" w:type="dxa"/>
                  </w:tcMar>
                  <w:vAlign w:val="center"/>
                </w:tcPr>
                <w:p w14:paraId="471BC8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BE625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6757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86D4E5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C2E768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206E1A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DF5CA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102</w:t>
                  </w:r>
                </w:p>
              </w:tc>
              <w:tc>
                <w:tcPr>
                  <w:tcW w:w="1210" w:type="pct"/>
                  <w:tcBorders>
                    <w:tl2br w:val="nil"/>
                    <w:tr2bl w:val="nil"/>
                  </w:tcBorders>
                  <w:shd w:val="clear" w:color="auto" w:fill="auto"/>
                  <w:noWrap/>
                  <w:tcMar>
                    <w:top w:w="0" w:type="dxa"/>
                    <w:left w:w="51" w:type="dxa"/>
                    <w:bottom w:w="0" w:type="dxa"/>
                    <w:right w:w="51" w:type="dxa"/>
                  </w:tcMar>
                  <w:vAlign w:val="center"/>
                </w:tcPr>
                <w:p w14:paraId="4359D57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丙烯醛</w:t>
                  </w:r>
                </w:p>
              </w:tc>
              <w:tc>
                <w:tcPr>
                  <w:tcW w:w="533" w:type="pct"/>
                  <w:tcBorders>
                    <w:tl2br w:val="nil"/>
                    <w:tr2bl w:val="nil"/>
                  </w:tcBorders>
                  <w:shd w:val="clear" w:color="auto" w:fill="auto"/>
                  <w:noWrap/>
                  <w:tcMar>
                    <w:top w:w="0" w:type="dxa"/>
                    <w:left w:w="51" w:type="dxa"/>
                    <w:bottom w:w="0" w:type="dxa"/>
                    <w:right w:w="51" w:type="dxa"/>
                  </w:tcMar>
                  <w:vAlign w:val="center"/>
                </w:tcPr>
                <w:p w14:paraId="6F8D04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621E8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824BB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93F1F1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725DA7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001F7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7B81A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103</w:t>
                  </w:r>
                </w:p>
              </w:tc>
              <w:tc>
                <w:tcPr>
                  <w:tcW w:w="1210" w:type="pct"/>
                  <w:tcBorders>
                    <w:tl2br w:val="nil"/>
                    <w:tr2bl w:val="nil"/>
                  </w:tcBorders>
                  <w:shd w:val="clear" w:color="auto" w:fill="auto"/>
                  <w:noWrap/>
                  <w:tcMar>
                    <w:top w:w="0" w:type="dxa"/>
                    <w:left w:w="51" w:type="dxa"/>
                    <w:bottom w:w="0" w:type="dxa"/>
                    <w:right w:w="51" w:type="dxa"/>
                  </w:tcMar>
                  <w:vAlign w:val="center"/>
                </w:tcPr>
                <w:p w14:paraId="123B76D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酚试剂</w:t>
                  </w:r>
                </w:p>
              </w:tc>
              <w:tc>
                <w:tcPr>
                  <w:tcW w:w="533" w:type="pct"/>
                  <w:tcBorders>
                    <w:tl2br w:val="nil"/>
                    <w:tr2bl w:val="nil"/>
                  </w:tcBorders>
                  <w:shd w:val="clear" w:color="auto" w:fill="auto"/>
                  <w:noWrap/>
                  <w:tcMar>
                    <w:top w:w="0" w:type="dxa"/>
                    <w:left w:w="51" w:type="dxa"/>
                    <w:bottom w:w="0" w:type="dxa"/>
                    <w:right w:w="51" w:type="dxa"/>
                  </w:tcMar>
                  <w:vAlign w:val="center"/>
                </w:tcPr>
                <w:p w14:paraId="3A7604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18E81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8F2A5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D1D9E7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09AC39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FEA2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503BB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104</w:t>
                  </w:r>
                </w:p>
              </w:tc>
              <w:tc>
                <w:tcPr>
                  <w:tcW w:w="1210" w:type="pct"/>
                  <w:tcBorders>
                    <w:tl2br w:val="nil"/>
                    <w:tr2bl w:val="nil"/>
                  </w:tcBorders>
                  <w:shd w:val="clear" w:color="auto" w:fill="auto"/>
                  <w:noWrap/>
                  <w:tcMar>
                    <w:top w:w="0" w:type="dxa"/>
                    <w:left w:w="51" w:type="dxa"/>
                    <w:bottom w:w="0" w:type="dxa"/>
                    <w:right w:w="51" w:type="dxa"/>
                  </w:tcMar>
                  <w:vAlign w:val="center"/>
                </w:tcPr>
                <w:p w14:paraId="6A2A0B9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百里酚蓝</w:t>
                  </w:r>
                </w:p>
              </w:tc>
              <w:tc>
                <w:tcPr>
                  <w:tcW w:w="533" w:type="pct"/>
                  <w:tcBorders>
                    <w:tl2br w:val="nil"/>
                    <w:tr2bl w:val="nil"/>
                  </w:tcBorders>
                  <w:shd w:val="clear" w:color="auto" w:fill="auto"/>
                  <w:noWrap/>
                  <w:tcMar>
                    <w:top w:w="0" w:type="dxa"/>
                    <w:left w:w="51" w:type="dxa"/>
                    <w:bottom w:w="0" w:type="dxa"/>
                    <w:right w:w="51" w:type="dxa"/>
                  </w:tcMar>
                  <w:vAlign w:val="center"/>
                </w:tcPr>
                <w:p w14:paraId="7EE019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1253C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66E53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9B2467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AE31E0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B196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9E83D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105</w:t>
                  </w:r>
                </w:p>
              </w:tc>
              <w:tc>
                <w:tcPr>
                  <w:tcW w:w="1210" w:type="pct"/>
                  <w:tcBorders>
                    <w:tl2br w:val="nil"/>
                    <w:tr2bl w:val="nil"/>
                  </w:tcBorders>
                  <w:shd w:val="clear" w:color="auto" w:fill="auto"/>
                  <w:noWrap/>
                  <w:tcMar>
                    <w:top w:w="0" w:type="dxa"/>
                    <w:left w:w="51" w:type="dxa"/>
                    <w:bottom w:w="0" w:type="dxa"/>
                    <w:right w:w="51" w:type="dxa"/>
                  </w:tcMar>
                  <w:vAlign w:val="center"/>
                </w:tcPr>
                <w:p w14:paraId="46FC665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溴酚蓝</w:t>
                  </w:r>
                </w:p>
              </w:tc>
              <w:tc>
                <w:tcPr>
                  <w:tcW w:w="533" w:type="pct"/>
                  <w:tcBorders>
                    <w:tl2br w:val="nil"/>
                    <w:tr2bl w:val="nil"/>
                  </w:tcBorders>
                  <w:shd w:val="clear" w:color="auto" w:fill="auto"/>
                  <w:noWrap/>
                  <w:tcMar>
                    <w:top w:w="0" w:type="dxa"/>
                    <w:left w:w="51" w:type="dxa"/>
                    <w:bottom w:w="0" w:type="dxa"/>
                    <w:right w:w="51" w:type="dxa"/>
                  </w:tcMar>
                  <w:vAlign w:val="center"/>
                </w:tcPr>
                <w:p w14:paraId="2E6C1FE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81C24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B2F55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A5C577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5617DA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F423A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794C2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106</w:t>
                  </w:r>
                </w:p>
              </w:tc>
              <w:tc>
                <w:tcPr>
                  <w:tcW w:w="1210" w:type="pct"/>
                  <w:tcBorders>
                    <w:tl2br w:val="nil"/>
                    <w:tr2bl w:val="nil"/>
                  </w:tcBorders>
                  <w:shd w:val="clear" w:color="auto" w:fill="auto"/>
                  <w:noWrap/>
                  <w:tcMar>
                    <w:top w:w="0" w:type="dxa"/>
                    <w:left w:w="51" w:type="dxa"/>
                    <w:bottom w:w="0" w:type="dxa"/>
                    <w:right w:w="51" w:type="dxa"/>
                  </w:tcMar>
                  <w:vAlign w:val="center"/>
                </w:tcPr>
                <w:p w14:paraId="247F70D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钛铁试剂</w:t>
                  </w:r>
                </w:p>
              </w:tc>
              <w:tc>
                <w:tcPr>
                  <w:tcW w:w="533" w:type="pct"/>
                  <w:tcBorders>
                    <w:tl2br w:val="nil"/>
                    <w:tr2bl w:val="nil"/>
                  </w:tcBorders>
                  <w:shd w:val="clear" w:color="auto" w:fill="auto"/>
                  <w:noWrap/>
                  <w:tcMar>
                    <w:top w:w="0" w:type="dxa"/>
                    <w:left w:w="51" w:type="dxa"/>
                    <w:bottom w:w="0" w:type="dxa"/>
                    <w:right w:w="51" w:type="dxa"/>
                  </w:tcMar>
                  <w:vAlign w:val="center"/>
                </w:tcPr>
                <w:p w14:paraId="31F08B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5BBC7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FBFCE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A67512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D7324D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378AD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54D2F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107</w:t>
                  </w:r>
                </w:p>
              </w:tc>
              <w:tc>
                <w:tcPr>
                  <w:tcW w:w="1210" w:type="pct"/>
                  <w:tcBorders>
                    <w:tl2br w:val="nil"/>
                    <w:tr2bl w:val="nil"/>
                  </w:tcBorders>
                  <w:shd w:val="clear" w:color="auto" w:fill="auto"/>
                  <w:noWrap/>
                  <w:tcMar>
                    <w:top w:w="0" w:type="dxa"/>
                    <w:left w:w="51" w:type="dxa"/>
                    <w:bottom w:w="0" w:type="dxa"/>
                    <w:right w:w="51" w:type="dxa"/>
                  </w:tcMar>
                  <w:vAlign w:val="center"/>
                </w:tcPr>
                <w:p w14:paraId="482AD82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甲基橙指示剂</w:t>
                  </w:r>
                </w:p>
              </w:tc>
              <w:tc>
                <w:tcPr>
                  <w:tcW w:w="533" w:type="pct"/>
                  <w:tcBorders>
                    <w:tl2br w:val="nil"/>
                    <w:tr2bl w:val="nil"/>
                  </w:tcBorders>
                  <w:shd w:val="clear" w:color="auto" w:fill="auto"/>
                  <w:noWrap/>
                  <w:tcMar>
                    <w:top w:w="0" w:type="dxa"/>
                    <w:left w:w="51" w:type="dxa"/>
                    <w:bottom w:w="0" w:type="dxa"/>
                    <w:right w:w="51" w:type="dxa"/>
                  </w:tcMar>
                  <w:vAlign w:val="center"/>
                </w:tcPr>
                <w:p w14:paraId="06AB10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EC721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CACA7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407E6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B84152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83193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4279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108</w:t>
                  </w:r>
                </w:p>
              </w:tc>
              <w:tc>
                <w:tcPr>
                  <w:tcW w:w="1210" w:type="pct"/>
                  <w:tcBorders>
                    <w:tl2br w:val="nil"/>
                    <w:tr2bl w:val="nil"/>
                  </w:tcBorders>
                  <w:shd w:val="clear" w:color="auto" w:fill="auto"/>
                  <w:noWrap/>
                  <w:tcMar>
                    <w:top w:w="0" w:type="dxa"/>
                    <w:left w:w="51" w:type="dxa"/>
                    <w:bottom w:w="0" w:type="dxa"/>
                    <w:right w:w="51" w:type="dxa"/>
                  </w:tcMar>
                  <w:vAlign w:val="center"/>
                </w:tcPr>
                <w:p w14:paraId="774A3EF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依红</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美蓝</w:t>
                  </w:r>
                </w:p>
              </w:tc>
              <w:tc>
                <w:tcPr>
                  <w:tcW w:w="533" w:type="pct"/>
                  <w:tcBorders>
                    <w:tl2br w:val="nil"/>
                    <w:tr2bl w:val="nil"/>
                  </w:tcBorders>
                  <w:shd w:val="clear" w:color="auto" w:fill="auto"/>
                  <w:noWrap/>
                  <w:tcMar>
                    <w:top w:w="0" w:type="dxa"/>
                    <w:left w:w="51" w:type="dxa"/>
                    <w:bottom w:w="0" w:type="dxa"/>
                    <w:right w:w="51" w:type="dxa"/>
                  </w:tcMar>
                  <w:vAlign w:val="center"/>
                </w:tcPr>
                <w:p w14:paraId="20510B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BD7D5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BC69D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5E6F2D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0E8950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5B922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86A1F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109</w:t>
                  </w:r>
                </w:p>
              </w:tc>
              <w:tc>
                <w:tcPr>
                  <w:tcW w:w="1210" w:type="pct"/>
                  <w:tcBorders>
                    <w:tl2br w:val="nil"/>
                    <w:tr2bl w:val="nil"/>
                  </w:tcBorders>
                  <w:shd w:val="clear" w:color="auto" w:fill="auto"/>
                  <w:noWrap/>
                  <w:tcMar>
                    <w:top w:w="0" w:type="dxa"/>
                    <w:left w:w="51" w:type="dxa"/>
                    <w:bottom w:w="0" w:type="dxa"/>
                    <w:right w:w="51" w:type="dxa"/>
                  </w:tcMar>
                  <w:vAlign w:val="center"/>
                </w:tcPr>
                <w:p w14:paraId="3C7989B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二硫化碳</w:t>
                  </w:r>
                </w:p>
              </w:tc>
              <w:tc>
                <w:tcPr>
                  <w:tcW w:w="533" w:type="pct"/>
                  <w:tcBorders>
                    <w:tl2br w:val="nil"/>
                    <w:tr2bl w:val="nil"/>
                  </w:tcBorders>
                  <w:shd w:val="clear" w:color="auto" w:fill="auto"/>
                  <w:noWrap/>
                  <w:tcMar>
                    <w:top w:w="0" w:type="dxa"/>
                    <w:left w:w="51" w:type="dxa"/>
                    <w:bottom w:w="0" w:type="dxa"/>
                    <w:right w:w="51" w:type="dxa"/>
                  </w:tcMar>
                  <w:vAlign w:val="center"/>
                </w:tcPr>
                <w:p w14:paraId="1CAC88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E0972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02974F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68ACE8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5FB422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AE055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4"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A82A31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w:t>
                  </w:r>
                </w:p>
              </w:tc>
              <w:tc>
                <w:tcPr>
                  <w:tcW w:w="1210" w:type="pct"/>
                  <w:tcBorders>
                    <w:tl2br w:val="nil"/>
                    <w:tr2bl w:val="nil"/>
                  </w:tcBorders>
                  <w:shd w:val="clear" w:color="auto" w:fill="auto"/>
                  <w:noWrap/>
                  <w:tcMar>
                    <w:top w:w="0" w:type="dxa"/>
                    <w:left w:w="51" w:type="dxa"/>
                    <w:bottom w:w="0" w:type="dxa"/>
                    <w:right w:w="51" w:type="dxa"/>
                  </w:tcMar>
                  <w:vAlign w:val="center"/>
                </w:tcPr>
                <w:p w14:paraId="1D9E16D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对氨基二甲基苯胺盐酸盐</w:t>
                  </w:r>
                </w:p>
              </w:tc>
              <w:tc>
                <w:tcPr>
                  <w:tcW w:w="533" w:type="pct"/>
                  <w:tcBorders>
                    <w:tl2br w:val="nil"/>
                    <w:tr2bl w:val="nil"/>
                  </w:tcBorders>
                  <w:shd w:val="clear" w:color="auto" w:fill="auto"/>
                  <w:noWrap/>
                  <w:tcMar>
                    <w:top w:w="0" w:type="dxa"/>
                    <w:left w:w="51" w:type="dxa"/>
                    <w:bottom w:w="0" w:type="dxa"/>
                    <w:right w:w="51" w:type="dxa"/>
                  </w:tcMar>
                  <w:vAlign w:val="center"/>
                </w:tcPr>
                <w:p w14:paraId="3078DB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00g</w:t>
                  </w:r>
                </w:p>
              </w:tc>
              <w:tc>
                <w:tcPr>
                  <w:tcW w:w="716" w:type="pct"/>
                  <w:tcBorders>
                    <w:tl2br w:val="nil"/>
                    <w:tr2bl w:val="nil"/>
                  </w:tcBorders>
                  <w:shd w:val="clear" w:color="auto" w:fill="auto"/>
                  <w:noWrap/>
                  <w:tcMar>
                    <w:top w:w="0" w:type="dxa"/>
                    <w:left w:w="51" w:type="dxa"/>
                    <w:bottom w:w="0" w:type="dxa"/>
                    <w:right w:w="51" w:type="dxa"/>
                  </w:tcMar>
                  <w:vAlign w:val="center"/>
                </w:tcPr>
                <w:p w14:paraId="380D6C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E2153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1282AA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156E68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93EC9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A0C66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111</w:t>
                  </w:r>
                </w:p>
              </w:tc>
              <w:tc>
                <w:tcPr>
                  <w:tcW w:w="1210" w:type="pct"/>
                  <w:tcBorders>
                    <w:tl2br w:val="nil"/>
                    <w:tr2bl w:val="nil"/>
                  </w:tcBorders>
                  <w:shd w:val="clear" w:color="auto" w:fill="auto"/>
                  <w:noWrap/>
                  <w:tcMar>
                    <w:top w:w="0" w:type="dxa"/>
                    <w:left w:w="51" w:type="dxa"/>
                    <w:bottom w:w="0" w:type="dxa"/>
                    <w:right w:w="51" w:type="dxa"/>
                  </w:tcMar>
                  <w:vAlign w:val="center"/>
                </w:tcPr>
                <w:p w14:paraId="61118BC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对氨基苯磺酸</w:t>
                  </w:r>
                </w:p>
              </w:tc>
              <w:tc>
                <w:tcPr>
                  <w:tcW w:w="533" w:type="pct"/>
                  <w:tcBorders>
                    <w:tl2br w:val="nil"/>
                    <w:tr2bl w:val="nil"/>
                  </w:tcBorders>
                  <w:shd w:val="clear" w:color="auto" w:fill="auto"/>
                  <w:noWrap/>
                  <w:tcMar>
                    <w:top w:w="0" w:type="dxa"/>
                    <w:left w:w="51" w:type="dxa"/>
                    <w:bottom w:w="0" w:type="dxa"/>
                    <w:right w:w="51" w:type="dxa"/>
                  </w:tcMar>
                  <w:vAlign w:val="center"/>
                </w:tcPr>
                <w:p w14:paraId="0A5E73E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C616C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5DE84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6174F1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27082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414B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E070D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112</w:t>
                  </w:r>
                </w:p>
              </w:tc>
              <w:tc>
                <w:tcPr>
                  <w:tcW w:w="1210" w:type="pct"/>
                  <w:tcBorders>
                    <w:tl2br w:val="nil"/>
                    <w:tr2bl w:val="nil"/>
                  </w:tcBorders>
                  <w:shd w:val="clear" w:color="auto" w:fill="auto"/>
                  <w:noWrap/>
                  <w:tcMar>
                    <w:top w:w="0" w:type="dxa"/>
                    <w:left w:w="51" w:type="dxa"/>
                    <w:bottom w:w="0" w:type="dxa"/>
                    <w:right w:w="51" w:type="dxa"/>
                  </w:tcMar>
                  <w:vAlign w:val="center"/>
                </w:tcPr>
                <w:p w14:paraId="5E798B5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苯胺</w:t>
                  </w:r>
                </w:p>
              </w:tc>
              <w:tc>
                <w:tcPr>
                  <w:tcW w:w="533" w:type="pct"/>
                  <w:tcBorders>
                    <w:tl2br w:val="nil"/>
                    <w:tr2bl w:val="nil"/>
                  </w:tcBorders>
                  <w:shd w:val="clear" w:color="auto" w:fill="auto"/>
                  <w:noWrap/>
                  <w:tcMar>
                    <w:top w:w="0" w:type="dxa"/>
                    <w:left w:w="51" w:type="dxa"/>
                    <w:bottom w:w="0" w:type="dxa"/>
                    <w:right w:w="51" w:type="dxa"/>
                  </w:tcMar>
                  <w:vAlign w:val="center"/>
                </w:tcPr>
                <w:p w14:paraId="798A76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D62B7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FD234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D996EE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543ED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16177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64C88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113</w:t>
                  </w:r>
                </w:p>
              </w:tc>
              <w:tc>
                <w:tcPr>
                  <w:tcW w:w="1210" w:type="pct"/>
                  <w:tcBorders>
                    <w:tl2br w:val="nil"/>
                    <w:tr2bl w:val="nil"/>
                  </w:tcBorders>
                  <w:shd w:val="clear" w:color="auto" w:fill="auto"/>
                  <w:noWrap/>
                  <w:tcMar>
                    <w:top w:w="0" w:type="dxa"/>
                    <w:left w:w="51" w:type="dxa"/>
                    <w:bottom w:w="0" w:type="dxa"/>
                    <w:right w:w="51" w:type="dxa"/>
                  </w:tcMar>
                  <w:vAlign w:val="center"/>
                </w:tcPr>
                <w:p w14:paraId="646B09F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副玫瑰苯胺</w:t>
                  </w:r>
                </w:p>
              </w:tc>
              <w:tc>
                <w:tcPr>
                  <w:tcW w:w="533" w:type="pct"/>
                  <w:tcBorders>
                    <w:tl2br w:val="nil"/>
                    <w:tr2bl w:val="nil"/>
                  </w:tcBorders>
                  <w:shd w:val="clear" w:color="auto" w:fill="auto"/>
                  <w:noWrap/>
                  <w:tcMar>
                    <w:top w:w="0" w:type="dxa"/>
                    <w:left w:w="51" w:type="dxa"/>
                    <w:bottom w:w="0" w:type="dxa"/>
                    <w:right w:w="51" w:type="dxa"/>
                  </w:tcMar>
                  <w:vAlign w:val="center"/>
                </w:tcPr>
                <w:p w14:paraId="55313F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4A6D3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A7AFF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E4F2BA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7337A5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300FE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AB2145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114</w:t>
                  </w:r>
                </w:p>
              </w:tc>
              <w:tc>
                <w:tcPr>
                  <w:tcW w:w="1210" w:type="pct"/>
                  <w:tcBorders>
                    <w:tl2br w:val="nil"/>
                    <w:tr2bl w:val="nil"/>
                  </w:tcBorders>
                  <w:shd w:val="clear" w:color="auto" w:fill="auto"/>
                  <w:noWrap/>
                  <w:tcMar>
                    <w:top w:w="0" w:type="dxa"/>
                    <w:left w:w="51" w:type="dxa"/>
                    <w:bottom w:w="0" w:type="dxa"/>
                    <w:right w:w="51" w:type="dxa"/>
                  </w:tcMar>
                  <w:vAlign w:val="center"/>
                </w:tcPr>
                <w:p w14:paraId="55886C3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溴甲酚绿</w:t>
                  </w:r>
                </w:p>
              </w:tc>
              <w:tc>
                <w:tcPr>
                  <w:tcW w:w="533" w:type="pct"/>
                  <w:tcBorders>
                    <w:tl2br w:val="nil"/>
                    <w:tr2bl w:val="nil"/>
                  </w:tcBorders>
                  <w:shd w:val="clear" w:color="auto" w:fill="auto"/>
                  <w:noWrap/>
                  <w:tcMar>
                    <w:top w:w="0" w:type="dxa"/>
                    <w:left w:w="51" w:type="dxa"/>
                    <w:bottom w:w="0" w:type="dxa"/>
                    <w:right w:w="51" w:type="dxa"/>
                  </w:tcMar>
                  <w:vAlign w:val="center"/>
                </w:tcPr>
                <w:p w14:paraId="5FC9AF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6BB9A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ED709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EFC6E5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35761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D691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C9B74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115</w:t>
                  </w:r>
                </w:p>
              </w:tc>
              <w:tc>
                <w:tcPr>
                  <w:tcW w:w="1210" w:type="pct"/>
                  <w:tcBorders>
                    <w:tl2br w:val="nil"/>
                    <w:tr2bl w:val="nil"/>
                  </w:tcBorders>
                  <w:shd w:val="clear" w:color="auto" w:fill="auto"/>
                  <w:noWrap/>
                  <w:tcMar>
                    <w:top w:w="0" w:type="dxa"/>
                    <w:left w:w="51" w:type="dxa"/>
                    <w:bottom w:w="0" w:type="dxa"/>
                    <w:right w:w="51" w:type="dxa"/>
                  </w:tcMar>
                  <w:vAlign w:val="center"/>
                </w:tcPr>
                <w:p w14:paraId="5E7E6A0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甲基红</w:t>
                  </w:r>
                </w:p>
              </w:tc>
              <w:tc>
                <w:tcPr>
                  <w:tcW w:w="533" w:type="pct"/>
                  <w:tcBorders>
                    <w:tl2br w:val="nil"/>
                    <w:tr2bl w:val="nil"/>
                  </w:tcBorders>
                  <w:shd w:val="clear" w:color="auto" w:fill="auto"/>
                  <w:noWrap/>
                  <w:tcMar>
                    <w:top w:w="0" w:type="dxa"/>
                    <w:left w:w="51" w:type="dxa"/>
                    <w:bottom w:w="0" w:type="dxa"/>
                    <w:right w:w="51" w:type="dxa"/>
                  </w:tcMar>
                  <w:vAlign w:val="center"/>
                </w:tcPr>
                <w:p w14:paraId="4D8DD7C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48CF7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491C3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23CD45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6C47CC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0067D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7AC94E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116</w:t>
                  </w:r>
                </w:p>
              </w:tc>
              <w:tc>
                <w:tcPr>
                  <w:tcW w:w="1210" w:type="pct"/>
                  <w:tcBorders>
                    <w:tl2br w:val="nil"/>
                    <w:tr2bl w:val="nil"/>
                  </w:tcBorders>
                  <w:shd w:val="clear" w:color="auto" w:fill="auto"/>
                  <w:noWrap/>
                  <w:tcMar>
                    <w:top w:w="0" w:type="dxa"/>
                    <w:left w:w="51" w:type="dxa"/>
                    <w:bottom w:w="0" w:type="dxa"/>
                    <w:right w:w="51" w:type="dxa"/>
                  </w:tcMar>
                  <w:vAlign w:val="center"/>
                </w:tcPr>
                <w:p w14:paraId="59AA440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碱性品红乙醇溶液</w:t>
                  </w:r>
                </w:p>
              </w:tc>
              <w:tc>
                <w:tcPr>
                  <w:tcW w:w="533" w:type="pct"/>
                  <w:tcBorders>
                    <w:tl2br w:val="nil"/>
                    <w:tr2bl w:val="nil"/>
                  </w:tcBorders>
                  <w:shd w:val="clear" w:color="auto" w:fill="auto"/>
                  <w:noWrap/>
                  <w:tcMar>
                    <w:top w:w="0" w:type="dxa"/>
                    <w:left w:w="51" w:type="dxa"/>
                    <w:bottom w:w="0" w:type="dxa"/>
                    <w:right w:w="51" w:type="dxa"/>
                  </w:tcMar>
                  <w:vAlign w:val="center"/>
                </w:tcPr>
                <w:p w14:paraId="6153B4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6E3ED9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24DD6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8D2C79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D7E74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EA415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339C4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117</w:t>
                  </w:r>
                </w:p>
              </w:tc>
              <w:tc>
                <w:tcPr>
                  <w:tcW w:w="1210" w:type="pct"/>
                  <w:tcBorders>
                    <w:tl2br w:val="nil"/>
                    <w:tr2bl w:val="nil"/>
                  </w:tcBorders>
                  <w:shd w:val="clear" w:color="auto" w:fill="auto"/>
                  <w:noWrap/>
                  <w:tcMar>
                    <w:top w:w="0" w:type="dxa"/>
                    <w:left w:w="51" w:type="dxa"/>
                    <w:bottom w:w="0" w:type="dxa"/>
                    <w:right w:w="51" w:type="dxa"/>
                  </w:tcMar>
                  <w:vAlign w:val="center"/>
                </w:tcPr>
                <w:p w14:paraId="591DB6B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碱石灰</w:t>
                  </w:r>
                </w:p>
              </w:tc>
              <w:tc>
                <w:tcPr>
                  <w:tcW w:w="533" w:type="pct"/>
                  <w:tcBorders>
                    <w:tl2br w:val="nil"/>
                    <w:tr2bl w:val="nil"/>
                  </w:tcBorders>
                  <w:shd w:val="clear" w:color="auto" w:fill="auto"/>
                  <w:noWrap/>
                  <w:tcMar>
                    <w:top w:w="0" w:type="dxa"/>
                    <w:left w:w="51" w:type="dxa"/>
                    <w:bottom w:w="0" w:type="dxa"/>
                    <w:right w:w="51" w:type="dxa"/>
                  </w:tcMar>
                  <w:vAlign w:val="center"/>
                </w:tcPr>
                <w:p w14:paraId="010719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F8609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5E47B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0E7AD3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78C766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DB6D7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7D3DBD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118</w:t>
                  </w:r>
                </w:p>
              </w:tc>
              <w:tc>
                <w:tcPr>
                  <w:tcW w:w="1210" w:type="pct"/>
                  <w:tcBorders>
                    <w:tl2br w:val="nil"/>
                    <w:tr2bl w:val="nil"/>
                  </w:tcBorders>
                  <w:shd w:val="clear" w:color="auto" w:fill="auto"/>
                  <w:noWrap/>
                  <w:tcMar>
                    <w:top w:w="0" w:type="dxa"/>
                    <w:left w:w="51" w:type="dxa"/>
                    <w:bottom w:w="0" w:type="dxa"/>
                    <w:right w:w="51" w:type="dxa"/>
                  </w:tcMar>
                  <w:vAlign w:val="center"/>
                </w:tcPr>
                <w:p w14:paraId="7F89205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三甲胺水溶液</w:t>
                  </w:r>
                </w:p>
              </w:tc>
              <w:tc>
                <w:tcPr>
                  <w:tcW w:w="533" w:type="pct"/>
                  <w:tcBorders>
                    <w:tl2br w:val="nil"/>
                    <w:tr2bl w:val="nil"/>
                  </w:tcBorders>
                  <w:shd w:val="clear" w:color="auto" w:fill="auto"/>
                  <w:noWrap/>
                  <w:tcMar>
                    <w:top w:w="0" w:type="dxa"/>
                    <w:left w:w="51" w:type="dxa"/>
                    <w:bottom w:w="0" w:type="dxa"/>
                    <w:right w:w="51" w:type="dxa"/>
                  </w:tcMar>
                  <w:vAlign w:val="center"/>
                </w:tcPr>
                <w:p w14:paraId="63D8ACE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058CFA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79E93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5888C6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F6A2B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3EC77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B777F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119</w:t>
                  </w:r>
                </w:p>
              </w:tc>
              <w:tc>
                <w:tcPr>
                  <w:tcW w:w="1210" w:type="pct"/>
                  <w:tcBorders>
                    <w:tl2br w:val="nil"/>
                    <w:tr2bl w:val="nil"/>
                  </w:tcBorders>
                  <w:shd w:val="clear" w:color="auto" w:fill="auto"/>
                  <w:noWrap/>
                  <w:tcMar>
                    <w:top w:w="0" w:type="dxa"/>
                    <w:left w:w="51" w:type="dxa"/>
                    <w:bottom w:w="0" w:type="dxa"/>
                    <w:right w:w="51" w:type="dxa"/>
                  </w:tcMar>
                  <w:vAlign w:val="center"/>
                </w:tcPr>
                <w:p w14:paraId="552BBFE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溴代十六烷基三甲胺</w:t>
                  </w:r>
                </w:p>
              </w:tc>
              <w:tc>
                <w:tcPr>
                  <w:tcW w:w="533" w:type="pct"/>
                  <w:tcBorders>
                    <w:tl2br w:val="nil"/>
                    <w:tr2bl w:val="nil"/>
                  </w:tcBorders>
                  <w:shd w:val="clear" w:color="auto" w:fill="auto"/>
                  <w:noWrap/>
                  <w:tcMar>
                    <w:top w:w="0" w:type="dxa"/>
                    <w:left w:w="51" w:type="dxa"/>
                    <w:bottom w:w="0" w:type="dxa"/>
                    <w:right w:w="51" w:type="dxa"/>
                  </w:tcMar>
                  <w:vAlign w:val="center"/>
                </w:tcPr>
                <w:p w14:paraId="037F6C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560A2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4199D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9F6BCB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3010E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F352F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771794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120</w:t>
                  </w:r>
                </w:p>
              </w:tc>
              <w:tc>
                <w:tcPr>
                  <w:tcW w:w="1210" w:type="pct"/>
                  <w:tcBorders>
                    <w:tl2br w:val="nil"/>
                    <w:tr2bl w:val="nil"/>
                  </w:tcBorders>
                  <w:shd w:val="clear" w:color="auto" w:fill="auto"/>
                  <w:noWrap/>
                  <w:tcMar>
                    <w:top w:w="0" w:type="dxa"/>
                    <w:left w:w="51" w:type="dxa"/>
                    <w:bottom w:w="0" w:type="dxa"/>
                    <w:right w:w="51" w:type="dxa"/>
                  </w:tcMar>
                  <w:vAlign w:val="center"/>
                </w:tcPr>
                <w:p w14:paraId="4A7FBD2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液体石蜡</w:t>
                  </w:r>
                </w:p>
              </w:tc>
              <w:tc>
                <w:tcPr>
                  <w:tcW w:w="533" w:type="pct"/>
                  <w:tcBorders>
                    <w:tl2br w:val="nil"/>
                    <w:tr2bl w:val="nil"/>
                  </w:tcBorders>
                  <w:shd w:val="clear" w:color="auto" w:fill="auto"/>
                  <w:noWrap/>
                  <w:tcMar>
                    <w:top w:w="0" w:type="dxa"/>
                    <w:left w:w="51" w:type="dxa"/>
                    <w:bottom w:w="0" w:type="dxa"/>
                    <w:right w:w="51" w:type="dxa"/>
                  </w:tcMar>
                  <w:vAlign w:val="center"/>
                </w:tcPr>
                <w:p w14:paraId="5C8B76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06DBA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691BAA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627595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6A5B6E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F8C65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E9B6C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121</w:t>
                  </w:r>
                </w:p>
              </w:tc>
              <w:tc>
                <w:tcPr>
                  <w:tcW w:w="1210" w:type="pct"/>
                  <w:tcBorders>
                    <w:tl2br w:val="nil"/>
                    <w:tr2bl w:val="nil"/>
                  </w:tcBorders>
                  <w:shd w:val="clear" w:color="auto" w:fill="auto"/>
                  <w:noWrap/>
                  <w:tcMar>
                    <w:top w:w="0" w:type="dxa"/>
                    <w:left w:w="51" w:type="dxa"/>
                    <w:bottom w:w="0" w:type="dxa"/>
                    <w:right w:w="51" w:type="dxa"/>
                  </w:tcMar>
                  <w:vAlign w:val="center"/>
                </w:tcPr>
                <w:p w14:paraId="5E7A246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甲基异丁基丙酮</w:t>
                  </w:r>
                </w:p>
              </w:tc>
              <w:tc>
                <w:tcPr>
                  <w:tcW w:w="533" w:type="pct"/>
                  <w:tcBorders>
                    <w:tl2br w:val="nil"/>
                    <w:tr2bl w:val="nil"/>
                  </w:tcBorders>
                  <w:shd w:val="clear" w:color="auto" w:fill="auto"/>
                  <w:noWrap/>
                  <w:tcMar>
                    <w:top w:w="0" w:type="dxa"/>
                    <w:left w:w="51" w:type="dxa"/>
                    <w:bottom w:w="0" w:type="dxa"/>
                    <w:right w:w="51" w:type="dxa"/>
                  </w:tcMar>
                  <w:vAlign w:val="center"/>
                </w:tcPr>
                <w:p w14:paraId="2985E85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DA0F18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7B43B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F4B989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F14D6A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E9977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381329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122</w:t>
                  </w:r>
                </w:p>
              </w:tc>
              <w:tc>
                <w:tcPr>
                  <w:tcW w:w="1210" w:type="pct"/>
                  <w:tcBorders>
                    <w:tl2br w:val="nil"/>
                    <w:tr2bl w:val="nil"/>
                  </w:tcBorders>
                  <w:shd w:val="clear" w:color="auto" w:fill="auto"/>
                  <w:noWrap/>
                  <w:tcMar>
                    <w:top w:w="0" w:type="dxa"/>
                    <w:left w:w="51" w:type="dxa"/>
                    <w:bottom w:w="0" w:type="dxa"/>
                    <w:right w:w="51" w:type="dxa"/>
                  </w:tcMar>
                  <w:vAlign w:val="center"/>
                </w:tcPr>
                <w:p w14:paraId="0681BD2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硫代乙酰胺</w:t>
                  </w:r>
                </w:p>
              </w:tc>
              <w:tc>
                <w:tcPr>
                  <w:tcW w:w="533" w:type="pct"/>
                  <w:tcBorders>
                    <w:tl2br w:val="nil"/>
                    <w:tr2bl w:val="nil"/>
                  </w:tcBorders>
                  <w:shd w:val="clear" w:color="auto" w:fill="auto"/>
                  <w:noWrap/>
                  <w:tcMar>
                    <w:top w:w="0" w:type="dxa"/>
                    <w:left w:w="51" w:type="dxa"/>
                    <w:bottom w:w="0" w:type="dxa"/>
                    <w:right w:w="51" w:type="dxa"/>
                  </w:tcMar>
                  <w:vAlign w:val="center"/>
                </w:tcPr>
                <w:p w14:paraId="58039B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ED02D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A2219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24EAC3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845BAB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0B4B4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0DCB4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123</w:t>
                  </w:r>
                </w:p>
              </w:tc>
              <w:tc>
                <w:tcPr>
                  <w:tcW w:w="1210" w:type="pct"/>
                  <w:tcBorders>
                    <w:tl2br w:val="nil"/>
                    <w:tr2bl w:val="nil"/>
                  </w:tcBorders>
                  <w:shd w:val="clear" w:color="auto" w:fill="auto"/>
                  <w:noWrap/>
                  <w:tcMar>
                    <w:top w:w="0" w:type="dxa"/>
                    <w:left w:w="51" w:type="dxa"/>
                    <w:bottom w:w="0" w:type="dxa"/>
                    <w:right w:w="51" w:type="dxa"/>
                  </w:tcMar>
                  <w:vAlign w:val="center"/>
                </w:tcPr>
                <w:p w14:paraId="6881D36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甲醛试剂纯度40%</w:t>
                  </w:r>
                </w:p>
              </w:tc>
              <w:tc>
                <w:tcPr>
                  <w:tcW w:w="533" w:type="pct"/>
                  <w:tcBorders>
                    <w:tl2br w:val="nil"/>
                    <w:tr2bl w:val="nil"/>
                  </w:tcBorders>
                  <w:shd w:val="clear" w:color="auto" w:fill="auto"/>
                  <w:noWrap/>
                  <w:tcMar>
                    <w:top w:w="0" w:type="dxa"/>
                    <w:left w:w="51" w:type="dxa"/>
                    <w:bottom w:w="0" w:type="dxa"/>
                    <w:right w:w="51" w:type="dxa"/>
                  </w:tcMar>
                  <w:vAlign w:val="center"/>
                </w:tcPr>
                <w:p w14:paraId="1E2846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2F855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AC3C1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AF73FB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90372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C7CAE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701EB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124</w:t>
                  </w:r>
                </w:p>
              </w:tc>
              <w:tc>
                <w:tcPr>
                  <w:tcW w:w="1210" w:type="pct"/>
                  <w:tcBorders>
                    <w:tl2br w:val="nil"/>
                    <w:tr2bl w:val="nil"/>
                  </w:tcBorders>
                  <w:shd w:val="clear" w:color="auto" w:fill="auto"/>
                  <w:noWrap/>
                  <w:tcMar>
                    <w:top w:w="0" w:type="dxa"/>
                    <w:left w:w="51" w:type="dxa"/>
                    <w:bottom w:w="0" w:type="dxa"/>
                    <w:right w:w="51" w:type="dxa"/>
                  </w:tcMar>
                  <w:vAlign w:val="center"/>
                </w:tcPr>
                <w:p w14:paraId="289432E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对二甲氨基苯甲醛</w:t>
                  </w:r>
                </w:p>
              </w:tc>
              <w:tc>
                <w:tcPr>
                  <w:tcW w:w="533" w:type="pct"/>
                  <w:tcBorders>
                    <w:tl2br w:val="nil"/>
                    <w:tr2bl w:val="nil"/>
                  </w:tcBorders>
                  <w:shd w:val="clear" w:color="auto" w:fill="auto"/>
                  <w:noWrap/>
                  <w:tcMar>
                    <w:top w:w="0" w:type="dxa"/>
                    <w:left w:w="51" w:type="dxa"/>
                    <w:bottom w:w="0" w:type="dxa"/>
                    <w:right w:w="51" w:type="dxa"/>
                  </w:tcMar>
                  <w:vAlign w:val="center"/>
                </w:tcPr>
                <w:p w14:paraId="0500E2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38CC6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7001C7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56C375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983F96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FAC648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486DAE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125</w:t>
                  </w:r>
                </w:p>
              </w:tc>
              <w:tc>
                <w:tcPr>
                  <w:tcW w:w="1210" w:type="pct"/>
                  <w:tcBorders>
                    <w:tl2br w:val="nil"/>
                    <w:tr2bl w:val="nil"/>
                  </w:tcBorders>
                  <w:shd w:val="clear" w:color="auto" w:fill="auto"/>
                  <w:noWrap/>
                  <w:tcMar>
                    <w:top w:w="0" w:type="dxa"/>
                    <w:left w:w="51" w:type="dxa"/>
                    <w:bottom w:w="0" w:type="dxa"/>
                    <w:right w:w="51" w:type="dxa"/>
                  </w:tcMar>
                  <w:vAlign w:val="center"/>
                </w:tcPr>
                <w:p w14:paraId="14EC60F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四氯化碳</w:t>
                  </w:r>
                </w:p>
              </w:tc>
              <w:tc>
                <w:tcPr>
                  <w:tcW w:w="533" w:type="pct"/>
                  <w:tcBorders>
                    <w:tl2br w:val="nil"/>
                    <w:tr2bl w:val="nil"/>
                  </w:tcBorders>
                  <w:shd w:val="clear" w:color="auto" w:fill="auto"/>
                  <w:noWrap/>
                  <w:tcMar>
                    <w:top w:w="0" w:type="dxa"/>
                    <w:left w:w="51" w:type="dxa"/>
                    <w:bottom w:w="0" w:type="dxa"/>
                    <w:right w:w="51" w:type="dxa"/>
                  </w:tcMar>
                  <w:vAlign w:val="center"/>
                </w:tcPr>
                <w:p w14:paraId="21E79C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4BCC10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E587F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49C30C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174DFD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F7DD8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4594C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126</w:t>
                  </w:r>
                </w:p>
              </w:tc>
              <w:tc>
                <w:tcPr>
                  <w:tcW w:w="1210" w:type="pct"/>
                  <w:tcBorders>
                    <w:tl2br w:val="nil"/>
                    <w:tr2bl w:val="nil"/>
                  </w:tcBorders>
                  <w:shd w:val="clear" w:color="auto" w:fill="auto"/>
                  <w:noWrap/>
                  <w:tcMar>
                    <w:top w:w="0" w:type="dxa"/>
                    <w:left w:w="51" w:type="dxa"/>
                    <w:bottom w:w="0" w:type="dxa"/>
                    <w:right w:w="51" w:type="dxa"/>
                  </w:tcMar>
                  <w:vAlign w:val="center"/>
                </w:tcPr>
                <w:p w14:paraId="272EAB2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三乙胺纯度99%</w:t>
                  </w:r>
                </w:p>
              </w:tc>
              <w:tc>
                <w:tcPr>
                  <w:tcW w:w="533" w:type="pct"/>
                  <w:tcBorders>
                    <w:tl2br w:val="nil"/>
                    <w:tr2bl w:val="nil"/>
                  </w:tcBorders>
                  <w:shd w:val="clear" w:color="auto" w:fill="auto"/>
                  <w:noWrap/>
                  <w:tcMar>
                    <w:top w:w="0" w:type="dxa"/>
                    <w:left w:w="51" w:type="dxa"/>
                    <w:bottom w:w="0" w:type="dxa"/>
                    <w:right w:w="51" w:type="dxa"/>
                  </w:tcMar>
                  <w:vAlign w:val="center"/>
                </w:tcPr>
                <w:p w14:paraId="1253AF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3EA90C6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7EA2B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203A2F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7F22A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3171F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1471F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127</w:t>
                  </w:r>
                </w:p>
              </w:tc>
              <w:tc>
                <w:tcPr>
                  <w:tcW w:w="1210" w:type="pct"/>
                  <w:tcBorders>
                    <w:tl2br w:val="nil"/>
                    <w:tr2bl w:val="nil"/>
                  </w:tcBorders>
                  <w:shd w:val="clear" w:color="auto" w:fill="auto"/>
                  <w:noWrap/>
                  <w:tcMar>
                    <w:top w:w="0" w:type="dxa"/>
                    <w:left w:w="51" w:type="dxa"/>
                    <w:bottom w:w="0" w:type="dxa"/>
                    <w:right w:w="51" w:type="dxa"/>
                  </w:tcMar>
                  <w:vAlign w:val="center"/>
                </w:tcPr>
                <w:p w14:paraId="3CCBB39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1,3-二苯基脲</w:t>
                  </w:r>
                </w:p>
              </w:tc>
              <w:tc>
                <w:tcPr>
                  <w:tcW w:w="533" w:type="pct"/>
                  <w:tcBorders>
                    <w:tl2br w:val="nil"/>
                    <w:tr2bl w:val="nil"/>
                  </w:tcBorders>
                  <w:shd w:val="clear" w:color="auto" w:fill="auto"/>
                  <w:noWrap/>
                  <w:tcMar>
                    <w:top w:w="0" w:type="dxa"/>
                    <w:left w:w="51" w:type="dxa"/>
                    <w:bottom w:w="0" w:type="dxa"/>
                    <w:right w:w="51" w:type="dxa"/>
                  </w:tcMar>
                  <w:vAlign w:val="center"/>
                </w:tcPr>
                <w:p w14:paraId="467757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00g</w:t>
                  </w:r>
                </w:p>
              </w:tc>
              <w:tc>
                <w:tcPr>
                  <w:tcW w:w="716" w:type="pct"/>
                  <w:tcBorders>
                    <w:tl2br w:val="nil"/>
                    <w:tr2bl w:val="nil"/>
                  </w:tcBorders>
                  <w:shd w:val="clear" w:color="auto" w:fill="auto"/>
                  <w:noWrap/>
                  <w:tcMar>
                    <w:top w:w="0" w:type="dxa"/>
                    <w:left w:w="51" w:type="dxa"/>
                    <w:bottom w:w="0" w:type="dxa"/>
                    <w:right w:w="51" w:type="dxa"/>
                  </w:tcMar>
                  <w:vAlign w:val="center"/>
                </w:tcPr>
                <w:p w14:paraId="144F74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52D2C7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6DBFE5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FA41E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3CA56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3C454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128</w:t>
                  </w:r>
                </w:p>
              </w:tc>
              <w:tc>
                <w:tcPr>
                  <w:tcW w:w="1210" w:type="pct"/>
                  <w:tcBorders>
                    <w:tl2br w:val="nil"/>
                    <w:tr2bl w:val="nil"/>
                  </w:tcBorders>
                  <w:shd w:val="clear" w:color="auto" w:fill="auto"/>
                  <w:noWrap/>
                  <w:tcMar>
                    <w:top w:w="0" w:type="dxa"/>
                    <w:left w:w="51" w:type="dxa"/>
                    <w:bottom w:w="0" w:type="dxa"/>
                    <w:right w:w="51" w:type="dxa"/>
                  </w:tcMar>
                  <w:vAlign w:val="center"/>
                </w:tcPr>
                <w:p w14:paraId="725F89D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甲酸钠</w:t>
                  </w:r>
                </w:p>
              </w:tc>
              <w:tc>
                <w:tcPr>
                  <w:tcW w:w="533" w:type="pct"/>
                  <w:tcBorders>
                    <w:tl2br w:val="nil"/>
                    <w:tr2bl w:val="nil"/>
                  </w:tcBorders>
                  <w:shd w:val="clear" w:color="auto" w:fill="auto"/>
                  <w:noWrap/>
                  <w:tcMar>
                    <w:top w:w="0" w:type="dxa"/>
                    <w:left w:w="51" w:type="dxa"/>
                    <w:bottom w:w="0" w:type="dxa"/>
                    <w:right w:w="51" w:type="dxa"/>
                  </w:tcMar>
                  <w:vAlign w:val="center"/>
                </w:tcPr>
                <w:p w14:paraId="555814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3C1C0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4C645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122787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8C48E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47DC2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B360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129</w:t>
                  </w:r>
                </w:p>
              </w:tc>
              <w:tc>
                <w:tcPr>
                  <w:tcW w:w="1210" w:type="pct"/>
                  <w:tcBorders>
                    <w:tl2br w:val="nil"/>
                    <w:tr2bl w:val="nil"/>
                  </w:tcBorders>
                  <w:shd w:val="clear" w:color="auto" w:fill="auto"/>
                  <w:noWrap/>
                  <w:tcMar>
                    <w:top w:w="0" w:type="dxa"/>
                    <w:left w:w="51" w:type="dxa"/>
                    <w:bottom w:w="0" w:type="dxa"/>
                    <w:right w:w="51" w:type="dxa"/>
                  </w:tcMar>
                  <w:vAlign w:val="center"/>
                </w:tcPr>
                <w:p w14:paraId="575C8A6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丙烯基硫脲</w:t>
                  </w:r>
                </w:p>
              </w:tc>
              <w:tc>
                <w:tcPr>
                  <w:tcW w:w="533" w:type="pct"/>
                  <w:tcBorders>
                    <w:tl2br w:val="nil"/>
                    <w:tr2bl w:val="nil"/>
                  </w:tcBorders>
                  <w:shd w:val="clear" w:color="auto" w:fill="auto"/>
                  <w:noWrap/>
                  <w:tcMar>
                    <w:top w:w="0" w:type="dxa"/>
                    <w:left w:w="51" w:type="dxa"/>
                    <w:bottom w:w="0" w:type="dxa"/>
                    <w:right w:w="51" w:type="dxa"/>
                  </w:tcMar>
                  <w:vAlign w:val="center"/>
                </w:tcPr>
                <w:p w14:paraId="1D45C6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00g</w:t>
                  </w:r>
                </w:p>
              </w:tc>
              <w:tc>
                <w:tcPr>
                  <w:tcW w:w="716" w:type="pct"/>
                  <w:tcBorders>
                    <w:tl2br w:val="nil"/>
                    <w:tr2bl w:val="nil"/>
                  </w:tcBorders>
                  <w:shd w:val="clear" w:color="auto" w:fill="auto"/>
                  <w:noWrap/>
                  <w:tcMar>
                    <w:top w:w="0" w:type="dxa"/>
                    <w:left w:w="51" w:type="dxa"/>
                    <w:bottom w:w="0" w:type="dxa"/>
                    <w:right w:w="51" w:type="dxa"/>
                  </w:tcMar>
                  <w:vAlign w:val="center"/>
                </w:tcPr>
                <w:p w14:paraId="70768D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CB9A1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D30786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22557F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ED461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CFB45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130</w:t>
                  </w:r>
                </w:p>
              </w:tc>
              <w:tc>
                <w:tcPr>
                  <w:tcW w:w="1210" w:type="pct"/>
                  <w:tcBorders>
                    <w:tl2br w:val="nil"/>
                    <w:tr2bl w:val="nil"/>
                  </w:tcBorders>
                  <w:shd w:val="clear" w:color="auto" w:fill="auto"/>
                  <w:noWrap/>
                  <w:tcMar>
                    <w:top w:w="0" w:type="dxa"/>
                    <w:left w:w="51" w:type="dxa"/>
                    <w:bottom w:w="0" w:type="dxa"/>
                    <w:right w:w="51" w:type="dxa"/>
                  </w:tcMar>
                  <w:vAlign w:val="center"/>
                </w:tcPr>
                <w:p w14:paraId="3B13CEC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乙撑</w:t>
                  </w:r>
                  <w:r>
                    <w:rPr>
                      <w:rFonts w:hint="default" w:ascii="Times New Roman" w:hAnsi="Times New Roman" w:eastAsia="宋体" w:cs="Times New Roman"/>
                      <w:i w:val="0"/>
                      <w:iCs w:val="0"/>
                      <w:color w:val="auto"/>
                      <w:kern w:val="0"/>
                      <w:sz w:val="21"/>
                      <w:szCs w:val="21"/>
                      <w:highlight w:val="none"/>
                      <w:u w:val="none"/>
                      <w:lang w:val="en-US" w:eastAsia="zh-CN" w:bidi="ar"/>
                    </w:rPr>
                    <w:t>硫脲</w:t>
                  </w:r>
                </w:p>
              </w:tc>
              <w:tc>
                <w:tcPr>
                  <w:tcW w:w="533" w:type="pct"/>
                  <w:tcBorders>
                    <w:tl2br w:val="nil"/>
                    <w:tr2bl w:val="nil"/>
                  </w:tcBorders>
                  <w:shd w:val="clear" w:color="auto" w:fill="auto"/>
                  <w:noWrap/>
                  <w:tcMar>
                    <w:top w:w="0" w:type="dxa"/>
                    <w:left w:w="51" w:type="dxa"/>
                    <w:bottom w:w="0" w:type="dxa"/>
                    <w:right w:w="51" w:type="dxa"/>
                  </w:tcMar>
                  <w:vAlign w:val="center"/>
                </w:tcPr>
                <w:p w14:paraId="429397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2FE77C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53236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D6A42A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46E748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B07A4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F92D2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131</w:t>
                  </w:r>
                </w:p>
              </w:tc>
              <w:tc>
                <w:tcPr>
                  <w:tcW w:w="1210" w:type="pct"/>
                  <w:tcBorders>
                    <w:tl2br w:val="nil"/>
                    <w:tr2bl w:val="nil"/>
                  </w:tcBorders>
                  <w:shd w:val="clear" w:color="auto" w:fill="auto"/>
                  <w:noWrap/>
                  <w:tcMar>
                    <w:top w:w="0" w:type="dxa"/>
                    <w:left w:w="51" w:type="dxa"/>
                    <w:bottom w:w="0" w:type="dxa"/>
                    <w:right w:w="51" w:type="dxa"/>
                  </w:tcMar>
                  <w:vAlign w:val="center"/>
                </w:tcPr>
                <w:p w14:paraId="080ACF0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乙醇胺</w:t>
                  </w:r>
                </w:p>
              </w:tc>
              <w:tc>
                <w:tcPr>
                  <w:tcW w:w="533" w:type="pct"/>
                  <w:tcBorders>
                    <w:tl2br w:val="nil"/>
                    <w:tr2bl w:val="nil"/>
                  </w:tcBorders>
                  <w:shd w:val="clear" w:color="auto" w:fill="auto"/>
                  <w:noWrap/>
                  <w:tcMar>
                    <w:top w:w="0" w:type="dxa"/>
                    <w:left w:w="51" w:type="dxa"/>
                    <w:bottom w:w="0" w:type="dxa"/>
                    <w:right w:w="51" w:type="dxa"/>
                  </w:tcMar>
                  <w:vAlign w:val="center"/>
                </w:tcPr>
                <w:p w14:paraId="752522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3AAFB5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76075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AAE42A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9A6B1F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44F05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8B8DC7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132</w:t>
                  </w:r>
                </w:p>
              </w:tc>
              <w:tc>
                <w:tcPr>
                  <w:tcW w:w="1210" w:type="pct"/>
                  <w:tcBorders>
                    <w:tl2br w:val="nil"/>
                    <w:tr2bl w:val="nil"/>
                  </w:tcBorders>
                  <w:shd w:val="clear" w:color="auto" w:fill="auto"/>
                  <w:noWrap/>
                  <w:tcMar>
                    <w:top w:w="0" w:type="dxa"/>
                    <w:left w:w="51" w:type="dxa"/>
                    <w:bottom w:w="0" w:type="dxa"/>
                    <w:right w:w="51" w:type="dxa"/>
                  </w:tcMar>
                  <w:vAlign w:val="center"/>
                </w:tcPr>
                <w:p w14:paraId="2872922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三乙醇胺</w:t>
                  </w:r>
                </w:p>
              </w:tc>
              <w:tc>
                <w:tcPr>
                  <w:tcW w:w="533" w:type="pct"/>
                  <w:tcBorders>
                    <w:tl2br w:val="nil"/>
                    <w:tr2bl w:val="nil"/>
                  </w:tcBorders>
                  <w:shd w:val="clear" w:color="auto" w:fill="auto"/>
                  <w:noWrap/>
                  <w:tcMar>
                    <w:top w:w="0" w:type="dxa"/>
                    <w:left w:w="51" w:type="dxa"/>
                    <w:bottom w:w="0" w:type="dxa"/>
                    <w:right w:w="51" w:type="dxa"/>
                  </w:tcMar>
                  <w:vAlign w:val="center"/>
                </w:tcPr>
                <w:p w14:paraId="3F3785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4177DA7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CD4111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964C41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83694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79C30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E9C8D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133</w:t>
                  </w:r>
                </w:p>
              </w:tc>
              <w:tc>
                <w:tcPr>
                  <w:tcW w:w="1210" w:type="pct"/>
                  <w:tcBorders>
                    <w:tl2br w:val="nil"/>
                    <w:tr2bl w:val="nil"/>
                  </w:tcBorders>
                  <w:shd w:val="clear" w:color="auto" w:fill="auto"/>
                  <w:noWrap/>
                  <w:tcMar>
                    <w:top w:w="0" w:type="dxa"/>
                    <w:left w:w="51" w:type="dxa"/>
                    <w:bottom w:w="0" w:type="dxa"/>
                    <w:right w:w="51" w:type="dxa"/>
                  </w:tcMar>
                  <w:vAlign w:val="center"/>
                </w:tcPr>
                <w:p w14:paraId="279B93D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弗洛里硅土</w:t>
                  </w:r>
                </w:p>
              </w:tc>
              <w:tc>
                <w:tcPr>
                  <w:tcW w:w="533" w:type="pct"/>
                  <w:tcBorders>
                    <w:tl2br w:val="nil"/>
                    <w:tr2bl w:val="nil"/>
                  </w:tcBorders>
                  <w:shd w:val="clear" w:color="auto" w:fill="auto"/>
                  <w:noWrap/>
                  <w:tcMar>
                    <w:top w:w="0" w:type="dxa"/>
                    <w:left w:w="51" w:type="dxa"/>
                    <w:bottom w:w="0" w:type="dxa"/>
                    <w:right w:w="51" w:type="dxa"/>
                  </w:tcMar>
                  <w:vAlign w:val="center"/>
                </w:tcPr>
                <w:p w14:paraId="600DAA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68954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1BB85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E82753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22246B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A39F1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71169A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134</w:t>
                  </w:r>
                </w:p>
              </w:tc>
              <w:tc>
                <w:tcPr>
                  <w:tcW w:w="1210" w:type="pct"/>
                  <w:tcBorders>
                    <w:tl2br w:val="nil"/>
                    <w:tr2bl w:val="nil"/>
                  </w:tcBorders>
                  <w:shd w:val="clear" w:color="auto" w:fill="auto"/>
                  <w:noWrap/>
                  <w:tcMar>
                    <w:top w:w="0" w:type="dxa"/>
                    <w:left w:w="51" w:type="dxa"/>
                    <w:bottom w:w="0" w:type="dxa"/>
                    <w:right w:w="51" w:type="dxa"/>
                  </w:tcMar>
                  <w:vAlign w:val="center"/>
                </w:tcPr>
                <w:p w14:paraId="4589E24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硫酸氢钾</w:t>
                  </w:r>
                </w:p>
              </w:tc>
              <w:tc>
                <w:tcPr>
                  <w:tcW w:w="533" w:type="pct"/>
                  <w:tcBorders>
                    <w:tl2br w:val="nil"/>
                    <w:tr2bl w:val="nil"/>
                  </w:tcBorders>
                  <w:shd w:val="clear" w:color="auto" w:fill="auto"/>
                  <w:noWrap/>
                  <w:tcMar>
                    <w:top w:w="0" w:type="dxa"/>
                    <w:left w:w="51" w:type="dxa"/>
                    <w:bottom w:w="0" w:type="dxa"/>
                    <w:right w:w="51" w:type="dxa"/>
                  </w:tcMar>
                  <w:vAlign w:val="center"/>
                </w:tcPr>
                <w:p w14:paraId="4FB31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EC7469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0989B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49F07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C34906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B841E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BD5392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135</w:t>
                  </w:r>
                </w:p>
              </w:tc>
              <w:tc>
                <w:tcPr>
                  <w:tcW w:w="1210" w:type="pct"/>
                  <w:tcBorders>
                    <w:tl2br w:val="nil"/>
                    <w:tr2bl w:val="nil"/>
                  </w:tcBorders>
                  <w:shd w:val="clear" w:color="auto" w:fill="auto"/>
                  <w:noWrap/>
                  <w:tcMar>
                    <w:top w:w="0" w:type="dxa"/>
                    <w:left w:w="51" w:type="dxa"/>
                    <w:bottom w:w="0" w:type="dxa"/>
                    <w:right w:w="51" w:type="dxa"/>
                  </w:tcMar>
                  <w:vAlign w:val="center"/>
                </w:tcPr>
                <w:p w14:paraId="2363191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二水硝普酸钠</w:t>
                  </w:r>
                </w:p>
              </w:tc>
              <w:tc>
                <w:tcPr>
                  <w:tcW w:w="533" w:type="pct"/>
                  <w:tcBorders>
                    <w:tl2br w:val="nil"/>
                    <w:tr2bl w:val="nil"/>
                  </w:tcBorders>
                  <w:shd w:val="clear" w:color="auto" w:fill="auto"/>
                  <w:noWrap/>
                  <w:tcMar>
                    <w:top w:w="0" w:type="dxa"/>
                    <w:left w:w="51" w:type="dxa"/>
                    <w:bottom w:w="0" w:type="dxa"/>
                    <w:right w:w="51" w:type="dxa"/>
                  </w:tcMar>
                  <w:vAlign w:val="center"/>
                </w:tcPr>
                <w:p w14:paraId="7262B0C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AACAE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A0F8D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DE04A0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92F709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8B7BC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EE52F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136</w:t>
                  </w:r>
                </w:p>
              </w:tc>
              <w:tc>
                <w:tcPr>
                  <w:tcW w:w="1210" w:type="pct"/>
                  <w:tcBorders>
                    <w:tl2br w:val="nil"/>
                    <w:tr2bl w:val="nil"/>
                  </w:tcBorders>
                  <w:shd w:val="clear" w:color="auto" w:fill="auto"/>
                  <w:noWrap/>
                  <w:tcMar>
                    <w:top w:w="0" w:type="dxa"/>
                    <w:left w:w="51" w:type="dxa"/>
                    <w:bottom w:w="0" w:type="dxa"/>
                    <w:right w:w="51" w:type="dxa"/>
                  </w:tcMar>
                  <w:vAlign w:val="center"/>
                </w:tcPr>
                <w:p w14:paraId="33ED8D8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柠檬酸钠</w:t>
                  </w:r>
                </w:p>
              </w:tc>
              <w:tc>
                <w:tcPr>
                  <w:tcW w:w="533" w:type="pct"/>
                  <w:tcBorders>
                    <w:tl2br w:val="nil"/>
                    <w:tr2bl w:val="nil"/>
                  </w:tcBorders>
                  <w:shd w:val="clear" w:color="auto" w:fill="auto"/>
                  <w:noWrap/>
                  <w:tcMar>
                    <w:top w:w="0" w:type="dxa"/>
                    <w:left w:w="51" w:type="dxa"/>
                    <w:bottom w:w="0" w:type="dxa"/>
                    <w:right w:w="51" w:type="dxa"/>
                  </w:tcMar>
                  <w:vAlign w:val="center"/>
                </w:tcPr>
                <w:p w14:paraId="7CCE776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2E00E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8370A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32D4E9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28616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632D2E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59F4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137</w:t>
                  </w:r>
                </w:p>
              </w:tc>
              <w:tc>
                <w:tcPr>
                  <w:tcW w:w="1210" w:type="pct"/>
                  <w:tcBorders>
                    <w:tl2br w:val="nil"/>
                    <w:tr2bl w:val="nil"/>
                  </w:tcBorders>
                  <w:shd w:val="clear" w:color="auto" w:fill="auto"/>
                  <w:noWrap/>
                  <w:tcMar>
                    <w:top w:w="0" w:type="dxa"/>
                    <w:left w:w="51" w:type="dxa"/>
                    <w:bottom w:w="0" w:type="dxa"/>
                    <w:right w:w="51" w:type="dxa"/>
                  </w:tcMar>
                  <w:vAlign w:val="center"/>
                </w:tcPr>
                <w:p w14:paraId="49AA163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酒石酸</w:t>
                  </w:r>
                </w:p>
              </w:tc>
              <w:tc>
                <w:tcPr>
                  <w:tcW w:w="533" w:type="pct"/>
                  <w:tcBorders>
                    <w:tl2br w:val="nil"/>
                    <w:tr2bl w:val="nil"/>
                  </w:tcBorders>
                  <w:shd w:val="clear" w:color="auto" w:fill="auto"/>
                  <w:noWrap/>
                  <w:tcMar>
                    <w:top w:w="0" w:type="dxa"/>
                    <w:left w:w="51" w:type="dxa"/>
                    <w:bottom w:w="0" w:type="dxa"/>
                    <w:right w:w="51" w:type="dxa"/>
                  </w:tcMar>
                  <w:vAlign w:val="center"/>
                </w:tcPr>
                <w:p w14:paraId="123D22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BF479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CB82C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D9C74A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C6CC5D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F5EA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4422E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138</w:t>
                  </w:r>
                </w:p>
              </w:tc>
              <w:tc>
                <w:tcPr>
                  <w:tcW w:w="1210" w:type="pct"/>
                  <w:tcBorders>
                    <w:tl2br w:val="nil"/>
                    <w:tr2bl w:val="nil"/>
                  </w:tcBorders>
                  <w:shd w:val="clear" w:color="auto" w:fill="auto"/>
                  <w:noWrap/>
                  <w:tcMar>
                    <w:top w:w="0" w:type="dxa"/>
                    <w:left w:w="51" w:type="dxa"/>
                    <w:bottom w:w="0" w:type="dxa"/>
                    <w:right w:w="51" w:type="dxa"/>
                  </w:tcMar>
                  <w:vAlign w:val="center"/>
                </w:tcPr>
                <w:p w14:paraId="0EA1383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酒石酸锑钾</w:t>
                  </w:r>
                </w:p>
              </w:tc>
              <w:tc>
                <w:tcPr>
                  <w:tcW w:w="533" w:type="pct"/>
                  <w:tcBorders>
                    <w:tl2br w:val="nil"/>
                    <w:tr2bl w:val="nil"/>
                  </w:tcBorders>
                  <w:shd w:val="clear" w:color="auto" w:fill="auto"/>
                  <w:noWrap/>
                  <w:tcMar>
                    <w:top w:w="0" w:type="dxa"/>
                    <w:left w:w="51" w:type="dxa"/>
                    <w:bottom w:w="0" w:type="dxa"/>
                    <w:right w:w="51" w:type="dxa"/>
                  </w:tcMar>
                  <w:vAlign w:val="center"/>
                </w:tcPr>
                <w:p w14:paraId="6C4953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5E186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480A0E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3D56A2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88BBC1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D0CB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0C3B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139</w:t>
                  </w:r>
                </w:p>
              </w:tc>
              <w:tc>
                <w:tcPr>
                  <w:tcW w:w="1210" w:type="pct"/>
                  <w:tcBorders>
                    <w:tl2br w:val="nil"/>
                    <w:tr2bl w:val="nil"/>
                  </w:tcBorders>
                  <w:shd w:val="clear" w:color="auto" w:fill="auto"/>
                  <w:noWrap/>
                  <w:tcMar>
                    <w:top w:w="0" w:type="dxa"/>
                    <w:left w:w="51" w:type="dxa"/>
                    <w:bottom w:w="0" w:type="dxa"/>
                    <w:right w:w="51" w:type="dxa"/>
                  </w:tcMar>
                  <w:vAlign w:val="center"/>
                </w:tcPr>
                <w:p w14:paraId="2772F92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酒石酸钾钠</w:t>
                  </w:r>
                </w:p>
              </w:tc>
              <w:tc>
                <w:tcPr>
                  <w:tcW w:w="533" w:type="pct"/>
                  <w:tcBorders>
                    <w:tl2br w:val="nil"/>
                    <w:tr2bl w:val="nil"/>
                  </w:tcBorders>
                  <w:shd w:val="clear" w:color="auto" w:fill="auto"/>
                  <w:noWrap/>
                  <w:tcMar>
                    <w:top w:w="0" w:type="dxa"/>
                    <w:left w:w="51" w:type="dxa"/>
                    <w:bottom w:w="0" w:type="dxa"/>
                    <w:right w:w="51" w:type="dxa"/>
                  </w:tcMar>
                  <w:vAlign w:val="center"/>
                </w:tcPr>
                <w:p w14:paraId="1BBA64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2F5F3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235577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7CCF9E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C0F81E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F6131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7D31E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140</w:t>
                  </w:r>
                </w:p>
              </w:tc>
              <w:tc>
                <w:tcPr>
                  <w:tcW w:w="1210" w:type="pct"/>
                  <w:tcBorders>
                    <w:tl2br w:val="nil"/>
                    <w:tr2bl w:val="nil"/>
                  </w:tcBorders>
                  <w:shd w:val="clear" w:color="auto" w:fill="auto"/>
                  <w:noWrap/>
                  <w:tcMar>
                    <w:top w:w="0" w:type="dxa"/>
                    <w:left w:w="51" w:type="dxa"/>
                    <w:bottom w:w="0" w:type="dxa"/>
                    <w:right w:w="51" w:type="dxa"/>
                  </w:tcMar>
                  <w:vAlign w:val="center"/>
                </w:tcPr>
                <w:p w14:paraId="1EE0997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尿素</w:t>
                  </w:r>
                </w:p>
              </w:tc>
              <w:tc>
                <w:tcPr>
                  <w:tcW w:w="533" w:type="pct"/>
                  <w:tcBorders>
                    <w:tl2br w:val="nil"/>
                    <w:tr2bl w:val="nil"/>
                  </w:tcBorders>
                  <w:shd w:val="clear" w:color="auto" w:fill="auto"/>
                  <w:noWrap/>
                  <w:tcMar>
                    <w:top w:w="0" w:type="dxa"/>
                    <w:left w:w="51" w:type="dxa"/>
                    <w:bottom w:w="0" w:type="dxa"/>
                    <w:right w:w="51" w:type="dxa"/>
                  </w:tcMar>
                  <w:vAlign w:val="center"/>
                </w:tcPr>
                <w:p w14:paraId="34D299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352FF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9BCF8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23E00E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13CB2F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20F93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AE5D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141</w:t>
                  </w:r>
                </w:p>
              </w:tc>
              <w:tc>
                <w:tcPr>
                  <w:tcW w:w="1210" w:type="pct"/>
                  <w:tcBorders>
                    <w:tl2br w:val="nil"/>
                    <w:tr2bl w:val="nil"/>
                  </w:tcBorders>
                  <w:shd w:val="clear" w:color="auto" w:fill="auto"/>
                  <w:noWrap/>
                  <w:tcMar>
                    <w:top w:w="0" w:type="dxa"/>
                    <w:left w:w="51" w:type="dxa"/>
                    <w:bottom w:w="0" w:type="dxa"/>
                    <w:right w:w="51" w:type="dxa"/>
                  </w:tcMar>
                  <w:vAlign w:val="center"/>
                </w:tcPr>
                <w:p w14:paraId="03F3013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焦磷酸钠</w:t>
                  </w:r>
                </w:p>
              </w:tc>
              <w:tc>
                <w:tcPr>
                  <w:tcW w:w="533" w:type="pct"/>
                  <w:tcBorders>
                    <w:tl2br w:val="nil"/>
                    <w:tr2bl w:val="nil"/>
                  </w:tcBorders>
                  <w:shd w:val="clear" w:color="auto" w:fill="auto"/>
                  <w:noWrap/>
                  <w:tcMar>
                    <w:top w:w="0" w:type="dxa"/>
                    <w:left w:w="51" w:type="dxa"/>
                    <w:bottom w:w="0" w:type="dxa"/>
                    <w:right w:w="51" w:type="dxa"/>
                  </w:tcMar>
                  <w:vAlign w:val="center"/>
                </w:tcPr>
                <w:p w14:paraId="705ACD1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5566E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D1A723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E03F1F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30D4C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E8BE8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94804B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142</w:t>
                  </w:r>
                </w:p>
              </w:tc>
              <w:tc>
                <w:tcPr>
                  <w:tcW w:w="1210" w:type="pct"/>
                  <w:tcBorders>
                    <w:tl2br w:val="nil"/>
                    <w:tr2bl w:val="nil"/>
                  </w:tcBorders>
                  <w:shd w:val="clear" w:color="auto" w:fill="auto"/>
                  <w:noWrap/>
                  <w:tcMar>
                    <w:top w:w="0" w:type="dxa"/>
                    <w:left w:w="51" w:type="dxa"/>
                    <w:bottom w:w="0" w:type="dxa"/>
                    <w:right w:w="51" w:type="dxa"/>
                  </w:tcMar>
                  <w:vAlign w:val="center"/>
                </w:tcPr>
                <w:p w14:paraId="0DB13C1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磷酸氢二钠</w:t>
                  </w:r>
                </w:p>
              </w:tc>
              <w:tc>
                <w:tcPr>
                  <w:tcW w:w="533" w:type="pct"/>
                  <w:tcBorders>
                    <w:tl2br w:val="nil"/>
                    <w:tr2bl w:val="nil"/>
                  </w:tcBorders>
                  <w:shd w:val="clear" w:color="auto" w:fill="auto"/>
                  <w:noWrap/>
                  <w:tcMar>
                    <w:top w:w="0" w:type="dxa"/>
                    <w:left w:w="51" w:type="dxa"/>
                    <w:bottom w:w="0" w:type="dxa"/>
                    <w:right w:w="51" w:type="dxa"/>
                  </w:tcMar>
                  <w:vAlign w:val="center"/>
                </w:tcPr>
                <w:p w14:paraId="1FA307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14E2C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7D05F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A1372AB">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CC52F6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4A315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2329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143</w:t>
                  </w:r>
                </w:p>
              </w:tc>
              <w:tc>
                <w:tcPr>
                  <w:tcW w:w="1210" w:type="pct"/>
                  <w:tcBorders>
                    <w:tl2br w:val="nil"/>
                    <w:tr2bl w:val="nil"/>
                  </w:tcBorders>
                  <w:shd w:val="clear" w:color="auto" w:fill="auto"/>
                  <w:noWrap/>
                  <w:tcMar>
                    <w:top w:w="0" w:type="dxa"/>
                    <w:left w:w="51" w:type="dxa"/>
                    <w:bottom w:w="0" w:type="dxa"/>
                    <w:right w:w="51" w:type="dxa"/>
                  </w:tcMar>
                  <w:vAlign w:val="center"/>
                </w:tcPr>
                <w:p w14:paraId="5360EA4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聚乙烯醇磷酸铵</w:t>
                  </w:r>
                </w:p>
              </w:tc>
              <w:tc>
                <w:tcPr>
                  <w:tcW w:w="533" w:type="pct"/>
                  <w:tcBorders>
                    <w:tl2br w:val="nil"/>
                    <w:tr2bl w:val="nil"/>
                  </w:tcBorders>
                  <w:shd w:val="clear" w:color="auto" w:fill="auto"/>
                  <w:noWrap/>
                  <w:tcMar>
                    <w:top w:w="0" w:type="dxa"/>
                    <w:left w:w="51" w:type="dxa"/>
                    <w:bottom w:w="0" w:type="dxa"/>
                    <w:right w:w="51" w:type="dxa"/>
                  </w:tcMar>
                  <w:vAlign w:val="center"/>
                </w:tcPr>
                <w:p w14:paraId="3DED02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872930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8030B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7BBE41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E2DF6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076EE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46754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144</w:t>
                  </w:r>
                </w:p>
              </w:tc>
              <w:tc>
                <w:tcPr>
                  <w:tcW w:w="1210" w:type="pct"/>
                  <w:tcBorders>
                    <w:tl2br w:val="nil"/>
                    <w:tr2bl w:val="nil"/>
                  </w:tcBorders>
                  <w:shd w:val="clear" w:color="auto" w:fill="auto"/>
                  <w:noWrap/>
                  <w:tcMar>
                    <w:top w:w="0" w:type="dxa"/>
                    <w:left w:w="51" w:type="dxa"/>
                    <w:bottom w:w="0" w:type="dxa"/>
                    <w:right w:w="51" w:type="dxa"/>
                  </w:tcMar>
                  <w:vAlign w:val="center"/>
                </w:tcPr>
                <w:p w14:paraId="42EC341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磷酸二氢铵</w:t>
                  </w:r>
                </w:p>
              </w:tc>
              <w:tc>
                <w:tcPr>
                  <w:tcW w:w="533" w:type="pct"/>
                  <w:tcBorders>
                    <w:tl2br w:val="nil"/>
                    <w:tr2bl w:val="nil"/>
                  </w:tcBorders>
                  <w:shd w:val="clear" w:color="auto" w:fill="auto"/>
                  <w:noWrap/>
                  <w:tcMar>
                    <w:top w:w="0" w:type="dxa"/>
                    <w:left w:w="51" w:type="dxa"/>
                    <w:bottom w:w="0" w:type="dxa"/>
                    <w:right w:w="51" w:type="dxa"/>
                  </w:tcMar>
                  <w:vAlign w:val="center"/>
                </w:tcPr>
                <w:p w14:paraId="03F1F4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7A6B88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CD0FF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F6206F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35AECC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4BBC4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47417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145</w:t>
                  </w:r>
                </w:p>
              </w:tc>
              <w:tc>
                <w:tcPr>
                  <w:tcW w:w="1210" w:type="pct"/>
                  <w:tcBorders>
                    <w:tl2br w:val="nil"/>
                    <w:tr2bl w:val="nil"/>
                  </w:tcBorders>
                  <w:shd w:val="clear" w:color="auto" w:fill="auto"/>
                  <w:noWrap/>
                  <w:tcMar>
                    <w:top w:w="0" w:type="dxa"/>
                    <w:left w:w="51" w:type="dxa"/>
                    <w:bottom w:w="0" w:type="dxa"/>
                    <w:right w:w="51" w:type="dxa"/>
                  </w:tcMar>
                  <w:vAlign w:val="center"/>
                </w:tcPr>
                <w:p w14:paraId="37A5FC4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氯乙烯</w:t>
                  </w:r>
                </w:p>
              </w:tc>
              <w:tc>
                <w:tcPr>
                  <w:tcW w:w="533" w:type="pct"/>
                  <w:tcBorders>
                    <w:tl2br w:val="nil"/>
                    <w:tr2bl w:val="nil"/>
                  </w:tcBorders>
                  <w:shd w:val="clear" w:color="auto" w:fill="auto"/>
                  <w:noWrap/>
                  <w:tcMar>
                    <w:top w:w="0" w:type="dxa"/>
                    <w:left w:w="51" w:type="dxa"/>
                    <w:bottom w:w="0" w:type="dxa"/>
                    <w:right w:w="51" w:type="dxa"/>
                  </w:tcMar>
                  <w:vAlign w:val="center"/>
                </w:tcPr>
                <w:p w14:paraId="4D2D49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mL</w:t>
                  </w:r>
                </w:p>
              </w:tc>
              <w:tc>
                <w:tcPr>
                  <w:tcW w:w="716" w:type="pct"/>
                  <w:tcBorders>
                    <w:tl2br w:val="nil"/>
                    <w:tr2bl w:val="nil"/>
                  </w:tcBorders>
                  <w:shd w:val="clear" w:color="auto" w:fill="auto"/>
                  <w:noWrap/>
                  <w:tcMar>
                    <w:top w:w="0" w:type="dxa"/>
                    <w:left w:w="51" w:type="dxa"/>
                    <w:bottom w:w="0" w:type="dxa"/>
                    <w:right w:w="51" w:type="dxa"/>
                  </w:tcMar>
                  <w:vAlign w:val="center"/>
                </w:tcPr>
                <w:p w14:paraId="6DAE9A3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6791F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1DD45E7">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692721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10761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C2653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146</w:t>
                  </w:r>
                </w:p>
              </w:tc>
              <w:tc>
                <w:tcPr>
                  <w:tcW w:w="1210" w:type="pct"/>
                  <w:tcBorders>
                    <w:tl2br w:val="nil"/>
                    <w:tr2bl w:val="nil"/>
                  </w:tcBorders>
                  <w:shd w:val="clear" w:color="auto" w:fill="auto"/>
                  <w:noWrap/>
                  <w:tcMar>
                    <w:top w:w="0" w:type="dxa"/>
                    <w:left w:w="51" w:type="dxa"/>
                    <w:bottom w:w="0" w:type="dxa"/>
                    <w:right w:w="51" w:type="dxa"/>
                  </w:tcMar>
                  <w:vAlign w:val="center"/>
                </w:tcPr>
                <w:p w14:paraId="711EFBA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水杨酸</w:t>
                  </w:r>
                </w:p>
              </w:tc>
              <w:tc>
                <w:tcPr>
                  <w:tcW w:w="533" w:type="pct"/>
                  <w:tcBorders>
                    <w:tl2br w:val="nil"/>
                    <w:tr2bl w:val="nil"/>
                  </w:tcBorders>
                  <w:shd w:val="clear" w:color="auto" w:fill="auto"/>
                  <w:noWrap/>
                  <w:tcMar>
                    <w:top w:w="0" w:type="dxa"/>
                    <w:left w:w="51" w:type="dxa"/>
                    <w:bottom w:w="0" w:type="dxa"/>
                    <w:right w:w="51" w:type="dxa"/>
                  </w:tcMar>
                  <w:vAlign w:val="center"/>
                </w:tcPr>
                <w:p w14:paraId="50C151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5D5E7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548D6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D7866D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5FABF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18659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0ADE1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147</w:t>
                  </w:r>
                </w:p>
              </w:tc>
              <w:tc>
                <w:tcPr>
                  <w:tcW w:w="1210" w:type="pct"/>
                  <w:tcBorders>
                    <w:tl2br w:val="nil"/>
                    <w:tr2bl w:val="nil"/>
                  </w:tcBorders>
                  <w:shd w:val="clear" w:color="auto" w:fill="auto"/>
                  <w:noWrap/>
                  <w:tcMar>
                    <w:top w:w="0" w:type="dxa"/>
                    <w:left w:w="51" w:type="dxa"/>
                    <w:bottom w:w="0" w:type="dxa"/>
                    <w:right w:w="51" w:type="dxa"/>
                  </w:tcMar>
                  <w:vAlign w:val="center"/>
                </w:tcPr>
                <w:p w14:paraId="620FA38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水杨基</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荧光</w:t>
                  </w:r>
                  <w:r>
                    <w:rPr>
                      <w:rFonts w:hint="default" w:ascii="Times New Roman" w:hAnsi="Times New Roman" w:eastAsia="宋体" w:cs="Times New Roman"/>
                      <w:i w:val="0"/>
                      <w:iCs w:val="0"/>
                      <w:color w:val="auto"/>
                      <w:kern w:val="0"/>
                      <w:sz w:val="21"/>
                      <w:szCs w:val="21"/>
                      <w:highlight w:val="none"/>
                      <w:u w:val="none"/>
                      <w:lang w:val="en-US" w:eastAsia="zh-CN" w:bidi="ar"/>
                    </w:rPr>
                    <w:t>酮</w:t>
                  </w:r>
                </w:p>
              </w:tc>
              <w:tc>
                <w:tcPr>
                  <w:tcW w:w="533" w:type="pct"/>
                  <w:tcBorders>
                    <w:tl2br w:val="nil"/>
                    <w:tr2bl w:val="nil"/>
                  </w:tcBorders>
                  <w:shd w:val="clear" w:color="auto" w:fill="auto"/>
                  <w:noWrap/>
                  <w:tcMar>
                    <w:top w:w="0" w:type="dxa"/>
                    <w:left w:w="51" w:type="dxa"/>
                    <w:bottom w:w="0" w:type="dxa"/>
                    <w:right w:w="51" w:type="dxa"/>
                  </w:tcMar>
                  <w:vAlign w:val="center"/>
                </w:tcPr>
                <w:p w14:paraId="24D1A0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7D902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07234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104304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F03383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FCC7E7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AA879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148</w:t>
                  </w:r>
                </w:p>
              </w:tc>
              <w:tc>
                <w:tcPr>
                  <w:tcW w:w="1210" w:type="pct"/>
                  <w:tcBorders>
                    <w:tl2br w:val="nil"/>
                    <w:tr2bl w:val="nil"/>
                  </w:tcBorders>
                  <w:shd w:val="clear" w:color="auto" w:fill="auto"/>
                  <w:noWrap/>
                  <w:tcMar>
                    <w:top w:w="0" w:type="dxa"/>
                    <w:left w:w="51" w:type="dxa"/>
                    <w:bottom w:w="0" w:type="dxa"/>
                    <w:right w:w="51" w:type="dxa"/>
                  </w:tcMar>
                  <w:vAlign w:val="center"/>
                </w:tcPr>
                <w:p w14:paraId="6F62920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盐酸肼</w:t>
                  </w:r>
                </w:p>
              </w:tc>
              <w:tc>
                <w:tcPr>
                  <w:tcW w:w="533" w:type="pct"/>
                  <w:tcBorders>
                    <w:tl2br w:val="nil"/>
                    <w:tr2bl w:val="nil"/>
                  </w:tcBorders>
                  <w:shd w:val="clear" w:color="auto" w:fill="auto"/>
                  <w:noWrap/>
                  <w:tcMar>
                    <w:top w:w="0" w:type="dxa"/>
                    <w:left w:w="51" w:type="dxa"/>
                    <w:bottom w:w="0" w:type="dxa"/>
                    <w:right w:w="51" w:type="dxa"/>
                  </w:tcMar>
                  <w:vAlign w:val="center"/>
                </w:tcPr>
                <w:p w14:paraId="7211AF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F688F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3543D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F4C3C6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26E1FC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63C94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6F845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149</w:t>
                  </w:r>
                </w:p>
              </w:tc>
              <w:tc>
                <w:tcPr>
                  <w:tcW w:w="1210" w:type="pct"/>
                  <w:tcBorders>
                    <w:tl2br w:val="nil"/>
                    <w:tr2bl w:val="nil"/>
                  </w:tcBorders>
                  <w:shd w:val="clear" w:color="auto" w:fill="auto"/>
                  <w:noWrap/>
                  <w:tcMar>
                    <w:top w:w="0" w:type="dxa"/>
                    <w:left w:w="51" w:type="dxa"/>
                    <w:bottom w:w="0" w:type="dxa"/>
                    <w:right w:w="51" w:type="dxa"/>
                  </w:tcMar>
                  <w:vAlign w:val="center"/>
                </w:tcPr>
                <w:p w14:paraId="4E7891A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盐酸萘乙二胺</w:t>
                  </w:r>
                </w:p>
              </w:tc>
              <w:tc>
                <w:tcPr>
                  <w:tcW w:w="533" w:type="pct"/>
                  <w:tcBorders>
                    <w:tl2br w:val="nil"/>
                    <w:tr2bl w:val="nil"/>
                  </w:tcBorders>
                  <w:shd w:val="clear" w:color="auto" w:fill="auto"/>
                  <w:noWrap/>
                  <w:tcMar>
                    <w:top w:w="0" w:type="dxa"/>
                    <w:left w:w="51" w:type="dxa"/>
                    <w:bottom w:w="0" w:type="dxa"/>
                    <w:right w:w="51" w:type="dxa"/>
                  </w:tcMar>
                  <w:vAlign w:val="center"/>
                </w:tcPr>
                <w:p w14:paraId="37D9C4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05885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DBD458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770594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688891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1903C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98A2E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150</w:t>
                  </w:r>
                </w:p>
              </w:tc>
              <w:tc>
                <w:tcPr>
                  <w:tcW w:w="1210" w:type="pct"/>
                  <w:tcBorders>
                    <w:tl2br w:val="nil"/>
                    <w:tr2bl w:val="nil"/>
                  </w:tcBorders>
                  <w:shd w:val="clear" w:color="auto" w:fill="auto"/>
                  <w:noWrap/>
                  <w:tcMar>
                    <w:top w:w="0" w:type="dxa"/>
                    <w:left w:w="51" w:type="dxa"/>
                    <w:bottom w:w="0" w:type="dxa"/>
                    <w:right w:w="51" w:type="dxa"/>
                  </w:tcMar>
                  <w:vAlign w:val="center"/>
                </w:tcPr>
                <w:p w14:paraId="315B657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盐酸羟胺</w:t>
                  </w:r>
                </w:p>
              </w:tc>
              <w:tc>
                <w:tcPr>
                  <w:tcW w:w="533" w:type="pct"/>
                  <w:tcBorders>
                    <w:tl2br w:val="nil"/>
                    <w:tr2bl w:val="nil"/>
                  </w:tcBorders>
                  <w:shd w:val="clear" w:color="auto" w:fill="auto"/>
                  <w:noWrap/>
                  <w:tcMar>
                    <w:top w:w="0" w:type="dxa"/>
                    <w:left w:w="51" w:type="dxa"/>
                    <w:bottom w:w="0" w:type="dxa"/>
                    <w:right w:w="51" w:type="dxa"/>
                  </w:tcMar>
                  <w:vAlign w:val="center"/>
                </w:tcPr>
                <w:p w14:paraId="583EA6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E6F7D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E3925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57DF58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48B9A9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165B7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00BAF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151</w:t>
                  </w:r>
                </w:p>
              </w:tc>
              <w:tc>
                <w:tcPr>
                  <w:tcW w:w="1210" w:type="pct"/>
                  <w:tcBorders>
                    <w:tl2br w:val="nil"/>
                    <w:tr2bl w:val="nil"/>
                  </w:tcBorders>
                  <w:shd w:val="clear" w:color="auto" w:fill="auto"/>
                  <w:noWrap/>
                  <w:tcMar>
                    <w:top w:w="0" w:type="dxa"/>
                    <w:left w:w="51" w:type="dxa"/>
                    <w:bottom w:w="0" w:type="dxa"/>
                    <w:right w:w="51" w:type="dxa"/>
                  </w:tcMar>
                  <w:vAlign w:val="center"/>
                </w:tcPr>
                <w:p w14:paraId="37ED07D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铬黑T</w:t>
                  </w:r>
                </w:p>
              </w:tc>
              <w:tc>
                <w:tcPr>
                  <w:tcW w:w="533" w:type="pct"/>
                  <w:tcBorders>
                    <w:tl2br w:val="nil"/>
                    <w:tr2bl w:val="nil"/>
                  </w:tcBorders>
                  <w:shd w:val="clear" w:color="auto" w:fill="auto"/>
                  <w:noWrap/>
                  <w:tcMar>
                    <w:top w:w="0" w:type="dxa"/>
                    <w:left w:w="51" w:type="dxa"/>
                    <w:bottom w:w="0" w:type="dxa"/>
                    <w:right w:w="51" w:type="dxa"/>
                  </w:tcMar>
                  <w:vAlign w:val="center"/>
                </w:tcPr>
                <w:p w14:paraId="4DC4CC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36CFF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7FC23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AC7481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9AFE2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FACDA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F1CCFE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152</w:t>
                  </w:r>
                </w:p>
              </w:tc>
              <w:tc>
                <w:tcPr>
                  <w:tcW w:w="1210" w:type="pct"/>
                  <w:tcBorders>
                    <w:tl2br w:val="nil"/>
                    <w:tr2bl w:val="nil"/>
                  </w:tcBorders>
                  <w:shd w:val="clear" w:color="auto" w:fill="auto"/>
                  <w:noWrap/>
                  <w:tcMar>
                    <w:top w:w="0" w:type="dxa"/>
                    <w:left w:w="51" w:type="dxa"/>
                    <w:bottom w:w="0" w:type="dxa"/>
                    <w:right w:w="51" w:type="dxa"/>
                  </w:tcMar>
                  <w:vAlign w:val="center"/>
                </w:tcPr>
                <w:p w14:paraId="1703390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麝香草酚</w:t>
                  </w:r>
                </w:p>
              </w:tc>
              <w:tc>
                <w:tcPr>
                  <w:tcW w:w="533" w:type="pct"/>
                  <w:tcBorders>
                    <w:tl2br w:val="nil"/>
                    <w:tr2bl w:val="nil"/>
                  </w:tcBorders>
                  <w:shd w:val="clear" w:color="auto" w:fill="auto"/>
                  <w:noWrap/>
                  <w:tcMar>
                    <w:top w:w="0" w:type="dxa"/>
                    <w:left w:w="51" w:type="dxa"/>
                    <w:bottom w:w="0" w:type="dxa"/>
                    <w:right w:w="51" w:type="dxa"/>
                  </w:tcMar>
                  <w:vAlign w:val="center"/>
                </w:tcPr>
                <w:p w14:paraId="16896C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89FCF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1B5E7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1F9B44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FBB084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06FC3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DD309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153</w:t>
                  </w:r>
                </w:p>
              </w:tc>
              <w:tc>
                <w:tcPr>
                  <w:tcW w:w="1210" w:type="pct"/>
                  <w:tcBorders>
                    <w:tl2br w:val="nil"/>
                    <w:tr2bl w:val="nil"/>
                  </w:tcBorders>
                  <w:shd w:val="clear" w:color="auto" w:fill="auto"/>
                  <w:noWrap/>
                  <w:tcMar>
                    <w:top w:w="0" w:type="dxa"/>
                    <w:left w:w="51" w:type="dxa"/>
                    <w:bottom w:w="0" w:type="dxa"/>
                    <w:right w:w="51" w:type="dxa"/>
                  </w:tcMar>
                  <w:vAlign w:val="center"/>
                </w:tcPr>
                <w:p w14:paraId="7C65EC6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氢氧化锆</w:t>
                  </w:r>
                </w:p>
              </w:tc>
              <w:tc>
                <w:tcPr>
                  <w:tcW w:w="533" w:type="pct"/>
                  <w:tcBorders>
                    <w:tl2br w:val="nil"/>
                    <w:tr2bl w:val="nil"/>
                  </w:tcBorders>
                  <w:shd w:val="clear" w:color="auto" w:fill="auto"/>
                  <w:noWrap/>
                  <w:tcMar>
                    <w:top w:w="0" w:type="dxa"/>
                    <w:left w:w="51" w:type="dxa"/>
                    <w:bottom w:w="0" w:type="dxa"/>
                    <w:right w:w="51" w:type="dxa"/>
                  </w:tcMar>
                  <w:vAlign w:val="center"/>
                </w:tcPr>
                <w:p w14:paraId="340EA6A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DC29B9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EF46E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E46376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2DAD7F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CB17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16B0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154</w:t>
                  </w:r>
                </w:p>
              </w:tc>
              <w:tc>
                <w:tcPr>
                  <w:tcW w:w="1210" w:type="pct"/>
                  <w:tcBorders>
                    <w:tl2br w:val="nil"/>
                    <w:tr2bl w:val="nil"/>
                  </w:tcBorders>
                  <w:shd w:val="clear" w:color="auto" w:fill="auto"/>
                  <w:noWrap/>
                  <w:tcMar>
                    <w:top w:w="0" w:type="dxa"/>
                    <w:left w:w="51" w:type="dxa"/>
                    <w:bottom w:w="0" w:type="dxa"/>
                    <w:right w:w="51" w:type="dxa"/>
                  </w:tcMar>
                  <w:vAlign w:val="center"/>
                </w:tcPr>
                <w:p w14:paraId="4BFAEE5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氢氧化钡</w:t>
                  </w:r>
                </w:p>
              </w:tc>
              <w:tc>
                <w:tcPr>
                  <w:tcW w:w="533" w:type="pct"/>
                  <w:tcBorders>
                    <w:tl2br w:val="nil"/>
                    <w:tr2bl w:val="nil"/>
                  </w:tcBorders>
                  <w:shd w:val="clear" w:color="auto" w:fill="auto"/>
                  <w:noWrap/>
                  <w:tcMar>
                    <w:top w:w="0" w:type="dxa"/>
                    <w:left w:w="51" w:type="dxa"/>
                    <w:bottom w:w="0" w:type="dxa"/>
                    <w:right w:w="51" w:type="dxa"/>
                  </w:tcMar>
                  <w:vAlign w:val="center"/>
                </w:tcPr>
                <w:p w14:paraId="3290A3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F0932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76A10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31D156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4242AA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D77AE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DCB62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155</w:t>
                  </w:r>
                </w:p>
              </w:tc>
              <w:tc>
                <w:tcPr>
                  <w:tcW w:w="1210" w:type="pct"/>
                  <w:tcBorders>
                    <w:tl2br w:val="nil"/>
                    <w:tr2bl w:val="nil"/>
                  </w:tcBorders>
                  <w:shd w:val="clear" w:color="auto" w:fill="auto"/>
                  <w:noWrap/>
                  <w:tcMar>
                    <w:top w:w="0" w:type="dxa"/>
                    <w:left w:w="51" w:type="dxa"/>
                    <w:bottom w:w="0" w:type="dxa"/>
                    <w:right w:w="51" w:type="dxa"/>
                  </w:tcMar>
                  <w:vAlign w:val="center"/>
                </w:tcPr>
                <w:p w14:paraId="65D3968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4-氨基苯磺酰胺</w:t>
                  </w:r>
                </w:p>
              </w:tc>
              <w:tc>
                <w:tcPr>
                  <w:tcW w:w="533" w:type="pct"/>
                  <w:tcBorders>
                    <w:tl2br w:val="nil"/>
                    <w:tr2bl w:val="nil"/>
                  </w:tcBorders>
                  <w:shd w:val="clear" w:color="auto" w:fill="auto"/>
                  <w:noWrap/>
                  <w:tcMar>
                    <w:top w:w="0" w:type="dxa"/>
                    <w:left w:w="51" w:type="dxa"/>
                    <w:bottom w:w="0" w:type="dxa"/>
                    <w:right w:w="51" w:type="dxa"/>
                  </w:tcMar>
                  <w:vAlign w:val="center"/>
                </w:tcPr>
                <w:p w14:paraId="762CCD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39F185B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A2F8A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7D0AD1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E7E368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42F90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D404B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156</w:t>
                  </w:r>
                </w:p>
              </w:tc>
              <w:tc>
                <w:tcPr>
                  <w:tcW w:w="1210" w:type="pct"/>
                  <w:tcBorders>
                    <w:tl2br w:val="nil"/>
                    <w:tr2bl w:val="nil"/>
                  </w:tcBorders>
                  <w:shd w:val="clear" w:color="auto" w:fill="auto"/>
                  <w:noWrap/>
                  <w:tcMar>
                    <w:top w:w="0" w:type="dxa"/>
                    <w:left w:w="51" w:type="dxa"/>
                    <w:bottom w:w="0" w:type="dxa"/>
                    <w:right w:w="51" w:type="dxa"/>
                  </w:tcMar>
                  <w:vAlign w:val="center"/>
                </w:tcPr>
                <w:p w14:paraId="1881BE0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4-氨基安替比林</w:t>
                  </w:r>
                </w:p>
              </w:tc>
              <w:tc>
                <w:tcPr>
                  <w:tcW w:w="533" w:type="pct"/>
                  <w:tcBorders>
                    <w:tl2br w:val="nil"/>
                    <w:tr2bl w:val="nil"/>
                  </w:tcBorders>
                  <w:shd w:val="clear" w:color="auto" w:fill="auto"/>
                  <w:noWrap/>
                  <w:tcMar>
                    <w:top w:w="0" w:type="dxa"/>
                    <w:left w:w="51" w:type="dxa"/>
                    <w:bottom w:w="0" w:type="dxa"/>
                    <w:right w:w="51" w:type="dxa"/>
                  </w:tcMar>
                  <w:vAlign w:val="center"/>
                </w:tcPr>
                <w:p w14:paraId="3FEEAC4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E372F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90369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0F0630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C0713D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6FCF1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0A7956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157</w:t>
                  </w:r>
                </w:p>
              </w:tc>
              <w:tc>
                <w:tcPr>
                  <w:tcW w:w="1210" w:type="pct"/>
                  <w:tcBorders>
                    <w:tl2br w:val="nil"/>
                    <w:tr2bl w:val="nil"/>
                  </w:tcBorders>
                  <w:shd w:val="clear" w:color="auto" w:fill="auto"/>
                  <w:noWrap/>
                  <w:tcMar>
                    <w:top w:w="0" w:type="dxa"/>
                    <w:left w:w="51" w:type="dxa"/>
                    <w:bottom w:w="0" w:type="dxa"/>
                    <w:right w:w="51" w:type="dxa"/>
                  </w:tcMar>
                  <w:vAlign w:val="center"/>
                </w:tcPr>
                <w:p w14:paraId="7FB34A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硝酸锌</w:t>
                  </w:r>
                </w:p>
              </w:tc>
              <w:tc>
                <w:tcPr>
                  <w:tcW w:w="533" w:type="pct"/>
                  <w:tcBorders>
                    <w:tl2br w:val="nil"/>
                    <w:tr2bl w:val="nil"/>
                  </w:tcBorders>
                  <w:shd w:val="clear" w:color="auto" w:fill="auto"/>
                  <w:noWrap/>
                  <w:tcMar>
                    <w:top w:w="0" w:type="dxa"/>
                    <w:left w:w="51" w:type="dxa"/>
                    <w:bottom w:w="0" w:type="dxa"/>
                    <w:right w:w="51" w:type="dxa"/>
                  </w:tcMar>
                  <w:vAlign w:val="center"/>
                </w:tcPr>
                <w:p w14:paraId="0FC67C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0g</w:t>
                  </w:r>
                </w:p>
              </w:tc>
              <w:tc>
                <w:tcPr>
                  <w:tcW w:w="716" w:type="pct"/>
                  <w:tcBorders>
                    <w:tl2br w:val="nil"/>
                    <w:tr2bl w:val="nil"/>
                  </w:tcBorders>
                  <w:shd w:val="clear" w:color="auto" w:fill="auto"/>
                  <w:noWrap/>
                  <w:tcMar>
                    <w:top w:w="0" w:type="dxa"/>
                    <w:left w:w="51" w:type="dxa"/>
                    <w:bottom w:w="0" w:type="dxa"/>
                    <w:right w:w="51" w:type="dxa"/>
                  </w:tcMar>
                  <w:vAlign w:val="center"/>
                </w:tcPr>
                <w:p w14:paraId="788B1C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8C045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20CBF7F">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87F287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E644C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C1A2D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158</w:t>
                  </w:r>
                </w:p>
              </w:tc>
              <w:tc>
                <w:tcPr>
                  <w:tcW w:w="1210" w:type="pct"/>
                  <w:tcBorders>
                    <w:tl2br w:val="nil"/>
                    <w:tr2bl w:val="nil"/>
                  </w:tcBorders>
                  <w:shd w:val="clear" w:color="auto" w:fill="auto"/>
                  <w:noWrap/>
                  <w:tcMar>
                    <w:top w:w="0" w:type="dxa"/>
                    <w:left w:w="51" w:type="dxa"/>
                    <w:bottom w:w="0" w:type="dxa"/>
                    <w:right w:w="51" w:type="dxa"/>
                  </w:tcMar>
                  <w:vAlign w:val="center"/>
                </w:tcPr>
                <w:p w14:paraId="5D44CE4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硝酸钠</w:t>
                  </w:r>
                </w:p>
              </w:tc>
              <w:tc>
                <w:tcPr>
                  <w:tcW w:w="533" w:type="pct"/>
                  <w:tcBorders>
                    <w:tl2br w:val="nil"/>
                    <w:tr2bl w:val="nil"/>
                  </w:tcBorders>
                  <w:shd w:val="clear" w:color="auto" w:fill="auto"/>
                  <w:noWrap/>
                  <w:tcMar>
                    <w:top w:w="0" w:type="dxa"/>
                    <w:left w:w="51" w:type="dxa"/>
                    <w:bottom w:w="0" w:type="dxa"/>
                    <w:right w:w="51" w:type="dxa"/>
                  </w:tcMar>
                  <w:vAlign w:val="center"/>
                </w:tcPr>
                <w:p w14:paraId="13E963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D6158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51180A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F17789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C852D9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2EB5C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190010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159</w:t>
                  </w:r>
                </w:p>
              </w:tc>
              <w:tc>
                <w:tcPr>
                  <w:tcW w:w="1210" w:type="pct"/>
                  <w:tcBorders>
                    <w:tl2br w:val="nil"/>
                    <w:tr2bl w:val="nil"/>
                  </w:tcBorders>
                  <w:shd w:val="clear" w:color="auto" w:fill="auto"/>
                  <w:noWrap/>
                  <w:tcMar>
                    <w:top w:w="0" w:type="dxa"/>
                    <w:left w:w="51" w:type="dxa"/>
                    <w:bottom w:w="0" w:type="dxa"/>
                    <w:right w:w="51" w:type="dxa"/>
                  </w:tcMar>
                  <w:vAlign w:val="center"/>
                </w:tcPr>
                <w:p w14:paraId="400F835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硝酸镧</w:t>
                  </w:r>
                </w:p>
              </w:tc>
              <w:tc>
                <w:tcPr>
                  <w:tcW w:w="533" w:type="pct"/>
                  <w:tcBorders>
                    <w:tl2br w:val="nil"/>
                    <w:tr2bl w:val="nil"/>
                  </w:tcBorders>
                  <w:shd w:val="clear" w:color="auto" w:fill="auto"/>
                  <w:noWrap/>
                  <w:tcMar>
                    <w:top w:w="0" w:type="dxa"/>
                    <w:left w:w="51" w:type="dxa"/>
                    <w:bottom w:w="0" w:type="dxa"/>
                    <w:right w:w="51" w:type="dxa"/>
                  </w:tcMar>
                  <w:vAlign w:val="center"/>
                </w:tcPr>
                <w:p w14:paraId="4B138BE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F0866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77AE7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4DF81E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AFC4E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5CE3C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8A7D07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w:t>
                  </w:r>
                </w:p>
              </w:tc>
              <w:tc>
                <w:tcPr>
                  <w:tcW w:w="1210" w:type="pct"/>
                  <w:tcBorders>
                    <w:tl2br w:val="nil"/>
                    <w:tr2bl w:val="nil"/>
                  </w:tcBorders>
                  <w:shd w:val="clear" w:color="auto" w:fill="auto"/>
                  <w:noWrap/>
                  <w:tcMar>
                    <w:top w:w="0" w:type="dxa"/>
                    <w:left w:w="51" w:type="dxa"/>
                    <w:bottom w:w="0" w:type="dxa"/>
                    <w:right w:w="51" w:type="dxa"/>
                  </w:tcMar>
                  <w:vAlign w:val="center"/>
                </w:tcPr>
                <w:p w14:paraId="37AD14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三氧化铬</w:t>
                  </w:r>
                </w:p>
              </w:tc>
              <w:tc>
                <w:tcPr>
                  <w:tcW w:w="533" w:type="pct"/>
                  <w:tcBorders>
                    <w:tl2br w:val="nil"/>
                    <w:tr2bl w:val="nil"/>
                  </w:tcBorders>
                  <w:shd w:val="clear" w:color="auto" w:fill="auto"/>
                  <w:noWrap/>
                  <w:tcMar>
                    <w:top w:w="0" w:type="dxa"/>
                    <w:left w:w="51" w:type="dxa"/>
                    <w:bottom w:w="0" w:type="dxa"/>
                    <w:right w:w="51" w:type="dxa"/>
                  </w:tcMar>
                  <w:vAlign w:val="center"/>
                </w:tcPr>
                <w:p w14:paraId="27D944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1A713D6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4B5A03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0CDC87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C8F4C9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E2FC2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A488F8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161</w:t>
                  </w:r>
                </w:p>
              </w:tc>
              <w:tc>
                <w:tcPr>
                  <w:tcW w:w="1210" w:type="pct"/>
                  <w:tcBorders>
                    <w:tl2br w:val="nil"/>
                    <w:tr2bl w:val="nil"/>
                  </w:tcBorders>
                  <w:shd w:val="clear" w:color="auto" w:fill="auto"/>
                  <w:noWrap/>
                  <w:tcMar>
                    <w:top w:w="0" w:type="dxa"/>
                    <w:left w:w="51" w:type="dxa"/>
                    <w:bottom w:w="0" w:type="dxa"/>
                    <w:right w:w="51" w:type="dxa"/>
                  </w:tcMar>
                  <w:vAlign w:val="center"/>
                </w:tcPr>
                <w:p w14:paraId="412FEFB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氧化亚锡</w:t>
                  </w:r>
                </w:p>
              </w:tc>
              <w:tc>
                <w:tcPr>
                  <w:tcW w:w="533" w:type="pct"/>
                  <w:tcBorders>
                    <w:tl2br w:val="nil"/>
                    <w:tr2bl w:val="nil"/>
                  </w:tcBorders>
                  <w:shd w:val="clear" w:color="auto" w:fill="auto"/>
                  <w:noWrap/>
                  <w:tcMar>
                    <w:top w:w="0" w:type="dxa"/>
                    <w:left w:w="51" w:type="dxa"/>
                    <w:bottom w:w="0" w:type="dxa"/>
                    <w:right w:w="51" w:type="dxa"/>
                  </w:tcMar>
                  <w:vAlign w:val="center"/>
                </w:tcPr>
                <w:p w14:paraId="11663D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9151DC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379EA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EAA20E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813A95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DB690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55A87D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162</w:t>
                  </w:r>
                </w:p>
              </w:tc>
              <w:tc>
                <w:tcPr>
                  <w:tcW w:w="1210" w:type="pct"/>
                  <w:tcBorders>
                    <w:tl2br w:val="nil"/>
                    <w:tr2bl w:val="nil"/>
                  </w:tcBorders>
                  <w:shd w:val="clear" w:color="auto" w:fill="auto"/>
                  <w:noWrap/>
                  <w:tcMar>
                    <w:top w:w="0" w:type="dxa"/>
                    <w:left w:w="51" w:type="dxa"/>
                    <w:bottom w:w="0" w:type="dxa"/>
                    <w:right w:w="51" w:type="dxa"/>
                  </w:tcMar>
                  <w:vAlign w:val="center"/>
                </w:tcPr>
                <w:p w14:paraId="329E5D4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石英砂</w:t>
                  </w:r>
                </w:p>
              </w:tc>
              <w:tc>
                <w:tcPr>
                  <w:tcW w:w="533" w:type="pct"/>
                  <w:tcBorders>
                    <w:tl2br w:val="nil"/>
                    <w:tr2bl w:val="nil"/>
                  </w:tcBorders>
                  <w:shd w:val="clear" w:color="auto" w:fill="auto"/>
                  <w:noWrap/>
                  <w:tcMar>
                    <w:top w:w="0" w:type="dxa"/>
                    <w:left w:w="51" w:type="dxa"/>
                    <w:bottom w:w="0" w:type="dxa"/>
                    <w:right w:w="51" w:type="dxa"/>
                  </w:tcMar>
                  <w:vAlign w:val="center"/>
                </w:tcPr>
                <w:p w14:paraId="52B11E3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23E565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B4371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01D656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9D8C4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9A60F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9FF5C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163</w:t>
                  </w:r>
                </w:p>
              </w:tc>
              <w:tc>
                <w:tcPr>
                  <w:tcW w:w="1210" w:type="pct"/>
                  <w:tcBorders>
                    <w:tl2br w:val="nil"/>
                    <w:tr2bl w:val="nil"/>
                  </w:tcBorders>
                  <w:shd w:val="clear" w:color="auto" w:fill="auto"/>
                  <w:noWrap/>
                  <w:tcMar>
                    <w:top w:w="0" w:type="dxa"/>
                    <w:left w:w="51" w:type="dxa"/>
                    <w:bottom w:w="0" w:type="dxa"/>
                    <w:right w:w="51" w:type="dxa"/>
                  </w:tcMar>
                  <w:vAlign w:val="center"/>
                </w:tcPr>
                <w:p w14:paraId="1EF7F5A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二苯碳酰二肼</w:t>
                  </w:r>
                </w:p>
              </w:tc>
              <w:tc>
                <w:tcPr>
                  <w:tcW w:w="533" w:type="pct"/>
                  <w:tcBorders>
                    <w:tl2br w:val="nil"/>
                    <w:tr2bl w:val="nil"/>
                  </w:tcBorders>
                  <w:shd w:val="clear" w:color="auto" w:fill="auto"/>
                  <w:noWrap/>
                  <w:tcMar>
                    <w:top w:w="0" w:type="dxa"/>
                    <w:left w:w="51" w:type="dxa"/>
                    <w:bottom w:w="0" w:type="dxa"/>
                    <w:right w:w="51" w:type="dxa"/>
                  </w:tcMar>
                  <w:vAlign w:val="center"/>
                </w:tcPr>
                <w:p w14:paraId="691DAC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5648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BD52BE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EF99C7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545AA9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1FA31B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BDF1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164</w:t>
                  </w:r>
                </w:p>
              </w:tc>
              <w:tc>
                <w:tcPr>
                  <w:tcW w:w="1210" w:type="pct"/>
                  <w:tcBorders>
                    <w:tl2br w:val="nil"/>
                    <w:tr2bl w:val="nil"/>
                  </w:tcBorders>
                  <w:shd w:val="clear" w:color="auto" w:fill="auto"/>
                  <w:noWrap/>
                  <w:tcMar>
                    <w:top w:w="0" w:type="dxa"/>
                    <w:left w:w="51" w:type="dxa"/>
                    <w:bottom w:w="0" w:type="dxa"/>
                    <w:right w:w="51" w:type="dxa"/>
                  </w:tcMar>
                  <w:vAlign w:val="center"/>
                </w:tcPr>
                <w:p w14:paraId="68B4645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喹啉</w:t>
                  </w:r>
                </w:p>
              </w:tc>
              <w:tc>
                <w:tcPr>
                  <w:tcW w:w="533" w:type="pct"/>
                  <w:tcBorders>
                    <w:tl2br w:val="nil"/>
                    <w:tr2bl w:val="nil"/>
                  </w:tcBorders>
                  <w:shd w:val="clear" w:color="auto" w:fill="auto"/>
                  <w:noWrap/>
                  <w:tcMar>
                    <w:top w:w="0" w:type="dxa"/>
                    <w:left w:w="51" w:type="dxa"/>
                    <w:bottom w:w="0" w:type="dxa"/>
                    <w:right w:w="51" w:type="dxa"/>
                  </w:tcMar>
                  <w:vAlign w:val="center"/>
                </w:tcPr>
                <w:p w14:paraId="38D81C0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35FED80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7895B5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F1343A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488E6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7852A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2B489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165</w:t>
                  </w:r>
                </w:p>
              </w:tc>
              <w:tc>
                <w:tcPr>
                  <w:tcW w:w="1210" w:type="pct"/>
                  <w:tcBorders>
                    <w:tl2br w:val="nil"/>
                    <w:tr2bl w:val="nil"/>
                  </w:tcBorders>
                  <w:shd w:val="clear" w:color="auto" w:fill="auto"/>
                  <w:noWrap/>
                  <w:tcMar>
                    <w:top w:w="0" w:type="dxa"/>
                    <w:left w:w="51" w:type="dxa"/>
                    <w:bottom w:w="0" w:type="dxa"/>
                    <w:right w:w="51" w:type="dxa"/>
                  </w:tcMar>
                  <w:vAlign w:val="center"/>
                </w:tcPr>
                <w:p w14:paraId="0BF0090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聚乙二醇</w:t>
                  </w:r>
                </w:p>
              </w:tc>
              <w:tc>
                <w:tcPr>
                  <w:tcW w:w="533" w:type="pct"/>
                  <w:tcBorders>
                    <w:tl2br w:val="nil"/>
                    <w:tr2bl w:val="nil"/>
                  </w:tcBorders>
                  <w:shd w:val="clear" w:color="auto" w:fill="auto"/>
                  <w:noWrap/>
                  <w:tcMar>
                    <w:top w:w="0" w:type="dxa"/>
                    <w:left w:w="51" w:type="dxa"/>
                    <w:bottom w:w="0" w:type="dxa"/>
                    <w:right w:w="51" w:type="dxa"/>
                  </w:tcMar>
                  <w:vAlign w:val="center"/>
                </w:tcPr>
                <w:p w14:paraId="2A7EE7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80F66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1D6DA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291004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CF16C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AC055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D9ABCB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166</w:t>
                  </w:r>
                </w:p>
              </w:tc>
              <w:tc>
                <w:tcPr>
                  <w:tcW w:w="1210" w:type="pct"/>
                  <w:tcBorders>
                    <w:tl2br w:val="nil"/>
                    <w:tr2bl w:val="nil"/>
                  </w:tcBorders>
                  <w:shd w:val="clear" w:color="auto" w:fill="auto"/>
                  <w:noWrap/>
                  <w:tcMar>
                    <w:top w:w="0" w:type="dxa"/>
                    <w:left w:w="51" w:type="dxa"/>
                    <w:bottom w:w="0" w:type="dxa"/>
                    <w:right w:w="51" w:type="dxa"/>
                  </w:tcMar>
                  <w:vAlign w:val="center"/>
                </w:tcPr>
                <w:p w14:paraId="4BA9A77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靛蓝二磺酸钠</w:t>
                  </w:r>
                </w:p>
              </w:tc>
              <w:tc>
                <w:tcPr>
                  <w:tcW w:w="533" w:type="pct"/>
                  <w:tcBorders>
                    <w:tl2br w:val="nil"/>
                    <w:tr2bl w:val="nil"/>
                  </w:tcBorders>
                  <w:shd w:val="clear" w:color="auto" w:fill="auto"/>
                  <w:noWrap/>
                  <w:tcMar>
                    <w:top w:w="0" w:type="dxa"/>
                    <w:left w:w="51" w:type="dxa"/>
                    <w:bottom w:w="0" w:type="dxa"/>
                    <w:right w:w="51" w:type="dxa"/>
                  </w:tcMar>
                  <w:vAlign w:val="center"/>
                </w:tcPr>
                <w:p w14:paraId="6E449FC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503871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2D590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65A7AE1">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1D0CC7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68946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439BBD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167</w:t>
                  </w:r>
                </w:p>
              </w:tc>
              <w:tc>
                <w:tcPr>
                  <w:tcW w:w="1210" w:type="pct"/>
                  <w:tcBorders>
                    <w:tl2br w:val="nil"/>
                    <w:tr2bl w:val="nil"/>
                  </w:tcBorders>
                  <w:shd w:val="clear" w:color="auto" w:fill="auto"/>
                  <w:noWrap/>
                  <w:tcMar>
                    <w:top w:w="0" w:type="dxa"/>
                    <w:left w:w="51" w:type="dxa"/>
                    <w:bottom w:w="0" w:type="dxa"/>
                    <w:right w:w="51" w:type="dxa"/>
                  </w:tcMar>
                  <w:vAlign w:val="center"/>
                </w:tcPr>
                <w:p w14:paraId="5592297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二乙酰一肟</w:t>
                  </w:r>
                </w:p>
              </w:tc>
              <w:tc>
                <w:tcPr>
                  <w:tcW w:w="533" w:type="pct"/>
                  <w:tcBorders>
                    <w:tl2br w:val="nil"/>
                    <w:tr2bl w:val="nil"/>
                  </w:tcBorders>
                  <w:shd w:val="clear" w:color="auto" w:fill="auto"/>
                  <w:noWrap/>
                  <w:tcMar>
                    <w:top w:w="0" w:type="dxa"/>
                    <w:left w:w="51" w:type="dxa"/>
                    <w:bottom w:w="0" w:type="dxa"/>
                    <w:right w:w="51" w:type="dxa"/>
                  </w:tcMar>
                  <w:vAlign w:val="center"/>
                </w:tcPr>
                <w:p w14:paraId="093EC89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9D347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45236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EA9098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4D7861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97BD7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5"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FF3AEB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168</w:t>
                  </w:r>
                </w:p>
              </w:tc>
              <w:tc>
                <w:tcPr>
                  <w:tcW w:w="1210" w:type="pct"/>
                  <w:tcBorders>
                    <w:tl2br w:val="nil"/>
                    <w:tr2bl w:val="nil"/>
                  </w:tcBorders>
                  <w:shd w:val="clear" w:color="auto" w:fill="auto"/>
                  <w:noWrap/>
                  <w:tcMar>
                    <w:top w:w="0" w:type="dxa"/>
                    <w:left w:w="51" w:type="dxa"/>
                    <w:bottom w:w="0" w:type="dxa"/>
                    <w:right w:w="51" w:type="dxa"/>
                  </w:tcMar>
                  <w:vAlign w:val="center"/>
                </w:tcPr>
                <w:p w14:paraId="7E72AE7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二乙基二硫代氨基甲酸银</w:t>
                  </w:r>
                </w:p>
              </w:tc>
              <w:tc>
                <w:tcPr>
                  <w:tcW w:w="533" w:type="pct"/>
                  <w:tcBorders>
                    <w:tl2br w:val="nil"/>
                    <w:tr2bl w:val="nil"/>
                  </w:tcBorders>
                  <w:shd w:val="clear" w:color="auto" w:fill="auto"/>
                  <w:noWrap/>
                  <w:tcMar>
                    <w:top w:w="0" w:type="dxa"/>
                    <w:left w:w="51" w:type="dxa"/>
                    <w:bottom w:w="0" w:type="dxa"/>
                    <w:right w:w="51" w:type="dxa"/>
                  </w:tcMar>
                  <w:vAlign w:val="center"/>
                </w:tcPr>
                <w:p w14:paraId="26E5251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50275D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DF823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EA23DC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AF3C5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76F8F5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9"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D3BF8B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169</w:t>
                  </w:r>
                </w:p>
              </w:tc>
              <w:tc>
                <w:tcPr>
                  <w:tcW w:w="1210" w:type="pct"/>
                  <w:tcBorders>
                    <w:tl2br w:val="nil"/>
                    <w:tr2bl w:val="nil"/>
                  </w:tcBorders>
                  <w:shd w:val="clear" w:color="auto" w:fill="auto"/>
                  <w:noWrap/>
                  <w:tcMar>
                    <w:top w:w="0" w:type="dxa"/>
                    <w:left w:w="51" w:type="dxa"/>
                    <w:bottom w:w="0" w:type="dxa"/>
                    <w:right w:w="51" w:type="dxa"/>
                  </w:tcMar>
                  <w:vAlign w:val="center"/>
                </w:tcPr>
                <w:p w14:paraId="768849E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二乙基二硫代氨基甲酸钠</w:t>
                  </w:r>
                </w:p>
              </w:tc>
              <w:tc>
                <w:tcPr>
                  <w:tcW w:w="533" w:type="pct"/>
                  <w:tcBorders>
                    <w:tl2br w:val="nil"/>
                    <w:tr2bl w:val="nil"/>
                  </w:tcBorders>
                  <w:shd w:val="clear" w:color="auto" w:fill="auto"/>
                  <w:noWrap/>
                  <w:tcMar>
                    <w:top w:w="0" w:type="dxa"/>
                    <w:left w:w="51" w:type="dxa"/>
                    <w:bottom w:w="0" w:type="dxa"/>
                    <w:right w:w="51" w:type="dxa"/>
                  </w:tcMar>
                  <w:vAlign w:val="center"/>
                </w:tcPr>
                <w:p w14:paraId="3385597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A9C10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A0059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D4B6A6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C3CF9C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D6882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B198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170</w:t>
                  </w:r>
                </w:p>
              </w:tc>
              <w:tc>
                <w:tcPr>
                  <w:tcW w:w="1210" w:type="pct"/>
                  <w:tcBorders>
                    <w:tl2br w:val="nil"/>
                    <w:tr2bl w:val="nil"/>
                  </w:tcBorders>
                  <w:shd w:val="clear" w:color="auto" w:fill="auto"/>
                  <w:noWrap/>
                  <w:tcMar>
                    <w:top w:w="0" w:type="dxa"/>
                    <w:left w:w="51" w:type="dxa"/>
                    <w:bottom w:w="0" w:type="dxa"/>
                    <w:right w:w="51" w:type="dxa"/>
                  </w:tcMar>
                  <w:vAlign w:val="center"/>
                </w:tcPr>
                <w:p w14:paraId="51A181D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丁二酮肟</w:t>
                  </w:r>
                </w:p>
              </w:tc>
              <w:tc>
                <w:tcPr>
                  <w:tcW w:w="533" w:type="pct"/>
                  <w:tcBorders>
                    <w:tl2br w:val="nil"/>
                    <w:tr2bl w:val="nil"/>
                  </w:tcBorders>
                  <w:shd w:val="clear" w:color="auto" w:fill="auto"/>
                  <w:noWrap/>
                  <w:tcMar>
                    <w:top w:w="0" w:type="dxa"/>
                    <w:left w:w="51" w:type="dxa"/>
                    <w:bottom w:w="0" w:type="dxa"/>
                    <w:right w:w="51" w:type="dxa"/>
                  </w:tcMar>
                  <w:vAlign w:val="center"/>
                </w:tcPr>
                <w:p w14:paraId="4A0355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2721D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DD20C8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C4B4A09">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14627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113EB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65"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812A5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171</w:t>
                  </w:r>
                </w:p>
              </w:tc>
              <w:tc>
                <w:tcPr>
                  <w:tcW w:w="1210" w:type="pct"/>
                  <w:tcBorders>
                    <w:tl2br w:val="nil"/>
                    <w:tr2bl w:val="nil"/>
                  </w:tcBorders>
                  <w:shd w:val="clear" w:color="auto" w:fill="auto"/>
                  <w:noWrap/>
                  <w:tcMar>
                    <w:top w:w="0" w:type="dxa"/>
                    <w:left w:w="51" w:type="dxa"/>
                    <w:bottom w:w="0" w:type="dxa"/>
                    <w:right w:w="51" w:type="dxa"/>
                  </w:tcMar>
                  <w:vAlign w:val="center"/>
                </w:tcPr>
                <w:p w14:paraId="21F4FC3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吡咯二硫代氨基甲酸铵</w:t>
                  </w:r>
                </w:p>
              </w:tc>
              <w:tc>
                <w:tcPr>
                  <w:tcW w:w="533" w:type="pct"/>
                  <w:tcBorders>
                    <w:tl2br w:val="nil"/>
                    <w:tr2bl w:val="nil"/>
                  </w:tcBorders>
                  <w:shd w:val="clear" w:color="auto" w:fill="auto"/>
                  <w:noWrap/>
                  <w:tcMar>
                    <w:top w:w="0" w:type="dxa"/>
                    <w:left w:w="51" w:type="dxa"/>
                    <w:bottom w:w="0" w:type="dxa"/>
                    <w:right w:w="51" w:type="dxa"/>
                  </w:tcMar>
                  <w:vAlign w:val="center"/>
                </w:tcPr>
                <w:p w14:paraId="74FCCD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9B354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F9EC5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21D512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E682E0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0F243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36DA9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172</w:t>
                  </w:r>
                </w:p>
              </w:tc>
              <w:tc>
                <w:tcPr>
                  <w:tcW w:w="1210" w:type="pct"/>
                  <w:tcBorders>
                    <w:tl2br w:val="nil"/>
                    <w:tr2bl w:val="nil"/>
                  </w:tcBorders>
                  <w:shd w:val="clear" w:color="auto" w:fill="auto"/>
                  <w:noWrap/>
                  <w:tcMar>
                    <w:top w:w="0" w:type="dxa"/>
                    <w:left w:w="51" w:type="dxa"/>
                    <w:bottom w:w="0" w:type="dxa"/>
                    <w:right w:w="51" w:type="dxa"/>
                  </w:tcMar>
                  <w:vAlign w:val="center"/>
                </w:tcPr>
                <w:p w14:paraId="14643B5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无水硫酸铝</w:t>
                  </w:r>
                </w:p>
              </w:tc>
              <w:tc>
                <w:tcPr>
                  <w:tcW w:w="533" w:type="pct"/>
                  <w:tcBorders>
                    <w:tl2br w:val="nil"/>
                    <w:tr2bl w:val="nil"/>
                  </w:tcBorders>
                  <w:shd w:val="clear" w:color="auto" w:fill="auto"/>
                  <w:noWrap/>
                  <w:tcMar>
                    <w:top w:w="0" w:type="dxa"/>
                    <w:left w:w="51" w:type="dxa"/>
                    <w:bottom w:w="0" w:type="dxa"/>
                    <w:right w:w="51" w:type="dxa"/>
                  </w:tcMar>
                  <w:vAlign w:val="center"/>
                </w:tcPr>
                <w:p w14:paraId="1A59E9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EE17ED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5C176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C04433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D0847E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21F0C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798A91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173</w:t>
                  </w:r>
                </w:p>
              </w:tc>
              <w:tc>
                <w:tcPr>
                  <w:tcW w:w="1210" w:type="pct"/>
                  <w:tcBorders>
                    <w:tl2br w:val="nil"/>
                    <w:tr2bl w:val="nil"/>
                  </w:tcBorders>
                  <w:shd w:val="clear" w:color="auto" w:fill="auto"/>
                  <w:noWrap/>
                  <w:tcMar>
                    <w:top w:w="0" w:type="dxa"/>
                    <w:left w:w="51" w:type="dxa"/>
                    <w:bottom w:w="0" w:type="dxa"/>
                    <w:right w:w="51" w:type="dxa"/>
                  </w:tcMar>
                  <w:vAlign w:val="center"/>
                </w:tcPr>
                <w:p w14:paraId="7419C29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硫酸锰</w:t>
                  </w:r>
                </w:p>
              </w:tc>
              <w:tc>
                <w:tcPr>
                  <w:tcW w:w="533" w:type="pct"/>
                  <w:tcBorders>
                    <w:tl2br w:val="nil"/>
                    <w:tr2bl w:val="nil"/>
                  </w:tcBorders>
                  <w:shd w:val="clear" w:color="auto" w:fill="auto"/>
                  <w:noWrap/>
                  <w:tcMar>
                    <w:top w:w="0" w:type="dxa"/>
                    <w:left w:w="51" w:type="dxa"/>
                    <w:bottom w:w="0" w:type="dxa"/>
                    <w:right w:w="51" w:type="dxa"/>
                  </w:tcMar>
                  <w:vAlign w:val="center"/>
                </w:tcPr>
                <w:p w14:paraId="348DA3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1E35D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445F1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4B2179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A1AAB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8C507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73C67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174</w:t>
                  </w:r>
                </w:p>
              </w:tc>
              <w:tc>
                <w:tcPr>
                  <w:tcW w:w="1210" w:type="pct"/>
                  <w:tcBorders>
                    <w:tl2br w:val="nil"/>
                    <w:tr2bl w:val="nil"/>
                  </w:tcBorders>
                  <w:shd w:val="clear" w:color="auto" w:fill="auto"/>
                  <w:noWrap/>
                  <w:tcMar>
                    <w:top w:w="0" w:type="dxa"/>
                    <w:left w:w="51" w:type="dxa"/>
                    <w:bottom w:w="0" w:type="dxa"/>
                    <w:right w:w="51" w:type="dxa"/>
                  </w:tcMar>
                  <w:vAlign w:val="center"/>
                </w:tcPr>
                <w:p w14:paraId="76763B2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无水氯化钙</w:t>
                  </w:r>
                </w:p>
              </w:tc>
              <w:tc>
                <w:tcPr>
                  <w:tcW w:w="533" w:type="pct"/>
                  <w:tcBorders>
                    <w:tl2br w:val="nil"/>
                    <w:tr2bl w:val="nil"/>
                  </w:tcBorders>
                  <w:shd w:val="clear" w:color="auto" w:fill="auto"/>
                  <w:noWrap/>
                  <w:tcMar>
                    <w:top w:w="0" w:type="dxa"/>
                    <w:left w:w="51" w:type="dxa"/>
                    <w:bottom w:w="0" w:type="dxa"/>
                    <w:right w:w="51" w:type="dxa"/>
                  </w:tcMar>
                  <w:vAlign w:val="center"/>
                </w:tcPr>
                <w:p w14:paraId="6EE830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A30B7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FE35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A84E88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08B0C7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0598E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FCA81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175</w:t>
                  </w:r>
                </w:p>
              </w:tc>
              <w:tc>
                <w:tcPr>
                  <w:tcW w:w="1210" w:type="pct"/>
                  <w:tcBorders>
                    <w:tl2br w:val="nil"/>
                    <w:tr2bl w:val="nil"/>
                  </w:tcBorders>
                  <w:shd w:val="clear" w:color="auto" w:fill="auto"/>
                  <w:noWrap/>
                  <w:tcMar>
                    <w:top w:w="0" w:type="dxa"/>
                    <w:left w:w="51" w:type="dxa"/>
                    <w:bottom w:w="0" w:type="dxa"/>
                    <w:right w:w="51" w:type="dxa"/>
                  </w:tcMar>
                  <w:vAlign w:val="center"/>
                </w:tcPr>
                <w:p w14:paraId="5D502EA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乙二胺四乙酸二钠</w:t>
                  </w:r>
                </w:p>
              </w:tc>
              <w:tc>
                <w:tcPr>
                  <w:tcW w:w="533" w:type="pct"/>
                  <w:tcBorders>
                    <w:tl2br w:val="nil"/>
                    <w:tr2bl w:val="nil"/>
                  </w:tcBorders>
                  <w:shd w:val="clear" w:color="auto" w:fill="auto"/>
                  <w:noWrap/>
                  <w:tcMar>
                    <w:top w:w="0" w:type="dxa"/>
                    <w:left w:w="51" w:type="dxa"/>
                    <w:bottom w:w="0" w:type="dxa"/>
                    <w:right w:w="51" w:type="dxa"/>
                  </w:tcMar>
                  <w:vAlign w:val="center"/>
                </w:tcPr>
                <w:p w14:paraId="62F0BEC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0g</w:t>
                  </w:r>
                </w:p>
              </w:tc>
              <w:tc>
                <w:tcPr>
                  <w:tcW w:w="716" w:type="pct"/>
                  <w:tcBorders>
                    <w:tl2br w:val="nil"/>
                    <w:tr2bl w:val="nil"/>
                  </w:tcBorders>
                  <w:shd w:val="clear" w:color="auto" w:fill="auto"/>
                  <w:noWrap/>
                  <w:tcMar>
                    <w:top w:w="0" w:type="dxa"/>
                    <w:left w:w="51" w:type="dxa"/>
                    <w:bottom w:w="0" w:type="dxa"/>
                    <w:right w:w="51" w:type="dxa"/>
                  </w:tcMar>
                  <w:vAlign w:val="center"/>
                </w:tcPr>
                <w:p w14:paraId="615557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86F27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E7A64B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D6A3D3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C8FCD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2348AE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176</w:t>
                  </w:r>
                </w:p>
              </w:tc>
              <w:tc>
                <w:tcPr>
                  <w:tcW w:w="1210" w:type="pct"/>
                  <w:tcBorders>
                    <w:tl2br w:val="nil"/>
                    <w:tr2bl w:val="nil"/>
                  </w:tcBorders>
                  <w:shd w:val="clear" w:color="auto" w:fill="auto"/>
                  <w:noWrap/>
                  <w:tcMar>
                    <w:top w:w="0" w:type="dxa"/>
                    <w:left w:w="51" w:type="dxa"/>
                    <w:bottom w:w="0" w:type="dxa"/>
                    <w:right w:w="51" w:type="dxa"/>
                  </w:tcMar>
                  <w:vAlign w:val="center"/>
                </w:tcPr>
                <w:p w14:paraId="70DE66E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硝基苯-d5</w:t>
                  </w:r>
                </w:p>
              </w:tc>
              <w:tc>
                <w:tcPr>
                  <w:tcW w:w="533" w:type="pct"/>
                  <w:tcBorders>
                    <w:tl2br w:val="nil"/>
                    <w:tr2bl w:val="nil"/>
                  </w:tcBorders>
                  <w:shd w:val="clear" w:color="auto" w:fill="auto"/>
                  <w:noWrap/>
                  <w:tcMar>
                    <w:top w:w="0" w:type="dxa"/>
                    <w:left w:w="51" w:type="dxa"/>
                    <w:bottom w:w="0" w:type="dxa"/>
                    <w:right w:w="51" w:type="dxa"/>
                  </w:tcMar>
                  <w:vAlign w:val="center"/>
                </w:tcPr>
                <w:p w14:paraId="623322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598BB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8A4B7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DCB110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5F0842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E3A60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E61F0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177</w:t>
                  </w:r>
                </w:p>
              </w:tc>
              <w:tc>
                <w:tcPr>
                  <w:tcW w:w="1210" w:type="pct"/>
                  <w:tcBorders>
                    <w:tl2br w:val="nil"/>
                    <w:tr2bl w:val="nil"/>
                  </w:tcBorders>
                  <w:shd w:val="clear" w:color="auto" w:fill="auto"/>
                  <w:noWrap/>
                  <w:tcMar>
                    <w:top w:w="0" w:type="dxa"/>
                    <w:left w:w="51" w:type="dxa"/>
                    <w:bottom w:w="0" w:type="dxa"/>
                    <w:right w:w="51" w:type="dxa"/>
                  </w:tcMar>
                  <w:vAlign w:val="center"/>
                </w:tcPr>
                <w:p w14:paraId="2447A99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五氯硝基苯</w:t>
                  </w:r>
                </w:p>
              </w:tc>
              <w:tc>
                <w:tcPr>
                  <w:tcW w:w="533" w:type="pct"/>
                  <w:tcBorders>
                    <w:tl2br w:val="nil"/>
                    <w:tr2bl w:val="nil"/>
                  </w:tcBorders>
                  <w:shd w:val="clear" w:color="auto" w:fill="auto"/>
                  <w:noWrap/>
                  <w:tcMar>
                    <w:top w:w="0" w:type="dxa"/>
                    <w:left w:w="51" w:type="dxa"/>
                    <w:bottom w:w="0" w:type="dxa"/>
                    <w:right w:w="51" w:type="dxa"/>
                  </w:tcMar>
                  <w:vAlign w:val="center"/>
                </w:tcPr>
                <w:p w14:paraId="2FA84B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E1151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8D827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F7C5E4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D289DC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D8F6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B13176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178</w:t>
                  </w:r>
                </w:p>
              </w:tc>
              <w:tc>
                <w:tcPr>
                  <w:tcW w:w="1210" w:type="pct"/>
                  <w:tcBorders>
                    <w:tl2br w:val="nil"/>
                    <w:tr2bl w:val="nil"/>
                  </w:tcBorders>
                  <w:shd w:val="clear" w:color="auto" w:fill="auto"/>
                  <w:noWrap/>
                  <w:tcMar>
                    <w:top w:w="0" w:type="dxa"/>
                    <w:left w:w="51" w:type="dxa"/>
                    <w:bottom w:w="0" w:type="dxa"/>
                    <w:right w:w="51" w:type="dxa"/>
                  </w:tcMar>
                  <w:vAlign w:val="center"/>
                </w:tcPr>
                <w:p w14:paraId="58E0B86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1-溴-2-硝基苯</w:t>
                  </w:r>
                </w:p>
              </w:tc>
              <w:tc>
                <w:tcPr>
                  <w:tcW w:w="533" w:type="pct"/>
                  <w:tcBorders>
                    <w:tl2br w:val="nil"/>
                    <w:tr2bl w:val="nil"/>
                  </w:tcBorders>
                  <w:shd w:val="clear" w:color="auto" w:fill="auto"/>
                  <w:noWrap/>
                  <w:tcMar>
                    <w:top w:w="0" w:type="dxa"/>
                    <w:left w:w="51" w:type="dxa"/>
                    <w:bottom w:w="0" w:type="dxa"/>
                    <w:right w:w="51" w:type="dxa"/>
                  </w:tcMar>
                  <w:vAlign w:val="center"/>
                </w:tcPr>
                <w:p w14:paraId="3D209B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A7FB3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FA2CD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7AB2BA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BDA834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6D236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2BB0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179</w:t>
                  </w:r>
                </w:p>
              </w:tc>
              <w:tc>
                <w:tcPr>
                  <w:tcW w:w="1210" w:type="pct"/>
                  <w:tcBorders>
                    <w:tl2br w:val="nil"/>
                    <w:tr2bl w:val="nil"/>
                  </w:tcBorders>
                  <w:shd w:val="clear" w:color="auto" w:fill="auto"/>
                  <w:noWrap/>
                  <w:tcMar>
                    <w:top w:w="0" w:type="dxa"/>
                    <w:left w:w="51" w:type="dxa"/>
                    <w:bottom w:w="0" w:type="dxa"/>
                    <w:right w:w="51" w:type="dxa"/>
                  </w:tcMar>
                  <w:vAlign w:val="center"/>
                </w:tcPr>
                <w:p w14:paraId="550BF7E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二氯异氰尿酸钠</w:t>
                  </w:r>
                </w:p>
              </w:tc>
              <w:tc>
                <w:tcPr>
                  <w:tcW w:w="533" w:type="pct"/>
                  <w:tcBorders>
                    <w:tl2br w:val="nil"/>
                    <w:tr2bl w:val="nil"/>
                  </w:tcBorders>
                  <w:shd w:val="clear" w:color="auto" w:fill="auto"/>
                  <w:noWrap/>
                  <w:tcMar>
                    <w:top w:w="0" w:type="dxa"/>
                    <w:left w:w="51" w:type="dxa"/>
                    <w:bottom w:w="0" w:type="dxa"/>
                    <w:right w:w="51" w:type="dxa"/>
                  </w:tcMar>
                  <w:vAlign w:val="center"/>
                </w:tcPr>
                <w:p w14:paraId="25E3F2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01D20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3EEC5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736A0D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11D20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AE5A8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51795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180</w:t>
                  </w:r>
                </w:p>
              </w:tc>
              <w:tc>
                <w:tcPr>
                  <w:tcW w:w="1210" w:type="pct"/>
                  <w:tcBorders>
                    <w:tl2br w:val="nil"/>
                    <w:tr2bl w:val="nil"/>
                  </w:tcBorders>
                  <w:shd w:val="clear" w:color="auto" w:fill="auto"/>
                  <w:noWrap/>
                  <w:tcMar>
                    <w:top w:w="0" w:type="dxa"/>
                    <w:left w:w="51" w:type="dxa"/>
                    <w:bottom w:w="0" w:type="dxa"/>
                    <w:right w:w="51" w:type="dxa"/>
                  </w:tcMar>
                  <w:vAlign w:val="center"/>
                </w:tcPr>
                <w:p w14:paraId="430BD59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对-溴氟苯</w:t>
                  </w:r>
                </w:p>
              </w:tc>
              <w:tc>
                <w:tcPr>
                  <w:tcW w:w="533" w:type="pct"/>
                  <w:tcBorders>
                    <w:tl2br w:val="nil"/>
                    <w:tr2bl w:val="nil"/>
                  </w:tcBorders>
                  <w:shd w:val="clear" w:color="auto" w:fill="auto"/>
                  <w:noWrap/>
                  <w:tcMar>
                    <w:top w:w="0" w:type="dxa"/>
                    <w:left w:w="51" w:type="dxa"/>
                    <w:bottom w:w="0" w:type="dxa"/>
                    <w:right w:w="51" w:type="dxa"/>
                  </w:tcMar>
                  <w:vAlign w:val="center"/>
                </w:tcPr>
                <w:p w14:paraId="2A6B71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9EBCD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7B5FF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F8B533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86D2B9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70A29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E5D64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181</w:t>
                  </w:r>
                </w:p>
              </w:tc>
              <w:tc>
                <w:tcPr>
                  <w:tcW w:w="1210" w:type="pct"/>
                  <w:tcBorders>
                    <w:tl2br w:val="nil"/>
                    <w:tr2bl w:val="nil"/>
                  </w:tcBorders>
                  <w:shd w:val="clear" w:color="auto" w:fill="auto"/>
                  <w:noWrap/>
                  <w:tcMar>
                    <w:top w:w="0" w:type="dxa"/>
                    <w:left w:w="51" w:type="dxa"/>
                    <w:bottom w:w="0" w:type="dxa"/>
                    <w:right w:w="51" w:type="dxa"/>
                  </w:tcMar>
                  <w:vAlign w:val="center"/>
                </w:tcPr>
                <w:p w14:paraId="237FE21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月桂酸</w:t>
                  </w:r>
                </w:p>
              </w:tc>
              <w:tc>
                <w:tcPr>
                  <w:tcW w:w="533" w:type="pct"/>
                  <w:tcBorders>
                    <w:tl2br w:val="nil"/>
                    <w:tr2bl w:val="nil"/>
                  </w:tcBorders>
                  <w:shd w:val="clear" w:color="auto" w:fill="auto"/>
                  <w:noWrap/>
                  <w:tcMar>
                    <w:top w:w="0" w:type="dxa"/>
                    <w:left w:w="51" w:type="dxa"/>
                    <w:bottom w:w="0" w:type="dxa"/>
                    <w:right w:w="51" w:type="dxa"/>
                  </w:tcMar>
                  <w:vAlign w:val="center"/>
                </w:tcPr>
                <w:p w14:paraId="7BDEBE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C7339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38861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A9D49E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539267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DC869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D0815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182</w:t>
                  </w:r>
                </w:p>
              </w:tc>
              <w:tc>
                <w:tcPr>
                  <w:tcW w:w="1210" w:type="pct"/>
                  <w:tcBorders>
                    <w:tl2br w:val="nil"/>
                    <w:tr2bl w:val="nil"/>
                  </w:tcBorders>
                  <w:shd w:val="clear" w:color="auto" w:fill="auto"/>
                  <w:noWrap/>
                  <w:tcMar>
                    <w:top w:w="0" w:type="dxa"/>
                    <w:left w:w="51" w:type="dxa"/>
                    <w:bottom w:w="0" w:type="dxa"/>
                    <w:right w:w="51" w:type="dxa"/>
                  </w:tcMar>
                  <w:vAlign w:val="center"/>
                </w:tcPr>
                <w:p w14:paraId="4E9036D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硅镁吸附剂</w:t>
                  </w:r>
                </w:p>
              </w:tc>
              <w:tc>
                <w:tcPr>
                  <w:tcW w:w="533" w:type="pct"/>
                  <w:tcBorders>
                    <w:tl2br w:val="nil"/>
                    <w:tr2bl w:val="nil"/>
                  </w:tcBorders>
                  <w:shd w:val="clear" w:color="auto" w:fill="auto"/>
                  <w:noWrap/>
                  <w:tcMar>
                    <w:top w:w="0" w:type="dxa"/>
                    <w:left w:w="51" w:type="dxa"/>
                    <w:bottom w:w="0" w:type="dxa"/>
                    <w:right w:w="51" w:type="dxa"/>
                  </w:tcMar>
                  <w:vAlign w:val="center"/>
                </w:tcPr>
                <w:p w14:paraId="5EAA0C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3B7CD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7A0685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CFDFDA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0EB9CC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3D4E5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CF774E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183</w:t>
                  </w:r>
                </w:p>
              </w:tc>
              <w:tc>
                <w:tcPr>
                  <w:tcW w:w="1210" w:type="pct"/>
                  <w:tcBorders>
                    <w:tl2br w:val="nil"/>
                    <w:tr2bl w:val="nil"/>
                  </w:tcBorders>
                  <w:shd w:val="clear" w:color="auto" w:fill="auto"/>
                  <w:noWrap/>
                  <w:tcMar>
                    <w:top w:w="0" w:type="dxa"/>
                    <w:left w:w="51" w:type="dxa"/>
                    <w:bottom w:w="0" w:type="dxa"/>
                    <w:right w:w="51" w:type="dxa"/>
                  </w:tcMar>
                  <w:vAlign w:val="center"/>
                </w:tcPr>
                <w:p w14:paraId="4A5EC8C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乙腈</w:t>
                  </w:r>
                </w:p>
              </w:tc>
              <w:tc>
                <w:tcPr>
                  <w:tcW w:w="533" w:type="pct"/>
                  <w:tcBorders>
                    <w:tl2br w:val="nil"/>
                    <w:tr2bl w:val="nil"/>
                  </w:tcBorders>
                  <w:shd w:val="clear" w:color="auto" w:fill="auto"/>
                  <w:noWrap/>
                  <w:tcMar>
                    <w:top w:w="0" w:type="dxa"/>
                    <w:left w:w="51" w:type="dxa"/>
                    <w:bottom w:w="0" w:type="dxa"/>
                    <w:right w:w="51" w:type="dxa"/>
                  </w:tcMar>
                  <w:vAlign w:val="center"/>
                </w:tcPr>
                <w:p w14:paraId="26EB3D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0mL</w:t>
                  </w:r>
                </w:p>
              </w:tc>
              <w:tc>
                <w:tcPr>
                  <w:tcW w:w="716" w:type="pct"/>
                  <w:tcBorders>
                    <w:tl2br w:val="nil"/>
                    <w:tr2bl w:val="nil"/>
                  </w:tcBorders>
                  <w:shd w:val="clear" w:color="auto" w:fill="auto"/>
                  <w:noWrap/>
                  <w:tcMar>
                    <w:top w:w="0" w:type="dxa"/>
                    <w:left w:w="51" w:type="dxa"/>
                    <w:bottom w:w="0" w:type="dxa"/>
                    <w:right w:w="51" w:type="dxa"/>
                  </w:tcMar>
                  <w:vAlign w:val="center"/>
                </w:tcPr>
                <w:p w14:paraId="268068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5F7B0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577E7AE">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11D290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65713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13F427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184</w:t>
                  </w:r>
                </w:p>
              </w:tc>
              <w:tc>
                <w:tcPr>
                  <w:tcW w:w="1210" w:type="pct"/>
                  <w:tcBorders>
                    <w:tl2br w:val="nil"/>
                    <w:tr2bl w:val="nil"/>
                  </w:tcBorders>
                  <w:shd w:val="clear" w:color="auto" w:fill="auto"/>
                  <w:noWrap/>
                  <w:tcMar>
                    <w:top w:w="0" w:type="dxa"/>
                    <w:left w:w="51" w:type="dxa"/>
                    <w:bottom w:w="0" w:type="dxa"/>
                    <w:right w:w="51" w:type="dxa"/>
                  </w:tcMar>
                  <w:vAlign w:val="center"/>
                </w:tcPr>
                <w:p w14:paraId="3CD6A0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亚铁氰化钾</w:t>
                  </w:r>
                </w:p>
              </w:tc>
              <w:tc>
                <w:tcPr>
                  <w:tcW w:w="533" w:type="pct"/>
                  <w:tcBorders>
                    <w:tl2br w:val="nil"/>
                    <w:tr2bl w:val="nil"/>
                  </w:tcBorders>
                  <w:shd w:val="clear" w:color="auto" w:fill="auto"/>
                  <w:noWrap/>
                  <w:tcMar>
                    <w:top w:w="0" w:type="dxa"/>
                    <w:left w:w="51" w:type="dxa"/>
                    <w:bottom w:w="0" w:type="dxa"/>
                    <w:right w:w="51" w:type="dxa"/>
                  </w:tcMar>
                  <w:vAlign w:val="center"/>
                </w:tcPr>
                <w:p w14:paraId="54FD5F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89FB7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4ACAC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E0E2C6C">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5CE275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0BBD5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24DF61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185</w:t>
                  </w:r>
                </w:p>
              </w:tc>
              <w:tc>
                <w:tcPr>
                  <w:tcW w:w="1210" w:type="pct"/>
                  <w:tcBorders>
                    <w:tl2br w:val="nil"/>
                    <w:tr2bl w:val="nil"/>
                  </w:tcBorders>
                  <w:shd w:val="clear" w:color="auto" w:fill="auto"/>
                  <w:noWrap/>
                  <w:tcMar>
                    <w:top w:w="0" w:type="dxa"/>
                    <w:left w:w="51" w:type="dxa"/>
                    <w:bottom w:w="0" w:type="dxa"/>
                    <w:right w:w="51" w:type="dxa"/>
                  </w:tcMar>
                  <w:vAlign w:val="center"/>
                </w:tcPr>
                <w:p w14:paraId="482C78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酸性铬蓝K</w:t>
                  </w:r>
                </w:p>
              </w:tc>
              <w:tc>
                <w:tcPr>
                  <w:tcW w:w="533" w:type="pct"/>
                  <w:tcBorders>
                    <w:tl2br w:val="nil"/>
                    <w:tr2bl w:val="nil"/>
                  </w:tcBorders>
                  <w:shd w:val="clear" w:color="auto" w:fill="auto"/>
                  <w:noWrap/>
                  <w:tcMar>
                    <w:top w:w="0" w:type="dxa"/>
                    <w:left w:w="51" w:type="dxa"/>
                    <w:bottom w:w="0" w:type="dxa"/>
                    <w:right w:w="51" w:type="dxa"/>
                  </w:tcMar>
                  <w:vAlign w:val="center"/>
                </w:tcPr>
                <w:p w14:paraId="249B7F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06F1C8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193EB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FBC30E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D12305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A3132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A95FC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186</w:t>
                  </w:r>
                </w:p>
              </w:tc>
              <w:tc>
                <w:tcPr>
                  <w:tcW w:w="1210" w:type="pct"/>
                  <w:tcBorders>
                    <w:tl2br w:val="nil"/>
                    <w:tr2bl w:val="nil"/>
                  </w:tcBorders>
                  <w:shd w:val="clear" w:color="auto" w:fill="auto"/>
                  <w:noWrap/>
                  <w:tcMar>
                    <w:top w:w="0" w:type="dxa"/>
                    <w:left w:w="51" w:type="dxa"/>
                    <w:bottom w:w="0" w:type="dxa"/>
                    <w:right w:w="51" w:type="dxa"/>
                  </w:tcMar>
                  <w:vAlign w:val="center"/>
                </w:tcPr>
                <w:p w14:paraId="0BE69BE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四氢呋喃（色谱纯）</w:t>
                  </w:r>
                </w:p>
              </w:tc>
              <w:tc>
                <w:tcPr>
                  <w:tcW w:w="533" w:type="pct"/>
                  <w:tcBorders>
                    <w:tl2br w:val="nil"/>
                    <w:tr2bl w:val="nil"/>
                  </w:tcBorders>
                  <w:shd w:val="clear" w:color="auto" w:fill="auto"/>
                  <w:noWrap/>
                  <w:tcMar>
                    <w:top w:w="0" w:type="dxa"/>
                    <w:left w:w="51" w:type="dxa"/>
                    <w:bottom w:w="0" w:type="dxa"/>
                    <w:right w:w="51" w:type="dxa"/>
                  </w:tcMar>
                  <w:vAlign w:val="center"/>
                </w:tcPr>
                <w:p w14:paraId="02445C2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B5EF27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31E0A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AF56158">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63235E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760C7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E932CA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187</w:t>
                  </w:r>
                </w:p>
              </w:tc>
              <w:tc>
                <w:tcPr>
                  <w:tcW w:w="1210" w:type="pct"/>
                  <w:tcBorders>
                    <w:tl2br w:val="nil"/>
                    <w:tr2bl w:val="nil"/>
                  </w:tcBorders>
                  <w:shd w:val="clear" w:color="auto" w:fill="auto"/>
                  <w:noWrap/>
                  <w:tcMar>
                    <w:top w:w="0" w:type="dxa"/>
                    <w:left w:w="51" w:type="dxa"/>
                    <w:bottom w:w="0" w:type="dxa"/>
                    <w:right w:w="51" w:type="dxa"/>
                  </w:tcMar>
                  <w:vAlign w:val="center"/>
                </w:tcPr>
                <w:p w14:paraId="60AEE51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十氯联苯</w:t>
                  </w:r>
                </w:p>
              </w:tc>
              <w:tc>
                <w:tcPr>
                  <w:tcW w:w="533" w:type="pct"/>
                  <w:tcBorders>
                    <w:tl2br w:val="nil"/>
                    <w:tr2bl w:val="nil"/>
                  </w:tcBorders>
                  <w:shd w:val="clear" w:color="auto" w:fill="auto"/>
                  <w:noWrap/>
                  <w:tcMar>
                    <w:top w:w="0" w:type="dxa"/>
                    <w:left w:w="51" w:type="dxa"/>
                    <w:bottom w:w="0" w:type="dxa"/>
                    <w:right w:w="51" w:type="dxa"/>
                  </w:tcMar>
                  <w:vAlign w:val="center"/>
                </w:tcPr>
                <w:p w14:paraId="23586C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0g</w:t>
                  </w:r>
                </w:p>
              </w:tc>
              <w:tc>
                <w:tcPr>
                  <w:tcW w:w="716" w:type="pct"/>
                  <w:tcBorders>
                    <w:tl2br w:val="nil"/>
                    <w:tr2bl w:val="nil"/>
                  </w:tcBorders>
                  <w:shd w:val="clear" w:color="auto" w:fill="auto"/>
                  <w:noWrap/>
                  <w:tcMar>
                    <w:top w:w="0" w:type="dxa"/>
                    <w:left w:w="51" w:type="dxa"/>
                    <w:bottom w:w="0" w:type="dxa"/>
                    <w:right w:w="51" w:type="dxa"/>
                  </w:tcMar>
                  <w:vAlign w:val="center"/>
                </w:tcPr>
                <w:p w14:paraId="3D7FB6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66A84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1B9DB8D">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EB2A17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736E1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0CC13A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188</w:t>
                  </w:r>
                </w:p>
              </w:tc>
              <w:tc>
                <w:tcPr>
                  <w:tcW w:w="1210" w:type="pct"/>
                  <w:tcBorders>
                    <w:tl2br w:val="nil"/>
                    <w:tr2bl w:val="nil"/>
                  </w:tcBorders>
                  <w:shd w:val="clear" w:color="auto" w:fill="auto"/>
                  <w:noWrap/>
                  <w:tcMar>
                    <w:top w:w="0" w:type="dxa"/>
                    <w:left w:w="51" w:type="dxa"/>
                    <w:bottom w:w="0" w:type="dxa"/>
                    <w:right w:w="51" w:type="dxa"/>
                  </w:tcMar>
                  <w:vAlign w:val="center"/>
                </w:tcPr>
                <w:p w14:paraId="7D1CC3A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十氟</w:t>
                  </w:r>
                  <w:r>
                    <w:rPr>
                      <w:rFonts w:hint="eastAsia" w:cs="Times New Roman"/>
                      <w:i w:val="0"/>
                      <w:iCs w:val="0"/>
                      <w:color w:val="auto"/>
                      <w:kern w:val="0"/>
                      <w:sz w:val="21"/>
                      <w:szCs w:val="21"/>
                      <w:highlight w:val="none"/>
                      <w:u w:val="none"/>
                      <w:shd w:val="clear" w:fill="FFFFFF"/>
                      <w:lang w:val="en-US" w:eastAsia="zh-CN" w:bidi="ar"/>
                    </w:rPr>
                    <w:t>三苯基膦</w:t>
                  </w:r>
                </w:p>
              </w:tc>
              <w:tc>
                <w:tcPr>
                  <w:tcW w:w="533" w:type="pct"/>
                  <w:tcBorders>
                    <w:tl2br w:val="nil"/>
                    <w:tr2bl w:val="nil"/>
                  </w:tcBorders>
                  <w:shd w:val="clear" w:color="auto" w:fill="auto"/>
                  <w:noWrap/>
                  <w:tcMar>
                    <w:top w:w="0" w:type="dxa"/>
                    <w:left w:w="51" w:type="dxa"/>
                    <w:bottom w:w="0" w:type="dxa"/>
                    <w:right w:w="51" w:type="dxa"/>
                  </w:tcMar>
                  <w:vAlign w:val="center"/>
                </w:tcPr>
                <w:p w14:paraId="371273B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200</w:t>
                  </w:r>
                  <w:r>
                    <w:rPr>
                      <w:rFonts w:hint="default" w:ascii="Times New Roman" w:hAnsi="Times New Roman" w:eastAsia="宋体" w:cs="Times New Roman"/>
                      <w:i w:val="0"/>
                      <w:iCs w:val="0"/>
                      <w:color w:val="auto"/>
                      <w:kern w:val="0"/>
                      <w:sz w:val="21"/>
                      <w:szCs w:val="21"/>
                      <w:highlight w:val="none"/>
                      <w:u w:val="none"/>
                      <w:lang w:val="en-US" w:eastAsia="zh-CN" w:bidi="ar"/>
                    </w:rPr>
                    <w:t>mg</w:t>
                  </w:r>
                </w:p>
              </w:tc>
              <w:tc>
                <w:tcPr>
                  <w:tcW w:w="716" w:type="pct"/>
                  <w:tcBorders>
                    <w:tl2br w:val="nil"/>
                    <w:tr2bl w:val="nil"/>
                  </w:tcBorders>
                  <w:shd w:val="clear" w:color="auto" w:fill="auto"/>
                  <w:noWrap/>
                  <w:tcMar>
                    <w:top w:w="0" w:type="dxa"/>
                    <w:left w:w="51" w:type="dxa"/>
                    <w:bottom w:w="0" w:type="dxa"/>
                    <w:right w:w="51" w:type="dxa"/>
                  </w:tcMar>
                  <w:vAlign w:val="center"/>
                </w:tcPr>
                <w:p w14:paraId="1BE779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1281F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CC1195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4EEC3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E679D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96D28E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189</w:t>
                  </w:r>
                </w:p>
              </w:tc>
              <w:tc>
                <w:tcPr>
                  <w:tcW w:w="1210" w:type="pct"/>
                  <w:tcBorders>
                    <w:tl2br w:val="nil"/>
                    <w:tr2bl w:val="nil"/>
                  </w:tcBorders>
                  <w:shd w:val="clear" w:color="auto" w:fill="auto"/>
                  <w:noWrap/>
                  <w:tcMar>
                    <w:top w:w="0" w:type="dxa"/>
                    <w:left w:w="51" w:type="dxa"/>
                    <w:bottom w:w="0" w:type="dxa"/>
                    <w:right w:w="51" w:type="dxa"/>
                  </w:tcMar>
                  <w:vAlign w:val="center"/>
                </w:tcPr>
                <w:p w14:paraId="62C65B9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三联苯-d14</w:t>
                  </w:r>
                </w:p>
              </w:tc>
              <w:tc>
                <w:tcPr>
                  <w:tcW w:w="533" w:type="pct"/>
                  <w:tcBorders>
                    <w:tl2br w:val="nil"/>
                    <w:tr2bl w:val="nil"/>
                  </w:tcBorders>
                  <w:shd w:val="clear" w:color="auto" w:fill="auto"/>
                  <w:noWrap/>
                  <w:tcMar>
                    <w:top w:w="0" w:type="dxa"/>
                    <w:left w:w="51" w:type="dxa"/>
                    <w:bottom w:w="0" w:type="dxa"/>
                    <w:right w:w="51" w:type="dxa"/>
                  </w:tcMar>
                  <w:vAlign w:val="center"/>
                </w:tcPr>
                <w:p w14:paraId="464C9E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6EBD3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3ADA2D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1DD5D34">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497F55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711FD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2ABD7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190</w:t>
                  </w:r>
                </w:p>
              </w:tc>
              <w:tc>
                <w:tcPr>
                  <w:tcW w:w="1210" w:type="pct"/>
                  <w:tcBorders>
                    <w:tl2br w:val="nil"/>
                    <w:tr2bl w:val="nil"/>
                  </w:tcBorders>
                  <w:shd w:val="clear" w:color="auto" w:fill="auto"/>
                  <w:noWrap/>
                  <w:tcMar>
                    <w:top w:w="0" w:type="dxa"/>
                    <w:left w:w="51" w:type="dxa"/>
                    <w:bottom w:w="0" w:type="dxa"/>
                    <w:right w:w="51" w:type="dxa"/>
                  </w:tcMar>
                  <w:vAlign w:val="center"/>
                </w:tcPr>
                <w:p w14:paraId="74E059D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过硫酸铵</w:t>
                  </w:r>
                </w:p>
              </w:tc>
              <w:tc>
                <w:tcPr>
                  <w:tcW w:w="533" w:type="pct"/>
                  <w:tcBorders>
                    <w:tl2br w:val="nil"/>
                    <w:tr2bl w:val="nil"/>
                  </w:tcBorders>
                  <w:shd w:val="clear" w:color="auto" w:fill="auto"/>
                  <w:noWrap/>
                  <w:tcMar>
                    <w:top w:w="0" w:type="dxa"/>
                    <w:left w:w="51" w:type="dxa"/>
                    <w:bottom w:w="0" w:type="dxa"/>
                    <w:right w:w="51" w:type="dxa"/>
                  </w:tcMar>
                  <w:vAlign w:val="center"/>
                </w:tcPr>
                <w:p w14:paraId="29AE489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21B9A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CBF79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2C5F57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214C9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B2E19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44EAB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191</w:t>
                  </w:r>
                </w:p>
              </w:tc>
              <w:tc>
                <w:tcPr>
                  <w:tcW w:w="1210" w:type="pct"/>
                  <w:tcBorders>
                    <w:tl2br w:val="nil"/>
                    <w:tr2bl w:val="nil"/>
                  </w:tcBorders>
                  <w:shd w:val="clear" w:color="auto" w:fill="auto"/>
                  <w:noWrap/>
                  <w:tcMar>
                    <w:top w:w="0" w:type="dxa"/>
                    <w:left w:w="51" w:type="dxa"/>
                    <w:bottom w:w="0" w:type="dxa"/>
                    <w:right w:w="51" w:type="dxa"/>
                  </w:tcMar>
                  <w:vAlign w:val="center"/>
                </w:tcPr>
                <w:p w14:paraId="760FEE3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硅胶</w:t>
                  </w:r>
                </w:p>
              </w:tc>
              <w:tc>
                <w:tcPr>
                  <w:tcW w:w="533" w:type="pct"/>
                  <w:tcBorders>
                    <w:tl2br w:val="nil"/>
                    <w:tr2bl w:val="nil"/>
                  </w:tcBorders>
                  <w:shd w:val="clear" w:color="auto" w:fill="auto"/>
                  <w:noWrap/>
                  <w:tcMar>
                    <w:top w:w="0" w:type="dxa"/>
                    <w:left w:w="51" w:type="dxa"/>
                    <w:bottom w:w="0" w:type="dxa"/>
                    <w:right w:w="51" w:type="dxa"/>
                  </w:tcMar>
                  <w:vAlign w:val="center"/>
                </w:tcPr>
                <w:p w14:paraId="0DC9564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1k</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E47930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C7187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DE94ED6">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57E7D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BEBA6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BADEB1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192</w:t>
                  </w:r>
                </w:p>
              </w:tc>
              <w:tc>
                <w:tcPr>
                  <w:tcW w:w="1210" w:type="pct"/>
                  <w:tcBorders>
                    <w:tl2br w:val="nil"/>
                    <w:tr2bl w:val="nil"/>
                  </w:tcBorders>
                  <w:shd w:val="clear" w:color="auto" w:fill="auto"/>
                  <w:noWrap/>
                  <w:tcMar>
                    <w:top w:w="0" w:type="dxa"/>
                    <w:left w:w="51" w:type="dxa"/>
                    <w:bottom w:w="0" w:type="dxa"/>
                    <w:right w:w="51" w:type="dxa"/>
                  </w:tcMar>
                  <w:vAlign w:val="center"/>
                </w:tcPr>
                <w:p w14:paraId="5B34DDA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凡士林</w:t>
                  </w:r>
                </w:p>
              </w:tc>
              <w:tc>
                <w:tcPr>
                  <w:tcW w:w="533" w:type="pct"/>
                  <w:tcBorders>
                    <w:tl2br w:val="nil"/>
                    <w:tr2bl w:val="nil"/>
                  </w:tcBorders>
                  <w:shd w:val="clear" w:color="auto" w:fill="auto"/>
                  <w:noWrap/>
                  <w:tcMar>
                    <w:top w:w="0" w:type="dxa"/>
                    <w:left w:w="51" w:type="dxa"/>
                    <w:bottom w:w="0" w:type="dxa"/>
                    <w:right w:w="51" w:type="dxa"/>
                  </w:tcMar>
                  <w:vAlign w:val="center"/>
                </w:tcPr>
                <w:p w14:paraId="6820D7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4896A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5D751B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6ECBA90">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F0F483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9ED12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5E31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193</w:t>
                  </w:r>
                </w:p>
              </w:tc>
              <w:tc>
                <w:tcPr>
                  <w:tcW w:w="1210" w:type="pct"/>
                  <w:tcBorders>
                    <w:tl2br w:val="nil"/>
                    <w:tr2bl w:val="nil"/>
                  </w:tcBorders>
                  <w:shd w:val="clear" w:color="auto" w:fill="auto"/>
                  <w:noWrap/>
                  <w:tcMar>
                    <w:top w:w="0" w:type="dxa"/>
                    <w:left w:w="51" w:type="dxa"/>
                    <w:bottom w:w="0" w:type="dxa"/>
                    <w:right w:w="51" w:type="dxa"/>
                  </w:tcMar>
                  <w:vAlign w:val="center"/>
                </w:tcPr>
                <w:p w14:paraId="7D3A0CA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2,2,4-三甲基戊烷</w:t>
                  </w:r>
                </w:p>
              </w:tc>
              <w:tc>
                <w:tcPr>
                  <w:tcW w:w="533" w:type="pct"/>
                  <w:tcBorders>
                    <w:tl2br w:val="nil"/>
                    <w:tr2bl w:val="nil"/>
                  </w:tcBorders>
                  <w:shd w:val="clear" w:color="auto" w:fill="auto"/>
                  <w:noWrap/>
                  <w:tcMar>
                    <w:top w:w="0" w:type="dxa"/>
                    <w:left w:w="51" w:type="dxa"/>
                    <w:bottom w:w="0" w:type="dxa"/>
                    <w:right w:w="51" w:type="dxa"/>
                  </w:tcMar>
                  <w:vAlign w:val="center"/>
                </w:tcPr>
                <w:p w14:paraId="725454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326C93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4366DD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34E56F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6C1BFD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FE91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E7CD2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194</w:t>
                  </w:r>
                </w:p>
              </w:tc>
              <w:tc>
                <w:tcPr>
                  <w:tcW w:w="1210" w:type="pct"/>
                  <w:tcBorders>
                    <w:tl2br w:val="nil"/>
                    <w:tr2bl w:val="nil"/>
                  </w:tcBorders>
                  <w:shd w:val="clear" w:color="auto" w:fill="auto"/>
                  <w:noWrap/>
                  <w:tcMar>
                    <w:top w:w="0" w:type="dxa"/>
                    <w:left w:w="51" w:type="dxa"/>
                    <w:bottom w:w="0" w:type="dxa"/>
                    <w:right w:w="51" w:type="dxa"/>
                  </w:tcMar>
                  <w:vAlign w:val="center"/>
                </w:tcPr>
                <w:p w14:paraId="25D469A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环己二胺四乙酸</w:t>
                  </w:r>
                </w:p>
              </w:tc>
              <w:tc>
                <w:tcPr>
                  <w:tcW w:w="533" w:type="pct"/>
                  <w:tcBorders>
                    <w:tl2br w:val="nil"/>
                    <w:tr2bl w:val="nil"/>
                  </w:tcBorders>
                  <w:shd w:val="clear" w:color="auto" w:fill="auto"/>
                  <w:noWrap/>
                  <w:tcMar>
                    <w:top w:w="0" w:type="dxa"/>
                    <w:left w:w="51" w:type="dxa"/>
                    <w:bottom w:w="0" w:type="dxa"/>
                    <w:right w:w="51" w:type="dxa"/>
                  </w:tcMar>
                  <w:vAlign w:val="center"/>
                </w:tcPr>
                <w:p w14:paraId="0CAEE8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AB992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6B38E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F2C3C4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062B3C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9D0D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4852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195</w:t>
                  </w:r>
                </w:p>
              </w:tc>
              <w:tc>
                <w:tcPr>
                  <w:tcW w:w="1210" w:type="pct"/>
                  <w:tcBorders>
                    <w:tl2br w:val="nil"/>
                    <w:tr2bl w:val="nil"/>
                  </w:tcBorders>
                  <w:shd w:val="clear" w:color="auto" w:fill="auto"/>
                  <w:noWrap/>
                  <w:tcMar>
                    <w:top w:w="0" w:type="dxa"/>
                    <w:left w:w="51" w:type="dxa"/>
                    <w:bottom w:w="0" w:type="dxa"/>
                    <w:right w:w="51" w:type="dxa"/>
                  </w:tcMar>
                  <w:vAlign w:val="center"/>
                </w:tcPr>
                <w:p w14:paraId="69963A6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1,2-二氯乙烷-d4</w:t>
                  </w:r>
                </w:p>
              </w:tc>
              <w:tc>
                <w:tcPr>
                  <w:tcW w:w="533" w:type="pct"/>
                  <w:tcBorders>
                    <w:tl2br w:val="nil"/>
                    <w:tr2bl w:val="nil"/>
                  </w:tcBorders>
                  <w:shd w:val="clear" w:color="auto" w:fill="auto"/>
                  <w:noWrap/>
                  <w:tcMar>
                    <w:top w:w="0" w:type="dxa"/>
                    <w:left w:w="51" w:type="dxa"/>
                    <w:bottom w:w="0" w:type="dxa"/>
                    <w:right w:w="51" w:type="dxa"/>
                  </w:tcMar>
                  <w:vAlign w:val="center"/>
                </w:tcPr>
                <w:p w14:paraId="41FCBA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128E15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F5539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3B55DC4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95A3B7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0BBC9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5B1DB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196</w:t>
                  </w:r>
                </w:p>
              </w:tc>
              <w:tc>
                <w:tcPr>
                  <w:tcW w:w="1210" w:type="pct"/>
                  <w:tcBorders>
                    <w:tl2br w:val="nil"/>
                    <w:tr2bl w:val="nil"/>
                  </w:tcBorders>
                  <w:shd w:val="clear" w:color="auto" w:fill="auto"/>
                  <w:noWrap/>
                  <w:tcMar>
                    <w:top w:w="0" w:type="dxa"/>
                    <w:left w:w="51" w:type="dxa"/>
                    <w:bottom w:w="0" w:type="dxa"/>
                    <w:right w:w="51" w:type="dxa"/>
                  </w:tcMar>
                  <w:vAlign w:val="center"/>
                </w:tcPr>
                <w:p w14:paraId="52355BE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Li-辛烷磺酸</w:t>
                  </w:r>
                </w:p>
              </w:tc>
              <w:tc>
                <w:tcPr>
                  <w:tcW w:w="533" w:type="pct"/>
                  <w:tcBorders>
                    <w:tl2br w:val="nil"/>
                    <w:tr2bl w:val="nil"/>
                  </w:tcBorders>
                  <w:shd w:val="clear" w:color="auto" w:fill="auto"/>
                  <w:noWrap/>
                  <w:tcMar>
                    <w:top w:w="0" w:type="dxa"/>
                    <w:left w:w="51" w:type="dxa"/>
                    <w:bottom w:w="0" w:type="dxa"/>
                    <w:right w:w="51" w:type="dxa"/>
                  </w:tcMar>
                  <w:vAlign w:val="center"/>
                </w:tcPr>
                <w:p w14:paraId="1742AA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49B11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5B05C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C152F05">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375B85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FF4F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7F8463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197</w:t>
                  </w:r>
                </w:p>
              </w:tc>
              <w:tc>
                <w:tcPr>
                  <w:tcW w:w="1210" w:type="pct"/>
                  <w:tcBorders>
                    <w:tl2br w:val="nil"/>
                    <w:tr2bl w:val="nil"/>
                  </w:tcBorders>
                  <w:shd w:val="clear" w:color="auto" w:fill="auto"/>
                  <w:noWrap/>
                  <w:tcMar>
                    <w:top w:w="0" w:type="dxa"/>
                    <w:left w:w="51" w:type="dxa"/>
                    <w:bottom w:w="0" w:type="dxa"/>
                    <w:right w:w="51" w:type="dxa"/>
                  </w:tcMar>
                  <w:vAlign w:val="center"/>
                </w:tcPr>
                <w:p w14:paraId="690EF0C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4-氯-3-硝基三氟甲苯</w:t>
                  </w:r>
                </w:p>
              </w:tc>
              <w:tc>
                <w:tcPr>
                  <w:tcW w:w="533" w:type="pct"/>
                  <w:tcBorders>
                    <w:tl2br w:val="nil"/>
                    <w:tr2bl w:val="nil"/>
                  </w:tcBorders>
                  <w:shd w:val="clear" w:color="auto" w:fill="auto"/>
                  <w:noWrap/>
                  <w:tcMar>
                    <w:top w:w="0" w:type="dxa"/>
                    <w:left w:w="51" w:type="dxa"/>
                    <w:bottom w:w="0" w:type="dxa"/>
                    <w:right w:w="51" w:type="dxa"/>
                  </w:tcMar>
                  <w:vAlign w:val="center"/>
                </w:tcPr>
                <w:p w14:paraId="55D2F51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B950A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811AA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B2A545A">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A605C8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CCE1F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CCC68C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198</w:t>
                  </w:r>
                </w:p>
              </w:tc>
              <w:tc>
                <w:tcPr>
                  <w:tcW w:w="1210" w:type="pct"/>
                  <w:tcBorders>
                    <w:tl2br w:val="nil"/>
                    <w:tr2bl w:val="nil"/>
                  </w:tcBorders>
                  <w:shd w:val="clear" w:color="auto" w:fill="auto"/>
                  <w:noWrap/>
                  <w:tcMar>
                    <w:top w:w="0" w:type="dxa"/>
                    <w:left w:w="51" w:type="dxa"/>
                    <w:bottom w:w="0" w:type="dxa"/>
                    <w:right w:w="51" w:type="dxa"/>
                  </w:tcMar>
                  <w:vAlign w:val="center"/>
                </w:tcPr>
                <w:p w14:paraId="3715E29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柠檬酸氢二铵</w:t>
                  </w:r>
                </w:p>
              </w:tc>
              <w:tc>
                <w:tcPr>
                  <w:tcW w:w="533" w:type="pct"/>
                  <w:tcBorders>
                    <w:tl2br w:val="nil"/>
                    <w:tr2bl w:val="nil"/>
                  </w:tcBorders>
                  <w:shd w:val="clear" w:color="auto" w:fill="auto"/>
                  <w:noWrap/>
                  <w:tcMar>
                    <w:top w:w="0" w:type="dxa"/>
                    <w:left w:w="51" w:type="dxa"/>
                    <w:bottom w:w="0" w:type="dxa"/>
                    <w:right w:w="51" w:type="dxa"/>
                  </w:tcMar>
                  <w:vAlign w:val="center"/>
                </w:tcPr>
                <w:p w14:paraId="1CC301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06B4C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FC0F9A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4F9BCA3">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A4381B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C277C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F1580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199</w:t>
                  </w:r>
                </w:p>
              </w:tc>
              <w:tc>
                <w:tcPr>
                  <w:tcW w:w="1210" w:type="pct"/>
                  <w:tcBorders>
                    <w:tl2br w:val="nil"/>
                    <w:tr2bl w:val="nil"/>
                  </w:tcBorders>
                  <w:shd w:val="clear" w:color="auto" w:fill="auto"/>
                  <w:noWrap/>
                  <w:tcMar>
                    <w:top w:w="0" w:type="dxa"/>
                    <w:left w:w="51" w:type="dxa"/>
                    <w:bottom w:w="0" w:type="dxa"/>
                    <w:right w:w="51" w:type="dxa"/>
                  </w:tcMar>
                  <w:vAlign w:val="center"/>
                </w:tcPr>
                <w:p w14:paraId="11669B2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溴化钠</w:t>
                  </w:r>
                </w:p>
              </w:tc>
              <w:tc>
                <w:tcPr>
                  <w:tcW w:w="533" w:type="pct"/>
                  <w:tcBorders>
                    <w:tl2br w:val="nil"/>
                    <w:tr2bl w:val="nil"/>
                  </w:tcBorders>
                  <w:shd w:val="clear" w:color="auto" w:fill="auto"/>
                  <w:noWrap/>
                  <w:tcMar>
                    <w:top w:w="0" w:type="dxa"/>
                    <w:left w:w="51" w:type="dxa"/>
                    <w:bottom w:w="0" w:type="dxa"/>
                    <w:right w:w="51" w:type="dxa"/>
                  </w:tcMar>
                  <w:vAlign w:val="center"/>
                </w:tcPr>
                <w:p w14:paraId="24701B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2CFC1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5C0A7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1EF6372">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2E9DB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923FE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A882F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w:t>
                  </w:r>
                </w:p>
              </w:tc>
              <w:tc>
                <w:tcPr>
                  <w:tcW w:w="1210" w:type="pct"/>
                  <w:tcBorders>
                    <w:tl2br w:val="nil"/>
                    <w:tr2bl w:val="nil"/>
                  </w:tcBorders>
                  <w:shd w:val="clear" w:color="auto" w:fill="auto"/>
                  <w:noWrap/>
                  <w:tcMar>
                    <w:top w:w="0" w:type="dxa"/>
                    <w:left w:w="51" w:type="dxa"/>
                    <w:bottom w:w="0" w:type="dxa"/>
                    <w:right w:w="51" w:type="dxa"/>
                  </w:tcMar>
                  <w:vAlign w:val="center"/>
                </w:tcPr>
                <w:p w14:paraId="322229C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硼砂</w:t>
                  </w:r>
                </w:p>
              </w:tc>
              <w:tc>
                <w:tcPr>
                  <w:tcW w:w="533" w:type="pct"/>
                  <w:tcBorders>
                    <w:tl2br w:val="nil"/>
                    <w:tr2bl w:val="nil"/>
                  </w:tcBorders>
                  <w:shd w:val="clear" w:color="auto" w:fill="auto"/>
                  <w:noWrap/>
                  <w:tcMar>
                    <w:top w:w="0" w:type="dxa"/>
                    <w:left w:w="51" w:type="dxa"/>
                    <w:bottom w:w="0" w:type="dxa"/>
                    <w:right w:w="51" w:type="dxa"/>
                  </w:tcMar>
                  <w:vAlign w:val="center"/>
                </w:tcPr>
                <w:p w14:paraId="49AA8E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2E296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544B05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306F24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4061CB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DF899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C794BA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201</w:t>
                  </w:r>
                </w:p>
              </w:tc>
              <w:tc>
                <w:tcPr>
                  <w:tcW w:w="1210" w:type="pct"/>
                  <w:tcBorders>
                    <w:tl2br w:val="nil"/>
                    <w:tr2bl w:val="nil"/>
                  </w:tcBorders>
                  <w:shd w:val="clear" w:color="auto" w:fill="auto"/>
                  <w:noWrap/>
                  <w:tcMar>
                    <w:top w:w="0" w:type="dxa"/>
                    <w:left w:w="51" w:type="dxa"/>
                    <w:bottom w:w="0" w:type="dxa"/>
                    <w:right w:w="51" w:type="dxa"/>
                  </w:tcMar>
                  <w:vAlign w:val="center"/>
                </w:tcPr>
                <w:p w14:paraId="1B8875F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硫酸银</w:t>
                  </w:r>
                </w:p>
              </w:tc>
              <w:tc>
                <w:tcPr>
                  <w:tcW w:w="533" w:type="pct"/>
                  <w:tcBorders>
                    <w:tl2br w:val="nil"/>
                    <w:tr2bl w:val="nil"/>
                  </w:tcBorders>
                  <w:shd w:val="clear" w:color="auto" w:fill="auto"/>
                  <w:noWrap/>
                  <w:tcMar>
                    <w:top w:w="0" w:type="dxa"/>
                    <w:left w:w="51" w:type="dxa"/>
                    <w:bottom w:w="0" w:type="dxa"/>
                    <w:right w:w="51" w:type="dxa"/>
                  </w:tcMar>
                  <w:vAlign w:val="center"/>
                </w:tcPr>
                <w:p w14:paraId="7FF568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66DBA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0EDE0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5CC427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833D8B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39581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7090DA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202</w:t>
                  </w:r>
                </w:p>
              </w:tc>
              <w:tc>
                <w:tcPr>
                  <w:tcW w:w="1210" w:type="pct"/>
                  <w:tcBorders>
                    <w:tl2br w:val="nil"/>
                    <w:tr2bl w:val="nil"/>
                  </w:tcBorders>
                  <w:shd w:val="clear" w:color="auto" w:fill="auto"/>
                  <w:noWrap/>
                  <w:tcMar>
                    <w:top w:w="0" w:type="dxa"/>
                    <w:left w:w="51" w:type="dxa"/>
                    <w:bottom w:w="0" w:type="dxa"/>
                    <w:right w:w="51" w:type="dxa"/>
                  </w:tcMar>
                  <w:vAlign w:val="center"/>
                </w:tcPr>
                <w:p w14:paraId="07468B5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菲绕啉</w:t>
                  </w:r>
                </w:p>
              </w:tc>
              <w:tc>
                <w:tcPr>
                  <w:tcW w:w="533" w:type="pct"/>
                  <w:tcBorders>
                    <w:tl2br w:val="nil"/>
                    <w:tr2bl w:val="nil"/>
                  </w:tcBorders>
                  <w:shd w:val="clear" w:color="auto" w:fill="auto"/>
                  <w:noWrap/>
                  <w:tcMar>
                    <w:top w:w="0" w:type="dxa"/>
                    <w:left w:w="51" w:type="dxa"/>
                    <w:bottom w:w="0" w:type="dxa"/>
                    <w:right w:w="51" w:type="dxa"/>
                  </w:tcMar>
                  <w:vAlign w:val="center"/>
                </w:tcPr>
                <w:p w14:paraId="547BB3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ACE736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102861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42C281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7FF91F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9AC7E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211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203</w:t>
                  </w:r>
                </w:p>
              </w:tc>
              <w:tc>
                <w:tcPr>
                  <w:tcW w:w="1210" w:type="pct"/>
                  <w:tcBorders>
                    <w:tl2br w:val="nil"/>
                    <w:tr2bl w:val="nil"/>
                  </w:tcBorders>
                  <w:shd w:val="clear" w:color="auto" w:fill="auto"/>
                  <w:noWrap/>
                  <w:tcMar>
                    <w:top w:w="0" w:type="dxa"/>
                    <w:left w:w="51" w:type="dxa"/>
                    <w:bottom w:w="0" w:type="dxa"/>
                    <w:right w:w="51" w:type="dxa"/>
                  </w:tcMar>
                  <w:vAlign w:val="center"/>
                </w:tcPr>
                <w:p w14:paraId="5196F53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氟化钾</w:t>
                  </w:r>
                </w:p>
              </w:tc>
              <w:tc>
                <w:tcPr>
                  <w:tcW w:w="533" w:type="pct"/>
                  <w:tcBorders>
                    <w:tl2br w:val="nil"/>
                    <w:tr2bl w:val="nil"/>
                  </w:tcBorders>
                  <w:shd w:val="clear" w:color="auto" w:fill="auto"/>
                  <w:noWrap/>
                  <w:tcMar>
                    <w:top w:w="0" w:type="dxa"/>
                    <w:left w:w="51" w:type="dxa"/>
                    <w:bottom w:w="0" w:type="dxa"/>
                    <w:right w:w="51" w:type="dxa"/>
                  </w:tcMar>
                  <w:vAlign w:val="center"/>
                </w:tcPr>
                <w:p w14:paraId="693DF01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D4F42B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B52BE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26BA450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36B762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21682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40874E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204</w:t>
                  </w:r>
                </w:p>
              </w:tc>
              <w:tc>
                <w:tcPr>
                  <w:tcW w:w="1210" w:type="pct"/>
                  <w:tcBorders>
                    <w:tl2br w:val="nil"/>
                    <w:tr2bl w:val="nil"/>
                  </w:tcBorders>
                  <w:shd w:val="clear" w:color="auto" w:fill="auto"/>
                  <w:noWrap/>
                  <w:tcMar>
                    <w:top w:w="0" w:type="dxa"/>
                    <w:left w:w="51" w:type="dxa"/>
                    <w:bottom w:w="0" w:type="dxa"/>
                    <w:right w:w="51" w:type="dxa"/>
                  </w:tcMar>
                  <w:vAlign w:val="center"/>
                </w:tcPr>
                <w:p w14:paraId="5ED72F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淀粉</w:t>
                  </w:r>
                </w:p>
              </w:tc>
              <w:tc>
                <w:tcPr>
                  <w:tcW w:w="533" w:type="pct"/>
                  <w:tcBorders>
                    <w:tl2br w:val="nil"/>
                    <w:tr2bl w:val="nil"/>
                  </w:tcBorders>
                  <w:shd w:val="clear" w:color="auto" w:fill="auto"/>
                  <w:noWrap/>
                  <w:tcMar>
                    <w:top w:w="0" w:type="dxa"/>
                    <w:left w:w="51" w:type="dxa"/>
                    <w:bottom w:w="0" w:type="dxa"/>
                    <w:right w:w="51" w:type="dxa"/>
                  </w:tcMar>
                  <w:vAlign w:val="center"/>
                </w:tcPr>
                <w:p w14:paraId="4074B18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C7514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98A2B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610C311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79F38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0F07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DF65D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205</w:t>
                  </w:r>
                </w:p>
              </w:tc>
              <w:tc>
                <w:tcPr>
                  <w:tcW w:w="1210" w:type="pct"/>
                  <w:tcBorders>
                    <w:tl2br w:val="nil"/>
                    <w:tr2bl w:val="nil"/>
                  </w:tcBorders>
                  <w:shd w:val="clear" w:color="auto" w:fill="auto"/>
                  <w:noWrap/>
                  <w:tcMar>
                    <w:top w:w="0" w:type="dxa"/>
                    <w:left w:w="51" w:type="dxa"/>
                    <w:bottom w:w="0" w:type="dxa"/>
                    <w:right w:w="51" w:type="dxa"/>
                  </w:tcMar>
                  <w:vAlign w:val="center"/>
                </w:tcPr>
                <w:p w14:paraId="27D99E6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硫酸锌</w:t>
                  </w:r>
                </w:p>
              </w:tc>
              <w:tc>
                <w:tcPr>
                  <w:tcW w:w="533" w:type="pct"/>
                  <w:tcBorders>
                    <w:tl2br w:val="nil"/>
                    <w:tr2bl w:val="nil"/>
                  </w:tcBorders>
                  <w:shd w:val="clear" w:color="auto" w:fill="auto"/>
                  <w:noWrap/>
                  <w:tcMar>
                    <w:top w:w="0" w:type="dxa"/>
                    <w:left w:w="51" w:type="dxa"/>
                    <w:bottom w:w="0" w:type="dxa"/>
                    <w:right w:w="51" w:type="dxa"/>
                  </w:tcMar>
                  <w:vAlign w:val="center"/>
                </w:tcPr>
                <w:p w14:paraId="53F96EF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5698AB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A6BF3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28BCC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D5B28E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E4853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A0250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206</w:t>
                  </w:r>
                </w:p>
              </w:tc>
              <w:tc>
                <w:tcPr>
                  <w:tcW w:w="1210" w:type="pct"/>
                  <w:tcBorders>
                    <w:tl2br w:val="nil"/>
                    <w:tr2bl w:val="nil"/>
                  </w:tcBorders>
                  <w:shd w:val="clear" w:color="auto" w:fill="auto"/>
                  <w:noWrap/>
                  <w:tcMar>
                    <w:top w:w="0" w:type="dxa"/>
                    <w:left w:w="51" w:type="dxa"/>
                    <w:bottom w:w="0" w:type="dxa"/>
                    <w:right w:w="51" w:type="dxa"/>
                  </w:tcMar>
                  <w:vAlign w:val="center"/>
                </w:tcPr>
                <w:p w14:paraId="4ED489E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亚硝基铁氰化钠</w:t>
                  </w:r>
                </w:p>
              </w:tc>
              <w:tc>
                <w:tcPr>
                  <w:tcW w:w="533" w:type="pct"/>
                  <w:tcBorders>
                    <w:tl2br w:val="nil"/>
                    <w:tr2bl w:val="nil"/>
                  </w:tcBorders>
                  <w:shd w:val="clear" w:color="auto" w:fill="auto"/>
                  <w:noWrap/>
                  <w:tcMar>
                    <w:top w:w="0" w:type="dxa"/>
                    <w:left w:w="51" w:type="dxa"/>
                    <w:bottom w:w="0" w:type="dxa"/>
                    <w:right w:w="51" w:type="dxa"/>
                  </w:tcMar>
                  <w:vAlign w:val="center"/>
                </w:tcPr>
                <w:p w14:paraId="549F6A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BFE3E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9EC954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C5F32B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E91758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C360F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ABB981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207</w:t>
                  </w:r>
                </w:p>
              </w:tc>
              <w:tc>
                <w:tcPr>
                  <w:tcW w:w="1210" w:type="pct"/>
                  <w:tcBorders>
                    <w:tl2br w:val="nil"/>
                    <w:tr2bl w:val="nil"/>
                  </w:tcBorders>
                  <w:shd w:val="clear" w:color="auto" w:fill="auto"/>
                  <w:noWrap/>
                  <w:tcMar>
                    <w:top w:w="0" w:type="dxa"/>
                    <w:left w:w="51" w:type="dxa"/>
                    <w:bottom w:w="0" w:type="dxa"/>
                    <w:right w:w="51" w:type="dxa"/>
                  </w:tcMar>
                  <w:vAlign w:val="center"/>
                </w:tcPr>
                <w:p w14:paraId="7CFA879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四硼酸钠</w:t>
                  </w:r>
                </w:p>
              </w:tc>
              <w:tc>
                <w:tcPr>
                  <w:tcW w:w="533" w:type="pct"/>
                  <w:tcBorders>
                    <w:tl2br w:val="nil"/>
                    <w:tr2bl w:val="nil"/>
                  </w:tcBorders>
                  <w:shd w:val="clear" w:color="auto" w:fill="auto"/>
                  <w:noWrap/>
                  <w:tcMar>
                    <w:top w:w="0" w:type="dxa"/>
                    <w:left w:w="51" w:type="dxa"/>
                    <w:bottom w:w="0" w:type="dxa"/>
                    <w:right w:w="51" w:type="dxa"/>
                  </w:tcMar>
                  <w:vAlign w:val="center"/>
                </w:tcPr>
                <w:p w14:paraId="758148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C2C3DB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5A7B9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EE3D52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F5893B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6037B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D307DA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208</w:t>
                  </w:r>
                </w:p>
              </w:tc>
              <w:tc>
                <w:tcPr>
                  <w:tcW w:w="1210" w:type="pct"/>
                  <w:tcBorders>
                    <w:tl2br w:val="nil"/>
                    <w:tr2bl w:val="nil"/>
                  </w:tcBorders>
                  <w:shd w:val="clear" w:color="auto" w:fill="auto"/>
                  <w:noWrap/>
                  <w:tcMar>
                    <w:top w:w="0" w:type="dxa"/>
                    <w:left w:w="51" w:type="dxa"/>
                    <w:bottom w:w="0" w:type="dxa"/>
                    <w:right w:w="51" w:type="dxa"/>
                  </w:tcMar>
                  <w:vAlign w:val="center"/>
                </w:tcPr>
                <w:p w14:paraId="50AEA10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钼酸铵</w:t>
                  </w:r>
                </w:p>
              </w:tc>
              <w:tc>
                <w:tcPr>
                  <w:tcW w:w="533" w:type="pct"/>
                  <w:tcBorders>
                    <w:tl2br w:val="nil"/>
                    <w:tr2bl w:val="nil"/>
                  </w:tcBorders>
                  <w:shd w:val="clear" w:color="auto" w:fill="auto"/>
                  <w:noWrap/>
                  <w:tcMar>
                    <w:top w:w="0" w:type="dxa"/>
                    <w:left w:w="51" w:type="dxa"/>
                    <w:bottom w:w="0" w:type="dxa"/>
                    <w:right w:w="51" w:type="dxa"/>
                  </w:tcMar>
                  <w:vAlign w:val="center"/>
                </w:tcPr>
                <w:p w14:paraId="196B1B3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2CC06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B2E345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19FE78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07E176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36D66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FA40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209</w:t>
                  </w:r>
                </w:p>
              </w:tc>
              <w:tc>
                <w:tcPr>
                  <w:tcW w:w="1210" w:type="pct"/>
                  <w:tcBorders>
                    <w:tl2br w:val="nil"/>
                    <w:tr2bl w:val="nil"/>
                  </w:tcBorders>
                  <w:shd w:val="clear" w:color="auto" w:fill="auto"/>
                  <w:noWrap/>
                  <w:tcMar>
                    <w:top w:w="0" w:type="dxa"/>
                    <w:left w:w="51" w:type="dxa"/>
                    <w:bottom w:w="0" w:type="dxa"/>
                    <w:right w:w="51" w:type="dxa"/>
                  </w:tcMar>
                  <w:vAlign w:val="center"/>
                </w:tcPr>
                <w:p w14:paraId="05F5622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酚酞</w:t>
                  </w:r>
                </w:p>
              </w:tc>
              <w:tc>
                <w:tcPr>
                  <w:tcW w:w="533" w:type="pct"/>
                  <w:tcBorders>
                    <w:tl2br w:val="nil"/>
                    <w:tr2bl w:val="nil"/>
                  </w:tcBorders>
                  <w:shd w:val="clear" w:color="auto" w:fill="auto"/>
                  <w:noWrap/>
                  <w:tcMar>
                    <w:top w:w="0" w:type="dxa"/>
                    <w:left w:w="51" w:type="dxa"/>
                    <w:bottom w:w="0" w:type="dxa"/>
                    <w:right w:w="51" w:type="dxa"/>
                  </w:tcMar>
                  <w:vAlign w:val="center"/>
                </w:tcPr>
                <w:p w14:paraId="521C81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39F2DC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2FC85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06C3AF5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CAC84B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B322A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1A4B9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210</w:t>
                  </w:r>
                </w:p>
              </w:tc>
              <w:tc>
                <w:tcPr>
                  <w:tcW w:w="1210" w:type="pct"/>
                  <w:tcBorders>
                    <w:tl2br w:val="nil"/>
                    <w:tr2bl w:val="nil"/>
                  </w:tcBorders>
                  <w:shd w:val="clear" w:color="auto" w:fill="auto"/>
                  <w:noWrap/>
                  <w:tcMar>
                    <w:top w:w="0" w:type="dxa"/>
                    <w:left w:w="51" w:type="dxa"/>
                    <w:bottom w:w="0" w:type="dxa"/>
                    <w:right w:w="51" w:type="dxa"/>
                  </w:tcMar>
                  <w:vAlign w:val="center"/>
                </w:tcPr>
                <w:p w14:paraId="672CD84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亚甲蓝</w:t>
                  </w:r>
                </w:p>
              </w:tc>
              <w:tc>
                <w:tcPr>
                  <w:tcW w:w="533" w:type="pct"/>
                  <w:tcBorders>
                    <w:tl2br w:val="nil"/>
                    <w:tr2bl w:val="nil"/>
                  </w:tcBorders>
                  <w:shd w:val="clear" w:color="auto" w:fill="auto"/>
                  <w:noWrap/>
                  <w:tcMar>
                    <w:top w:w="0" w:type="dxa"/>
                    <w:left w:w="51" w:type="dxa"/>
                    <w:bottom w:w="0" w:type="dxa"/>
                    <w:right w:w="51" w:type="dxa"/>
                  </w:tcMar>
                  <w:vAlign w:val="center"/>
                </w:tcPr>
                <w:p w14:paraId="24BEF4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748ADD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53EA4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6264B6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E81E5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06ABB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11ECEA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211</w:t>
                  </w:r>
                </w:p>
              </w:tc>
              <w:tc>
                <w:tcPr>
                  <w:tcW w:w="1210" w:type="pct"/>
                  <w:tcBorders>
                    <w:tl2br w:val="nil"/>
                    <w:tr2bl w:val="nil"/>
                  </w:tcBorders>
                  <w:shd w:val="clear" w:color="auto" w:fill="auto"/>
                  <w:noWrap/>
                  <w:tcMar>
                    <w:top w:w="0" w:type="dxa"/>
                    <w:left w:w="51" w:type="dxa"/>
                    <w:bottom w:w="0" w:type="dxa"/>
                    <w:right w:w="51" w:type="dxa"/>
                  </w:tcMar>
                  <w:vAlign w:val="center"/>
                </w:tcPr>
                <w:p w14:paraId="26A4EE3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无砷铅粒</w:t>
                  </w:r>
                </w:p>
              </w:tc>
              <w:tc>
                <w:tcPr>
                  <w:tcW w:w="533" w:type="pct"/>
                  <w:tcBorders>
                    <w:tl2br w:val="nil"/>
                    <w:tr2bl w:val="nil"/>
                  </w:tcBorders>
                  <w:shd w:val="clear" w:color="auto" w:fill="auto"/>
                  <w:noWrap/>
                  <w:tcMar>
                    <w:top w:w="0" w:type="dxa"/>
                    <w:left w:w="51" w:type="dxa"/>
                    <w:bottom w:w="0" w:type="dxa"/>
                    <w:right w:w="51" w:type="dxa"/>
                  </w:tcMar>
                  <w:vAlign w:val="center"/>
                </w:tcPr>
                <w:p w14:paraId="3D2251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A9086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3508E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176A91F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ACB42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0F84D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37CFA0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212</w:t>
                  </w:r>
                </w:p>
              </w:tc>
              <w:tc>
                <w:tcPr>
                  <w:tcW w:w="1210" w:type="pct"/>
                  <w:tcBorders>
                    <w:tl2br w:val="nil"/>
                    <w:tr2bl w:val="nil"/>
                  </w:tcBorders>
                  <w:shd w:val="clear" w:color="auto" w:fill="auto"/>
                  <w:noWrap/>
                  <w:tcMar>
                    <w:top w:w="0" w:type="dxa"/>
                    <w:left w:w="51" w:type="dxa"/>
                    <w:bottom w:w="0" w:type="dxa"/>
                    <w:right w:w="51" w:type="dxa"/>
                  </w:tcMar>
                  <w:vAlign w:val="center"/>
                </w:tcPr>
                <w:p w14:paraId="2F7BC96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柠檬酸铵</w:t>
                  </w:r>
                </w:p>
              </w:tc>
              <w:tc>
                <w:tcPr>
                  <w:tcW w:w="533" w:type="pct"/>
                  <w:tcBorders>
                    <w:tl2br w:val="nil"/>
                    <w:tr2bl w:val="nil"/>
                  </w:tcBorders>
                  <w:shd w:val="clear" w:color="auto" w:fill="auto"/>
                  <w:noWrap/>
                  <w:tcMar>
                    <w:top w:w="0" w:type="dxa"/>
                    <w:left w:w="51" w:type="dxa"/>
                    <w:bottom w:w="0" w:type="dxa"/>
                    <w:right w:w="51" w:type="dxa"/>
                  </w:tcMar>
                  <w:vAlign w:val="center"/>
                </w:tcPr>
                <w:p w14:paraId="1B54D9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4F8DA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5ADFD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41DD411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F80537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C854E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46E8F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213</w:t>
                  </w:r>
                </w:p>
              </w:tc>
              <w:tc>
                <w:tcPr>
                  <w:tcW w:w="1210" w:type="pct"/>
                  <w:tcBorders>
                    <w:tl2br w:val="nil"/>
                    <w:tr2bl w:val="nil"/>
                  </w:tcBorders>
                  <w:shd w:val="clear" w:color="auto" w:fill="auto"/>
                  <w:noWrap/>
                  <w:tcMar>
                    <w:top w:w="0" w:type="dxa"/>
                    <w:left w:w="51" w:type="dxa"/>
                    <w:bottom w:w="0" w:type="dxa"/>
                    <w:right w:w="51" w:type="dxa"/>
                  </w:tcMar>
                  <w:vAlign w:val="center"/>
                </w:tcPr>
                <w:p w14:paraId="6BCE30F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甲酚红</w:t>
                  </w:r>
                </w:p>
              </w:tc>
              <w:tc>
                <w:tcPr>
                  <w:tcW w:w="533" w:type="pct"/>
                  <w:tcBorders>
                    <w:tl2br w:val="nil"/>
                    <w:tr2bl w:val="nil"/>
                  </w:tcBorders>
                  <w:shd w:val="clear" w:color="auto" w:fill="auto"/>
                  <w:noWrap/>
                  <w:tcMar>
                    <w:top w:w="0" w:type="dxa"/>
                    <w:left w:w="51" w:type="dxa"/>
                    <w:bottom w:w="0" w:type="dxa"/>
                    <w:right w:w="51" w:type="dxa"/>
                  </w:tcMar>
                  <w:vAlign w:val="center"/>
                </w:tcPr>
                <w:p w14:paraId="2D334CD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C6DEF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42561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7920B0F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718589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C7F37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6620F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214</w:t>
                  </w:r>
                </w:p>
              </w:tc>
              <w:tc>
                <w:tcPr>
                  <w:tcW w:w="1210" w:type="pct"/>
                  <w:tcBorders>
                    <w:tl2br w:val="nil"/>
                    <w:tr2bl w:val="nil"/>
                  </w:tcBorders>
                  <w:shd w:val="clear" w:color="auto" w:fill="auto"/>
                  <w:noWrap/>
                  <w:tcMar>
                    <w:top w:w="0" w:type="dxa"/>
                    <w:left w:w="51" w:type="dxa"/>
                    <w:bottom w:w="0" w:type="dxa"/>
                    <w:right w:w="51" w:type="dxa"/>
                  </w:tcMar>
                  <w:vAlign w:val="center"/>
                </w:tcPr>
                <w:p w14:paraId="03A475E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三水乙酸钠</w:t>
                  </w:r>
                </w:p>
              </w:tc>
              <w:tc>
                <w:tcPr>
                  <w:tcW w:w="533" w:type="pct"/>
                  <w:tcBorders>
                    <w:tl2br w:val="nil"/>
                    <w:tr2bl w:val="nil"/>
                  </w:tcBorders>
                  <w:shd w:val="clear" w:color="auto" w:fill="auto"/>
                  <w:noWrap/>
                  <w:tcMar>
                    <w:top w:w="0" w:type="dxa"/>
                    <w:left w:w="51" w:type="dxa"/>
                    <w:bottom w:w="0" w:type="dxa"/>
                    <w:right w:w="51" w:type="dxa"/>
                  </w:tcMar>
                  <w:vAlign w:val="center"/>
                </w:tcPr>
                <w:p w14:paraId="0F595F9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6D698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D8527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vMerge w:val="continue"/>
                  <w:tcBorders>
                    <w:tl2br w:val="nil"/>
                    <w:tr2bl w:val="nil"/>
                  </w:tcBorders>
                  <w:shd w:val="clear" w:color="auto" w:fill="auto"/>
                  <w:noWrap/>
                  <w:tcMar>
                    <w:top w:w="0" w:type="dxa"/>
                    <w:left w:w="51" w:type="dxa"/>
                    <w:bottom w:w="0" w:type="dxa"/>
                    <w:right w:w="51" w:type="dxa"/>
                  </w:tcMar>
                  <w:vAlign w:val="center"/>
                </w:tcPr>
                <w:p w14:paraId="5B6CED0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2BFA1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335DA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FADDF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215</w:t>
                  </w:r>
                </w:p>
              </w:tc>
              <w:tc>
                <w:tcPr>
                  <w:tcW w:w="1210" w:type="pct"/>
                  <w:tcBorders>
                    <w:tl2br w:val="nil"/>
                    <w:tr2bl w:val="nil"/>
                  </w:tcBorders>
                  <w:shd w:val="clear" w:color="auto" w:fill="auto"/>
                  <w:noWrap/>
                  <w:tcMar>
                    <w:top w:w="0" w:type="dxa"/>
                    <w:left w:w="51" w:type="dxa"/>
                    <w:bottom w:w="0" w:type="dxa"/>
                    <w:right w:w="51" w:type="dxa"/>
                  </w:tcMar>
                  <w:vAlign w:val="center"/>
                </w:tcPr>
                <w:p w14:paraId="70C6DFC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高氯酸</w:t>
                  </w:r>
                </w:p>
              </w:tc>
              <w:tc>
                <w:tcPr>
                  <w:tcW w:w="533" w:type="pct"/>
                  <w:tcBorders>
                    <w:tl2br w:val="nil"/>
                    <w:tr2bl w:val="nil"/>
                  </w:tcBorders>
                  <w:shd w:val="clear" w:color="auto" w:fill="auto"/>
                  <w:noWrap/>
                  <w:tcMar>
                    <w:top w:w="0" w:type="dxa"/>
                    <w:left w:w="51" w:type="dxa"/>
                    <w:bottom w:w="0" w:type="dxa"/>
                    <w:right w:w="51" w:type="dxa"/>
                  </w:tcMar>
                  <w:vAlign w:val="center"/>
                </w:tcPr>
                <w:p w14:paraId="75A12DF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F89622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D5E97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35F2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4F98A5F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r>
                    <w:rPr>
                      <w:rFonts w:hint="default" w:ascii="Times New Roman" w:hAnsi="Times New Roman" w:cs="Times New Roman"/>
                      <w:color w:val="auto"/>
                      <w:kern w:val="0"/>
                      <w:sz w:val="21"/>
                      <w:szCs w:val="21"/>
                      <w:highlight w:val="none"/>
                      <w:lang w:val="en-US" w:eastAsia="zh-CN" w:bidi="ar"/>
                    </w:rPr>
                    <w:t>室</w:t>
                  </w:r>
                </w:p>
              </w:tc>
            </w:tr>
            <w:tr w14:paraId="006449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477B4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216</w:t>
                  </w:r>
                </w:p>
              </w:tc>
              <w:tc>
                <w:tcPr>
                  <w:tcW w:w="1210" w:type="pct"/>
                  <w:tcBorders>
                    <w:tl2br w:val="nil"/>
                    <w:tr2bl w:val="nil"/>
                  </w:tcBorders>
                  <w:shd w:val="clear" w:color="auto" w:fill="auto"/>
                  <w:noWrap/>
                  <w:tcMar>
                    <w:top w:w="0" w:type="dxa"/>
                    <w:left w:w="51" w:type="dxa"/>
                    <w:bottom w:w="0" w:type="dxa"/>
                    <w:right w:w="51" w:type="dxa"/>
                  </w:tcMar>
                  <w:vAlign w:val="center"/>
                </w:tcPr>
                <w:p w14:paraId="2FA84C0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w:t>
                  </w:r>
                </w:p>
              </w:tc>
              <w:tc>
                <w:tcPr>
                  <w:tcW w:w="533" w:type="pct"/>
                  <w:tcBorders>
                    <w:tl2br w:val="nil"/>
                    <w:tr2bl w:val="nil"/>
                  </w:tcBorders>
                  <w:shd w:val="clear" w:color="auto" w:fill="auto"/>
                  <w:noWrap/>
                  <w:tcMar>
                    <w:top w:w="0" w:type="dxa"/>
                    <w:left w:w="51" w:type="dxa"/>
                    <w:bottom w:w="0" w:type="dxa"/>
                    <w:right w:w="51" w:type="dxa"/>
                  </w:tcMar>
                  <w:vAlign w:val="center"/>
                </w:tcPr>
                <w:p w14:paraId="273E9D2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22EE9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AFF18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622" w:type="pct"/>
                  <w:tcBorders>
                    <w:tl2br w:val="nil"/>
                    <w:tr2bl w:val="nil"/>
                  </w:tcBorders>
                  <w:shd w:val="clear" w:color="auto" w:fill="auto"/>
                  <w:noWrap/>
                  <w:tcMar>
                    <w:top w:w="0" w:type="dxa"/>
                    <w:left w:w="51" w:type="dxa"/>
                    <w:bottom w:w="0" w:type="dxa"/>
                    <w:right w:w="51" w:type="dxa"/>
                  </w:tcMar>
                  <w:vAlign w:val="center"/>
                </w:tcPr>
                <w:p w14:paraId="173875C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EA0589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65C9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07487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217</w:t>
                  </w:r>
                </w:p>
              </w:tc>
              <w:tc>
                <w:tcPr>
                  <w:tcW w:w="1210" w:type="pct"/>
                  <w:tcBorders>
                    <w:tl2br w:val="nil"/>
                    <w:tr2bl w:val="nil"/>
                  </w:tcBorders>
                  <w:shd w:val="clear" w:color="auto" w:fill="auto"/>
                  <w:noWrap/>
                  <w:tcMar>
                    <w:top w:w="0" w:type="dxa"/>
                    <w:left w:w="51" w:type="dxa"/>
                    <w:bottom w:w="0" w:type="dxa"/>
                    <w:right w:w="51" w:type="dxa"/>
                  </w:tcMar>
                  <w:vAlign w:val="center"/>
                </w:tcPr>
                <w:p w14:paraId="7297AC9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硝酸钾</w:t>
                  </w:r>
                </w:p>
              </w:tc>
              <w:tc>
                <w:tcPr>
                  <w:tcW w:w="533" w:type="pct"/>
                  <w:tcBorders>
                    <w:tl2br w:val="nil"/>
                    <w:tr2bl w:val="nil"/>
                  </w:tcBorders>
                  <w:shd w:val="clear" w:color="auto" w:fill="auto"/>
                  <w:noWrap/>
                  <w:tcMar>
                    <w:top w:w="0" w:type="dxa"/>
                    <w:left w:w="51" w:type="dxa"/>
                    <w:bottom w:w="0" w:type="dxa"/>
                    <w:right w:w="51" w:type="dxa"/>
                  </w:tcMar>
                  <w:vAlign w:val="center"/>
                </w:tcPr>
                <w:p w14:paraId="467E12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174EE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EBF53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B2724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1B9080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382AE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F36BA2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218</w:t>
                  </w:r>
                </w:p>
              </w:tc>
              <w:tc>
                <w:tcPr>
                  <w:tcW w:w="1210" w:type="pct"/>
                  <w:tcBorders>
                    <w:tl2br w:val="nil"/>
                    <w:tr2bl w:val="nil"/>
                  </w:tcBorders>
                  <w:shd w:val="clear" w:color="auto" w:fill="auto"/>
                  <w:noWrap/>
                  <w:tcMar>
                    <w:top w:w="0" w:type="dxa"/>
                    <w:left w:w="51" w:type="dxa"/>
                    <w:bottom w:w="0" w:type="dxa"/>
                    <w:right w:w="51" w:type="dxa"/>
                  </w:tcMar>
                  <w:vAlign w:val="center"/>
                </w:tcPr>
                <w:p w14:paraId="123C459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重铬酸钾</w:t>
                  </w:r>
                </w:p>
              </w:tc>
              <w:tc>
                <w:tcPr>
                  <w:tcW w:w="533" w:type="pct"/>
                  <w:tcBorders>
                    <w:tl2br w:val="nil"/>
                    <w:tr2bl w:val="nil"/>
                  </w:tcBorders>
                  <w:shd w:val="clear" w:color="auto" w:fill="auto"/>
                  <w:noWrap/>
                  <w:tcMar>
                    <w:top w:w="0" w:type="dxa"/>
                    <w:left w:w="51" w:type="dxa"/>
                    <w:bottom w:w="0" w:type="dxa"/>
                    <w:right w:w="51" w:type="dxa"/>
                  </w:tcMar>
                  <w:vAlign w:val="center"/>
                </w:tcPr>
                <w:p w14:paraId="578C24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DDD01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FEEED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14AC2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8E6D5C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BBA88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A9FA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219</w:t>
                  </w:r>
                </w:p>
              </w:tc>
              <w:tc>
                <w:tcPr>
                  <w:tcW w:w="1210" w:type="pct"/>
                  <w:tcBorders>
                    <w:tl2br w:val="nil"/>
                    <w:tr2bl w:val="nil"/>
                  </w:tcBorders>
                  <w:shd w:val="clear" w:color="auto" w:fill="auto"/>
                  <w:noWrap/>
                  <w:tcMar>
                    <w:top w:w="0" w:type="dxa"/>
                    <w:left w:w="51" w:type="dxa"/>
                    <w:bottom w:w="0" w:type="dxa"/>
                    <w:right w:w="51" w:type="dxa"/>
                  </w:tcMar>
                  <w:vAlign w:val="center"/>
                </w:tcPr>
                <w:p w14:paraId="32F54D8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高锰酸钾</w:t>
                  </w:r>
                </w:p>
              </w:tc>
              <w:tc>
                <w:tcPr>
                  <w:tcW w:w="533" w:type="pct"/>
                  <w:tcBorders>
                    <w:tl2br w:val="nil"/>
                    <w:tr2bl w:val="nil"/>
                  </w:tcBorders>
                  <w:shd w:val="clear" w:color="auto" w:fill="auto"/>
                  <w:noWrap/>
                  <w:tcMar>
                    <w:top w:w="0" w:type="dxa"/>
                    <w:left w:w="51" w:type="dxa"/>
                    <w:bottom w:w="0" w:type="dxa"/>
                    <w:right w:w="51" w:type="dxa"/>
                  </w:tcMar>
                  <w:vAlign w:val="center"/>
                </w:tcPr>
                <w:p w14:paraId="388B9D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B7487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EDAAD1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F435F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E9022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F6EA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3CEA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220</w:t>
                  </w:r>
                </w:p>
              </w:tc>
              <w:tc>
                <w:tcPr>
                  <w:tcW w:w="1210" w:type="pct"/>
                  <w:tcBorders>
                    <w:tl2br w:val="nil"/>
                    <w:tr2bl w:val="nil"/>
                  </w:tcBorders>
                  <w:shd w:val="clear" w:color="auto" w:fill="auto"/>
                  <w:noWrap/>
                  <w:tcMar>
                    <w:top w:w="0" w:type="dxa"/>
                    <w:left w:w="51" w:type="dxa"/>
                    <w:bottom w:w="0" w:type="dxa"/>
                    <w:right w:w="51" w:type="dxa"/>
                  </w:tcMar>
                  <w:vAlign w:val="center"/>
                </w:tcPr>
                <w:p w14:paraId="55C33AC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硼氢化钠</w:t>
                  </w:r>
                </w:p>
              </w:tc>
              <w:tc>
                <w:tcPr>
                  <w:tcW w:w="533" w:type="pct"/>
                  <w:tcBorders>
                    <w:tl2br w:val="nil"/>
                    <w:tr2bl w:val="nil"/>
                  </w:tcBorders>
                  <w:shd w:val="clear" w:color="auto" w:fill="auto"/>
                  <w:noWrap/>
                  <w:tcMar>
                    <w:top w:w="0" w:type="dxa"/>
                    <w:left w:w="51" w:type="dxa"/>
                    <w:bottom w:w="0" w:type="dxa"/>
                    <w:right w:w="51" w:type="dxa"/>
                  </w:tcMar>
                  <w:vAlign w:val="center"/>
                </w:tcPr>
                <w:p w14:paraId="48CFAC6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993F7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68FB0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6E7F3C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AE8CAF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D862A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C3F9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221</w:t>
                  </w:r>
                </w:p>
              </w:tc>
              <w:tc>
                <w:tcPr>
                  <w:tcW w:w="1210" w:type="pct"/>
                  <w:tcBorders>
                    <w:tl2br w:val="nil"/>
                    <w:tr2bl w:val="nil"/>
                  </w:tcBorders>
                  <w:shd w:val="clear" w:color="auto" w:fill="auto"/>
                  <w:noWrap/>
                  <w:tcMar>
                    <w:top w:w="0" w:type="dxa"/>
                    <w:left w:w="51" w:type="dxa"/>
                    <w:bottom w:w="0" w:type="dxa"/>
                    <w:right w:w="51" w:type="dxa"/>
                  </w:tcMar>
                  <w:vAlign w:val="center"/>
                </w:tcPr>
                <w:p w14:paraId="6652DFC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硼氢化钾</w:t>
                  </w:r>
                </w:p>
              </w:tc>
              <w:tc>
                <w:tcPr>
                  <w:tcW w:w="533" w:type="pct"/>
                  <w:tcBorders>
                    <w:tl2br w:val="nil"/>
                    <w:tr2bl w:val="nil"/>
                  </w:tcBorders>
                  <w:shd w:val="clear" w:color="auto" w:fill="auto"/>
                  <w:noWrap/>
                  <w:tcMar>
                    <w:top w:w="0" w:type="dxa"/>
                    <w:left w:w="51" w:type="dxa"/>
                    <w:bottom w:w="0" w:type="dxa"/>
                    <w:right w:w="51" w:type="dxa"/>
                  </w:tcMar>
                  <w:vAlign w:val="center"/>
                </w:tcPr>
                <w:p w14:paraId="2B18B7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54169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D215F4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2D4F6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605D74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3CD29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6EABC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222</w:t>
                  </w:r>
                </w:p>
              </w:tc>
              <w:tc>
                <w:tcPr>
                  <w:tcW w:w="1210" w:type="pct"/>
                  <w:tcBorders>
                    <w:tl2br w:val="nil"/>
                    <w:tr2bl w:val="nil"/>
                  </w:tcBorders>
                  <w:shd w:val="clear" w:color="auto" w:fill="auto"/>
                  <w:noWrap/>
                  <w:tcMar>
                    <w:top w:w="0" w:type="dxa"/>
                    <w:left w:w="51" w:type="dxa"/>
                    <w:bottom w:w="0" w:type="dxa"/>
                    <w:right w:w="51" w:type="dxa"/>
                  </w:tcMar>
                  <w:vAlign w:val="center"/>
                </w:tcPr>
                <w:p w14:paraId="4C4FFB6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硝酸镁</w:t>
                  </w:r>
                </w:p>
              </w:tc>
              <w:tc>
                <w:tcPr>
                  <w:tcW w:w="533" w:type="pct"/>
                  <w:tcBorders>
                    <w:tl2br w:val="nil"/>
                    <w:tr2bl w:val="nil"/>
                  </w:tcBorders>
                  <w:shd w:val="clear" w:color="auto" w:fill="auto"/>
                  <w:noWrap/>
                  <w:tcMar>
                    <w:top w:w="0" w:type="dxa"/>
                    <w:left w:w="51" w:type="dxa"/>
                    <w:bottom w:w="0" w:type="dxa"/>
                    <w:right w:w="51" w:type="dxa"/>
                  </w:tcMar>
                  <w:vAlign w:val="center"/>
                </w:tcPr>
                <w:p w14:paraId="68362F9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347DCA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9F7569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C6942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DE46BF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B173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9584F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223</w:t>
                  </w:r>
                </w:p>
              </w:tc>
              <w:tc>
                <w:tcPr>
                  <w:tcW w:w="1210" w:type="pct"/>
                  <w:tcBorders>
                    <w:tl2br w:val="nil"/>
                    <w:tr2bl w:val="nil"/>
                  </w:tcBorders>
                  <w:shd w:val="clear" w:color="auto" w:fill="auto"/>
                  <w:noWrap/>
                  <w:tcMar>
                    <w:top w:w="0" w:type="dxa"/>
                    <w:left w:w="51" w:type="dxa"/>
                    <w:bottom w:w="0" w:type="dxa"/>
                    <w:right w:w="51" w:type="dxa"/>
                  </w:tcMar>
                  <w:vAlign w:val="center"/>
                </w:tcPr>
                <w:p w14:paraId="59DE930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硝酸银</w:t>
                  </w:r>
                </w:p>
              </w:tc>
              <w:tc>
                <w:tcPr>
                  <w:tcW w:w="533" w:type="pct"/>
                  <w:tcBorders>
                    <w:tl2br w:val="nil"/>
                    <w:tr2bl w:val="nil"/>
                  </w:tcBorders>
                  <w:shd w:val="clear" w:color="auto" w:fill="auto"/>
                  <w:noWrap/>
                  <w:tcMar>
                    <w:top w:w="0" w:type="dxa"/>
                    <w:left w:w="51" w:type="dxa"/>
                    <w:bottom w:w="0" w:type="dxa"/>
                    <w:right w:w="51" w:type="dxa"/>
                  </w:tcMar>
                  <w:vAlign w:val="center"/>
                </w:tcPr>
                <w:p w14:paraId="649530F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6F1441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346A1A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4F65A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D8C4B1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9357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508670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224</w:t>
                  </w:r>
                </w:p>
              </w:tc>
              <w:tc>
                <w:tcPr>
                  <w:tcW w:w="1210" w:type="pct"/>
                  <w:tcBorders>
                    <w:tl2br w:val="nil"/>
                    <w:tr2bl w:val="nil"/>
                  </w:tcBorders>
                  <w:shd w:val="clear" w:color="auto" w:fill="auto"/>
                  <w:noWrap/>
                  <w:tcMar>
                    <w:top w:w="0" w:type="dxa"/>
                    <w:left w:w="51" w:type="dxa"/>
                    <w:bottom w:w="0" w:type="dxa"/>
                    <w:right w:w="51" w:type="dxa"/>
                  </w:tcMar>
                  <w:vAlign w:val="center"/>
                </w:tcPr>
                <w:p w14:paraId="3593DE3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叠氮化钠</w:t>
                  </w:r>
                </w:p>
              </w:tc>
              <w:tc>
                <w:tcPr>
                  <w:tcW w:w="533" w:type="pct"/>
                  <w:tcBorders>
                    <w:tl2br w:val="nil"/>
                    <w:tr2bl w:val="nil"/>
                  </w:tcBorders>
                  <w:shd w:val="clear" w:color="auto" w:fill="auto"/>
                  <w:noWrap/>
                  <w:tcMar>
                    <w:top w:w="0" w:type="dxa"/>
                    <w:left w:w="51" w:type="dxa"/>
                    <w:bottom w:w="0" w:type="dxa"/>
                    <w:right w:w="51" w:type="dxa"/>
                  </w:tcMar>
                  <w:vAlign w:val="center"/>
                </w:tcPr>
                <w:p w14:paraId="2BB9B9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7390D8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A2150E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EA90C6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E8366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3E283A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B5E807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225</w:t>
                  </w:r>
                </w:p>
              </w:tc>
              <w:tc>
                <w:tcPr>
                  <w:tcW w:w="1210" w:type="pct"/>
                  <w:tcBorders>
                    <w:tl2br w:val="nil"/>
                    <w:tr2bl w:val="nil"/>
                  </w:tcBorders>
                  <w:shd w:val="clear" w:color="auto" w:fill="auto"/>
                  <w:noWrap/>
                  <w:tcMar>
                    <w:top w:w="0" w:type="dxa"/>
                    <w:left w:w="51" w:type="dxa"/>
                    <w:bottom w:w="0" w:type="dxa"/>
                    <w:right w:w="51" w:type="dxa"/>
                  </w:tcMar>
                  <w:vAlign w:val="center"/>
                </w:tcPr>
                <w:p w14:paraId="2EAAEB1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环六亚甲基四胺</w:t>
                  </w:r>
                </w:p>
              </w:tc>
              <w:tc>
                <w:tcPr>
                  <w:tcW w:w="533" w:type="pct"/>
                  <w:tcBorders>
                    <w:tl2br w:val="nil"/>
                    <w:tr2bl w:val="nil"/>
                  </w:tcBorders>
                  <w:shd w:val="clear" w:color="auto" w:fill="auto"/>
                  <w:noWrap/>
                  <w:tcMar>
                    <w:top w:w="0" w:type="dxa"/>
                    <w:left w:w="51" w:type="dxa"/>
                    <w:bottom w:w="0" w:type="dxa"/>
                    <w:right w:w="51" w:type="dxa"/>
                  </w:tcMar>
                  <w:vAlign w:val="center"/>
                </w:tcPr>
                <w:p w14:paraId="6853130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250g</w:t>
                  </w:r>
                </w:p>
              </w:tc>
              <w:tc>
                <w:tcPr>
                  <w:tcW w:w="716" w:type="pct"/>
                  <w:tcBorders>
                    <w:tl2br w:val="nil"/>
                    <w:tr2bl w:val="nil"/>
                  </w:tcBorders>
                  <w:shd w:val="clear" w:color="auto" w:fill="auto"/>
                  <w:noWrap/>
                  <w:tcMar>
                    <w:top w:w="0" w:type="dxa"/>
                    <w:left w:w="51" w:type="dxa"/>
                    <w:bottom w:w="0" w:type="dxa"/>
                    <w:right w:w="51" w:type="dxa"/>
                  </w:tcMar>
                  <w:vAlign w:val="center"/>
                </w:tcPr>
                <w:p w14:paraId="27DBE1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BFE6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C4ED1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B6668B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F0814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AA0FE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226</w:t>
                  </w:r>
                </w:p>
              </w:tc>
              <w:tc>
                <w:tcPr>
                  <w:tcW w:w="1210" w:type="pct"/>
                  <w:tcBorders>
                    <w:tl2br w:val="nil"/>
                    <w:tr2bl w:val="nil"/>
                  </w:tcBorders>
                  <w:shd w:val="clear" w:color="auto" w:fill="auto"/>
                  <w:noWrap/>
                  <w:tcMar>
                    <w:top w:w="0" w:type="dxa"/>
                    <w:left w:w="51" w:type="dxa"/>
                    <w:bottom w:w="0" w:type="dxa"/>
                    <w:right w:w="51" w:type="dxa"/>
                  </w:tcMar>
                  <w:vAlign w:val="center"/>
                </w:tcPr>
                <w:p w14:paraId="51B3D33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锌粒</w:t>
                  </w:r>
                </w:p>
              </w:tc>
              <w:tc>
                <w:tcPr>
                  <w:tcW w:w="533" w:type="pct"/>
                  <w:tcBorders>
                    <w:tl2br w:val="nil"/>
                    <w:tr2bl w:val="nil"/>
                  </w:tcBorders>
                  <w:shd w:val="clear" w:color="auto" w:fill="auto"/>
                  <w:noWrap/>
                  <w:tcMar>
                    <w:top w:w="0" w:type="dxa"/>
                    <w:left w:w="51" w:type="dxa"/>
                    <w:bottom w:w="0" w:type="dxa"/>
                    <w:right w:w="51" w:type="dxa"/>
                  </w:tcMar>
                  <w:vAlign w:val="center"/>
                </w:tcPr>
                <w:p w14:paraId="4BFF63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47580B2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0F9068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9077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易制爆</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423642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5C475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22D46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227</w:t>
                  </w:r>
                </w:p>
              </w:tc>
              <w:tc>
                <w:tcPr>
                  <w:tcW w:w="1210" w:type="pct"/>
                  <w:tcBorders>
                    <w:tl2br w:val="nil"/>
                    <w:tr2bl w:val="nil"/>
                  </w:tcBorders>
                  <w:shd w:val="clear" w:color="auto" w:fill="auto"/>
                  <w:noWrap/>
                  <w:tcMar>
                    <w:top w:w="0" w:type="dxa"/>
                    <w:left w:w="51" w:type="dxa"/>
                    <w:bottom w:w="0" w:type="dxa"/>
                    <w:right w:w="51" w:type="dxa"/>
                  </w:tcMar>
                  <w:vAlign w:val="center"/>
                </w:tcPr>
                <w:p w14:paraId="20B2D00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甲苯</w:t>
                  </w:r>
                </w:p>
              </w:tc>
              <w:tc>
                <w:tcPr>
                  <w:tcW w:w="533" w:type="pct"/>
                  <w:tcBorders>
                    <w:tl2br w:val="nil"/>
                    <w:tr2bl w:val="nil"/>
                  </w:tcBorders>
                  <w:shd w:val="clear" w:color="auto" w:fill="auto"/>
                  <w:noWrap/>
                  <w:tcMar>
                    <w:top w:w="0" w:type="dxa"/>
                    <w:left w:w="51" w:type="dxa"/>
                    <w:bottom w:w="0" w:type="dxa"/>
                    <w:right w:w="51" w:type="dxa"/>
                  </w:tcMar>
                  <w:vAlign w:val="center"/>
                </w:tcPr>
                <w:p w14:paraId="54C631F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mL</w:t>
                  </w:r>
                </w:p>
              </w:tc>
              <w:tc>
                <w:tcPr>
                  <w:tcW w:w="716" w:type="pct"/>
                  <w:tcBorders>
                    <w:tl2br w:val="nil"/>
                    <w:tr2bl w:val="nil"/>
                  </w:tcBorders>
                  <w:shd w:val="clear" w:color="auto" w:fill="auto"/>
                  <w:noWrap/>
                  <w:tcMar>
                    <w:top w:w="0" w:type="dxa"/>
                    <w:left w:w="51" w:type="dxa"/>
                    <w:bottom w:w="0" w:type="dxa"/>
                    <w:right w:w="51" w:type="dxa"/>
                  </w:tcMar>
                  <w:vAlign w:val="center"/>
                </w:tcPr>
                <w:p w14:paraId="16221D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6CBB79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5429AA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15BF41F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r>
                    <w:rPr>
                      <w:rFonts w:hint="default" w:ascii="Times New Roman" w:hAnsi="Times New Roman" w:cs="Times New Roman"/>
                      <w:color w:val="auto"/>
                      <w:kern w:val="0"/>
                      <w:sz w:val="21"/>
                      <w:szCs w:val="21"/>
                      <w:highlight w:val="none"/>
                      <w:lang w:val="en-US" w:eastAsia="zh-CN" w:bidi="ar"/>
                    </w:rPr>
                    <w:t>室</w:t>
                  </w:r>
                </w:p>
              </w:tc>
            </w:tr>
            <w:tr w14:paraId="0ACAC2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6E915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228</w:t>
                  </w:r>
                </w:p>
              </w:tc>
              <w:tc>
                <w:tcPr>
                  <w:tcW w:w="1210" w:type="pct"/>
                  <w:tcBorders>
                    <w:tl2br w:val="nil"/>
                    <w:tr2bl w:val="nil"/>
                  </w:tcBorders>
                  <w:shd w:val="clear" w:color="auto" w:fill="auto"/>
                  <w:noWrap/>
                  <w:tcMar>
                    <w:top w:w="0" w:type="dxa"/>
                    <w:left w:w="51" w:type="dxa"/>
                    <w:bottom w:w="0" w:type="dxa"/>
                    <w:right w:w="51" w:type="dxa"/>
                  </w:tcMar>
                  <w:vAlign w:val="center"/>
                </w:tcPr>
                <w:p w14:paraId="391F9F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w:t>
                  </w:r>
                </w:p>
              </w:tc>
              <w:tc>
                <w:tcPr>
                  <w:tcW w:w="533" w:type="pct"/>
                  <w:tcBorders>
                    <w:tl2br w:val="nil"/>
                    <w:tr2bl w:val="nil"/>
                  </w:tcBorders>
                  <w:shd w:val="clear" w:color="auto" w:fill="auto"/>
                  <w:noWrap/>
                  <w:tcMar>
                    <w:top w:w="0" w:type="dxa"/>
                    <w:left w:w="51" w:type="dxa"/>
                    <w:bottom w:w="0" w:type="dxa"/>
                    <w:right w:w="51" w:type="dxa"/>
                  </w:tcMar>
                  <w:vAlign w:val="center"/>
                </w:tcPr>
                <w:p w14:paraId="5D4157F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4614A8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FB432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622" w:type="pct"/>
                  <w:tcBorders>
                    <w:tl2br w:val="nil"/>
                    <w:tr2bl w:val="nil"/>
                  </w:tcBorders>
                  <w:shd w:val="clear" w:color="auto" w:fill="auto"/>
                  <w:noWrap/>
                  <w:tcMar>
                    <w:top w:w="0" w:type="dxa"/>
                    <w:left w:w="51" w:type="dxa"/>
                    <w:bottom w:w="0" w:type="dxa"/>
                    <w:right w:w="51" w:type="dxa"/>
                  </w:tcMar>
                  <w:vAlign w:val="center"/>
                </w:tcPr>
                <w:p w14:paraId="42A40F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221FF1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A0B47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7EADC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229</w:t>
                  </w:r>
                </w:p>
              </w:tc>
              <w:tc>
                <w:tcPr>
                  <w:tcW w:w="1210" w:type="pct"/>
                  <w:tcBorders>
                    <w:tl2br w:val="nil"/>
                    <w:tr2bl w:val="nil"/>
                  </w:tcBorders>
                  <w:shd w:val="clear" w:color="auto" w:fill="auto"/>
                  <w:noWrap/>
                  <w:tcMar>
                    <w:top w:w="0" w:type="dxa"/>
                    <w:left w:w="51" w:type="dxa"/>
                    <w:bottom w:w="0" w:type="dxa"/>
                    <w:right w:w="51" w:type="dxa"/>
                  </w:tcMar>
                  <w:vAlign w:val="center"/>
                </w:tcPr>
                <w:p w14:paraId="36F515D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w:t>
                  </w:r>
                </w:p>
              </w:tc>
              <w:tc>
                <w:tcPr>
                  <w:tcW w:w="533" w:type="pct"/>
                  <w:tcBorders>
                    <w:tl2br w:val="nil"/>
                    <w:tr2bl w:val="nil"/>
                  </w:tcBorders>
                  <w:shd w:val="clear" w:color="auto" w:fill="auto"/>
                  <w:noWrap/>
                  <w:tcMar>
                    <w:top w:w="0" w:type="dxa"/>
                    <w:left w:w="51" w:type="dxa"/>
                    <w:bottom w:w="0" w:type="dxa"/>
                    <w:right w:w="51" w:type="dxa"/>
                  </w:tcMar>
                  <w:vAlign w:val="center"/>
                </w:tcPr>
                <w:p w14:paraId="3F14C8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78EF85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4CE665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w:t>
                  </w:r>
                </w:p>
              </w:tc>
              <w:tc>
                <w:tcPr>
                  <w:tcW w:w="622" w:type="pct"/>
                  <w:tcBorders>
                    <w:tl2br w:val="nil"/>
                    <w:tr2bl w:val="nil"/>
                  </w:tcBorders>
                  <w:shd w:val="clear" w:color="auto" w:fill="auto"/>
                  <w:noWrap/>
                  <w:tcMar>
                    <w:top w:w="0" w:type="dxa"/>
                    <w:left w:w="51" w:type="dxa"/>
                    <w:bottom w:w="0" w:type="dxa"/>
                    <w:right w:w="51" w:type="dxa"/>
                  </w:tcMar>
                  <w:vAlign w:val="center"/>
                </w:tcPr>
                <w:p w14:paraId="579FEDD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44FD01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081CA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938298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230</w:t>
                  </w:r>
                </w:p>
              </w:tc>
              <w:tc>
                <w:tcPr>
                  <w:tcW w:w="1210" w:type="pct"/>
                  <w:tcBorders>
                    <w:tl2br w:val="nil"/>
                    <w:tr2bl w:val="nil"/>
                  </w:tcBorders>
                  <w:shd w:val="clear" w:color="auto" w:fill="auto"/>
                  <w:noWrap/>
                  <w:tcMar>
                    <w:top w:w="0" w:type="dxa"/>
                    <w:left w:w="51" w:type="dxa"/>
                    <w:bottom w:w="0" w:type="dxa"/>
                    <w:right w:w="51" w:type="dxa"/>
                  </w:tcMar>
                  <w:vAlign w:val="center"/>
                </w:tcPr>
                <w:p w14:paraId="270D1EE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丙酮</w:t>
                  </w:r>
                </w:p>
              </w:tc>
              <w:tc>
                <w:tcPr>
                  <w:tcW w:w="533" w:type="pct"/>
                  <w:tcBorders>
                    <w:tl2br w:val="nil"/>
                    <w:tr2bl w:val="nil"/>
                  </w:tcBorders>
                  <w:shd w:val="clear" w:color="auto" w:fill="auto"/>
                  <w:noWrap/>
                  <w:tcMar>
                    <w:top w:w="0" w:type="dxa"/>
                    <w:left w:w="51" w:type="dxa"/>
                    <w:bottom w:w="0" w:type="dxa"/>
                    <w:right w:w="51" w:type="dxa"/>
                  </w:tcMar>
                  <w:vAlign w:val="center"/>
                </w:tcPr>
                <w:p w14:paraId="6650BBC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37E46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149F9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951FB3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CDDFCA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ECD81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0424D9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231</w:t>
                  </w:r>
                </w:p>
              </w:tc>
              <w:tc>
                <w:tcPr>
                  <w:tcW w:w="1210" w:type="pct"/>
                  <w:tcBorders>
                    <w:tl2br w:val="nil"/>
                    <w:tr2bl w:val="nil"/>
                  </w:tcBorders>
                  <w:shd w:val="clear" w:color="auto" w:fill="auto"/>
                  <w:noWrap/>
                  <w:tcMar>
                    <w:top w:w="0" w:type="dxa"/>
                    <w:left w:w="51" w:type="dxa"/>
                    <w:bottom w:w="0" w:type="dxa"/>
                    <w:right w:w="51" w:type="dxa"/>
                  </w:tcMar>
                  <w:vAlign w:val="center"/>
                </w:tcPr>
                <w:p w14:paraId="0D6CF58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乙醚</w:t>
                  </w:r>
                </w:p>
              </w:tc>
              <w:tc>
                <w:tcPr>
                  <w:tcW w:w="533" w:type="pct"/>
                  <w:tcBorders>
                    <w:tl2br w:val="nil"/>
                    <w:tr2bl w:val="nil"/>
                  </w:tcBorders>
                  <w:shd w:val="clear" w:color="auto" w:fill="auto"/>
                  <w:noWrap/>
                  <w:tcMar>
                    <w:top w:w="0" w:type="dxa"/>
                    <w:left w:w="51" w:type="dxa"/>
                    <w:bottom w:w="0" w:type="dxa"/>
                    <w:right w:w="51" w:type="dxa"/>
                  </w:tcMar>
                  <w:vAlign w:val="center"/>
                </w:tcPr>
                <w:p w14:paraId="1A3AC26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2AB275F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BFDCE2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06CB4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FFF9E0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47C2C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B0120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232</w:t>
                  </w:r>
                </w:p>
              </w:tc>
              <w:tc>
                <w:tcPr>
                  <w:tcW w:w="1210" w:type="pct"/>
                  <w:tcBorders>
                    <w:tl2br w:val="nil"/>
                    <w:tr2bl w:val="nil"/>
                  </w:tcBorders>
                  <w:shd w:val="clear" w:color="auto" w:fill="auto"/>
                  <w:noWrap/>
                  <w:tcMar>
                    <w:top w:w="0" w:type="dxa"/>
                    <w:left w:w="51" w:type="dxa"/>
                    <w:bottom w:w="0" w:type="dxa"/>
                    <w:right w:w="51" w:type="dxa"/>
                  </w:tcMar>
                  <w:vAlign w:val="center"/>
                </w:tcPr>
                <w:p w14:paraId="6473D08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三氯甲烷</w:t>
                  </w:r>
                </w:p>
              </w:tc>
              <w:tc>
                <w:tcPr>
                  <w:tcW w:w="533" w:type="pct"/>
                  <w:tcBorders>
                    <w:tl2br w:val="nil"/>
                    <w:tr2bl w:val="nil"/>
                  </w:tcBorders>
                  <w:shd w:val="clear" w:color="auto" w:fill="auto"/>
                  <w:noWrap/>
                  <w:tcMar>
                    <w:top w:w="0" w:type="dxa"/>
                    <w:left w:w="51" w:type="dxa"/>
                    <w:bottom w:w="0" w:type="dxa"/>
                    <w:right w:w="51" w:type="dxa"/>
                  </w:tcMar>
                  <w:vAlign w:val="center"/>
                </w:tcPr>
                <w:p w14:paraId="267027D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F65FA3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7C485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w:t>
                  </w:r>
                </w:p>
              </w:tc>
              <w:tc>
                <w:tcPr>
                  <w:tcW w:w="622" w:type="pct"/>
                  <w:tcBorders>
                    <w:tl2br w:val="nil"/>
                    <w:tr2bl w:val="nil"/>
                  </w:tcBorders>
                  <w:shd w:val="clear" w:color="auto" w:fill="auto"/>
                  <w:noWrap/>
                  <w:tcMar>
                    <w:top w:w="0" w:type="dxa"/>
                    <w:left w:w="51" w:type="dxa"/>
                    <w:bottom w:w="0" w:type="dxa"/>
                    <w:right w:w="51" w:type="dxa"/>
                  </w:tcMar>
                  <w:vAlign w:val="center"/>
                </w:tcPr>
                <w:p w14:paraId="5ABEB3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易制毒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38F43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E27EE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5D9E5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233</w:t>
                  </w:r>
                </w:p>
              </w:tc>
              <w:tc>
                <w:tcPr>
                  <w:tcW w:w="1210" w:type="pct"/>
                  <w:tcBorders>
                    <w:tl2br w:val="nil"/>
                    <w:tr2bl w:val="nil"/>
                  </w:tcBorders>
                  <w:shd w:val="clear" w:color="auto" w:fill="auto"/>
                  <w:noWrap/>
                  <w:tcMar>
                    <w:top w:w="0" w:type="dxa"/>
                    <w:left w:w="51" w:type="dxa"/>
                    <w:bottom w:w="0" w:type="dxa"/>
                    <w:right w:w="51" w:type="dxa"/>
                  </w:tcMar>
                  <w:vAlign w:val="center"/>
                </w:tcPr>
                <w:p w14:paraId="2474592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无水乙醇</w:t>
                  </w:r>
                </w:p>
              </w:tc>
              <w:tc>
                <w:tcPr>
                  <w:tcW w:w="533" w:type="pct"/>
                  <w:tcBorders>
                    <w:tl2br w:val="nil"/>
                    <w:tr2bl w:val="nil"/>
                  </w:tcBorders>
                  <w:shd w:val="clear" w:color="auto" w:fill="auto"/>
                  <w:noWrap/>
                  <w:tcMar>
                    <w:top w:w="0" w:type="dxa"/>
                    <w:left w:w="51" w:type="dxa"/>
                    <w:bottom w:w="0" w:type="dxa"/>
                    <w:right w:w="51" w:type="dxa"/>
                  </w:tcMar>
                  <w:vAlign w:val="center"/>
                </w:tcPr>
                <w:p w14:paraId="00DB26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500</w:t>
                  </w:r>
                  <w:r>
                    <w:rPr>
                      <w:rFonts w:hint="default" w:ascii="Times New Roman" w:hAnsi="Times New Roman" w:eastAsia="宋体" w:cs="Times New Roman"/>
                      <w:i w:val="0"/>
                      <w:iCs w:val="0"/>
                      <w:color w:val="auto"/>
                      <w:kern w:val="0"/>
                      <w:sz w:val="21"/>
                      <w:szCs w:val="21"/>
                      <w:highlight w:val="none"/>
                      <w:u w:val="none"/>
                      <w:lang w:val="en-US" w:eastAsia="zh-CN" w:bidi="ar"/>
                    </w:rPr>
                    <w:t>mL</w:t>
                  </w:r>
                </w:p>
              </w:tc>
              <w:tc>
                <w:tcPr>
                  <w:tcW w:w="716" w:type="pct"/>
                  <w:tcBorders>
                    <w:tl2br w:val="nil"/>
                    <w:tr2bl w:val="nil"/>
                  </w:tcBorders>
                  <w:shd w:val="clear" w:color="auto" w:fill="auto"/>
                  <w:noWrap/>
                  <w:tcMar>
                    <w:top w:w="0" w:type="dxa"/>
                    <w:left w:w="51" w:type="dxa"/>
                    <w:bottom w:w="0" w:type="dxa"/>
                    <w:right w:w="51" w:type="dxa"/>
                  </w:tcMar>
                  <w:vAlign w:val="center"/>
                </w:tcPr>
                <w:p w14:paraId="62E72E5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CC2B4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w:t>
                  </w:r>
                </w:p>
              </w:tc>
              <w:tc>
                <w:tcPr>
                  <w:tcW w:w="622" w:type="pct"/>
                  <w:tcBorders>
                    <w:tl2br w:val="nil"/>
                    <w:tr2bl w:val="nil"/>
                  </w:tcBorders>
                  <w:shd w:val="clear" w:color="auto" w:fill="auto"/>
                  <w:noWrap/>
                  <w:tcMar>
                    <w:top w:w="0" w:type="dxa"/>
                    <w:left w:w="51" w:type="dxa"/>
                    <w:bottom w:w="0" w:type="dxa"/>
                    <w:right w:w="51" w:type="dxa"/>
                  </w:tcMar>
                  <w:vAlign w:val="center"/>
                </w:tcPr>
                <w:p w14:paraId="107119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62884F3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试剂室</w:t>
                  </w:r>
                </w:p>
              </w:tc>
            </w:tr>
            <w:tr w14:paraId="703337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08821E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234</w:t>
                  </w:r>
                </w:p>
              </w:tc>
              <w:tc>
                <w:tcPr>
                  <w:tcW w:w="1210" w:type="pct"/>
                  <w:tcBorders>
                    <w:tl2br w:val="nil"/>
                    <w:tr2bl w:val="nil"/>
                  </w:tcBorders>
                  <w:shd w:val="clear" w:color="auto" w:fill="auto"/>
                  <w:noWrap/>
                  <w:tcMar>
                    <w:top w:w="0" w:type="dxa"/>
                    <w:left w:w="51" w:type="dxa"/>
                    <w:bottom w:w="0" w:type="dxa"/>
                    <w:right w:w="51" w:type="dxa"/>
                  </w:tcMar>
                  <w:vAlign w:val="center"/>
                </w:tcPr>
                <w:p w14:paraId="542E781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乙酸丁酯</w:t>
                  </w:r>
                </w:p>
              </w:tc>
              <w:tc>
                <w:tcPr>
                  <w:tcW w:w="533" w:type="pct"/>
                  <w:tcBorders>
                    <w:tl2br w:val="nil"/>
                    <w:tr2bl w:val="nil"/>
                  </w:tcBorders>
                  <w:shd w:val="clear" w:color="auto" w:fill="auto"/>
                  <w:noWrap/>
                  <w:tcMar>
                    <w:top w:w="0" w:type="dxa"/>
                    <w:left w:w="51" w:type="dxa"/>
                    <w:bottom w:w="0" w:type="dxa"/>
                    <w:right w:w="51" w:type="dxa"/>
                  </w:tcMar>
                  <w:vAlign w:val="center"/>
                </w:tcPr>
                <w:p w14:paraId="4A74964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7AE0FB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4347A6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BFC69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047A92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20DCC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0EBEDF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235</w:t>
                  </w:r>
                </w:p>
              </w:tc>
              <w:tc>
                <w:tcPr>
                  <w:tcW w:w="1210" w:type="pct"/>
                  <w:tcBorders>
                    <w:tl2br w:val="nil"/>
                    <w:tr2bl w:val="nil"/>
                  </w:tcBorders>
                  <w:shd w:val="clear" w:color="auto" w:fill="auto"/>
                  <w:noWrap/>
                  <w:tcMar>
                    <w:top w:w="0" w:type="dxa"/>
                    <w:left w:w="51" w:type="dxa"/>
                    <w:bottom w:w="0" w:type="dxa"/>
                    <w:right w:w="51" w:type="dxa"/>
                  </w:tcMar>
                  <w:vAlign w:val="center"/>
                </w:tcPr>
                <w:p w14:paraId="7B8D315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乙酸乙酯</w:t>
                  </w:r>
                </w:p>
              </w:tc>
              <w:tc>
                <w:tcPr>
                  <w:tcW w:w="533" w:type="pct"/>
                  <w:tcBorders>
                    <w:tl2br w:val="nil"/>
                    <w:tr2bl w:val="nil"/>
                  </w:tcBorders>
                  <w:shd w:val="clear" w:color="auto" w:fill="auto"/>
                  <w:noWrap/>
                  <w:tcMar>
                    <w:top w:w="0" w:type="dxa"/>
                    <w:left w:w="51" w:type="dxa"/>
                    <w:bottom w:w="0" w:type="dxa"/>
                    <w:right w:w="51" w:type="dxa"/>
                  </w:tcMar>
                  <w:vAlign w:val="center"/>
                </w:tcPr>
                <w:p w14:paraId="238CC17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41EBA8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C23E6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4FC53C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CF9AA9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E0E23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AA221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236</w:t>
                  </w:r>
                </w:p>
              </w:tc>
              <w:tc>
                <w:tcPr>
                  <w:tcW w:w="1210" w:type="pct"/>
                  <w:tcBorders>
                    <w:tl2br w:val="nil"/>
                    <w:tr2bl w:val="nil"/>
                  </w:tcBorders>
                  <w:shd w:val="clear" w:color="auto" w:fill="auto"/>
                  <w:noWrap/>
                  <w:tcMar>
                    <w:top w:w="0" w:type="dxa"/>
                    <w:left w:w="51" w:type="dxa"/>
                    <w:bottom w:w="0" w:type="dxa"/>
                    <w:right w:w="51" w:type="dxa"/>
                  </w:tcMar>
                  <w:vAlign w:val="center"/>
                </w:tcPr>
                <w:p w14:paraId="18A5E5F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正十六烷</w:t>
                  </w:r>
                </w:p>
              </w:tc>
              <w:tc>
                <w:tcPr>
                  <w:tcW w:w="533" w:type="pct"/>
                  <w:tcBorders>
                    <w:tl2br w:val="nil"/>
                    <w:tr2bl w:val="nil"/>
                  </w:tcBorders>
                  <w:shd w:val="clear" w:color="auto" w:fill="auto"/>
                  <w:noWrap/>
                  <w:tcMar>
                    <w:top w:w="0" w:type="dxa"/>
                    <w:left w:w="51" w:type="dxa"/>
                    <w:bottom w:w="0" w:type="dxa"/>
                    <w:right w:w="51" w:type="dxa"/>
                  </w:tcMar>
                  <w:vAlign w:val="center"/>
                </w:tcPr>
                <w:p w14:paraId="45ACAD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CC841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C91269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07804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EA970F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1C644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1623F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237</w:t>
                  </w:r>
                </w:p>
              </w:tc>
              <w:tc>
                <w:tcPr>
                  <w:tcW w:w="1210" w:type="pct"/>
                  <w:tcBorders>
                    <w:tl2br w:val="nil"/>
                    <w:tr2bl w:val="nil"/>
                  </w:tcBorders>
                  <w:shd w:val="clear" w:color="auto" w:fill="auto"/>
                  <w:noWrap/>
                  <w:tcMar>
                    <w:top w:w="0" w:type="dxa"/>
                    <w:left w:w="51" w:type="dxa"/>
                    <w:bottom w:w="0" w:type="dxa"/>
                    <w:right w:w="51" w:type="dxa"/>
                  </w:tcMar>
                  <w:vAlign w:val="center"/>
                </w:tcPr>
                <w:p w14:paraId="2533650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异辛烷</w:t>
                  </w:r>
                </w:p>
              </w:tc>
              <w:tc>
                <w:tcPr>
                  <w:tcW w:w="533" w:type="pct"/>
                  <w:tcBorders>
                    <w:tl2br w:val="nil"/>
                    <w:tr2bl w:val="nil"/>
                  </w:tcBorders>
                  <w:shd w:val="clear" w:color="auto" w:fill="auto"/>
                  <w:noWrap/>
                  <w:tcMar>
                    <w:top w:w="0" w:type="dxa"/>
                    <w:left w:w="51" w:type="dxa"/>
                    <w:bottom w:w="0" w:type="dxa"/>
                    <w:right w:w="51" w:type="dxa"/>
                  </w:tcMar>
                  <w:vAlign w:val="center"/>
                </w:tcPr>
                <w:p w14:paraId="65FA13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2484B72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C4C524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2FBAED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C38D10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8477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34B2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238</w:t>
                  </w:r>
                </w:p>
              </w:tc>
              <w:tc>
                <w:tcPr>
                  <w:tcW w:w="1210" w:type="pct"/>
                  <w:tcBorders>
                    <w:tl2br w:val="nil"/>
                    <w:tr2bl w:val="nil"/>
                  </w:tcBorders>
                  <w:shd w:val="clear" w:color="auto" w:fill="auto"/>
                  <w:noWrap/>
                  <w:tcMar>
                    <w:top w:w="0" w:type="dxa"/>
                    <w:left w:w="51" w:type="dxa"/>
                    <w:bottom w:w="0" w:type="dxa"/>
                    <w:right w:w="51" w:type="dxa"/>
                  </w:tcMar>
                  <w:vAlign w:val="center"/>
                </w:tcPr>
                <w:p w14:paraId="1944BF3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甲亚胺</w:t>
                  </w:r>
                </w:p>
              </w:tc>
              <w:tc>
                <w:tcPr>
                  <w:tcW w:w="533" w:type="pct"/>
                  <w:tcBorders>
                    <w:tl2br w:val="nil"/>
                    <w:tr2bl w:val="nil"/>
                  </w:tcBorders>
                  <w:shd w:val="clear" w:color="auto" w:fill="auto"/>
                  <w:noWrap/>
                  <w:tcMar>
                    <w:top w:w="0" w:type="dxa"/>
                    <w:left w:w="51" w:type="dxa"/>
                    <w:bottom w:w="0" w:type="dxa"/>
                    <w:right w:w="51" w:type="dxa"/>
                  </w:tcMar>
                  <w:vAlign w:val="center"/>
                </w:tcPr>
                <w:p w14:paraId="45B9597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default" w:ascii="Times New Roman" w:hAnsi="Times New Roman"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8ABB1A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95486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2B9C95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234544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8C71D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10595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239</w:t>
                  </w:r>
                </w:p>
              </w:tc>
              <w:tc>
                <w:tcPr>
                  <w:tcW w:w="1210" w:type="pct"/>
                  <w:tcBorders>
                    <w:tl2br w:val="nil"/>
                    <w:tr2bl w:val="nil"/>
                  </w:tcBorders>
                  <w:shd w:val="clear" w:color="auto" w:fill="auto"/>
                  <w:noWrap/>
                  <w:tcMar>
                    <w:top w:w="0" w:type="dxa"/>
                    <w:left w:w="51" w:type="dxa"/>
                    <w:bottom w:w="0" w:type="dxa"/>
                    <w:right w:w="51" w:type="dxa"/>
                  </w:tcMar>
                  <w:vAlign w:val="center"/>
                </w:tcPr>
                <w:p w14:paraId="145E8A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乙醛</w:t>
                  </w:r>
                </w:p>
              </w:tc>
              <w:tc>
                <w:tcPr>
                  <w:tcW w:w="533" w:type="pct"/>
                  <w:tcBorders>
                    <w:tl2br w:val="nil"/>
                    <w:tr2bl w:val="nil"/>
                  </w:tcBorders>
                  <w:shd w:val="clear" w:color="auto" w:fill="auto"/>
                  <w:noWrap/>
                  <w:tcMar>
                    <w:top w:w="0" w:type="dxa"/>
                    <w:left w:w="51" w:type="dxa"/>
                    <w:bottom w:w="0" w:type="dxa"/>
                    <w:right w:w="51" w:type="dxa"/>
                  </w:tcMar>
                  <w:vAlign w:val="center"/>
                </w:tcPr>
                <w:p w14:paraId="23609A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CF6030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C99E5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1938F3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9C8D7A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E5E9F7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925B1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240</w:t>
                  </w:r>
                </w:p>
              </w:tc>
              <w:tc>
                <w:tcPr>
                  <w:tcW w:w="1210" w:type="pct"/>
                  <w:tcBorders>
                    <w:tl2br w:val="nil"/>
                    <w:tr2bl w:val="nil"/>
                  </w:tcBorders>
                  <w:shd w:val="clear" w:color="auto" w:fill="auto"/>
                  <w:noWrap/>
                  <w:tcMar>
                    <w:top w:w="0" w:type="dxa"/>
                    <w:left w:w="51" w:type="dxa"/>
                    <w:bottom w:w="0" w:type="dxa"/>
                    <w:right w:w="51" w:type="dxa"/>
                  </w:tcMar>
                  <w:vAlign w:val="center"/>
                </w:tcPr>
                <w:p w14:paraId="3D8E51E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异戊醇</w:t>
                  </w:r>
                </w:p>
              </w:tc>
              <w:tc>
                <w:tcPr>
                  <w:tcW w:w="533" w:type="pct"/>
                  <w:tcBorders>
                    <w:tl2br w:val="nil"/>
                    <w:tr2bl w:val="nil"/>
                  </w:tcBorders>
                  <w:shd w:val="clear" w:color="auto" w:fill="auto"/>
                  <w:noWrap/>
                  <w:tcMar>
                    <w:top w:w="0" w:type="dxa"/>
                    <w:left w:w="51" w:type="dxa"/>
                    <w:bottom w:w="0" w:type="dxa"/>
                    <w:right w:w="51" w:type="dxa"/>
                  </w:tcMar>
                  <w:vAlign w:val="center"/>
                </w:tcPr>
                <w:p w14:paraId="66BA756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C990DF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16E80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5EE7C7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E8D633B">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4CACE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7C2ABF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241</w:t>
                  </w:r>
                </w:p>
              </w:tc>
              <w:tc>
                <w:tcPr>
                  <w:tcW w:w="1210" w:type="pct"/>
                  <w:tcBorders>
                    <w:tl2br w:val="nil"/>
                    <w:tr2bl w:val="nil"/>
                  </w:tcBorders>
                  <w:shd w:val="clear" w:color="auto" w:fill="auto"/>
                  <w:noWrap/>
                  <w:tcMar>
                    <w:top w:w="0" w:type="dxa"/>
                    <w:left w:w="51" w:type="dxa"/>
                    <w:bottom w:w="0" w:type="dxa"/>
                    <w:right w:w="51" w:type="dxa"/>
                  </w:tcMar>
                  <w:vAlign w:val="center"/>
                </w:tcPr>
                <w:p w14:paraId="29841EA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异丙醇</w:t>
                  </w:r>
                </w:p>
              </w:tc>
              <w:tc>
                <w:tcPr>
                  <w:tcW w:w="533" w:type="pct"/>
                  <w:tcBorders>
                    <w:tl2br w:val="nil"/>
                    <w:tr2bl w:val="nil"/>
                  </w:tcBorders>
                  <w:shd w:val="clear" w:color="auto" w:fill="auto"/>
                  <w:noWrap/>
                  <w:tcMar>
                    <w:top w:w="0" w:type="dxa"/>
                    <w:left w:w="51" w:type="dxa"/>
                    <w:bottom w:w="0" w:type="dxa"/>
                    <w:right w:w="51" w:type="dxa"/>
                  </w:tcMar>
                  <w:vAlign w:val="center"/>
                </w:tcPr>
                <w:p w14:paraId="22765C6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106349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66FD96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F4CC28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DBF2C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44D519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A24722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242</w:t>
                  </w:r>
                </w:p>
              </w:tc>
              <w:tc>
                <w:tcPr>
                  <w:tcW w:w="1210" w:type="pct"/>
                  <w:tcBorders>
                    <w:tl2br w:val="nil"/>
                    <w:tr2bl w:val="nil"/>
                  </w:tcBorders>
                  <w:shd w:val="clear" w:color="auto" w:fill="auto"/>
                  <w:noWrap/>
                  <w:tcMar>
                    <w:top w:w="0" w:type="dxa"/>
                    <w:left w:w="51" w:type="dxa"/>
                    <w:bottom w:w="0" w:type="dxa"/>
                    <w:right w:w="51" w:type="dxa"/>
                  </w:tcMar>
                  <w:vAlign w:val="center"/>
                </w:tcPr>
                <w:p w14:paraId="43AD623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石油醚</w:t>
                  </w:r>
                </w:p>
              </w:tc>
              <w:tc>
                <w:tcPr>
                  <w:tcW w:w="533" w:type="pct"/>
                  <w:tcBorders>
                    <w:tl2br w:val="nil"/>
                    <w:tr2bl w:val="nil"/>
                  </w:tcBorders>
                  <w:shd w:val="clear" w:color="auto" w:fill="auto"/>
                  <w:noWrap/>
                  <w:tcMar>
                    <w:top w:w="0" w:type="dxa"/>
                    <w:left w:w="51" w:type="dxa"/>
                    <w:bottom w:w="0" w:type="dxa"/>
                    <w:right w:w="51" w:type="dxa"/>
                  </w:tcMar>
                  <w:vAlign w:val="center"/>
                </w:tcPr>
                <w:p w14:paraId="4202C1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2479B8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7356F9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F701EF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06B84B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618F3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21B80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243</w:t>
                  </w:r>
                </w:p>
              </w:tc>
              <w:tc>
                <w:tcPr>
                  <w:tcW w:w="1210" w:type="pct"/>
                  <w:tcBorders>
                    <w:tl2br w:val="nil"/>
                    <w:tr2bl w:val="nil"/>
                  </w:tcBorders>
                  <w:shd w:val="clear" w:color="auto" w:fill="auto"/>
                  <w:noWrap/>
                  <w:tcMar>
                    <w:top w:w="0" w:type="dxa"/>
                    <w:left w:w="51" w:type="dxa"/>
                    <w:bottom w:w="0" w:type="dxa"/>
                    <w:right w:w="51" w:type="dxa"/>
                  </w:tcMar>
                  <w:vAlign w:val="center"/>
                </w:tcPr>
                <w:p w14:paraId="6E96195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五氯苯酚</w:t>
                  </w:r>
                </w:p>
              </w:tc>
              <w:tc>
                <w:tcPr>
                  <w:tcW w:w="533" w:type="pct"/>
                  <w:tcBorders>
                    <w:tl2br w:val="nil"/>
                    <w:tr2bl w:val="nil"/>
                  </w:tcBorders>
                  <w:shd w:val="clear" w:color="auto" w:fill="auto"/>
                  <w:noWrap/>
                  <w:tcMar>
                    <w:top w:w="0" w:type="dxa"/>
                    <w:left w:w="51" w:type="dxa"/>
                    <w:bottom w:w="0" w:type="dxa"/>
                    <w:right w:w="51" w:type="dxa"/>
                  </w:tcMar>
                  <w:vAlign w:val="center"/>
                </w:tcPr>
                <w:p w14:paraId="15A1083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E74C7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1271E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6655AD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D178F0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ACCCB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65F30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244</w:t>
                  </w:r>
                </w:p>
              </w:tc>
              <w:tc>
                <w:tcPr>
                  <w:tcW w:w="1210" w:type="pct"/>
                  <w:tcBorders>
                    <w:tl2br w:val="nil"/>
                    <w:tr2bl w:val="nil"/>
                  </w:tcBorders>
                  <w:shd w:val="clear" w:color="auto" w:fill="auto"/>
                  <w:noWrap/>
                  <w:tcMar>
                    <w:top w:w="0" w:type="dxa"/>
                    <w:left w:w="51" w:type="dxa"/>
                    <w:bottom w:w="0" w:type="dxa"/>
                    <w:right w:w="51" w:type="dxa"/>
                  </w:tcMar>
                  <w:vAlign w:val="center"/>
                </w:tcPr>
                <w:p w14:paraId="0E2E344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氯化汞</w:t>
                  </w:r>
                </w:p>
              </w:tc>
              <w:tc>
                <w:tcPr>
                  <w:tcW w:w="533" w:type="pct"/>
                  <w:tcBorders>
                    <w:tl2br w:val="nil"/>
                    <w:tr2bl w:val="nil"/>
                  </w:tcBorders>
                  <w:shd w:val="clear" w:color="auto" w:fill="auto"/>
                  <w:noWrap/>
                  <w:tcMar>
                    <w:top w:w="0" w:type="dxa"/>
                    <w:left w:w="51" w:type="dxa"/>
                    <w:bottom w:w="0" w:type="dxa"/>
                    <w:right w:w="51" w:type="dxa"/>
                  </w:tcMar>
                  <w:vAlign w:val="center"/>
                </w:tcPr>
                <w:p w14:paraId="1514057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06175DC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4B1AEF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7D077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F20A5A4">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5250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E5E154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245</w:t>
                  </w:r>
                </w:p>
              </w:tc>
              <w:tc>
                <w:tcPr>
                  <w:tcW w:w="1210" w:type="pct"/>
                  <w:tcBorders>
                    <w:tl2br w:val="nil"/>
                    <w:tr2bl w:val="nil"/>
                  </w:tcBorders>
                  <w:shd w:val="clear" w:color="auto" w:fill="auto"/>
                  <w:noWrap/>
                  <w:tcMar>
                    <w:top w:w="0" w:type="dxa"/>
                    <w:left w:w="51" w:type="dxa"/>
                    <w:bottom w:w="0" w:type="dxa"/>
                    <w:right w:w="51" w:type="dxa"/>
                  </w:tcMar>
                  <w:vAlign w:val="center"/>
                </w:tcPr>
                <w:p w14:paraId="3FFC8C4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硫氰酸汞</w:t>
                  </w:r>
                </w:p>
              </w:tc>
              <w:tc>
                <w:tcPr>
                  <w:tcW w:w="533" w:type="pct"/>
                  <w:tcBorders>
                    <w:tl2br w:val="nil"/>
                    <w:tr2bl w:val="nil"/>
                  </w:tcBorders>
                  <w:shd w:val="clear" w:color="auto" w:fill="auto"/>
                  <w:noWrap/>
                  <w:tcMar>
                    <w:top w:w="0" w:type="dxa"/>
                    <w:left w:w="51" w:type="dxa"/>
                    <w:bottom w:w="0" w:type="dxa"/>
                    <w:right w:w="51" w:type="dxa"/>
                  </w:tcMar>
                  <w:vAlign w:val="center"/>
                </w:tcPr>
                <w:p w14:paraId="5602A5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2D4206D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34689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D8C9CC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BC2CBE3">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64B90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1945E0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w:t>
                  </w:r>
                </w:p>
              </w:tc>
              <w:tc>
                <w:tcPr>
                  <w:tcW w:w="1210" w:type="pct"/>
                  <w:tcBorders>
                    <w:tl2br w:val="nil"/>
                    <w:tr2bl w:val="nil"/>
                  </w:tcBorders>
                  <w:shd w:val="clear" w:color="auto" w:fill="auto"/>
                  <w:noWrap/>
                  <w:tcMar>
                    <w:top w:w="0" w:type="dxa"/>
                    <w:left w:w="51" w:type="dxa"/>
                    <w:bottom w:w="0" w:type="dxa"/>
                    <w:right w:w="51" w:type="dxa"/>
                  </w:tcMar>
                  <w:vAlign w:val="center"/>
                </w:tcPr>
                <w:p w14:paraId="2EE54A3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硝酸铅</w:t>
                  </w:r>
                </w:p>
              </w:tc>
              <w:tc>
                <w:tcPr>
                  <w:tcW w:w="533" w:type="pct"/>
                  <w:tcBorders>
                    <w:tl2br w:val="nil"/>
                    <w:tr2bl w:val="nil"/>
                  </w:tcBorders>
                  <w:shd w:val="clear" w:color="auto" w:fill="auto"/>
                  <w:noWrap/>
                  <w:tcMar>
                    <w:top w:w="0" w:type="dxa"/>
                    <w:left w:w="51" w:type="dxa"/>
                    <w:bottom w:w="0" w:type="dxa"/>
                    <w:right w:w="51" w:type="dxa"/>
                  </w:tcMar>
                  <w:vAlign w:val="center"/>
                </w:tcPr>
                <w:p w14:paraId="32EFA04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ED143D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6D02F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5FB433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A56048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66AD3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A51655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247</w:t>
                  </w:r>
                </w:p>
              </w:tc>
              <w:tc>
                <w:tcPr>
                  <w:tcW w:w="1210" w:type="pct"/>
                  <w:tcBorders>
                    <w:tl2br w:val="nil"/>
                    <w:tr2bl w:val="nil"/>
                  </w:tcBorders>
                  <w:shd w:val="clear" w:color="auto" w:fill="auto"/>
                  <w:noWrap/>
                  <w:tcMar>
                    <w:top w:w="0" w:type="dxa"/>
                    <w:left w:w="51" w:type="dxa"/>
                    <w:bottom w:w="0" w:type="dxa"/>
                    <w:right w:w="51" w:type="dxa"/>
                  </w:tcMar>
                  <w:vAlign w:val="center"/>
                </w:tcPr>
                <w:p w14:paraId="5D8D9E8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氰化物标准物质</w:t>
                  </w:r>
                </w:p>
              </w:tc>
              <w:tc>
                <w:tcPr>
                  <w:tcW w:w="533" w:type="pct"/>
                  <w:tcBorders>
                    <w:tl2br w:val="nil"/>
                    <w:tr2bl w:val="nil"/>
                  </w:tcBorders>
                  <w:shd w:val="clear" w:color="auto" w:fill="auto"/>
                  <w:noWrap/>
                  <w:tcMar>
                    <w:top w:w="0" w:type="dxa"/>
                    <w:left w:w="51" w:type="dxa"/>
                    <w:bottom w:w="0" w:type="dxa"/>
                    <w:right w:w="51" w:type="dxa"/>
                  </w:tcMar>
                  <w:vAlign w:val="center"/>
                </w:tcPr>
                <w:p w14:paraId="6AC959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00mL</w:t>
                  </w:r>
                </w:p>
              </w:tc>
              <w:tc>
                <w:tcPr>
                  <w:tcW w:w="716" w:type="pct"/>
                  <w:tcBorders>
                    <w:tl2br w:val="nil"/>
                    <w:tr2bl w:val="nil"/>
                  </w:tcBorders>
                  <w:shd w:val="clear" w:color="auto" w:fill="auto"/>
                  <w:noWrap/>
                  <w:tcMar>
                    <w:top w:w="0" w:type="dxa"/>
                    <w:left w:w="51" w:type="dxa"/>
                    <w:bottom w:w="0" w:type="dxa"/>
                    <w:right w:w="51" w:type="dxa"/>
                  </w:tcMar>
                  <w:vAlign w:val="center"/>
                </w:tcPr>
                <w:p w14:paraId="1BD75D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11473B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63D5D8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BD8F67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59400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C5517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248</w:t>
                  </w:r>
                </w:p>
              </w:tc>
              <w:tc>
                <w:tcPr>
                  <w:tcW w:w="1210" w:type="pct"/>
                  <w:tcBorders>
                    <w:tl2br w:val="nil"/>
                    <w:tr2bl w:val="nil"/>
                  </w:tcBorders>
                  <w:shd w:val="clear" w:color="auto" w:fill="auto"/>
                  <w:noWrap/>
                  <w:tcMar>
                    <w:top w:w="0" w:type="dxa"/>
                    <w:left w:w="51" w:type="dxa"/>
                    <w:bottom w:w="0" w:type="dxa"/>
                    <w:right w:w="51" w:type="dxa"/>
                  </w:tcMar>
                  <w:vAlign w:val="center"/>
                </w:tcPr>
                <w:p w14:paraId="275BB30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溴水</w:t>
                  </w:r>
                </w:p>
              </w:tc>
              <w:tc>
                <w:tcPr>
                  <w:tcW w:w="533" w:type="pct"/>
                  <w:tcBorders>
                    <w:tl2br w:val="nil"/>
                    <w:tr2bl w:val="nil"/>
                  </w:tcBorders>
                  <w:shd w:val="clear" w:color="auto" w:fill="auto"/>
                  <w:noWrap/>
                  <w:tcMar>
                    <w:top w:w="0" w:type="dxa"/>
                    <w:left w:w="51" w:type="dxa"/>
                    <w:bottom w:w="0" w:type="dxa"/>
                    <w:right w:w="51" w:type="dxa"/>
                  </w:tcMar>
                  <w:vAlign w:val="center"/>
                </w:tcPr>
                <w:p w14:paraId="4C168F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E4EFC9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77217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ED7F12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652EAB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D2BDF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7D053D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249</w:t>
                  </w:r>
                </w:p>
              </w:tc>
              <w:tc>
                <w:tcPr>
                  <w:tcW w:w="1210" w:type="pct"/>
                  <w:tcBorders>
                    <w:tl2br w:val="nil"/>
                    <w:tr2bl w:val="nil"/>
                  </w:tcBorders>
                  <w:shd w:val="clear" w:color="auto" w:fill="auto"/>
                  <w:noWrap/>
                  <w:tcMar>
                    <w:top w:w="0" w:type="dxa"/>
                    <w:left w:w="51" w:type="dxa"/>
                    <w:bottom w:w="0" w:type="dxa"/>
                    <w:right w:w="51" w:type="dxa"/>
                  </w:tcMar>
                  <w:vAlign w:val="center"/>
                </w:tcPr>
                <w:p w14:paraId="63E7E6E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亚砷酸钠溶液</w:t>
                  </w:r>
                </w:p>
              </w:tc>
              <w:tc>
                <w:tcPr>
                  <w:tcW w:w="533" w:type="pct"/>
                  <w:tcBorders>
                    <w:tl2br w:val="nil"/>
                    <w:tr2bl w:val="nil"/>
                  </w:tcBorders>
                  <w:shd w:val="clear" w:color="auto" w:fill="auto"/>
                  <w:noWrap/>
                  <w:tcMar>
                    <w:top w:w="0" w:type="dxa"/>
                    <w:left w:w="51" w:type="dxa"/>
                    <w:bottom w:w="0" w:type="dxa"/>
                    <w:right w:w="51" w:type="dxa"/>
                  </w:tcMar>
                  <w:vAlign w:val="center"/>
                </w:tcPr>
                <w:p w14:paraId="1B1C974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6406DA8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FA4F59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98145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50E750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735ED7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65A4B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w:t>
                  </w:r>
                </w:p>
              </w:tc>
              <w:tc>
                <w:tcPr>
                  <w:tcW w:w="1210" w:type="pct"/>
                  <w:tcBorders>
                    <w:tl2br w:val="nil"/>
                    <w:tr2bl w:val="nil"/>
                  </w:tcBorders>
                  <w:shd w:val="clear" w:color="auto" w:fill="auto"/>
                  <w:noWrap/>
                  <w:tcMar>
                    <w:top w:w="0" w:type="dxa"/>
                    <w:left w:w="51" w:type="dxa"/>
                    <w:bottom w:w="0" w:type="dxa"/>
                    <w:right w:w="51" w:type="dxa"/>
                  </w:tcMar>
                  <w:vAlign w:val="center"/>
                </w:tcPr>
                <w:p w14:paraId="272F99B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亚砷酸钾</w:t>
                  </w:r>
                </w:p>
              </w:tc>
              <w:tc>
                <w:tcPr>
                  <w:tcW w:w="533" w:type="pct"/>
                  <w:tcBorders>
                    <w:tl2br w:val="nil"/>
                    <w:tr2bl w:val="nil"/>
                  </w:tcBorders>
                  <w:shd w:val="clear" w:color="auto" w:fill="auto"/>
                  <w:noWrap/>
                  <w:tcMar>
                    <w:top w:w="0" w:type="dxa"/>
                    <w:left w:w="51" w:type="dxa"/>
                    <w:bottom w:w="0" w:type="dxa"/>
                    <w:right w:w="51" w:type="dxa"/>
                  </w:tcMar>
                  <w:vAlign w:val="center"/>
                </w:tcPr>
                <w:p w14:paraId="27253C5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22ACF0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FAC21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1AE4CA3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4C2BBDC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1C1B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6C871F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251</w:t>
                  </w:r>
                </w:p>
              </w:tc>
              <w:tc>
                <w:tcPr>
                  <w:tcW w:w="1210" w:type="pct"/>
                  <w:tcBorders>
                    <w:tl2br w:val="nil"/>
                    <w:tr2bl w:val="nil"/>
                  </w:tcBorders>
                  <w:shd w:val="clear" w:color="auto" w:fill="auto"/>
                  <w:noWrap/>
                  <w:tcMar>
                    <w:top w:w="0" w:type="dxa"/>
                    <w:left w:w="51" w:type="dxa"/>
                    <w:bottom w:w="0" w:type="dxa"/>
                    <w:right w:w="51" w:type="dxa"/>
                  </w:tcMar>
                  <w:vAlign w:val="center"/>
                </w:tcPr>
                <w:p w14:paraId="2CB1D8B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硫酸镉</w:t>
                  </w:r>
                </w:p>
              </w:tc>
              <w:tc>
                <w:tcPr>
                  <w:tcW w:w="533" w:type="pct"/>
                  <w:tcBorders>
                    <w:tl2br w:val="nil"/>
                    <w:tr2bl w:val="nil"/>
                  </w:tcBorders>
                  <w:shd w:val="clear" w:color="auto" w:fill="auto"/>
                  <w:noWrap/>
                  <w:tcMar>
                    <w:top w:w="0" w:type="dxa"/>
                    <w:left w:w="51" w:type="dxa"/>
                    <w:bottom w:w="0" w:type="dxa"/>
                    <w:right w:w="51" w:type="dxa"/>
                  </w:tcMar>
                  <w:vAlign w:val="center"/>
                </w:tcPr>
                <w:p w14:paraId="7B449F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4AEFE9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35BAF1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C52C6B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B6BAFA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2D24E22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87D8DA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252</w:t>
                  </w:r>
                </w:p>
              </w:tc>
              <w:tc>
                <w:tcPr>
                  <w:tcW w:w="1210" w:type="pct"/>
                  <w:tcBorders>
                    <w:tl2br w:val="nil"/>
                    <w:tr2bl w:val="nil"/>
                  </w:tcBorders>
                  <w:shd w:val="clear" w:color="auto" w:fill="auto"/>
                  <w:noWrap/>
                  <w:tcMar>
                    <w:top w:w="0" w:type="dxa"/>
                    <w:left w:w="51" w:type="dxa"/>
                    <w:bottom w:w="0" w:type="dxa"/>
                    <w:right w:w="51" w:type="dxa"/>
                  </w:tcMar>
                  <w:vAlign w:val="center"/>
                </w:tcPr>
                <w:p w14:paraId="189BEB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乙酸铅</w:t>
                  </w:r>
                </w:p>
              </w:tc>
              <w:tc>
                <w:tcPr>
                  <w:tcW w:w="533" w:type="pct"/>
                  <w:tcBorders>
                    <w:tl2br w:val="nil"/>
                    <w:tr2bl w:val="nil"/>
                  </w:tcBorders>
                  <w:shd w:val="clear" w:color="auto" w:fill="auto"/>
                  <w:noWrap/>
                  <w:tcMar>
                    <w:top w:w="0" w:type="dxa"/>
                    <w:left w:w="51" w:type="dxa"/>
                    <w:bottom w:w="0" w:type="dxa"/>
                    <w:right w:w="51" w:type="dxa"/>
                  </w:tcMar>
                  <w:vAlign w:val="center"/>
                </w:tcPr>
                <w:p w14:paraId="626C0A1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31DE4E4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92083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DDA4B2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C306882">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34387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584C80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253</w:t>
                  </w:r>
                </w:p>
              </w:tc>
              <w:tc>
                <w:tcPr>
                  <w:tcW w:w="1210" w:type="pct"/>
                  <w:tcBorders>
                    <w:tl2br w:val="nil"/>
                    <w:tr2bl w:val="nil"/>
                  </w:tcBorders>
                  <w:shd w:val="clear" w:color="auto" w:fill="auto"/>
                  <w:noWrap/>
                  <w:tcMar>
                    <w:top w:w="0" w:type="dxa"/>
                    <w:left w:w="51" w:type="dxa"/>
                    <w:bottom w:w="0" w:type="dxa"/>
                    <w:right w:w="51" w:type="dxa"/>
                  </w:tcMar>
                  <w:vAlign w:val="center"/>
                </w:tcPr>
                <w:p w14:paraId="674B047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二价钴盐</w:t>
                  </w:r>
                </w:p>
              </w:tc>
              <w:tc>
                <w:tcPr>
                  <w:tcW w:w="533" w:type="pct"/>
                  <w:tcBorders>
                    <w:tl2br w:val="nil"/>
                    <w:tr2bl w:val="nil"/>
                  </w:tcBorders>
                  <w:shd w:val="clear" w:color="auto" w:fill="auto"/>
                  <w:noWrap/>
                  <w:tcMar>
                    <w:top w:w="0" w:type="dxa"/>
                    <w:left w:w="51" w:type="dxa"/>
                    <w:bottom w:w="0" w:type="dxa"/>
                    <w:right w:w="51" w:type="dxa"/>
                  </w:tcMar>
                  <w:vAlign w:val="center"/>
                </w:tcPr>
                <w:p w14:paraId="3AD5CB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6E7467B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A31974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6C38157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7C37517">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100107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EFB6F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254</w:t>
                  </w:r>
                </w:p>
              </w:tc>
              <w:tc>
                <w:tcPr>
                  <w:tcW w:w="1210" w:type="pct"/>
                  <w:tcBorders>
                    <w:tl2br w:val="nil"/>
                    <w:tr2bl w:val="nil"/>
                  </w:tcBorders>
                  <w:shd w:val="clear" w:color="auto" w:fill="auto"/>
                  <w:noWrap/>
                  <w:tcMar>
                    <w:top w:w="0" w:type="dxa"/>
                    <w:left w:w="51" w:type="dxa"/>
                    <w:bottom w:w="0" w:type="dxa"/>
                    <w:right w:w="51" w:type="dxa"/>
                  </w:tcMar>
                  <w:vAlign w:val="center"/>
                </w:tcPr>
                <w:p w14:paraId="114C07E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硫酸汞</w:t>
                  </w:r>
                </w:p>
              </w:tc>
              <w:tc>
                <w:tcPr>
                  <w:tcW w:w="533" w:type="pct"/>
                  <w:tcBorders>
                    <w:tl2br w:val="nil"/>
                    <w:tr2bl w:val="nil"/>
                  </w:tcBorders>
                  <w:shd w:val="clear" w:color="auto" w:fill="auto"/>
                  <w:noWrap/>
                  <w:tcMar>
                    <w:top w:w="0" w:type="dxa"/>
                    <w:left w:w="51" w:type="dxa"/>
                    <w:bottom w:w="0" w:type="dxa"/>
                    <w:right w:w="51" w:type="dxa"/>
                  </w:tcMar>
                  <w:vAlign w:val="center"/>
                </w:tcPr>
                <w:p w14:paraId="124C69A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E2410A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3CC979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6ED6F22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B65ADBF">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235EB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C794A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255</w:t>
                  </w:r>
                </w:p>
              </w:tc>
              <w:tc>
                <w:tcPr>
                  <w:tcW w:w="1210" w:type="pct"/>
                  <w:tcBorders>
                    <w:tl2br w:val="nil"/>
                    <w:tr2bl w:val="nil"/>
                  </w:tcBorders>
                  <w:shd w:val="clear" w:color="auto" w:fill="auto"/>
                  <w:noWrap/>
                  <w:tcMar>
                    <w:top w:w="0" w:type="dxa"/>
                    <w:left w:w="51" w:type="dxa"/>
                    <w:bottom w:w="0" w:type="dxa"/>
                    <w:right w:w="51" w:type="dxa"/>
                  </w:tcMar>
                  <w:vAlign w:val="center"/>
                </w:tcPr>
                <w:p w14:paraId="3793A5A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二氯化汞</w:t>
                  </w:r>
                </w:p>
              </w:tc>
              <w:tc>
                <w:tcPr>
                  <w:tcW w:w="533" w:type="pct"/>
                  <w:tcBorders>
                    <w:tl2br w:val="nil"/>
                    <w:tr2bl w:val="nil"/>
                  </w:tcBorders>
                  <w:shd w:val="clear" w:color="auto" w:fill="auto"/>
                  <w:noWrap/>
                  <w:tcMar>
                    <w:top w:w="0" w:type="dxa"/>
                    <w:left w:w="51" w:type="dxa"/>
                    <w:bottom w:w="0" w:type="dxa"/>
                    <w:right w:w="51" w:type="dxa"/>
                  </w:tcMar>
                  <w:vAlign w:val="center"/>
                </w:tcPr>
                <w:p w14:paraId="182F1EB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1E384F8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2F32AC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6F63C00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剧毒</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A77771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8107F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71276D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256</w:t>
                  </w:r>
                </w:p>
              </w:tc>
              <w:tc>
                <w:tcPr>
                  <w:tcW w:w="1210" w:type="pct"/>
                  <w:tcBorders>
                    <w:tl2br w:val="nil"/>
                    <w:tr2bl w:val="nil"/>
                  </w:tcBorders>
                  <w:shd w:val="clear" w:color="auto" w:fill="auto"/>
                  <w:noWrap/>
                  <w:tcMar>
                    <w:top w:w="0" w:type="dxa"/>
                    <w:left w:w="51" w:type="dxa"/>
                    <w:bottom w:w="0" w:type="dxa"/>
                    <w:right w:w="51" w:type="dxa"/>
                  </w:tcMar>
                  <w:vAlign w:val="center"/>
                </w:tcPr>
                <w:p w14:paraId="753A011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磷酸</w:t>
                  </w:r>
                </w:p>
              </w:tc>
              <w:tc>
                <w:tcPr>
                  <w:tcW w:w="533" w:type="pct"/>
                  <w:tcBorders>
                    <w:tl2br w:val="nil"/>
                    <w:tr2bl w:val="nil"/>
                  </w:tcBorders>
                  <w:shd w:val="clear" w:color="auto" w:fill="auto"/>
                  <w:noWrap/>
                  <w:tcMar>
                    <w:top w:w="0" w:type="dxa"/>
                    <w:left w:w="51" w:type="dxa"/>
                    <w:bottom w:w="0" w:type="dxa"/>
                    <w:right w:w="51" w:type="dxa"/>
                  </w:tcMar>
                  <w:vAlign w:val="center"/>
                </w:tcPr>
                <w:p w14:paraId="413A33D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D5BBC4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1FCE583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E2BECA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19D64C9">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345A0E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4F99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257</w:t>
                  </w:r>
                </w:p>
              </w:tc>
              <w:tc>
                <w:tcPr>
                  <w:tcW w:w="1210" w:type="pct"/>
                  <w:tcBorders>
                    <w:tl2br w:val="nil"/>
                    <w:tr2bl w:val="nil"/>
                  </w:tcBorders>
                  <w:shd w:val="clear" w:color="auto" w:fill="auto"/>
                  <w:noWrap/>
                  <w:tcMar>
                    <w:top w:w="0" w:type="dxa"/>
                    <w:left w:w="51" w:type="dxa"/>
                    <w:bottom w:w="0" w:type="dxa"/>
                    <w:right w:w="51" w:type="dxa"/>
                  </w:tcMar>
                  <w:vAlign w:val="center"/>
                </w:tcPr>
                <w:p w14:paraId="328813C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氢氧化钠</w:t>
                  </w:r>
                </w:p>
              </w:tc>
              <w:tc>
                <w:tcPr>
                  <w:tcW w:w="533" w:type="pct"/>
                  <w:tcBorders>
                    <w:tl2br w:val="nil"/>
                    <w:tr2bl w:val="nil"/>
                  </w:tcBorders>
                  <w:shd w:val="clear" w:color="auto" w:fill="auto"/>
                  <w:noWrap/>
                  <w:tcMar>
                    <w:top w:w="0" w:type="dxa"/>
                    <w:left w:w="51" w:type="dxa"/>
                    <w:bottom w:w="0" w:type="dxa"/>
                    <w:right w:w="51" w:type="dxa"/>
                  </w:tcMar>
                  <w:vAlign w:val="center"/>
                </w:tcPr>
                <w:p w14:paraId="1A30FBB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5E113A5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098377B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6</w:t>
                  </w:r>
                </w:p>
              </w:tc>
              <w:tc>
                <w:tcPr>
                  <w:tcW w:w="622" w:type="pct"/>
                  <w:tcBorders>
                    <w:tl2br w:val="nil"/>
                    <w:tr2bl w:val="nil"/>
                  </w:tcBorders>
                  <w:shd w:val="clear" w:color="auto" w:fill="auto"/>
                  <w:noWrap/>
                  <w:tcMar>
                    <w:top w:w="0" w:type="dxa"/>
                    <w:left w:w="51" w:type="dxa"/>
                    <w:bottom w:w="0" w:type="dxa"/>
                    <w:right w:w="51" w:type="dxa"/>
                  </w:tcMar>
                  <w:vAlign w:val="center"/>
                </w:tcPr>
                <w:p w14:paraId="1DD308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96A0D3A">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61DFE9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6731F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258</w:t>
                  </w:r>
                </w:p>
              </w:tc>
              <w:tc>
                <w:tcPr>
                  <w:tcW w:w="1210" w:type="pct"/>
                  <w:tcBorders>
                    <w:tl2br w:val="nil"/>
                    <w:tr2bl w:val="nil"/>
                  </w:tcBorders>
                  <w:shd w:val="clear" w:color="auto" w:fill="auto"/>
                  <w:noWrap/>
                  <w:tcMar>
                    <w:top w:w="0" w:type="dxa"/>
                    <w:left w:w="51" w:type="dxa"/>
                    <w:bottom w:w="0" w:type="dxa"/>
                    <w:right w:w="51" w:type="dxa"/>
                  </w:tcMar>
                  <w:vAlign w:val="center"/>
                </w:tcPr>
                <w:p w14:paraId="2B7D526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氢氧化钾</w:t>
                  </w:r>
                </w:p>
              </w:tc>
              <w:tc>
                <w:tcPr>
                  <w:tcW w:w="533" w:type="pct"/>
                  <w:tcBorders>
                    <w:tl2br w:val="nil"/>
                    <w:tr2bl w:val="nil"/>
                  </w:tcBorders>
                  <w:shd w:val="clear" w:color="auto" w:fill="auto"/>
                  <w:noWrap/>
                  <w:tcMar>
                    <w:top w:w="0" w:type="dxa"/>
                    <w:left w:w="51" w:type="dxa"/>
                    <w:bottom w:w="0" w:type="dxa"/>
                    <w:right w:w="51" w:type="dxa"/>
                  </w:tcMar>
                  <w:vAlign w:val="center"/>
                </w:tcPr>
                <w:p w14:paraId="505A8CC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500g</w:t>
                  </w:r>
                </w:p>
              </w:tc>
              <w:tc>
                <w:tcPr>
                  <w:tcW w:w="716" w:type="pct"/>
                  <w:tcBorders>
                    <w:tl2br w:val="nil"/>
                    <w:tr2bl w:val="nil"/>
                  </w:tcBorders>
                  <w:shd w:val="clear" w:color="auto" w:fill="auto"/>
                  <w:noWrap/>
                  <w:tcMar>
                    <w:top w:w="0" w:type="dxa"/>
                    <w:left w:w="51" w:type="dxa"/>
                    <w:bottom w:w="0" w:type="dxa"/>
                    <w:right w:w="51" w:type="dxa"/>
                  </w:tcMar>
                  <w:vAlign w:val="center"/>
                </w:tcPr>
                <w:p w14:paraId="0718B5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B261B9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6325B8E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FC46120">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5BDDB2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6FC51B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259</w:t>
                  </w:r>
                </w:p>
              </w:tc>
              <w:tc>
                <w:tcPr>
                  <w:tcW w:w="1210" w:type="pct"/>
                  <w:tcBorders>
                    <w:tl2br w:val="nil"/>
                    <w:tr2bl w:val="nil"/>
                  </w:tcBorders>
                  <w:shd w:val="clear" w:color="auto" w:fill="auto"/>
                  <w:noWrap/>
                  <w:tcMar>
                    <w:top w:w="0" w:type="dxa"/>
                    <w:left w:w="51" w:type="dxa"/>
                    <w:bottom w:w="0" w:type="dxa"/>
                    <w:right w:w="51" w:type="dxa"/>
                  </w:tcMar>
                  <w:vAlign w:val="center"/>
                </w:tcPr>
                <w:p w14:paraId="140E23A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过氧化氢</w:t>
                  </w:r>
                </w:p>
              </w:tc>
              <w:tc>
                <w:tcPr>
                  <w:tcW w:w="533" w:type="pct"/>
                  <w:tcBorders>
                    <w:tl2br w:val="nil"/>
                    <w:tr2bl w:val="nil"/>
                  </w:tcBorders>
                  <w:shd w:val="clear" w:color="auto" w:fill="auto"/>
                  <w:noWrap/>
                  <w:tcMar>
                    <w:top w:w="0" w:type="dxa"/>
                    <w:left w:w="51" w:type="dxa"/>
                    <w:bottom w:w="0" w:type="dxa"/>
                    <w:right w:w="51" w:type="dxa"/>
                  </w:tcMar>
                  <w:vAlign w:val="center"/>
                </w:tcPr>
                <w:p w14:paraId="64C1A1D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1BB0830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773660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31BEC30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727D3FC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highlight w:val="none"/>
                      <w:lang w:val="en-US" w:eastAsia="zh-CN" w:bidi="ar"/>
                    </w:rPr>
                  </w:pPr>
                </w:p>
              </w:tc>
            </w:tr>
            <w:tr w14:paraId="0DACEE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BCA35A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260</w:t>
                  </w:r>
                </w:p>
              </w:tc>
              <w:tc>
                <w:tcPr>
                  <w:tcW w:w="1210" w:type="pct"/>
                  <w:tcBorders>
                    <w:tl2br w:val="nil"/>
                    <w:tr2bl w:val="nil"/>
                  </w:tcBorders>
                  <w:shd w:val="clear" w:color="auto" w:fill="auto"/>
                  <w:noWrap/>
                  <w:tcMar>
                    <w:top w:w="0" w:type="dxa"/>
                    <w:left w:w="51" w:type="dxa"/>
                    <w:bottom w:w="0" w:type="dxa"/>
                    <w:right w:w="51" w:type="dxa"/>
                  </w:tcMar>
                  <w:vAlign w:val="center"/>
                </w:tcPr>
                <w:p w14:paraId="5F98AE9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冰乙酸</w:t>
                  </w:r>
                </w:p>
              </w:tc>
              <w:tc>
                <w:tcPr>
                  <w:tcW w:w="533" w:type="pct"/>
                  <w:tcBorders>
                    <w:tl2br w:val="nil"/>
                    <w:tr2bl w:val="nil"/>
                  </w:tcBorders>
                  <w:shd w:val="clear" w:color="auto" w:fill="auto"/>
                  <w:noWrap/>
                  <w:tcMar>
                    <w:top w:w="0" w:type="dxa"/>
                    <w:left w:w="51" w:type="dxa"/>
                    <w:bottom w:w="0" w:type="dxa"/>
                    <w:right w:w="51" w:type="dxa"/>
                  </w:tcMar>
                  <w:vAlign w:val="center"/>
                </w:tcPr>
                <w:p w14:paraId="7E87C95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556EB50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9C323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0CCCE82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8E3832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7198E6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7FDE9CD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261</w:t>
                  </w:r>
                </w:p>
              </w:tc>
              <w:tc>
                <w:tcPr>
                  <w:tcW w:w="1210" w:type="pct"/>
                  <w:tcBorders>
                    <w:tl2br w:val="nil"/>
                    <w:tr2bl w:val="nil"/>
                  </w:tcBorders>
                  <w:shd w:val="clear" w:color="auto" w:fill="auto"/>
                  <w:noWrap/>
                  <w:tcMar>
                    <w:top w:w="0" w:type="dxa"/>
                    <w:left w:w="51" w:type="dxa"/>
                    <w:bottom w:w="0" w:type="dxa"/>
                    <w:right w:w="51" w:type="dxa"/>
                  </w:tcMar>
                  <w:vAlign w:val="center"/>
                </w:tcPr>
                <w:p w14:paraId="03F88CF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甲酸</w:t>
                  </w:r>
                </w:p>
              </w:tc>
              <w:tc>
                <w:tcPr>
                  <w:tcW w:w="533" w:type="pct"/>
                  <w:tcBorders>
                    <w:tl2br w:val="nil"/>
                    <w:tr2bl w:val="nil"/>
                  </w:tcBorders>
                  <w:shd w:val="clear" w:color="auto" w:fill="auto"/>
                  <w:noWrap/>
                  <w:tcMar>
                    <w:top w:w="0" w:type="dxa"/>
                    <w:left w:w="51" w:type="dxa"/>
                    <w:bottom w:w="0" w:type="dxa"/>
                    <w:right w:w="51" w:type="dxa"/>
                  </w:tcMar>
                  <w:vAlign w:val="center"/>
                </w:tcPr>
                <w:p w14:paraId="2CCC4A3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0FC6F1B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0BE2A6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4BA92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5E5DFA3C">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23242F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1DAEE8E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262</w:t>
                  </w:r>
                </w:p>
              </w:tc>
              <w:tc>
                <w:tcPr>
                  <w:tcW w:w="1210" w:type="pct"/>
                  <w:tcBorders>
                    <w:tl2br w:val="nil"/>
                    <w:tr2bl w:val="nil"/>
                  </w:tcBorders>
                  <w:shd w:val="clear" w:color="auto" w:fill="auto"/>
                  <w:noWrap/>
                  <w:tcMar>
                    <w:top w:w="0" w:type="dxa"/>
                    <w:left w:w="51" w:type="dxa"/>
                    <w:bottom w:w="0" w:type="dxa"/>
                    <w:right w:w="51" w:type="dxa"/>
                  </w:tcMar>
                  <w:vAlign w:val="center"/>
                </w:tcPr>
                <w:p w14:paraId="62549AE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次氯酸钠</w:t>
                  </w:r>
                </w:p>
              </w:tc>
              <w:tc>
                <w:tcPr>
                  <w:tcW w:w="533" w:type="pct"/>
                  <w:tcBorders>
                    <w:tl2br w:val="nil"/>
                    <w:tr2bl w:val="nil"/>
                  </w:tcBorders>
                  <w:shd w:val="clear" w:color="auto" w:fill="auto"/>
                  <w:noWrap/>
                  <w:tcMar>
                    <w:top w:w="0" w:type="dxa"/>
                    <w:left w:w="51" w:type="dxa"/>
                    <w:bottom w:w="0" w:type="dxa"/>
                    <w:right w:w="51" w:type="dxa"/>
                  </w:tcMar>
                  <w:vAlign w:val="center"/>
                </w:tcPr>
                <w:p w14:paraId="15CEF1D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56EF7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609D5A0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82D56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8BD1468">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5B91BD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4ABAD4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263</w:t>
                  </w:r>
                </w:p>
              </w:tc>
              <w:tc>
                <w:tcPr>
                  <w:tcW w:w="1210" w:type="pct"/>
                  <w:tcBorders>
                    <w:tl2br w:val="nil"/>
                    <w:tr2bl w:val="nil"/>
                  </w:tcBorders>
                  <w:shd w:val="clear" w:color="auto" w:fill="auto"/>
                  <w:noWrap/>
                  <w:tcMar>
                    <w:top w:w="0" w:type="dxa"/>
                    <w:left w:w="51" w:type="dxa"/>
                    <w:bottom w:w="0" w:type="dxa"/>
                    <w:right w:w="51" w:type="dxa"/>
                  </w:tcMar>
                  <w:vAlign w:val="center"/>
                </w:tcPr>
                <w:p w14:paraId="5A9E643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草酸</w:t>
                  </w:r>
                </w:p>
              </w:tc>
              <w:tc>
                <w:tcPr>
                  <w:tcW w:w="533" w:type="pct"/>
                  <w:tcBorders>
                    <w:tl2br w:val="nil"/>
                    <w:tr2bl w:val="nil"/>
                  </w:tcBorders>
                  <w:shd w:val="clear" w:color="auto" w:fill="auto"/>
                  <w:noWrap/>
                  <w:tcMar>
                    <w:top w:w="0" w:type="dxa"/>
                    <w:left w:w="51" w:type="dxa"/>
                    <w:bottom w:w="0" w:type="dxa"/>
                    <w:right w:w="51" w:type="dxa"/>
                  </w:tcMar>
                  <w:vAlign w:val="center"/>
                </w:tcPr>
                <w:p w14:paraId="6C71A61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w:t>
                  </w:r>
                  <w:r>
                    <w:rPr>
                      <w:rFonts w:hint="default" w:ascii="Times New Roman" w:hAnsi="Times New Roman" w:cs="Times New Roman"/>
                      <w:i w:val="0"/>
                      <w:iCs w:val="0"/>
                      <w:color w:val="auto"/>
                      <w:kern w:val="0"/>
                      <w:sz w:val="21"/>
                      <w:szCs w:val="21"/>
                      <w:highlight w:val="none"/>
                      <w:u w:val="none"/>
                      <w:lang w:val="en-US" w:eastAsia="zh-CN" w:bidi="ar"/>
                    </w:rPr>
                    <w:t>g</w:t>
                  </w:r>
                </w:p>
              </w:tc>
              <w:tc>
                <w:tcPr>
                  <w:tcW w:w="716" w:type="pct"/>
                  <w:tcBorders>
                    <w:tl2br w:val="nil"/>
                    <w:tr2bl w:val="nil"/>
                  </w:tcBorders>
                  <w:shd w:val="clear" w:color="auto" w:fill="auto"/>
                  <w:noWrap/>
                  <w:tcMar>
                    <w:top w:w="0" w:type="dxa"/>
                    <w:left w:w="51" w:type="dxa"/>
                    <w:bottom w:w="0" w:type="dxa"/>
                    <w:right w:w="51" w:type="dxa"/>
                  </w:tcMar>
                  <w:vAlign w:val="center"/>
                </w:tcPr>
                <w:p w14:paraId="5BE6E2A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4B6C2D6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28AE0B2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6C5D5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50ADE64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A63B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264</w:t>
                  </w:r>
                </w:p>
              </w:tc>
              <w:tc>
                <w:tcPr>
                  <w:tcW w:w="1210" w:type="pct"/>
                  <w:tcBorders>
                    <w:tl2br w:val="nil"/>
                    <w:tr2bl w:val="nil"/>
                  </w:tcBorders>
                  <w:shd w:val="clear" w:color="auto" w:fill="auto"/>
                  <w:noWrap/>
                  <w:tcMar>
                    <w:top w:w="0" w:type="dxa"/>
                    <w:left w:w="51" w:type="dxa"/>
                    <w:bottom w:w="0" w:type="dxa"/>
                    <w:right w:w="51" w:type="dxa"/>
                  </w:tcMar>
                  <w:vAlign w:val="center"/>
                </w:tcPr>
                <w:p w14:paraId="59E2089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硼酸</w:t>
                  </w:r>
                </w:p>
              </w:tc>
              <w:tc>
                <w:tcPr>
                  <w:tcW w:w="533" w:type="pct"/>
                  <w:tcBorders>
                    <w:tl2br w:val="nil"/>
                    <w:tr2bl w:val="nil"/>
                  </w:tcBorders>
                  <w:shd w:val="clear" w:color="auto" w:fill="auto"/>
                  <w:noWrap/>
                  <w:tcMar>
                    <w:top w:w="0" w:type="dxa"/>
                    <w:left w:w="51" w:type="dxa"/>
                    <w:bottom w:w="0" w:type="dxa"/>
                    <w:right w:w="51" w:type="dxa"/>
                  </w:tcMar>
                  <w:vAlign w:val="center"/>
                </w:tcPr>
                <w:p w14:paraId="2B2BD46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500mL</w:t>
                  </w:r>
                </w:p>
              </w:tc>
              <w:tc>
                <w:tcPr>
                  <w:tcW w:w="716" w:type="pct"/>
                  <w:tcBorders>
                    <w:tl2br w:val="nil"/>
                    <w:tr2bl w:val="nil"/>
                  </w:tcBorders>
                  <w:shd w:val="clear" w:color="auto" w:fill="auto"/>
                  <w:noWrap/>
                  <w:tcMar>
                    <w:top w:w="0" w:type="dxa"/>
                    <w:left w:w="51" w:type="dxa"/>
                    <w:bottom w:w="0" w:type="dxa"/>
                    <w:right w:w="51" w:type="dxa"/>
                  </w:tcMar>
                  <w:vAlign w:val="center"/>
                </w:tcPr>
                <w:p w14:paraId="3289D8B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BD4D47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1</w:t>
                  </w:r>
                </w:p>
              </w:tc>
              <w:tc>
                <w:tcPr>
                  <w:tcW w:w="622" w:type="pct"/>
                  <w:tcBorders>
                    <w:tl2br w:val="nil"/>
                    <w:tr2bl w:val="nil"/>
                  </w:tcBorders>
                  <w:shd w:val="clear" w:color="auto" w:fill="auto"/>
                  <w:noWrap/>
                  <w:tcMar>
                    <w:top w:w="0" w:type="dxa"/>
                    <w:left w:w="51" w:type="dxa"/>
                    <w:bottom w:w="0" w:type="dxa"/>
                    <w:right w:w="51" w:type="dxa"/>
                  </w:tcMar>
                  <w:vAlign w:val="center"/>
                </w:tcPr>
                <w:p w14:paraId="47DCC7A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腐蚀性</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155D393E">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59871E3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34143A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265</w:t>
                  </w:r>
                </w:p>
              </w:tc>
              <w:tc>
                <w:tcPr>
                  <w:tcW w:w="1210" w:type="pct"/>
                  <w:tcBorders>
                    <w:tl2br w:val="nil"/>
                    <w:tr2bl w:val="nil"/>
                  </w:tcBorders>
                  <w:shd w:val="clear" w:color="auto" w:fill="auto"/>
                  <w:noWrap/>
                  <w:tcMar>
                    <w:top w:w="0" w:type="dxa"/>
                    <w:left w:w="51" w:type="dxa"/>
                    <w:bottom w:w="0" w:type="dxa"/>
                    <w:right w:w="51" w:type="dxa"/>
                  </w:tcMar>
                  <w:vAlign w:val="center"/>
                </w:tcPr>
                <w:p w14:paraId="772C12F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氢气</w:t>
                  </w:r>
                </w:p>
              </w:tc>
              <w:tc>
                <w:tcPr>
                  <w:tcW w:w="533" w:type="pct"/>
                  <w:tcBorders>
                    <w:tl2br w:val="nil"/>
                    <w:tr2bl w:val="nil"/>
                  </w:tcBorders>
                  <w:shd w:val="clear" w:color="auto" w:fill="auto"/>
                  <w:noWrap/>
                  <w:tcMar>
                    <w:top w:w="0" w:type="dxa"/>
                    <w:left w:w="51" w:type="dxa"/>
                    <w:bottom w:w="0" w:type="dxa"/>
                    <w:right w:w="51" w:type="dxa"/>
                  </w:tcMar>
                  <w:vAlign w:val="center"/>
                </w:tcPr>
                <w:p w14:paraId="689C79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40L</w:t>
                  </w:r>
                </w:p>
              </w:tc>
              <w:tc>
                <w:tcPr>
                  <w:tcW w:w="716" w:type="pct"/>
                  <w:tcBorders>
                    <w:tl2br w:val="nil"/>
                    <w:tr2bl w:val="nil"/>
                  </w:tcBorders>
                  <w:shd w:val="clear" w:color="auto" w:fill="auto"/>
                  <w:noWrap/>
                  <w:tcMar>
                    <w:top w:w="0" w:type="dxa"/>
                    <w:left w:w="51" w:type="dxa"/>
                    <w:bottom w:w="0" w:type="dxa"/>
                    <w:right w:w="51" w:type="dxa"/>
                  </w:tcMar>
                  <w:vAlign w:val="center"/>
                </w:tcPr>
                <w:p w14:paraId="248796F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C2A3ED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79B2FE1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易燃气体</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0BA6B8CB">
                  <w:pPr>
                    <w:keepNext w:val="0"/>
                    <w:keepLines w:val="0"/>
                    <w:suppressLineNumbers w:val="0"/>
                    <w:bidi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易燃易爆气体室</w:t>
                  </w:r>
                </w:p>
              </w:tc>
            </w:tr>
            <w:tr w14:paraId="16CD5B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6BC2B4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266</w:t>
                  </w:r>
                </w:p>
              </w:tc>
              <w:tc>
                <w:tcPr>
                  <w:tcW w:w="1210" w:type="pct"/>
                  <w:tcBorders>
                    <w:tl2br w:val="nil"/>
                    <w:tr2bl w:val="nil"/>
                  </w:tcBorders>
                  <w:shd w:val="clear" w:color="auto" w:fill="auto"/>
                  <w:noWrap/>
                  <w:tcMar>
                    <w:top w:w="0" w:type="dxa"/>
                    <w:left w:w="51" w:type="dxa"/>
                    <w:bottom w:w="0" w:type="dxa"/>
                    <w:right w:w="51" w:type="dxa"/>
                  </w:tcMar>
                  <w:vAlign w:val="center"/>
                </w:tcPr>
                <w:p w14:paraId="3A3E823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乙炔</w:t>
                  </w:r>
                </w:p>
              </w:tc>
              <w:tc>
                <w:tcPr>
                  <w:tcW w:w="533" w:type="pct"/>
                  <w:tcBorders>
                    <w:tl2br w:val="nil"/>
                    <w:tr2bl w:val="nil"/>
                  </w:tcBorders>
                  <w:shd w:val="clear" w:color="auto" w:fill="auto"/>
                  <w:noWrap/>
                  <w:tcMar>
                    <w:top w:w="0" w:type="dxa"/>
                    <w:left w:w="51" w:type="dxa"/>
                    <w:bottom w:w="0" w:type="dxa"/>
                    <w:right w:w="51" w:type="dxa"/>
                  </w:tcMar>
                  <w:vAlign w:val="center"/>
                </w:tcPr>
                <w:p w14:paraId="5318B4F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40L</w:t>
                  </w:r>
                </w:p>
              </w:tc>
              <w:tc>
                <w:tcPr>
                  <w:tcW w:w="716" w:type="pct"/>
                  <w:tcBorders>
                    <w:tl2br w:val="nil"/>
                    <w:tr2bl w:val="nil"/>
                  </w:tcBorders>
                  <w:shd w:val="clear" w:color="auto" w:fill="auto"/>
                  <w:noWrap/>
                  <w:tcMar>
                    <w:top w:w="0" w:type="dxa"/>
                    <w:left w:w="51" w:type="dxa"/>
                    <w:bottom w:w="0" w:type="dxa"/>
                    <w:right w:w="51" w:type="dxa"/>
                  </w:tcMar>
                  <w:vAlign w:val="center"/>
                </w:tcPr>
                <w:p w14:paraId="213D5FB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2CDABC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4CE6D0A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易燃气体</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255695F1">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51F3C2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15DF02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267</w:t>
                  </w:r>
                </w:p>
              </w:tc>
              <w:tc>
                <w:tcPr>
                  <w:tcW w:w="1210" w:type="pct"/>
                  <w:tcBorders>
                    <w:tl2br w:val="nil"/>
                    <w:tr2bl w:val="nil"/>
                  </w:tcBorders>
                  <w:shd w:val="clear" w:color="auto" w:fill="auto"/>
                  <w:noWrap/>
                  <w:tcMar>
                    <w:top w:w="0" w:type="dxa"/>
                    <w:left w:w="51" w:type="dxa"/>
                    <w:bottom w:w="0" w:type="dxa"/>
                    <w:right w:w="51" w:type="dxa"/>
                  </w:tcMar>
                  <w:vAlign w:val="center"/>
                </w:tcPr>
                <w:p w14:paraId="0CF4F0E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氮气</w:t>
                  </w:r>
                </w:p>
              </w:tc>
              <w:tc>
                <w:tcPr>
                  <w:tcW w:w="533" w:type="pct"/>
                  <w:tcBorders>
                    <w:tl2br w:val="nil"/>
                    <w:tr2bl w:val="nil"/>
                  </w:tcBorders>
                  <w:shd w:val="clear" w:color="auto" w:fill="auto"/>
                  <w:noWrap/>
                  <w:tcMar>
                    <w:top w:w="0" w:type="dxa"/>
                    <w:left w:w="51" w:type="dxa"/>
                    <w:bottom w:w="0" w:type="dxa"/>
                    <w:right w:w="51" w:type="dxa"/>
                  </w:tcMar>
                  <w:vAlign w:val="center"/>
                </w:tcPr>
                <w:p w14:paraId="5A30C97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40L</w:t>
                  </w:r>
                </w:p>
              </w:tc>
              <w:tc>
                <w:tcPr>
                  <w:tcW w:w="716" w:type="pct"/>
                  <w:tcBorders>
                    <w:tl2br w:val="nil"/>
                    <w:tr2bl w:val="nil"/>
                  </w:tcBorders>
                  <w:shd w:val="clear" w:color="auto" w:fill="auto"/>
                  <w:noWrap/>
                  <w:tcMar>
                    <w:top w:w="0" w:type="dxa"/>
                    <w:left w:w="51" w:type="dxa"/>
                    <w:bottom w:w="0" w:type="dxa"/>
                    <w:right w:w="51" w:type="dxa"/>
                  </w:tcMar>
                  <w:vAlign w:val="center"/>
                </w:tcPr>
                <w:p w14:paraId="579D88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595C3A8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79F029F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惰性气体</w:t>
                  </w:r>
                </w:p>
              </w:tc>
              <w:tc>
                <w:tcPr>
                  <w:tcW w:w="568" w:type="pct"/>
                  <w:vMerge w:val="restart"/>
                  <w:tcBorders>
                    <w:tl2br w:val="nil"/>
                    <w:tr2bl w:val="nil"/>
                  </w:tcBorders>
                  <w:shd w:val="clear" w:color="auto" w:fill="auto"/>
                  <w:noWrap/>
                  <w:tcMar>
                    <w:top w:w="0" w:type="dxa"/>
                    <w:left w:w="51" w:type="dxa"/>
                    <w:bottom w:w="0" w:type="dxa"/>
                    <w:right w:w="51" w:type="dxa"/>
                  </w:tcMar>
                  <w:vAlign w:val="center"/>
                </w:tcPr>
                <w:p w14:paraId="2A347C66">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惰性气体室</w:t>
                  </w:r>
                </w:p>
              </w:tc>
            </w:tr>
            <w:tr w14:paraId="5F6937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03F187B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268</w:t>
                  </w:r>
                </w:p>
              </w:tc>
              <w:tc>
                <w:tcPr>
                  <w:tcW w:w="1210" w:type="pct"/>
                  <w:tcBorders>
                    <w:tl2br w:val="nil"/>
                    <w:tr2bl w:val="nil"/>
                  </w:tcBorders>
                  <w:shd w:val="clear" w:color="auto" w:fill="auto"/>
                  <w:noWrap/>
                  <w:tcMar>
                    <w:top w:w="0" w:type="dxa"/>
                    <w:left w:w="51" w:type="dxa"/>
                    <w:bottom w:w="0" w:type="dxa"/>
                    <w:right w:w="51" w:type="dxa"/>
                  </w:tcMar>
                  <w:vAlign w:val="center"/>
                </w:tcPr>
                <w:p w14:paraId="5E1A9B7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氩气</w:t>
                  </w:r>
                </w:p>
              </w:tc>
              <w:tc>
                <w:tcPr>
                  <w:tcW w:w="533" w:type="pct"/>
                  <w:tcBorders>
                    <w:tl2br w:val="nil"/>
                    <w:tr2bl w:val="nil"/>
                  </w:tcBorders>
                  <w:shd w:val="clear" w:color="auto" w:fill="auto"/>
                  <w:noWrap/>
                  <w:tcMar>
                    <w:top w:w="0" w:type="dxa"/>
                    <w:left w:w="51" w:type="dxa"/>
                    <w:bottom w:w="0" w:type="dxa"/>
                    <w:right w:w="51" w:type="dxa"/>
                  </w:tcMar>
                  <w:vAlign w:val="center"/>
                </w:tcPr>
                <w:p w14:paraId="50F9D5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40L</w:t>
                  </w:r>
                </w:p>
              </w:tc>
              <w:tc>
                <w:tcPr>
                  <w:tcW w:w="716" w:type="pct"/>
                  <w:tcBorders>
                    <w:tl2br w:val="nil"/>
                    <w:tr2bl w:val="nil"/>
                  </w:tcBorders>
                  <w:shd w:val="clear" w:color="auto" w:fill="auto"/>
                  <w:noWrap/>
                  <w:tcMar>
                    <w:top w:w="0" w:type="dxa"/>
                    <w:left w:w="51" w:type="dxa"/>
                    <w:bottom w:w="0" w:type="dxa"/>
                    <w:right w:w="51" w:type="dxa"/>
                  </w:tcMar>
                  <w:vAlign w:val="center"/>
                </w:tcPr>
                <w:p w14:paraId="38CE283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78086D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2BFC29D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惰性气体</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014FDF05">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r w14:paraId="035B2B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63" w:hRule="exact"/>
                <w:jc w:val="center"/>
              </w:trPr>
              <w:tc>
                <w:tcPr>
                  <w:tcW w:w="376" w:type="pct"/>
                  <w:tcBorders>
                    <w:tl2br w:val="nil"/>
                    <w:tr2bl w:val="nil"/>
                  </w:tcBorders>
                  <w:shd w:val="clear" w:color="auto" w:fill="auto"/>
                  <w:noWrap/>
                  <w:tcMar>
                    <w:top w:w="0" w:type="dxa"/>
                    <w:left w:w="51" w:type="dxa"/>
                    <w:bottom w:w="0" w:type="dxa"/>
                    <w:right w:w="51" w:type="dxa"/>
                  </w:tcMar>
                  <w:vAlign w:val="center"/>
                </w:tcPr>
                <w:p w14:paraId="2BF5C52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269</w:t>
                  </w:r>
                </w:p>
              </w:tc>
              <w:tc>
                <w:tcPr>
                  <w:tcW w:w="1210" w:type="pct"/>
                  <w:tcBorders>
                    <w:tl2br w:val="nil"/>
                    <w:tr2bl w:val="nil"/>
                  </w:tcBorders>
                  <w:shd w:val="clear" w:color="auto" w:fill="auto"/>
                  <w:noWrap/>
                  <w:tcMar>
                    <w:top w:w="0" w:type="dxa"/>
                    <w:left w:w="51" w:type="dxa"/>
                    <w:bottom w:w="0" w:type="dxa"/>
                    <w:right w:w="51" w:type="dxa"/>
                  </w:tcMar>
                  <w:vAlign w:val="center"/>
                </w:tcPr>
                <w:p w14:paraId="29D3009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氦气</w:t>
                  </w:r>
                </w:p>
              </w:tc>
              <w:tc>
                <w:tcPr>
                  <w:tcW w:w="533" w:type="pct"/>
                  <w:tcBorders>
                    <w:tl2br w:val="nil"/>
                    <w:tr2bl w:val="nil"/>
                  </w:tcBorders>
                  <w:shd w:val="clear" w:color="auto" w:fill="auto"/>
                  <w:noWrap/>
                  <w:tcMar>
                    <w:top w:w="0" w:type="dxa"/>
                    <w:left w:w="51" w:type="dxa"/>
                    <w:bottom w:w="0" w:type="dxa"/>
                    <w:right w:w="51" w:type="dxa"/>
                  </w:tcMar>
                  <w:vAlign w:val="center"/>
                </w:tcPr>
                <w:p w14:paraId="62F3DEA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40L</w:t>
                  </w:r>
                </w:p>
              </w:tc>
              <w:tc>
                <w:tcPr>
                  <w:tcW w:w="716" w:type="pct"/>
                  <w:tcBorders>
                    <w:tl2br w:val="nil"/>
                    <w:tr2bl w:val="nil"/>
                  </w:tcBorders>
                  <w:shd w:val="clear" w:color="auto" w:fill="auto"/>
                  <w:noWrap/>
                  <w:tcMar>
                    <w:top w:w="0" w:type="dxa"/>
                    <w:left w:w="51" w:type="dxa"/>
                    <w:bottom w:w="0" w:type="dxa"/>
                    <w:right w:w="51" w:type="dxa"/>
                  </w:tcMar>
                  <w:vAlign w:val="center"/>
                </w:tcPr>
                <w:p w14:paraId="79527D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p>
              </w:tc>
              <w:tc>
                <w:tcPr>
                  <w:tcW w:w="972" w:type="pct"/>
                  <w:tcBorders>
                    <w:tl2br w:val="nil"/>
                    <w:tr2bl w:val="nil"/>
                  </w:tcBorders>
                  <w:shd w:val="clear" w:color="auto" w:fill="auto"/>
                  <w:noWrap/>
                  <w:tcMar>
                    <w:top w:w="0" w:type="dxa"/>
                    <w:left w:w="51" w:type="dxa"/>
                    <w:bottom w:w="0" w:type="dxa"/>
                    <w:right w:w="51" w:type="dxa"/>
                  </w:tcMar>
                  <w:vAlign w:val="center"/>
                </w:tcPr>
                <w:p w14:paraId="3730BDA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w:t>
                  </w:r>
                </w:p>
              </w:tc>
              <w:tc>
                <w:tcPr>
                  <w:tcW w:w="622" w:type="pct"/>
                  <w:tcBorders>
                    <w:tl2br w:val="nil"/>
                    <w:tr2bl w:val="nil"/>
                  </w:tcBorders>
                  <w:shd w:val="clear" w:color="auto" w:fill="auto"/>
                  <w:noWrap/>
                  <w:tcMar>
                    <w:top w:w="0" w:type="dxa"/>
                    <w:left w:w="51" w:type="dxa"/>
                    <w:bottom w:w="0" w:type="dxa"/>
                    <w:right w:w="51" w:type="dxa"/>
                  </w:tcMar>
                  <w:vAlign w:val="center"/>
                </w:tcPr>
                <w:p w14:paraId="12085D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惰性气体</w:t>
                  </w:r>
                </w:p>
              </w:tc>
              <w:tc>
                <w:tcPr>
                  <w:tcW w:w="568" w:type="pct"/>
                  <w:vMerge w:val="continue"/>
                  <w:tcBorders>
                    <w:tl2br w:val="nil"/>
                    <w:tr2bl w:val="nil"/>
                  </w:tcBorders>
                  <w:shd w:val="clear" w:color="auto" w:fill="auto"/>
                  <w:noWrap/>
                  <w:tcMar>
                    <w:top w:w="0" w:type="dxa"/>
                    <w:left w:w="51" w:type="dxa"/>
                    <w:bottom w:w="0" w:type="dxa"/>
                    <w:right w:w="51" w:type="dxa"/>
                  </w:tcMar>
                  <w:vAlign w:val="center"/>
                </w:tcPr>
                <w:p w14:paraId="328E53DD">
                  <w:pPr>
                    <w:keepNext w:val="0"/>
                    <w:keepLines w:val="0"/>
                    <w:pageBreakBefore w:val="0"/>
                    <w:widowControl/>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jc w:val="center"/>
                    <w:textAlignment w:val="center"/>
                    <w:rPr>
                      <w:rFonts w:hint="default" w:ascii="Times New Roman" w:hAnsi="Times New Roman" w:cs="Times New Roman"/>
                      <w:color w:val="auto"/>
                      <w:sz w:val="21"/>
                      <w:szCs w:val="21"/>
                      <w:highlight w:val="none"/>
                    </w:rPr>
                  </w:pPr>
                </w:p>
              </w:tc>
            </w:tr>
          </w:tbl>
          <w:p w14:paraId="3D20FEF6">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157" w:beforeLines="50" w:beforeAutospacing="0" w:after="0" w:afterAutospacing="0"/>
              <w:ind w:right="0"/>
              <w:textAlignment w:val="auto"/>
              <w:rPr>
                <w:rFonts w:hint="default" w:ascii="Times New Roman" w:hAnsi="Times New Roman" w:cs="Times New Roman"/>
                <w:color w:val="auto"/>
                <w:highlight w:val="none"/>
              </w:rPr>
            </w:pPr>
            <w:bookmarkStart w:id="40" w:name="_Ref191"/>
            <w:bookmarkStart w:id="41" w:name="_Ref5633"/>
            <w:r>
              <w:rPr>
                <w:rFonts w:hint="default" w:ascii="Times New Roman" w:hAnsi="Times New Roman" w:cs="Times New Roman"/>
                <w:color w:val="auto"/>
                <w:highlight w:val="none"/>
                <w:lang w:val="en-US" w:eastAsia="zh-CN"/>
              </w:rPr>
              <w:t>主要原辅材料成分一览表</w:t>
            </w:r>
            <w:bookmarkEnd w:id="40"/>
            <w:bookmarkEnd w:id="41"/>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1088"/>
              <w:gridCol w:w="7164"/>
            </w:tblGrid>
            <w:tr w14:paraId="621F27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48" w:hRule="atLeast"/>
                <w:jc w:val="center"/>
              </w:trPr>
              <w:tc>
                <w:tcPr>
                  <w:tcW w:w="659" w:type="pct"/>
                  <w:noWrap w:val="0"/>
                  <w:vAlign w:val="center"/>
                </w:tcPr>
                <w:p w14:paraId="6677C1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试剂名称</w:t>
                  </w:r>
                </w:p>
              </w:tc>
              <w:tc>
                <w:tcPr>
                  <w:tcW w:w="4340" w:type="pct"/>
                  <w:noWrap w:val="0"/>
                  <w:vAlign w:val="center"/>
                </w:tcPr>
                <w:p w14:paraId="778D5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理化性质</w:t>
                  </w:r>
                </w:p>
              </w:tc>
            </w:tr>
            <w:tr w14:paraId="0FD8B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57" w:hRule="atLeast"/>
                <w:jc w:val="center"/>
              </w:trPr>
              <w:tc>
                <w:tcPr>
                  <w:tcW w:w="659" w:type="pct"/>
                  <w:shd w:val="clear" w:color="auto" w:fill="auto"/>
                  <w:noWrap w:val="0"/>
                  <w:vAlign w:val="center"/>
                </w:tcPr>
                <w:p w14:paraId="6FC822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邻苯二甲酸氢钾</w:t>
                  </w:r>
                </w:p>
              </w:tc>
              <w:tc>
                <w:tcPr>
                  <w:tcW w:w="4340" w:type="pct"/>
                  <w:shd w:val="clear" w:color="auto" w:fill="auto"/>
                  <w:noWrap w:val="0"/>
                  <w:vAlign w:val="center"/>
                </w:tcPr>
                <w:p w14:paraId="7F513D8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白色结晶。相对密度1.636。约溶于12份冷水、3份沸水；微溶于乙醇。0.05M水溶液在25℃时的pH=4.005。在295-300℃分解。</w:t>
                  </w:r>
                </w:p>
              </w:tc>
            </w:tr>
            <w:tr w14:paraId="777315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3" w:hRule="atLeast"/>
                <w:jc w:val="center"/>
              </w:trPr>
              <w:tc>
                <w:tcPr>
                  <w:tcW w:w="659" w:type="pct"/>
                  <w:shd w:val="clear" w:color="auto" w:fill="auto"/>
                  <w:noWrap w:val="0"/>
                  <w:vAlign w:val="center"/>
                </w:tcPr>
                <w:p w14:paraId="7FE194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谷氨酸</w:t>
                  </w:r>
                </w:p>
              </w:tc>
              <w:tc>
                <w:tcPr>
                  <w:tcW w:w="4340" w:type="pct"/>
                  <w:shd w:val="clear" w:color="auto" w:fill="auto"/>
                  <w:noWrap w:val="0"/>
                  <w:vAlign w:val="center"/>
                </w:tcPr>
                <w:p w14:paraId="443F629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无臭，稍有特殊的滋味和酸味。呈微酸性。微溶于冷水，易溶于热水，几乎不溶于乙醚、丙酮和冷醋酸中，不溶于乙醇和甲醇。200℃升华，247～249℃分解。相对密度1.538。</w:t>
                  </w:r>
                </w:p>
              </w:tc>
            </w:tr>
            <w:tr w14:paraId="54181F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8019B7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氯化铵</w:t>
                  </w:r>
                </w:p>
              </w:tc>
              <w:tc>
                <w:tcPr>
                  <w:tcW w:w="4340" w:type="pct"/>
                  <w:shd w:val="clear" w:color="auto" w:fill="auto"/>
                  <w:noWrap w:val="0"/>
                  <w:vAlign w:val="center"/>
                </w:tcPr>
                <w:p w14:paraId="3DAC496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结晶性块状物或粉末。无味。吸潮结块。溶于甘油、甲醇、乙醇，不溶于丙酮、乙醚、乙酸乙酯。加热至337.8℃升华，并分解成氨和氯化氢。对黑色金属和其他金属有腐蚀性。对铜腐蚀更大。对生铁无腐蚀作用。与氯酸钾或三氟化溴发生爆炸性反应。与七氟化碘等发生剧烈反应。和氰化氢反应生成爆炸性的三氯化氮。受高热分解，放出有毒的烟气。</w:t>
                  </w:r>
                </w:p>
              </w:tc>
            </w:tr>
            <w:tr w14:paraId="6CEB3E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48" w:hRule="atLeast"/>
                <w:jc w:val="center"/>
              </w:trPr>
              <w:tc>
                <w:tcPr>
                  <w:tcW w:w="659" w:type="pct"/>
                  <w:shd w:val="clear" w:color="auto" w:fill="auto"/>
                  <w:noWrap w:val="0"/>
                  <w:vAlign w:val="center"/>
                </w:tcPr>
                <w:p w14:paraId="0173B47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抗坏血酸</w:t>
                  </w:r>
                </w:p>
              </w:tc>
              <w:tc>
                <w:tcPr>
                  <w:tcW w:w="4340" w:type="pct"/>
                  <w:shd w:val="clear" w:color="auto" w:fill="auto"/>
                  <w:noWrap w:val="0"/>
                  <w:vAlign w:val="center"/>
                </w:tcPr>
                <w:p w14:paraId="0101419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白色结晶或结晶性粉末。有酸性。在潮湿空气中易被氧化而变黄色。lg该品溶于约3mL水、30mL乙醇、50mL无水乙醇、</w:t>
                  </w:r>
                  <w:r>
                    <w:rPr>
                      <w:rFonts w:hint="eastAsia"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mL甘油，不溶于乙醚、苯、三氯甲烷、石油醚、油类、脂肪。可燃；燃烧产生刺激烟雾。</w:t>
                  </w:r>
                </w:p>
              </w:tc>
            </w:tr>
            <w:tr w14:paraId="2BB18DF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09" w:hRule="atLeast"/>
                <w:jc w:val="center"/>
              </w:trPr>
              <w:tc>
                <w:tcPr>
                  <w:tcW w:w="659" w:type="pct"/>
                  <w:shd w:val="clear" w:color="auto" w:fill="auto"/>
                  <w:noWrap w:val="0"/>
                  <w:vAlign w:val="center"/>
                </w:tcPr>
                <w:p w14:paraId="52C380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甘油</w:t>
                  </w:r>
                </w:p>
              </w:tc>
              <w:tc>
                <w:tcPr>
                  <w:tcW w:w="4340" w:type="pct"/>
                  <w:shd w:val="clear" w:color="auto" w:fill="auto"/>
                  <w:noWrap w:val="0"/>
                  <w:vAlign w:val="center"/>
                </w:tcPr>
                <w:p w14:paraId="136E47E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臭的黏稠状液体。味甜。有强吸湿性。能吸收硫化氢、氢氰酸、二氧化硫。能与水、乙醇相混溶，1份该品能溶于11份乙酸乙酯、约500份乙醚，不溶于苯、二硫化碳、三氯甲烷、四氯化碳、石油醚、油类。易被脱水，失水生成双甘油和聚甘油等。氧化生成甘油醛和甘油酸等。在O℃下凝固，形成有闪光的斜方结晶。在温度150℃左右时，会发生聚合。与无水醋酸酐、高锰酸钾、强酸、腐蚀剂、脂肪胺、异氰酸酯类、氧化剂不能配伍。</w:t>
                  </w:r>
                </w:p>
              </w:tc>
            </w:tr>
            <w:tr w14:paraId="37758C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55" w:hRule="atLeast"/>
                <w:jc w:val="center"/>
              </w:trPr>
              <w:tc>
                <w:tcPr>
                  <w:tcW w:w="659" w:type="pct"/>
                  <w:shd w:val="clear" w:color="auto" w:fill="auto"/>
                  <w:noWrap w:val="0"/>
                  <w:vAlign w:val="center"/>
                </w:tcPr>
                <w:p w14:paraId="34D8FBF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磷酸二氢钾</w:t>
                  </w:r>
                </w:p>
              </w:tc>
              <w:tc>
                <w:tcPr>
                  <w:tcW w:w="4340" w:type="pct"/>
                  <w:shd w:val="clear" w:color="auto" w:fill="auto"/>
                  <w:noWrap w:val="0"/>
                  <w:vAlign w:val="center"/>
                </w:tcPr>
                <w:p w14:paraId="13B67B6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无色柱状结晶或白色结晶性粉末。熔点96℃；在空气中稳定。溶于约4.5份水，水溶液呈酸性，pH值4.4～4.7。不溶于乙醇。在400℃失水生成偏磷酸钾。</w:t>
                  </w:r>
                </w:p>
              </w:tc>
            </w:tr>
            <w:tr w14:paraId="76CF65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25" w:hRule="atLeast"/>
                <w:jc w:val="center"/>
              </w:trPr>
              <w:tc>
                <w:tcPr>
                  <w:tcW w:w="659" w:type="pct"/>
                  <w:shd w:val="clear" w:color="auto" w:fill="auto"/>
                  <w:noWrap w:val="0"/>
                  <w:vAlign w:val="center"/>
                </w:tcPr>
                <w:p w14:paraId="33C89F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硫化钠</w:t>
                  </w:r>
                </w:p>
              </w:tc>
              <w:tc>
                <w:tcPr>
                  <w:tcW w:w="4340" w:type="pct"/>
                  <w:shd w:val="clear" w:color="auto" w:fill="auto"/>
                  <w:noWrap w:val="0"/>
                  <w:vAlign w:val="center"/>
                </w:tcPr>
                <w:p w14:paraId="154ACAC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物为白色结晶，容易潮解。遇酸反应，产生硫化氢。微溶于醇，不溶于醚。水溶液呈强碱性，故又称硫化碱。溶于硫黄生成多硫化钠。工业品因含杂质常为粉红、棕红色、土黄色块。有腐蚀性，有毒。在空气中易氧化生成硫代硫酸钠。</w:t>
                  </w:r>
                </w:p>
              </w:tc>
            </w:tr>
            <w:tr w14:paraId="64D6661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82" w:hRule="atLeast"/>
                <w:jc w:val="center"/>
              </w:trPr>
              <w:tc>
                <w:tcPr>
                  <w:tcW w:w="659" w:type="pct"/>
                  <w:shd w:val="clear" w:color="auto" w:fill="auto"/>
                  <w:noWrap w:val="0"/>
                  <w:vAlign w:val="center"/>
                </w:tcPr>
                <w:p w14:paraId="2A48B9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硫酸钾</w:t>
                  </w:r>
                </w:p>
              </w:tc>
              <w:tc>
                <w:tcPr>
                  <w:tcW w:w="4340" w:type="pct"/>
                  <w:shd w:val="clear" w:color="auto" w:fill="auto"/>
                  <w:noWrap w:val="0"/>
                  <w:vAlign w:val="center"/>
                </w:tcPr>
                <w:p w14:paraId="127647B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无色结晶或白色结晶性颗粒或粉末。质重而坚硬。无气味。熔点1067℃；沸点1689℃；在空气中稳定。该物质溶于8.4mL水、4mL沸水、75mL甘油，不溶于乙醇、丙酮。其水溶液呈中性，pH值约7。</w:t>
                  </w:r>
                </w:p>
              </w:tc>
            </w:tr>
            <w:tr w14:paraId="6019C12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CC42A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碘酸钾</w:t>
                  </w:r>
                </w:p>
              </w:tc>
              <w:tc>
                <w:tcPr>
                  <w:tcW w:w="4340" w:type="pct"/>
                  <w:shd w:val="clear" w:color="auto" w:fill="auto"/>
                  <w:noWrap w:val="0"/>
                  <w:vAlign w:val="center"/>
                </w:tcPr>
                <w:p w14:paraId="23D85C8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白色结晶或白色结晶性粉末。无臭。熔点560℃（分解）；d 3. 89。溶于12份水、3.1份沸水，溶于稀硫酸、碘化钾，不溶于乙醇。有强氧化性。与还原剂、有机物、易燃物等混合可形成爆炸性混合物，经摩擦、震动或撞击可引起燃烧或爆炸。</w:t>
                  </w:r>
                </w:p>
              </w:tc>
            </w:tr>
            <w:tr w14:paraId="048675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08" w:hRule="atLeast"/>
                <w:jc w:val="center"/>
              </w:trPr>
              <w:tc>
                <w:tcPr>
                  <w:tcW w:w="659" w:type="pct"/>
                  <w:shd w:val="clear" w:color="auto" w:fill="auto"/>
                  <w:noWrap w:val="0"/>
                  <w:vAlign w:val="center"/>
                </w:tcPr>
                <w:p w14:paraId="61BFAAE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六氯铂酸钾</w:t>
                  </w:r>
                </w:p>
              </w:tc>
              <w:tc>
                <w:tcPr>
                  <w:tcW w:w="4340" w:type="pct"/>
                  <w:shd w:val="clear" w:color="auto" w:fill="auto"/>
                  <w:noWrap w:val="0"/>
                  <w:vAlign w:val="center"/>
                </w:tcPr>
                <w:p w14:paraId="1396745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密度：3.499；熔点：250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(dec.)(lit.)；水溶性：50g/L(95ºC)；稳定性：稳定。与酸、卤间化合物、强氧化剂不相容。</w:t>
                  </w:r>
                </w:p>
              </w:tc>
            </w:tr>
            <w:tr w14:paraId="356DE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84" w:hRule="atLeast"/>
                <w:jc w:val="center"/>
              </w:trPr>
              <w:tc>
                <w:tcPr>
                  <w:tcW w:w="659" w:type="pct"/>
                  <w:shd w:val="clear" w:color="auto" w:fill="auto"/>
                  <w:noWrap w:val="0"/>
                  <w:vAlign w:val="center"/>
                </w:tcPr>
                <w:p w14:paraId="660A11F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硫氰酸钾</w:t>
                  </w:r>
                </w:p>
              </w:tc>
              <w:tc>
                <w:tcPr>
                  <w:tcW w:w="4340" w:type="pct"/>
                  <w:shd w:val="clear" w:color="auto" w:fill="auto"/>
                  <w:noWrap w:val="0"/>
                  <w:vAlign w:val="center"/>
                </w:tcPr>
                <w:p w14:paraId="12AE466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有潮解性。熔点约173℃；溶于12mL乙醇、8mL沸乙醇、0.5mL丙酮。溶于水，其水溶液呈中性。在空气中易潮解。并大量吸热而降温。低温下可得半水物结晶，-29.5～6.8℃时稳定，灼热至约430℃时变蓝，冷后又重新变为无色。加热至500℃分解，放出有毒的氰化物和硫化物烟气。</w:t>
                  </w:r>
                </w:p>
              </w:tc>
            </w:tr>
            <w:tr w14:paraId="14B89B2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31" w:hRule="atLeast"/>
                <w:jc w:val="center"/>
              </w:trPr>
              <w:tc>
                <w:tcPr>
                  <w:tcW w:w="659" w:type="pct"/>
                  <w:shd w:val="clear" w:color="auto" w:fill="auto"/>
                  <w:noWrap w:val="0"/>
                  <w:vAlign w:val="center"/>
                </w:tcPr>
                <w:p w14:paraId="794A6E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丁基黄原酸钾</w:t>
                  </w:r>
                </w:p>
              </w:tc>
              <w:tc>
                <w:tcPr>
                  <w:tcW w:w="4340" w:type="pct"/>
                  <w:shd w:val="clear" w:color="auto" w:fill="auto"/>
                  <w:noWrap w:val="0"/>
                  <w:vAlign w:val="center"/>
                </w:tcPr>
                <w:p w14:paraId="04EC1FC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丁基黄原酸钾是一种无色至淡黄色的晶体，可以溶解在水和有机溶剂中。它具有强烈的硫醇味道。它是稳定的化合物，在常温下没有明显的分解。</w:t>
                  </w:r>
                </w:p>
              </w:tc>
            </w:tr>
            <w:tr w14:paraId="4FA7EF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26" w:hRule="atLeast"/>
                <w:jc w:val="center"/>
              </w:trPr>
              <w:tc>
                <w:tcPr>
                  <w:tcW w:w="659" w:type="pct"/>
                  <w:shd w:val="clear" w:color="auto" w:fill="auto"/>
                  <w:noWrap w:val="0"/>
                  <w:vAlign w:val="center"/>
                </w:tcPr>
                <w:p w14:paraId="4043F5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碳酸钾</w:t>
                  </w:r>
                </w:p>
              </w:tc>
              <w:tc>
                <w:tcPr>
                  <w:tcW w:w="4340" w:type="pct"/>
                  <w:shd w:val="clear" w:color="auto" w:fill="auto"/>
                  <w:noWrap w:val="0"/>
                  <w:vAlign w:val="center"/>
                </w:tcPr>
                <w:p w14:paraId="1750017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白色颗粒或粉末。无味。熔点891℃；有很强的吸湿性，易结块。溶于1份冷水、0.7份沸水，溶液呈强碱性，pH值11.6。不溶于乙醇、乙醚。遇酸放出二氧化碳。长期暴露于空气中，易吸收二氧化碳，变为碳酸氢钾。</w:t>
                  </w:r>
                </w:p>
              </w:tc>
            </w:tr>
            <w:tr w14:paraId="20B5B7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70" w:hRule="atLeast"/>
                <w:jc w:val="center"/>
              </w:trPr>
              <w:tc>
                <w:tcPr>
                  <w:tcW w:w="659" w:type="pct"/>
                  <w:shd w:val="clear" w:color="auto" w:fill="auto"/>
                  <w:noWrap w:val="0"/>
                  <w:vAlign w:val="center"/>
                </w:tcPr>
                <w:p w14:paraId="2D6BE6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铬酸钾</w:t>
                  </w:r>
                </w:p>
              </w:tc>
              <w:tc>
                <w:tcPr>
                  <w:tcW w:w="4340" w:type="pct"/>
                  <w:shd w:val="clear" w:color="auto" w:fill="auto"/>
                  <w:noWrap w:val="0"/>
                  <w:vAlign w:val="center"/>
                </w:tcPr>
                <w:p w14:paraId="4A7A3D4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柠檬黄色单斜结晶。熔点975℃；溶于1.6份冷水、1.2份沸水，其溶液对酚酞、石蕊呈碱性，不溶于乙醇。强氧化剂。接触有机物有引起燃烧危险。受高热分解，放出有毒的烟气。</w:t>
                  </w:r>
                </w:p>
              </w:tc>
            </w:tr>
            <w:tr w14:paraId="422DBE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00" w:hRule="atLeast"/>
                <w:jc w:val="center"/>
              </w:trPr>
              <w:tc>
                <w:tcPr>
                  <w:tcW w:w="659" w:type="pct"/>
                  <w:shd w:val="clear" w:color="auto" w:fill="auto"/>
                  <w:noWrap w:val="0"/>
                  <w:vAlign w:val="center"/>
                </w:tcPr>
                <w:p w14:paraId="2DA8208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过硫酸钾</w:t>
                  </w:r>
                </w:p>
              </w:tc>
              <w:tc>
                <w:tcPr>
                  <w:tcW w:w="4340" w:type="pct"/>
                  <w:shd w:val="clear" w:color="auto" w:fill="auto"/>
                  <w:noWrap w:val="0"/>
                  <w:vAlign w:val="center"/>
                </w:tcPr>
                <w:p w14:paraId="1653E31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结晶。无气味。能溶于约50份水、25份40℃水，水溶液呈酸性。不溶于乙醇。在空气中逐渐分解释放出游离氧，在高温时分解更快，在100℃时全部分解。与有机物、还原剂、易燃物接触或混合时有引起燃烧爆炸的危险。急剧加热时可发生爆炸。</w:t>
                  </w:r>
                </w:p>
              </w:tc>
            </w:tr>
            <w:tr w14:paraId="42F3300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70" w:hRule="atLeast"/>
                <w:jc w:val="center"/>
              </w:trPr>
              <w:tc>
                <w:tcPr>
                  <w:tcW w:w="659" w:type="pct"/>
                  <w:shd w:val="clear" w:color="auto" w:fill="auto"/>
                  <w:noWrap w:val="0"/>
                  <w:vAlign w:val="center"/>
                </w:tcPr>
                <w:p w14:paraId="12C46DE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氯铂酸钾</w:t>
                  </w:r>
                </w:p>
              </w:tc>
              <w:tc>
                <w:tcPr>
                  <w:tcW w:w="4340" w:type="pct"/>
                  <w:shd w:val="clear" w:color="auto" w:fill="auto"/>
                  <w:noWrap w:val="0"/>
                  <w:vAlign w:val="center"/>
                </w:tcPr>
                <w:p w14:paraId="5BA45AA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棕红色晶体。溶于热水，微溶于冷水，几乎不溶于乙醇，易潮解。相对密度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d244</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3.499。熔点250℃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分解</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。最小中毒量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人，皮内</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40mg/kg。有刺激性。在盐酸</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溶液中溶解。加热就会分解。</w:t>
                  </w:r>
                </w:p>
              </w:tc>
            </w:tr>
            <w:tr w14:paraId="3CD71E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157174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高碘酸钾</w:t>
                  </w:r>
                </w:p>
              </w:tc>
              <w:tc>
                <w:tcPr>
                  <w:tcW w:w="4340" w:type="pct"/>
                  <w:shd w:val="clear" w:color="auto" w:fill="auto"/>
                  <w:noWrap w:val="0"/>
                  <w:vAlign w:val="center"/>
                </w:tcPr>
                <w:p w14:paraId="3329031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无色结晶或白色颗粒状粉末。相对密度3.618(15℃)。熔点582℃。沸点爆炸。溶于热水、微溶于冷水。难溶于氢氧化钾溶液。不溶于乙醇。在水溶液中为强氧化剂，</w:t>
                  </w:r>
                  <w:r>
                    <w:rPr>
                      <w:rFonts w:hint="eastAsia" w:cs="Times New Roman"/>
                      <w:i w:val="0"/>
                      <w:iCs w:val="0"/>
                      <w:color w:val="auto"/>
                      <w:kern w:val="0"/>
                      <w:sz w:val="21"/>
                      <w:szCs w:val="21"/>
                      <w:highlight w:val="none"/>
                      <w:u w:val="none"/>
                      <w:lang w:val="en-US" w:eastAsia="zh-CN" w:bidi="ar"/>
                    </w:rPr>
                    <w:t>例如</w:t>
                  </w:r>
                  <w:r>
                    <w:rPr>
                      <w:rFonts w:hint="default" w:ascii="Times New Roman" w:hAnsi="Times New Roman" w:eastAsia="宋体" w:cs="Times New Roman"/>
                      <w:i w:val="0"/>
                      <w:iCs w:val="0"/>
                      <w:color w:val="auto"/>
                      <w:kern w:val="0"/>
                      <w:sz w:val="21"/>
                      <w:szCs w:val="21"/>
                      <w:highlight w:val="none"/>
                      <w:u w:val="none"/>
                      <w:lang w:val="en-US" w:eastAsia="zh-CN" w:bidi="ar"/>
                    </w:rPr>
                    <w:t>氧化锰化合物为高锰酸盐。</w:t>
                  </w:r>
                </w:p>
              </w:tc>
            </w:tr>
            <w:tr w14:paraId="3B4DF4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1C6166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碳酸钙</w:t>
                  </w:r>
                </w:p>
              </w:tc>
              <w:tc>
                <w:tcPr>
                  <w:tcW w:w="4340" w:type="pct"/>
                  <w:shd w:val="clear" w:color="auto" w:fill="auto"/>
                  <w:noWrap w:val="0"/>
                  <w:vAlign w:val="center"/>
                </w:tcPr>
                <w:p w14:paraId="0A6A772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白色结晶性粉末。无嗅、无味。有两种结晶，一种是正交晶体文石，熔点825℃（分解），分解为氧化钙和二氧化碳。一种是六方菱面晶体方解石，熔点1339℃(10.39MPa)。几乎不溶于水，溶于酸。</w:t>
                  </w:r>
                </w:p>
              </w:tc>
            </w:tr>
            <w:tr w14:paraId="1484FB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16" w:hRule="atLeast"/>
                <w:jc w:val="center"/>
              </w:trPr>
              <w:tc>
                <w:tcPr>
                  <w:tcW w:w="659" w:type="pct"/>
                  <w:shd w:val="clear" w:color="auto" w:fill="auto"/>
                  <w:noWrap w:val="0"/>
                  <w:vAlign w:val="center"/>
                </w:tcPr>
                <w:p w14:paraId="641B8A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丙烯腈</w:t>
                  </w:r>
                </w:p>
              </w:tc>
              <w:tc>
                <w:tcPr>
                  <w:tcW w:w="4340" w:type="pct"/>
                  <w:shd w:val="clear" w:color="auto" w:fill="auto"/>
                  <w:noWrap w:val="0"/>
                  <w:vAlign w:val="center"/>
                </w:tcPr>
                <w:p w14:paraId="05AFF38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无色易挥发的透明液体，味甜，微臭。能溶于丙酮、苯、四氯化碳、乙醚、乙醇等有机溶剂。微溶于水，与水形成共沸混合物。相对密度</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8060。冰点-83～-84℃。沸点77.3℃。闪点-5℃。折射率1.3888。黏度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0.34mPa．s。蒸气压</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11, 07kPa。本品蒸气可与空气形成爆炸性混合物，爆炸极限</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为3.05%～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17.0士o．5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%（体积）。纯品易自聚，特别是在缺氧或暴露在可见光情况下，更易聚合，在浓碱存在下能强烈聚合。</w:t>
                  </w:r>
                </w:p>
              </w:tc>
            </w:tr>
            <w:tr w14:paraId="54BA3C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46" w:hRule="atLeast"/>
                <w:jc w:val="center"/>
              </w:trPr>
              <w:tc>
                <w:tcPr>
                  <w:tcW w:w="659" w:type="pct"/>
                  <w:shd w:val="clear" w:color="auto" w:fill="auto"/>
                  <w:noWrap w:val="0"/>
                  <w:vAlign w:val="center"/>
                </w:tcPr>
                <w:p w14:paraId="01AE88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碘化钾</w:t>
                  </w:r>
                </w:p>
              </w:tc>
              <w:tc>
                <w:tcPr>
                  <w:tcW w:w="4340" w:type="pct"/>
                  <w:shd w:val="clear" w:color="auto" w:fill="auto"/>
                  <w:noWrap w:val="0"/>
                  <w:vAlign w:val="center"/>
                </w:tcPr>
                <w:p w14:paraId="2D723A9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立方晶体。无臭，具浓苦咸味。相对密度3.12。熔点680℃。沸点1420℃。在湿空气中易潮解。遇光及空气能析出游离碘而呈黄色，在酸性水溶液中更易变黄。易溶于水，溶解时显著吸收热量，溶于乙醇、丙酮、甲醇、甘油和液氢，微溶于乙醚。碘化钾水溶液呈中性或微碱性。</w:t>
                  </w:r>
                </w:p>
              </w:tc>
            </w:tr>
            <w:tr w14:paraId="0CE524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12" w:hRule="atLeast"/>
                <w:jc w:val="center"/>
              </w:trPr>
              <w:tc>
                <w:tcPr>
                  <w:tcW w:w="659" w:type="pct"/>
                  <w:shd w:val="clear" w:color="auto" w:fill="auto"/>
                  <w:noWrap w:val="0"/>
                  <w:vAlign w:val="center"/>
                </w:tcPr>
                <w:p w14:paraId="77EE072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氟化钠</w:t>
                  </w:r>
                </w:p>
              </w:tc>
              <w:tc>
                <w:tcPr>
                  <w:tcW w:w="4340" w:type="pct"/>
                  <w:shd w:val="clear" w:color="auto" w:fill="auto"/>
                  <w:noWrap w:val="0"/>
                  <w:vAlign w:val="center"/>
                </w:tcPr>
                <w:p w14:paraId="5D66152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无色、白色立方或四方形结晶或粉末。熔点993℃；沸点1740℃；d2.78。溶于水，在水中的溶解度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g/l</w:t>
                  </w:r>
                  <w:r>
                    <w:rPr>
                      <w:rFonts w:hint="default" w:ascii="Times New Roman" w:hAnsi="Times New Roman" w:cs="Times New Roman"/>
                      <w:i w:val="0"/>
                      <w:iCs w:val="0"/>
                      <w:color w:val="auto"/>
                      <w:kern w:val="0"/>
                      <w:sz w:val="21"/>
                      <w:szCs w:val="21"/>
                      <w:highlight w:val="none"/>
                      <w:u w:val="none"/>
                      <w:lang w:val="en-US" w:eastAsia="zh-CN" w:bidi="ar"/>
                    </w:rPr>
                    <w:t>00</w:t>
                  </w:r>
                  <w:r>
                    <w:rPr>
                      <w:rFonts w:hint="default" w:ascii="Times New Roman" w:hAnsi="Times New Roman" w:eastAsia="宋体"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为：4.</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(15℃)、4.3(25℃)、5.</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 (100℃)。水溶液呈碱性，对玻璃有腐蚀性。不溶于乙醇。</w:t>
                  </w:r>
                  <w:r>
                    <w:rPr>
                      <w:rFonts w:hint="eastAsia" w:cs="Times New Roman"/>
                      <w:i w:val="0"/>
                      <w:iCs w:val="0"/>
                      <w:color w:val="auto"/>
                      <w:kern w:val="0"/>
                      <w:sz w:val="21"/>
                      <w:szCs w:val="21"/>
                      <w:highlight w:val="none"/>
                      <w:u w:val="none"/>
                      <w:lang w:val="en-US" w:eastAsia="zh-CN" w:bidi="ar"/>
                    </w:rPr>
                    <w:t>具有</w:t>
                  </w:r>
                  <w:r>
                    <w:rPr>
                      <w:rFonts w:hint="default" w:ascii="Times New Roman" w:hAnsi="Times New Roman" w:eastAsia="宋体" w:cs="Times New Roman"/>
                      <w:i w:val="0"/>
                      <w:iCs w:val="0"/>
                      <w:color w:val="auto"/>
                      <w:kern w:val="0"/>
                      <w:sz w:val="21"/>
                      <w:szCs w:val="21"/>
                      <w:highlight w:val="none"/>
                      <w:u w:val="none"/>
                      <w:lang w:val="en-US" w:eastAsia="zh-CN" w:bidi="ar"/>
                    </w:rPr>
                    <w:t>特殊的燃烧爆炸特性。接触酸或酸气能产生有毒气体。</w:t>
                  </w:r>
                </w:p>
              </w:tc>
            </w:tr>
            <w:tr w14:paraId="41F4753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2AB06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氯化钠</w:t>
                  </w:r>
                </w:p>
              </w:tc>
              <w:tc>
                <w:tcPr>
                  <w:tcW w:w="4340" w:type="pct"/>
                  <w:shd w:val="clear" w:color="auto" w:fill="auto"/>
                  <w:noWrap w:val="0"/>
                  <w:vAlign w:val="center"/>
                </w:tcPr>
                <w:p w14:paraId="3532B12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岩盐是钠盐矿的主要矿物之一。等轴晶系，晶体呈立方体，通常呈粒状或块状集合体。纯者无色透明或呈白色，常含机械混入物使石盐呈各种颜色，如灰色、黄色、红色、蓝色或黑褐色等。光泽、风化面呈油脂光泽。硬度2～2.5．密度2.16g</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cm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。易溶于水，味咸；导热性低；不导电，摩擦发光；吸湿性强，易潮解。石盐是分布最广的一种盐矿物，主要产于海相碳酸盐系、碎屑岩系沉积矿床和气候</w:t>
                  </w:r>
                  <w:r>
                    <w:rPr>
                      <w:rFonts w:hint="eastAsia" w:cs="Times New Roman"/>
                      <w:i w:val="0"/>
                      <w:iCs w:val="0"/>
                      <w:color w:val="auto"/>
                      <w:kern w:val="0"/>
                      <w:sz w:val="21"/>
                      <w:szCs w:val="21"/>
                      <w:highlight w:val="none"/>
                      <w:u w:val="none"/>
                      <w:lang w:val="en-US" w:eastAsia="zh-CN" w:bidi="ar"/>
                    </w:rPr>
                    <w:t>干旱</w:t>
                  </w:r>
                  <w:r>
                    <w:rPr>
                      <w:rFonts w:hint="default" w:ascii="Times New Roman" w:hAnsi="Times New Roman" w:eastAsia="宋体" w:cs="Times New Roman"/>
                      <w:i w:val="0"/>
                      <w:iCs w:val="0"/>
                      <w:color w:val="auto"/>
                      <w:kern w:val="0"/>
                      <w:sz w:val="21"/>
                      <w:szCs w:val="21"/>
                      <w:highlight w:val="none"/>
                      <w:u w:val="none"/>
                      <w:lang w:val="en-US" w:eastAsia="zh-CN" w:bidi="ar"/>
                    </w:rPr>
                    <w:t>的内陆盆地之干涸盐湖沉积物中，与石膏、硬石膏、杂卤石、光卤石、钾石盐、钙芒硝等共生。</w:t>
                  </w:r>
                </w:p>
              </w:tc>
            </w:tr>
            <w:tr w14:paraId="738886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40" w:hRule="atLeast"/>
                <w:jc w:val="center"/>
              </w:trPr>
              <w:tc>
                <w:tcPr>
                  <w:tcW w:w="659" w:type="pct"/>
                  <w:shd w:val="clear" w:color="auto" w:fill="auto"/>
                  <w:noWrap w:val="0"/>
                  <w:vAlign w:val="center"/>
                </w:tcPr>
                <w:p w14:paraId="6322AA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溴化钾</w:t>
                  </w:r>
                </w:p>
              </w:tc>
              <w:tc>
                <w:tcPr>
                  <w:tcW w:w="4340" w:type="pct"/>
                  <w:shd w:val="clear" w:color="auto" w:fill="auto"/>
                  <w:noWrap w:val="0"/>
                  <w:vAlign w:val="center"/>
                </w:tcPr>
                <w:p w14:paraId="404CACB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为白色结晶粉末。无臭。有咸味，微苦。相对密度2.75；熔点730；沸点1435℃。溶于水和甘油，微溶于乙醇和乙醚。稍有吸湿性。见光易变黄。水溶液呈中性。</w:t>
                  </w:r>
                </w:p>
              </w:tc>
            </w:tr>
            <w:tr w14:paraId="0D59CD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B328D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亚硝酸钠</w:t>
                  </w:r>
                </w:p>
              </w:tc>
              <w:tc>
                <w:tcPr>
                  <w:tcW w:w="4340" w:type="pct"/>
                  <w:shd w:val="clear" w:color="auto" w:fill="auto"/>
                  <w:noWrap w:val="0"/>
                  <w:vAlign w:val="center"/>
                </w:tcPr>
                <w:p w14:paraId="2F20DFA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微带黄色斜方晶体或粉末。有咸味，外观类似于食盐。相对密度2.168；熔点271℃，在320℃时分解生成氧、氮、氧化氮和氧化钠。吸湿，易溶于水，水溶液稳定。微溶于甲醇、乙醇、乙醚。可从空气中吸收氧气，并形成硝酸钠。露置于空气中缓慢氧化成硝酸钠。与有机物接触易发生燃烧和爆炸，燃烧时放出有毒的氧化氮气体。</w:t>
                  </w:r>
                </w:p>
              </w:tc>
            </w:tr>
            <w:tr w14:paraId="5275A8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76" w:hRule="atLeast"/>
                <w:jc w:val="center"/>
              </w:trPr>
              <w:tc>
                <w:tcPr>
                  <w:tcW w:w="659" w:type="pct"/>
                  <w:shd w:val="clear" w:color="auto" w:fill="auto"/>
                  <w:noWrap w:val="0"/>
                  <w:vAlign w:val="center"/>
                </w:tcPr>
                <w:p w14:paraId="1048A6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亚硫酸钠</w:t>
                  </w:r>
                </w:p>
              </w:tc>
              <w:tc>
                <w:tcPr>
                  <w:tcW w:w="4340" w:type="pct"/>
                  <w:shd w:val="clear" w:color="auto" w:fill="auto"/>
                  <w:noWrap w:val="0"/>
                  <w:vAlign w:val="center"/>
                </w:tcPr>
                <w:p w14:paraId="5AE023B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无色单斜晶体。易溶于水，其水溶液呈碱性反应。难溶于乙醇。在空气中风化并氧化成硫酸钠。</w:t>
                  </w:r>
                </w:p>
              </w:tc>
            </w:tr>
            <w:tr w14:paraId="03CC55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2A698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无水硫酸钠</w:t>
                  </w:r>
                </w:p>
              </w:tc>
              <w:tc>
                <w:tcPr>
                  <w:tcW w:w="4340" w:type="pct"/>
                  <w:shd w:val="clear" w:color="auto" w:fill="auto"/>
                  <w:noWrap w:val="0"/>
                  <w:vAlign w:val="center"/>
                </w:tcPr>
                <w:p w14:paraId="2652EA6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白色正交双锥体结晶或结晶性粉末。有苦咸味，无臭。熔点约800℃；d2.7。有吸潮性，易在潮湿空气中吸收三分子水。能溶于水和甘油，不溶于乙醇。水溶液呈中性。33℃时溶解度最大</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，温度再高溶解度降低，100℃时溶于2.4份水。当水溶液低于32. 38℃时，则以</w:t>
                  </w:r>
                  <w:r>
                    <w:rPr>
                      <w:rFonts w:hint="eastAsia" w:cs="Times New Roman"/>
                      <w:i w:val="0"/>
                      <w:iCs w:val="0"/>
                      <w:color w:val="auto"/>
                      <w:kern w:val="0"/>
                      <w:sz w:val="21"/>
                      <w:szCs w:val="21"/>
                      <w:highlight w:val="none"/>
                      <w:u w:val="none"/>
                      <w:lang w:val="en-US" w:eastAsia="zh-CN" w:bidi="ar"/>
                    </w:rPr>
                    <w:t>无水</w:t>
                  </w:r>
                  <w:r>
                    <w:rPr>
                      <w:rFonts w:hint="default" w:ascii="Times New Roman" w:hAnsi="Times New Roman" w:eastAsia="宋体" w:cs="Times New Roman"/>
                      <w:i w:val="0"/>
                      <w:iCs w:val="0"/>
                      <w:color w:val="auto"/>
                      <w:kern w:val="0"/>
                      <w:sz w:val="21"/>
                      <w:szCs w:val="21"/>
                      <w:highlight w:val="none"/>
                      <w:u w:val="none"/>
                      <w:lang w:val="en-US" w:eastAsia="zh-CN" w:bidi="ar"/>
                    </w:rPr>
                    <w:t>物结晶析出，高于32. 38℃时开始以无水硫酸钠结晶析出。</w:t>
                  </w:r>
                </w:p>
              </w:tc>
            </w:tr>
            <w:tr w14:paraId="588E94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554BDC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硫代硫酸钠</w:t>
                  </w:r>
                </w:p>
              </w:tc>
              <w:tc>
                <w:tcPr>
                  <w:tcW w:w="4340" w:type="pct"/>
                  <w:shd w:val="clear" w:color="auto" w:fill="auto"/>
                  <w:noWrap w:val="0"/>
                  <w:vAlign w:val="center"/>
                </w:tcPr>
                <w:p w14:paraId="2667075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单斜晶系结晶。无臭，有清凉带苦的味道。相对密度1.729(17℃)。熔点40～45℃。加热至100℃失去5个结晶水。易溶于水，水溶液近中性。溶于松节油及氨。不溶于醇。潮湿空气中有潮解性。在33℃以上的干燥空气中易风化。具有还原性，能溶解卤素及银盐。</w:t>
                  </w:r>
                </w:p>
              </w:tc>
            </w:tr>
            <w:tr w14:paraId="2B941E5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374FD3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偏重亚硫酸钠</w:t>
                  </w:r>
                </w:p>
              </w:tc>
              <w:tc>
                <w:tcPr>
                  <w:tcW w:w="4340" w:type="pct"/>
                  <w:shd w:val="clear" w:color="auto" w:fill="auto"/>
                  <w:noWrap w:val="0"/>
                  <w:vAlign w:val="center"/>
                </w:tcPr>
                <w:p w14:paraId="539D04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微黄色结晶粉末，相对密度1.4。不稳定，加热至150℃以上即分解出二氧化硫，溶于水和甘油，不溶于乙醇。能吸收空气中的氧气而氧化成硫酸钠。强还原剂，与碱作用生成亚硫酸钠，与酸作用放出二氧化硫。</w:t>
                  </w:r>
                </w:p>
              </w:tc>
            </w:tr>
            <w:tr w14:paraId="29B557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F3E950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二氧化钛</w:t>
                  </w:r>
                </w:p>
              </w:tc>
              <w:tc>
                <w:tcPr>
                  <w:tcW w:w="4340" w:type="pct"/>
                  <w:shd w:val="clear" w:color="auto" w:fill="auto"/>
                  <w:noWrap w:val="0"/>
                  <w:vAlign w:val="center"/>
                </w:tcPr>
                <w:p w14:paraId="7EE2E2E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白色无定形粉末。自然界存在的二氧化钛有三种变体：金红石为四方晶体；锐钛矿为四方晶体；板钛矿为正交晶体。微热呈黄色，</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强热</w:t>
                  </w:r>
                  <w:r>
                    <w:rPr>
                      <w:rFonts w:hint="default" w:ascii="Times New Roman" w:hAnsi="Times New Roman" w:eastAsia="宋体" w:cs="Times New Roman"/>
                      <w:i w:val="0"/>
                      <w:iCs w:val="0"/>
                      <w:color w:val="auto"/>
                      <w:kern w:val="0"/>
                      <w:sz w:val="21"/>
                      <w:szCs w:val="21"/>
                      <w:highlight w:val="none"/>
                      <w:u w:val="none"/>
                      <w:lang w:val="en-US" w:eastAsia="zh-CN" w:bidi="ar"/>
                    </w:rPr>
                    <w:t>呈棕色。不溶于水、盐酸或硝酸或稀硫酸及有机溶剂，溶于浓硫酸、氢氟酸，微溶于碱和热硝酸。长时间煮沸才能溶于浓硫酸和氢氟酸。与熔融的氢氧化钠作用生成钛酸盐。在高温下，可被氢、碳、金属钠等还原为低价钛化物，与二硫化碳作用生成二硫化钛。二氧化钛的折射率，在白色颜料中最大，金红石型为8.70</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锐钛型为2.55。</w:t>
                  </w:r>
                </w:p>
              </w:tc>
            </w:tr>
            <w:tr w14:paraId="370F20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4D35C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无水碳酸钠</w:t>
                  </w:r>
                </w:p>
              </w:tc>
              <w:tc>
                <w:tcPr>
                  <w:tcW w:w="4340" w:type="pct"/>
                  <w:shd w:val="clear" w:color="auto" w:fill="auto"/>
                  <w:noWrap w:val="0"/>
                  <w:vAlign w:val="center"/>
                </w:tcPr>
                <w:p w14:paraId="328E549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白色粉末。熔点851℃；碳酸钠在空气中极容易吸水潮解。400℃时开始分解出二氧化碳。室温下能溶于3.5份水、2.2份35℃水，溶于甘油，不溶于乙醇。其水溶液呈强碱性，pH值11.6。</w:t>
                  </w:r>
                </w:p>
              </w:tc>
            </w:tr>
            <w:tr w14:paraId="18BDF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194C6C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碳酸氢钠</w:t>
                  </w:r>
                </w:p>
              </w:tc>
              <w:tc>
                <w:tcPr>
                  <w:tcW w:w="4340" w:type="pct"/>
                  <w:shd w:val="clear" w:color="auto" w:fill="auto"/>
                  <w:noWrap w:val="0"/>
                  <w:vAlign w:val="center"/>
                </w:tcPr>
                <w:p w14:paraId="388E2AF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白色单斜结晶或结晶性粉末。溶于水，25℃时溶于10份水．18℃时溶于12份水。溶液呈弱碱性，25℃．0.</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mol水溶液pH值8.3。微溶于乙醇。遇酸则剧烈分解。50℃时开始失去二氧化碳，100℃变为Na</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C0</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33E964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FD0D58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硫酸铵</w:t>
                  </w:r>
                </w:p>
              </w:tc>
              <w:tc>
                <w:tcPr>
                  <w:tcW w:w="4340" w:type="pct"/>
                  <w:shd w:val="clear" w:color="auto" w:fill="auto"/>
                  <w:noWrap w:val="0"/>
                  <w:vAlign w:val="center"/>
                </w:tcPr>
                <w:p w14:paraId="12EAC48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无色结晶或半透明正交结晶或白色颗粒。易溶于水，不溶于乙醇、丙酮。加热至28℃时分解为氨和硫酸。相对密度1. 77。0.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Imol</w:t>
                  </w:r>
                  <w:r>
                    <w:rPr>
                      <w:rFonts w:hint="default" w:ascii="Times New Roman" w:hAnsi="Times New Roman" w:eastAsia="宋体" w:cs="Times New Roman"/>
                      <w:i w:val="0"/>
                      <w:iCs w:val="0"/>
                      <w:color w:val="auto"/>
                      <w:kern w:val="0"/>
                      <w:sz w:val="21"/>
                      <w:szCs w:val="21"/>
                      <w:highlight w:val="none"/>
                      <w:u w:val="none"/>
                      <w:lang w:val="en-US" w:eastAsia="zh-CN" w:bidi="ar"/>
                    </w:rPr>
                    <w:t>/L水溶液pH值5.5。与次氯酸钠反应生成爆炸性的三氯化氮。受高热分解，放出有毒的烟气。在水中的溶解度为</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g/loog H20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：70.6(0℃)；76.7(25℃)；103.8(100℃)。本品不燃，</w:t>
                  </w:r>
                  <w:r>
                    <w:rPr>
                      <w:rFonts w:hint="eastAsia" w:cs="Times New Roman"/>
                      <w:i w:val="0"/>
                      <w:iCs w:val="0"/>
                      <w:color w:val="auto"/>
                      <w:kern w:val="0"/>
                      <w:sz w:val="21"/>
                      <w:szCs w:val="21"/>
                      <w:highlight w:val="none"/>
                      <w:u w:val="none"/>
                      <w:lang w:val="en-US" w:eastAsia="zh-CN" w:bidi="ar"/>
                    </w:rPr>
                    <w:t>具有</w:t>
                  </w:r>
                  <w:r>
                    <w:rPr>
                      <w:rFonts w:hint="default" w:ascii="Times New Roman" w:hAnsi="Times New Roman" w:eastAsia="宋体" w:cs="Times New Roman"/>
                      <w:i w:val="0"/>
                      <w:iCs w:val="0"/>
                      <w:color w:val="auto"/>
                      <w:kern w:val="0"/>
                      <w:sz w:val="21"/>
                      <w:szCs w:val="21"/>
                      <w:highlight w:val="none"/>
                      <w:u w:val="none"/>
                      <w:lang w:val="en-US" w:eastAsia="zh-CN" w:bidi="ar"/>
                    </w:rPr>
                    <w:t>刺激性。</w:t>
                  </w:r>
                </w:p>
              </w:tc>
            </w:tr>
            <w:tr w14:paraId="02000F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970700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氨水</w:t>
                  </w:r>
                </w:p>
              </w:tc>
              <w:tc>
                <w:tcPr>
                  <w:tcW w:w="4340" w:type="pct"/>
                  <w:shd w:val="clear" w:color="auto" w:fill="auto"/>
                  <w:noWrap w:val="0"/>
                  <w:vAlign w:val="center"/>
                </w:tcPr>
                <w:p w14:paraId="163D9AB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无色透明液体，具有氨的特殊气味，呈强碱性。比水轻，常温下饱和氨水含氨量为25%～27%</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25℃时密度为0.90g/mL。能与醇、醚相混溶，遇酸剧烈反应放热生成盐。当热至沸腾时，氨气可全部从溶液中</w:t>
                  </w:r>
                  <w:r>
                    <w:rPr>
                      <w:rFonts w:hint="eastAsia" w:cs="Times New Roman"/>
                      <w:i w:val="0"/>
                      <w:iCs w:val="0"/>
                      <w:color w:val="auto"/>
                      <w:kern w:val="0"/>
                      <w:sz w:val="21"/>
                      <w:szCs w:val="21"/>
                      <w:highlight w:val="none"/>
                      <w:u w:val="none"/>
                      <w:lang w:val="en-US" w:eastAsia="zh-CN" w:bidi="ar"/>
                    </w:rPr>
                    <w:t>溢出</w:t>
                  </w:r>
                  <w:r>
                    <w:rPr>
                      <w:rFonts w:hint="default" w:ascii="Times New Roman" w:hAnsi="Times New Roman" w:eastAsia="宋体" w:cs="Times New Roman"/>
                      <w:i w:val="0"/>
                      <w:iCs w:val="0"/>
                      <w:color w:val="auto"/>
                      <w:kern w:val="0"/>
                      <w:sz w:val="21"/>
                      <w:szCs w:val="21"/>
                      <w:highlight w:val="none"/>
                      <w:u w:val="none"/>
                      <w:lang w:val="en-US" w:eastAsia="zh-CN" w:bidi="ar"/>
                    </w:rPr>
                    <w:t>。氨与空气的混合物有爆炸的危险性。</w:t>
                  </w:r>
                </w:p>
              </w:tc>
            </w:tr>
            <w:tr w14:paraId="25225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D7FDA3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硝酸镁（易制爆）</w:t>
                  </w:r>
                </w:p>
              </w:tc>
              <w:tc>
                <w:tcPr>
                  <w:tcW w:w="4340" w:type="pct"/>
                  <w:shd w:val="clear" w:color="auto" w:fill="auto"/>
                  <w:noWrap w:val="0"/>
                  <w:vAlign w:val="center"/>
                </w:tcPr>
                <w:p w14:paraId="77DE4F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性粉末，具有吸湿性。在潮湿的空气中，硝酸镁能快速与水反应，形成六水合硝酸镁。硝酸镁易溶于水、甲醇、乙醇和液氨，水溶液呈中性。相对密度为1.464，熔点约为95℃。硝酸镁具有氧化性，与易燃有机物混合能发热燃烧，具有火灾及爆炸危险。此外，硝酸镁还具有刺激性。</w:t>
                  </w:r>
                </w:p>
              </w:tc>
            </w:tr>
            <w:tr w14:paraId="05F8B7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D9EE5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氨基磺酸</w:t>
                  </w:r>
                </w:p>
              </w:tc>
              <w:tc>
                <w:tcPr>
                  <w:tcW w:w="4340" w:type="pct"/>
                  <w:shd w:val="clear" w:color="auto" w:fill="auto"/>
                  <w:noWrap w:val="0"/>
                  <w:vAlign w:val="center"/>
                </w:tcPr>
                <w:p w14:paraId="3070CD7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味晶体。沸点205℃（开始分解）。不挥发，不吸湿，可燃。溶于水，微溶于有机溶剂。在水溶液中能水解，氨基磺酸的水溶液具有与盐酸、硫酸等同等的酸性。在常温干燥的环境中，氨基磺酸比较稳定，只要保持不与水接触，固体的不吸湿。在高温时分解，放出氮、硫的氧化物等毒性气体。氨基磺酸及其盐类与多种金属化合物都能生成可溶性盐类。</w:t>
                  </w:r>
                </w:p>
              </w:tc>
            </w:tr>
            <w:tr w14:paraId="7946A3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BC79D7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乙二胺四乙酸二钠盐</w:t>
                  </w:r>
                </w:p>
              </w:tc>
              <w:tc>
                <w:tcPr>
                  <w:tcW w:w="4340" w:type="pct"/>
                  <w:shd w:val="clear" w:color="auto" w:fill="auto"/>
                  <w:noWrap w:val="0"/>
                  <w:vAlign w:val="center"/>
                </w:tcPr>
                <w:p w14:paraId="3DFBE97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白色结晶性粉末。溶于水，溶液</w:t>
                  </w:r>
                  <w:r>
                    <w:rPr>
                      <w:rFonts w:hint="eastAsia" w:cs="Times New Roman"/>
                      <w:i w:val="0"/>
                      <w:iCs w:val="0"/>
                      <w:color w:val="auto"/>
                      <w:kern w:val="0"/>
                      <w:sz w:val="21"/>
                      <w:szCs w:val="21"/>
                      <w:highlight w:val="none"/>
                      <w:u w:val="none"/>
                      <w:lang w:val="en-US" w:eastAsia="zh-CN" w:bidi="ar"/>
                    </w:rPr>
                    <w:t>呈酸性</w:t>
                  </w:r>
                  <w:r>
                    <w:rPr>
                      <w:rFonts w:hint="default" w:ascii="Times New Roman" w:hAnsi="Times New Roman" w:eastAsia="宋体" w:cs="Times New Roman"/>
                      <w:i w:val="0"/>
                      <w:iCs w:val="0"/>
                      <w:color w:val="auto"/>
                      <w:kern w:val="0"/>
                      <w:sz w:val="21"/>
                      <w:szCs w:val="21"/>
                      <w:highlight w:val="none"/>
                      <w:u w:val="none"/>
                      <w:lang w:val="en-US" w:eastAsia="zh-CN" w:bidi="ar"/>
                    </w:rPr>
                    <w:t>。微溶于醇；pH值约5.3。受高热分解产生有毒的腐蚀性烟气。</w:t>
                  </w:r>
                </w:p>
              </w:tc>
            </w:tr>
            <w:tr w14:paraId="2CF35D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25C0B42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硝酸银（易制爆）</w:t>
                  </w:r>
                </w:p>
              </w:tc>
              <w:tc>
                <w:tcPr>
                  <w:tcW w:w="4340" w:type="pct"/>
                  <w:shd w:val="clear" w:color="auto" w:fill="auto"/>
                  <w:noWrap w:val="0"/>
                  <w:vAlign w:val="center"/>
                </w:tcPr>
                <w:p w14:paraId="76054F6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无色透明块状结晶或白色结晶。相对密度为4.352 (19℃)；熔点212℃。有毒且具腐蚀性。溶于水、乙醇、氨水，微溶于醚、甘油。在纯净干燥空气中稳定，加热至450℃时，便分解成银、二氧化氮和氧。与水或乙醇的溶液呈中性反应。具有感光性。无机氧化剂。遇可燃物着火时，能助长火势。</w:t>
                  </w:r>
                </w:p>
              </w:tc>
            </w:tr>
            <w:tr w14:paraId="249CFB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54" w:hRule="atLeast"/>
                <w:jc w:val="center"/>
              </w:trPr>
              <w:tc>
                <w:tcPr>
                  <w:tcW w:w="659" w:type="pct"/>
                  <w:shd w:val="clear" w:color="auto" w:fill="auto"/>
                  <w:noWrap w:val="0"/>
                  <w:vAlign w:val="center"/>
                </w:tcPr>
                <w:p w14:paraId="4EF6CC7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试银灵（对</w:t>
                  </w:r>
                  <w:r>
                    <w:rPr>
                      <w:rFonts w:hint="eastAsia" w:cs="Times New Roman"/>
                      <w:color w:val="auto"/>
                      <w:kern w:val="0"/>
                      <w:sz w:val="21"/>
                      <w:szCs w:val="21"/>
                      <w:highlight w:val="none"/>
                      <w:shd w:val="clear" w:fill="FFFFFF"/>
                      <w:lang w:val="en-US" w:eastAsia="zh-CN" w:bidi="ar"/>
                    </w:rPr>
                    <w:t>二甲胺基</w:t>
                  </w:r>
                  <w:r>
                    <w:rPr>
                      <w:rFonts w:hint="default" w:ascii="Times New Roman" w:hAnsi="Times New Roman" w:cs="Times New Roman"/>
                      <w:color w:val="auto"/>
                      <w:kern w:val="0"/>
                      <w:sz w:val="21"/>
                      <w:szCs w:val="21"/>
                      <w:highlight w:val="none"/>
                      <w:lang w:val="en-US" w:eastAsia="zh-CN" w:bidi="ar"/>
                    </w:rPr>
                    <w:t>亚芐基罗丹宁）</w:t>
                  </w:r>
                </w:p>
              </w:tc>
              <w:tc>
                <w:tcPr>
                  <w:tcW w:w="4340" w:type="pct"/>
                  <w:shd w:val="clear" w:color="auto" w:fill="auto"/>
                  <w:noWrap w:val="0"/>
                  <w:vAlign w:val="center"/>
                </w:tcPr>
                <w:p w14:paraId="466A465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红色余</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十</w:t>
                  </w:r>
                  <w:r>
                    <w:rPr>
                      <w:rFonts w:hint="default" w:ascii="Times New Roman" w:hAnsi="Times New Roman" w:eastAsia="宋体" w:cs="Times New Roman"/>
                      <w:i w:val="0"/>
                      <w:iCs w:val="0"/>
                      <w:color w:val="auto"/>
                      <w:kern w:val="0"/>
                      <w:sz w:val="21"/>
                      <w:szCs w:val="21"/>
                      <w:highlight w:val="none"/>
                      <w:u w:val="none"/>
                      <w:lang w:val="en-US" w:eastAsia="zh-CN" w:bidi="ar"/>
                    </w:rPr>
                    <w:t>状结晶。溶于强酸 呈黄色。微溶于氯仿、乙醚、苯、沸腾的</w:t>
                  </w:r>
                  <w:r>
                    <w:rPr>
                      <w:rFonts w:hint="eastAsia"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t>。不溶于水。在酸性溶液中，与汞、亚汞、银、金、亚铜、把产生红至紫色胶状沉淀。由双硫氰酸与4一二甲苯甲醛溶于蜡酸加热至沸进行反应，或溶于乙醇硫酸</w:t>
                  </w:r>
                  <w:r>
                    <w:rPr>
                      <w:rFonts w:hint="eastAsia" w:cs="Times New Roman"/>
                      <w:i w:val="0"/>
                      <w:iCs w:val="0"/>
                      <w:color w:val="auto"/>
                      <w:kern w:val="0"/>
                      <w:sz w:val="21"/>
                      <w:szCs w:val="21"/>
                      <w:highlight w:val="none"/>
                      <w:u w:val="none"/>
                      <w:lang w:val="en-US" w:eastAsia="zh-CN" w:bidi="ar"/>
                    </w:rPr>
                    <w:t>混合</w:t>
                  </w:r>
                  <w:r>
                    <w:rPr>
                      <w:rFonts w:hint="default" w:ascii="Times New Roman" w:hAnsi="Times New Roman" w:eastAsia="宋体" w:cs="Times New Roman"/>
                      <w:i w:val="0"/>
                      <w:iCs w:val="0"/>
                      <w:color w:val="auto"/>
                      <w:kern w:val="0"/>
                      <w:sz w:val="21"/>
                      <w:szCs w:val="21"/>
                      <w:highlight w:val="none"/>
                      <w:u w:val="none"/>
                      <w:lang w:val="en-US" w:eastAsia="zh-CN" w:bidi="ar"/>
                    </w:rPr>
                    <w:t>溶液，在水浴上加热制取。</w:t>
                  </w:r>
                </w:p>
              </w:tc>
            </w:tr>
            <w:tr w14:paraId="109298F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07061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氯胺T</w:t>
                  </w:r>
                </w:p>
              </w:tc>
              <w:tc>
                <w:tcPr>
                  <w:tcW w:w="4340" w:type="pct"/>
                  <w:shd w:val="clear" w:color="auto" w:fill="auto"/>
                  <w:noWrap w:val="0"/>
                  <w:vAlign w:val="center"/>
                </w:tcPr>
                <w:p w14:paraId="4DB467F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化学性质棱柱状结晶，溶于水，实际上不溶于苯、氯仿和乙醚。在乙醇中分解。无确定熔点，于175-180℃剧烈分解（爆炸）。稍带氯气味，在干燥空气中逐渐失去水分，露置空气中渐渐分解而析出氯。</w:t>
                  </w:r>
                </w:p>
              </w:tc>
            </w:tr>
            <w:tr w14:paraId="254355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05425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异烟酸</w:t>
                  </w:r>
                </w:p>
              </w:tc>
              <w:tc>
                <w:tcPr>
                  <w:tcW w:w="4340" w:type="pct"/>
                  <w:shd w:val="clear" w:color="auto" w:fill="auto"/>
                  <w:noWrap w:val="0"/>
                  <w:vAlign w:val="center"/>
                </w:tcPr>
                <w:p w14:paraId="32CC4EF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水中结晶者为白色无味结晶。熔点305～307℃。260℃(2kPa</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升华。微溶于水，在20℃饱和水溶液的pH值为3.6。</w:t>
                  </w:r>
                </w:p>
              </w:tc>
            </w:tr>
            <w:tr w14:paraId="67E25A8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717F9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吡唑啉酮</w:t>
                  </w:r>
                </w:p>
              </w:tc>
              <w:tc>
                <w:tcPr>
                  <w:tcW w:w="4340" w:type="pct"/>
                  <w:shd w:val="clear" w:color="auto" w:fill="auto"/>
                  <w:noWrap w:val="0"/>
                  <w:vAlign w:val="center"/>
                </w:tcPr>
                <w:p w14:paraId="408CA35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白色粉末或结晶。溶于水，微溶于乙醇或苯，难溶于冷水、石油醚、乙醚。沸点287℃。熔点129～130℃。蒸气压</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&lt;1.33Pa。折射率1.637。</w:t>
                  </w:r>
                </w:p>
              </w:tc>
            </w:tr>
            <w:tr w14:paraId="1DA9E90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09" w:hRule="atLeast"/>
                <w:jc w:val="center"/>
              </w:trPr>
              <w:tc>
                <w:tcPr>
                  <w:tcW w:w="659" w:type="pct"/>
                  <w:shd w:val="clear" w:color="auto" w:fill="auto"/>
                  <w:noWrap w:val="0"/>
                  <w:vAlign w:val="center"/>
                </w:tcPr>
                <w:p w14:paraId="5998099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巴比妥酸</w:t>
                  </w:r>
                </w:p>
              </w:tc>
              <w:tc>
                <w:tcPr>
                  <w:tcW w:w="4340" w:type="pct"/>
                  <w:shd w:val="clear" w:color="auto" w:fill="auto"/>
                  <w:noWrap w:val="0"/>
                  <w:vAlign w:val="center"/>
                </w:tcPr>
                <w:p w14:paraId="1B44642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白色结晶性粉末。熔点245℃，280℃脱水分解。易溶于热水和醚，难溶于冷水和醇。与金属反应生成盐。</w:t>
                  </w:r>
                </w:p>
              </w:tc>
            </w:tr>
            <w:tr w14:paraId="5F379E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FB5C57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吡啶</w:t>
                  </w:r>
                </w:p>
              </w:tc>
              <w:tc>
                <w:tcPr>
                  <w:tcW w:w="4340" w:type="pct"/>
                  <w:shd w:val="clear" w:color="auto" w:fill="auto"/>
                  <w:noWrap w:val="0"/>
                  <w:vAlign w:val="center"/>
                </w:tcPr>
                <w:p w14:paraId="400B90C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有不愉快的刺激性气味。能与水、乙醇、三氯甲烷、石油醚、乙醚、油类等多种有机溶剂相混溶，是许多有机化合物的优良溶剂。其蒸气与空气形成爆炸性混合物，遇明火、高热能引起燃烧爆炸。与氧化剂能发生强烈反应。若遇高热，容器内压增大，有开裂和爆炸的危险。强酸能引发剧烈溅射。</w:t>
                  </w:r>
                </w:p>
              </w:tc>
            </w:tr>
            <w:tr w14:paraId="56C56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940EF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硫酸亚铁</w:t>
                  </w:r>
                </w:p>
              </w:tc>
              <w:tc>
                <w:tcPr>
                  <w:tcW w:w="4340" w:type="pct"/>
                  <w:shd w:val="clear" w:color="auto" w:fill="auto"/>
                  <w:noWrap w:val="0"/>
                  <w:vAlign w:val="center"/>
                </w:tcPr>
                <w:p w14:paraId="5A82B11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蓝绿色单斜晶系结晶或颗粒，无气味。相对密度1.898。熔点64℃。溶于水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50℃时48. 6g/l</w:t>
                  </w:r>
                  <w:r>
                    <w:rPr>
                      <w:rFonts w:hint="default" w:ascii="Times New Roman" w:hAnsi="Times New Roman" w:cs="Times New Roman"/>
                      <w:i w:val="0"/>
                      <w:iCs w:val="0"/>
                      <w:color w:val="auto"/>
                      <w:kern w:val="0"/>
                      <w:sz w:val="21"/>
                      <w:szCs w:val="21"/>
                      <w:highlight w:val="none"/>
                      <w:u w:val="none"/>
                      <w:lang w:val="en-US" w:eastAsia="zh-CN" w:bidi="ar"/>
                    </w:rPr>
                    <w:t>00</w:t>
                  </w:r>
                  <w:r>
                    <w:rPr>
                      <w:rFonts w:hint="default" w:ascii="Times New Roman" w:hAnsi="Times New Roman" w:eastAsia="宋体" w:cs="Times New Roman"/>
                      <w:i w:val="0"/>
                      <w:iCs w:val="0"/>
                      <w:color w:val="auto"/>
                      <w:kern w:val="0"/>
                      <w:sz w:val="21"/>
                      <w:szCs w:val="21"/>
                      <w:highlight w:val="none"/>
                      <w:u w:val="none"/>
                      <w:lang w:val="en-US" w:eastAsia="zh-CN" w:bidi="ar"/>
                    </w:rPr>
                    <w:t>mL水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．微溶于醇，溶于无水甲醇。64～90℃时失去6个结晶水，加热到300℃时失去全部结晶水而成无水物。红热时分解生成三氧化二铁并放出二氧化硫、三氧化硫。有腐蚀性，在干燥空气中会风化。易被潮湿空气氧化。</w:t>
                  </w:r>
                </w:p>
              </w:tc>
            </w:tr>
            <w:tr w14:paraId="6D3B30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93F71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硫酸亚铁铵</w:t>
                  </w:r>
                </w:p>
              </w:tc>
              <w:tc>
                <w:tcPr>
                  <w:tcW w:w="4340" w:type="pct"/>
                  <w:shd w:val="clear" w:color="auto" w:fill="auto"/>
                  <w:noWrap w:val="0"/>
                  <w:vAlign w:val="center"/>
                </w:tcPr>
                <w:p w14:paraId="71928F9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浅蓝绿色单斜结晶或结晶性粉末。在空气中能逐渐被氧化和风化。约100～110℃分解。溶于水，不溶于乙醇。</w:t>
                  </w:r>
                </w:p>
              </w:tc>
            </w:tr>
            <w:tr w14:paraId="36D226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DA55F6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七水硫酸亚铁</w:t>
                  </w:r>
                </w:p>
              </w:tc>
              <w:tc>
                <w:tcPr>
                  <w:tcW w:w="4340" w:type="pct"/>
                  <w:shd w:val="clear" w:color="auto" w:fill="auto"/>
                  <w:noWrap w:val="0"/>
                  <w:vAlign w:val="center"/>
                </w:tcPr>
                <w:p w14:paraId="23C49C4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蓝绿色单斜结晶或颗粒，无臭无味。相对密度1.89，熔点为64℃。溶于水，微溶于醇，溶于无水甲醇。温度到56.6℃时，失去3个分子结晶水；65～90℃时变为一水合物；300℃时变为白色粉末的无水物；温度至480℃时开始分解。</w:t>
                  </w:r>
                </w:p>
              </w:tc>
            </w:tr>
            <w:tr w14:paraId="4BEE2D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08E412A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苯酚</w:t>
                  </w:r>
                </w:p>
              </w:tc>
              <w:tc>
                <w:tcPr>
                  <w:tcW w:w="4340" w:type="pct"/>
                  <w:shd w:val="clear" w:color="auto" w:fill="auto"/>
                  <w:noWrap w:val="0"/>
                  <w:vAlign w:val="center"/>
                </w:tcPr>
                <w:p w14:paraId="059C457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无色针状结晶或白色结晶。有特殊臭味，极稀的溶液具有甜味。不纯品在光和空气作用下变为淡红或红色，遇碱变色更快。闪点79.44℃（闭杯）．85℃（开杯），自燃点715℃，</w:t>
                  </w:r>
                  <w:r>
                    <w:rPr>
                      <w:rFonts w:hint="eastAsia" w:cs="Times New Roman"/>
                      <w:i w:val="0"/>
                      <w:iCs w:val="0"/>
                      <w:color w:val="auto"/>
                      <w:kern w:val="0"/>
                      <w:sz w:val="21"/>
                      <w:szCs w:val="21"/>
                      <w:highlight w:val="none"/>
                      <w:u w:val="none"/>
                      <w:lang w:val="en-US" w:eastAsia="zh-CN" w:bidi="ar"/>
                    </w:rPr>
                    <w:t>蒸</w:t>
                  </w:r>
                  <w:r>
                    <w:rPr>
                      <w:rFonts w:hint="default" w:ascii="Times New Roman" w:hAnsi="Times New Roman" w:eastAsia="宋体" w:cs="Times New Roman"/>
                      <w:i w:val="0"/>
                      <w:iCs w:val="0"/>
                      <w:color w:val="auto"/>
                      <w:kern w:val="0"/>
                      <w:sz w:val="21"/>
                      <w:szCs w:val="21"/>
                      <w:highlight w:val="none"/>
                      <w:u w:val="none"/>
                      <w:lang w:val="en-US" w:eastAsia="zh-CN" w:bidi="ar"/>
                    </w:rPr>
                    <w:t>气与空气混合物燃烧极限1</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8.6%。可燃，腐蚀力强。有毒。1g苯酚溶于约15mL水（0.67%，25℃加热后可以任何比例溶解）、12mL苯。易溶于乙醇、乙醚、氯仿、甘油、二硫化碳、凡士林、挥发油、固定油、强碱水溶液。几乎不溶于石油醚。水溶液pH值约为6.0。</w:t>
                  </w:r>
                </w:p>
              </w:tc>
            </w:tr>
            <w:tr w14:paraId="52C389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87" w:hRule="atLeast"/>
                <w:jc w:val="center"/>
              </w:trPr>
              <w:tc>
                <w:tcPr>
                  <w:tcW w:w="659" w:type="pct"/>
                  <w:shd w:val="clear" w:color="auto" w:fill="auto"/>
                  <w:noWrap w:val="0"/>
                  <w:vAlign w:val="center"/>
                </w:tcPr>
                <w:p w14:paraId="229512D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五氯苯酚（剧毒）</w:t>
                  </w:r>
                </w:p>
              </w:tc>
              <w:tc>
                <w:tcPr>
                  <w:tcW w:w="4340" w:type="pct"/>
                  <w:shd w:val="clear" w:color="auto" w:fill="auto"/>
                  <w:noWrap w:val="0"/>
                  <w:vAlign w:val="center"/>
                </w:tcPr>
                <w:p w14:paraId="73903E8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淡黄色针状结晶，有特殊气味。易溶于水、在水中溶解度为26.1%。溶于乙醇、甲醇、丙酮，微溶于四氯化碳和二硫化碳，不溶于石油和苯，水溶液呈弱碱性，加酸酸化至pH值6.8～6.6时，全部析出为五氯酚。常温下不易挥发。光照下迅速分解，脱出氯化氢，颜色变深受日光照射时易分解，干燥时性质稳定，受高热分解，放出腐蚀性、刺激性的烟雾。</w:t>
                  </w:r>
                </w:p>
              </w:tc>
            </w:tr>
            <w:tr w14:paraId="4F7A8B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11" w:hRule="atLeast"/>
                <w:jc w:val="center"/>
              </w:trPr>
              <w:tc>
                <w:tcPr>
                  <w:tcW w:w="659" w:type="pct"/>
                  <w:shd w:val="clear" w:color="auto" w:fill="auto"/>
                  <w:noWrap w:val="0"/>
                  <w:vAlign w:val="center"/>
                </w:tcPr>
                <w:p w14:paraId="7483959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对氯苯酚</w:t>
                  </w:r>
                </w:p>
              </w:tc>
              <w:tc>
                <w:tcPr>
                  <w:tcW w:w="4340" w:type="pct"/>
                  <w:shd w:val="clear" w:color="auto" w:fill="auto"/>
                  <w:noWrap w:val="0"/>
                  <w:vAlign w:val="center"/>
                </w:tcPr>
                <w:p w14:paraId="3C1DF55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无色针状结晶，具有令人不愉快的臭味。熔点42～43℃。沸点217℃。折射率1.5571(40℃)。相对密度1.2278。微溶于水，易溶于苯、乙醇、乙醚、甘油及苛性碱液。</w:t>
                  </w:r>
                </w:p>
              </w:tc>
            </w:tr>
            <w:tr w14:paraId="7DFE2D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B1305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对硝基苯酚</w:t>
                  </w:r>
                </w:p>
              </w:tc>
              <w:tc>
                <w:tcPr>
                  <w:tcW w:w="4340" w:type="pct"/>
                  <w:shd w:val="clear" w:color="auto" w:fill="auto"/>
                  <w:noWrap w:val="0"/>
                  <w:vAlign w:val="center"/>
                </w:tcPr>
                <w:p w14:paraId="13F73FE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浅黄色结晶，无味。常温下微溶于水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1.6%，250℃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。易溶于乙醇，</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氯酚</w:t>
                  </w:r>
                  <w:r>
                    <w:rPr>
                      <w:rFonts w:hint="default" w:ascii="Times New Roman" w:hAnsi="Times New Roman" w:eastAsia="宋体" w:cs="Times New Roman"/>
                      <w:i w:val="0"/>
                      <w:iCs w:val="0"/>
                      <w:color w:val="auto"/>
                      <w:kern w:val="0"/>
                      <w:sz w:val="21"/>
                      <w:szCs w:val="21"/>
                      <w:highlight w:val="none"/>
                      <w:u w:val="none"/>
                      <w:lang w:val="en-US" w:eastAsia="zh-CN" w:bidi="ar"/>
                    </w:rPr>
                    <w:t>，乙醚。溶于苛性碱和碱金属的碳酸盐溶液中而呈黄色。易燃，遇明火、高热或与氧化剂接触，有引起燃烧爆炸的危险。受热分解放出有毒的氧化氨烟气。</w:t>
                  </w:r>
                </w:p>
              </w:tc>
            </w:tr>
            <w:tr w14:paraId="74CBFF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6BED55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对硝基酚</w:t>
                  </w:r>
                </w:p>
              </w:tc>
              <w:tc>
                <w:tcPr>
                  <w:tcW w:w="4340" w:type="pct"/>
                  <w:shd w:val="clear" w:color="auto" w:fill="auto"/>
                  <w:noWrap w:val="0"/>
                  <w:vAlign w:val="center"/>
                </w:tcPr>
                <w:p w14:paraId="19DA107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橙黄色晶体。溶于水及一般有机溶剂，在36℃以下形成含4个结晶水的淡黄色单斜晶体，在36℃以上形成2个结晶水的晶体，两者在120℃时失水，成红色的不含结晶水的固体。</w:t>
                  </w:r>
                </w:p>
              </w:tc>
            </w:tr>
            <w:tr w14:paraId="581FB6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00" w:hRule="atLeast"/>
                <w:jc w:val="center"/>
              </w:trPr>
              <w:tc>
                <w:tcPr>
                  <w:tcW w:w="659" w:type="pct"/>
                  <w:shd w:val="clear" w:color="auto" w:fill="auto"/>
                  <w:noWrap w:val="0"/>
                  <w:vAlign w:val="center"/>
                </w:tcPr>
                <w:p w14:paraId="3FCF3D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4-安基斯替比林</w:t>
                  </w:r>
                </w:p>
              </w:tc>
              <w:tc>
                <w:tcPr>
                  <w:tcW w:w="4340" w:type="pct"/>
                  <w:shd w:val="clear" w:color="auto" w:fill="auto"/>
                  <w:noWrap w:val="0"/>
                  <w:vAlign w:val="center"/>
                </w:tcPr>
                <w:p w14:paraId="02976BE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一种白色结晶粉末，可溶于水和有机溶剂。它作为一种β2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肾上腺素能受体激动剂，能够刺激肾上腺素能受体，促进支气管平滑肌的松弛，从而减少支气管痉挛和炎症反应。</w:t>
                  </w:r>
                </w:p>
              </w:tc>
            </w:tr>
            <w:tr w14:paraId="6FF0CC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37323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安替比林</w:t>
                  </w:r>
                </w:p>
              </w:tc>
              <w:tc>
                <w:tcPr>
                  <w:tcW w:w="4340" w:type="pct"/>
                  <w:shd w:val="clear" w:color="auto" w:fill="auto"/>
                  <w:noWrap w:val="0"/>
                  <w:vAlign w:val="center"/>
                </w:tcPr>
                <w:p w14:paraId="2305E2D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无色晶体或白色结晶性粉末。无臭，有微苦味。溶于苯、乙醇、水、氯仿，略溶于醚。</w:t>
                  </w:r>
                </w:p>
              </w:tc>
            </w:tr>
            <w:tr w14:paraId="331ACF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0CAB277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硅酸镁</w:t>
                  </w:r>
                </w:p>
              </w:tc>
              <w:tc>
                <w:tcPr>
                  <w:tcW w:w="4340" w:type="pct"/>
                  <w:shd w:val="clear" w:color="auto" w:fill="auto"/>
                  <w:noWrap w:val="0"/>
                  <w:vAlign w:val="center"/>
                </w:tcPr>
                <w:p w14:paraId="31A98D9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合成的硅酸镁，其组成可有所不同，但氧化镁</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MgO</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和二氧化硅</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SiO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的摩尔比平均为2</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5。白色细粉，无臭，无味，无沙砾感。略有吸湿性。易受无机酸分解。10%混悬液的pH值为7.0～10.8。不溶于水和乙醇。</w:t>
                  </w:r>
                </w:p>
              </w:tc>
            </w:tr>
            <w:tr w14:paraId="12B544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76" w:hRule="atLeast"/>
                <w:jc w:val="center"/>
              </w:trPr>
              <w:tc>
                <w:tcPr>
                  <w:tcW w:w="659" w:type="pct"/>
                  <w:shd w:val="clear" w:color="auto" w:fill="auto"/>
                  <w:noWrap w:val="0"/>
                  <w:vAlign w:val="center"/>
                </w:tcPr>
                <w:p w14:paraId="08C4B4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支链烷基苯磺酸钠</w:t>
                  </w:r>
                </w:p>
              </w:tc>
              <w:tc>
                <w:tcPr>
                  <w:tcW w:w="4340" w:type="pct"/>
                  <w:shd w:val="clear" w:color="auto" w:fill="auto"/>
                  <w:noWrap w:val="0"/>
                  <w:vAlign w:val="center"/>
                </w:tcPr>
                <w:p w14:paraId="37DDCE0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它的性质是白色或浅黄色颗粒状固体，可溶于水。具有良好的表面活性性质和乳化、分散能力。</w:t>
                  </w:r>
                </w:p>
              </w:tc>
            </w:tr>
            <w:tr w14:paraId="3371D3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1" w:hRule="atLeast"/>
                <w:jc w:val="center"/>
              </w:trPr>
              <w:tc>
                <w:tcPr>
                  <w:tcW w:w="659" w:type="pct"/>
                  <w:shd w:val="clear" w:color="auto" w:fill="auto"/>
                  <w:noWrap w:val="0"/>
                  <w:vAlign w:val="center"/>
                </w:tcPr>
                <w:p w14:paraId="6CD860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水磷酸二氢钠</w:t>
                  </w:r>
                </w:p>
              </w:tc>
              <w:tc>
                <w:tcPr>
                  <w:tcW w:w="4340" w:type="pct"/>
                  <w:shd w:val="clear" w:color="auto" w:fill="auto"/>
                  <w:noWrap w:val="0"/>
                  <w:vAlign w:val="center"/>
                </w:tcPr>
                <w:p w14:paraId="6361AA3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无色结晶或白色结晶性粉末；无臭，味咸。微有潮解性。易溶水中，几乎不溶于乙醇中。100℃失去水。其水溶液呈酸性。</w:t>
                  </w:r>
                </w:p>
              </w:tc>
            </w:tr>
            <w:tr w14:paraId="098676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8" w:hRule="atLeast"/>
                <w:jc w:val="center"/>
              </w:trPr>
              <w:tc>
                <w:tcPr>
                  <w:tcW w:w="659" w:type="pct"/>
                  <w:shd w:val="clear" w:color="auto" w:fill="auto"/>
                  <w:noWrap w:val="0"/>
                  <w:vAlign w:val="center"/>
                </w:tcPr>
                <w:p w14:paraId="092870C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N,N二甲基对苯二胺盐酸</w:t>
                  </w:r>
                </w:p>
              </w:tc>
              <w:tc>
                <w:tcPr>
                  <w:tcW w:w="4340" w:type="pct"/>
                  <w:shd w:val="clear" w:color="auto" w:fill="auto"/>
                  <w:noWrap w:val="0"/>
                  <w:vAlign w:val="center"/>
                </w:tcPr>
                <w:p w14:paraId="0A63730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盐酸对苯二胺是一种白色结晶固体。溶解性：盐酸对苯二胺可在水中溶解，产生酸性溶液。热稳定性：它在高温条件下能稳定存在。燃烧性：盐酸对苯二胺在加热或点燃时能燃烧。</w:t>
                  </w:r>
                </w:p>
              </w:tc>
            </w:tr>
            <w:tr w14:paraId="2F1F54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29" w:hRule="atLeast"/>
                <w:jc w:val="center"/>
              </w:trPr>
              <w:tc>
                <w:tcPr>
                  <w:tcW w:w="659" w:type="pct"/>
                  <w:shd w:val="clear" w:color="auto" w:fill="auto"/>
                  <w:noWrap w:val="0"/>
                  <w:vAlign w:val="center"/>
                </w:tcPr>
                <w:p w14:paraId="21BB11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硫酸铁铵</w:t>
                  </w:r>
                </w:p>
              </w:tc>
              <w:tc>
                <w:tcPr>
                  <w:tcW w:w="4340" w:type="pct"/>
                  <w:shd w:val="clear" w:color="auto" w:fill="auto"/>
                  <w:noWrap w:val="0"/>
                  <w:vAlign w:val="center"/>
                </w:tcPr>
                <w:p w14:paraId="2A4C77A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浅灰紫色结晶。熔点约37℃；相对密度1.71。易风化，易溶于水，不溶于乙醇。0.</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mol．L-1水溶液pH值2.5。加热至230℃脱去结晶水成为无水物。</w:t>
                  </w:r>
                </w:p>
              </w:tc>
            </w:tr>
            <w:tr w14:paraId="0B749C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63" w:hRule="atLeast"/>
                <w:jc w:val="center"/>
              </w:trPr>
              <w:tc>
                <w:tcPr>
                  <w:tcW w:w="659" w:type="pct"/>
                  <w:shd w:val="clear" w:color="auto" w:fill="auto"/>
                  <w:noWrap w:val="0"/>
                  <w:vAlign w:val="center"/>
                </w:tcPr>
                <w:p w14:paraId="270C16F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乙酸锌</w:t>
                  </w:r>
                </w:p>
              </w:tc>
              <w:tc>
                <w:tcPr>
                  <w:tcW w:w="4340" w:type="pct"/>
                  <w:shd w:val="clear" w:color="auto" w:fill="auto"/>
                  <w:noWrap w:val="0"/>
                  <w:vAlign w:val="center"/>
                </w:tcPr>
                <w:p w14:paraId="7224A7B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乙酸锌常见的形式是白色结晶固体，可溶于水。乙酸锌在常温下是相对稳定的，但在高温下会分解产生乙酸和氧化锌。</w:t>
                  </w:r>
                </w:p>
              </w:tc>
            </w:tr>
            <w:tr w14:paraId="234701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29" w:hRule="atLeast"/>
                <w:jc w:val="center"/>
              </w:trPr>
              <w:tc>
                <w:tcPr>
                  <w:tcW w:w="659" w:type="pct"/>
                  <w:shd w:val="clear" w:color="auto" w:fill="auto"/>
                  <w:noWrap w:val="0"/>
                  <w:vAlign w:val="center"/>
                </w:tcPr>
                <w:p w14:paraId="03EA044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乙酸铵</w:t>
                  </w:r>
                </w:p>
              </w:tc>
              <w:tc>
                <w:tcPr>
                  <w:tcW w:w="4340" w:type="pct"/>
                  <w:shd w:val="clear" w:color="auto" w:fill="auto"/>
                  <w:noWrap w:val="0"/>
                  <w:vAlign w:val="center"/>
                </w:tcPr>
                <w:p w14:paraId="0B881DC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稍有乙酸气味的白色三角晶体。溶于水和乙醇，不溶于丙酮，水溶液显中性。</w:t>
                  </w:r>
                </w:p>
              </w:tc>
            </w:tr>
            <w:tr w14:paraId="64B9A8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53" w:hRule="atLeast"/>
                <w:jc w:val="center"/>
              </w:trPr>
              <w:tc>
                <w:tcPr>
                  <w:tcW w:w="659" w:type="pct"/>
                  <w:shd w:val="clear" w:color="auto" w:fill="auto"/>
                  <w:noWrap w:val="0"/>
                  <w:vAlign w:val="center"/>
                </w:tcPr>
                <w:p w14:paraId="554786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乙酸钙</w:t>
                  </w:r>
                </w:p>
              </w:tc>
              <w:tc>
                <w:tcPr>
                  <w:tcW w:w="4340" w:type="pct"/>
                  <w:shd w:val="clear" w:color="auto" w:fill="auto"/>
                  <w:noWrap w:val="0"/>
                  <w:vAlign w:val="center"/>
                </w:tcPr>
                <w:p w14:paraId="02E9F10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白色结晶或结晶性粉末，无臭，有乙酸味。易溶于水，微溶于乙醇。极易吸湿。加热至160℃分解成丙酮和碳酸钙。</w:t>
                  </w:r>
                </w:p>
              </w:tc>
            </w:tr>
            <w:tr w14:paraId="52391F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52" w:hRule="atLeast"/>
                <w:jc w:val="center"/>
              </w:trPr>
              <w:tc>
                <w:tcPr>
                  <w:tcW w:w="659" w:type="pct"/>
                  <w:shd w:val="clear" w:color="auto" w:fill="auto"/>
                  <w:noWrap w:val="0"/>
                  <w:vAlign w:val="center"/>
                </w:tcPr>
                <w:p w14:paraId="4E59F60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乙酸钠</w:t>
                  </w:r>
                </w:p>
              </w:tc>
              <w:tc>
                <w:tcPr>
                  <w:tcW w:w="4340" w:type="pct"/>
                  <w:shd w:val="clear" w:color="auto" w:fill="auto"/>
                  <w:noWrap w:val="0"/>
                  <w:vAlign w:val="center"/>
                </w:tcPr>
                <w:p w14:paraId="1BE08AB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白色粉末。有吸湿性。易溶于水，稍溶于乙醇、乙醚。大鼠经口LD</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50</w:t>
                  </w:r>
                  <w:r>
                    <w:rPr>
                      <w:rFonts w:hint="eastAsia" w:cs="Times New Roman"/>
                      <w:i w:val="0"/>
                      <w:iCs w:val="0"/>
                      <w:color w:val="auto"/>
                      <w:kern w:val="0"/>
                      <w:sz w:val="21"/>
                      <w:szCs w:val="21"/>
                      <w:highlight w:val="none"/>
                      <w:u w:val="none"/>
                      <w:vertAlign w:val="subscript"/>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3530mg/kg。</w:t>
                  </w:r>
                </w:p>
              </w:tc>
            </w:tr>
            <w:tr w14:paraId="0EADCB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36EC85E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氯化锌</w:t>
                  </w:r>
                </w:p>
              </w:tc>
              <w:tc>
                <w:tcPr>
                  <w:tcW w:w="4340" w:type="pct"/>
                  <w:shd w:val="clear" w:color="auto" w:fill="auto"/>
                  <w:noWrap w:val="0"/>
                  <w:vAlign w:val="center"/>
                </w:tcPr>
                <w:p w14:paraId="20A44E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白色结晶性粉末。相对密度2.911，熔点100℃，沸点732℃。极易潮解，极易溶于水、乙醇、乙醚等溶剂，也易溶于脂肪胺、吡啶、苯胺等含氮溶剂，不溶于液氨和酮。</w:t>
                  </w:r>
                </w:p>
              </w:tc>
            </w:tr>
            <w:tr w14:paraId="48AB11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CC3410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七水合硫酸镁</w:t>
                  </w:r>
                </w:p>
              </w:tc>
              <w:tc>
                <w:tcPr>
                  <w:tcW w:w="4340" w:type="pct"/>
                  <w:shd w:val="clear" w:color="auto" w:fill="auto"/>
                  <w:noWrap w:val="0"/>
                  <w:vAlign w:val="center"/>
                </w:tcPr>
                <w:p w14:paraId="08071A8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无色四角柱状结晶或粒状结晶。味咸而微苦。47℃以下较稳定。干燥空气中易风化，失去1个结晶水</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70～80℃时失去4个结晶水</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100℃时失去5个结晶水，120℃时失掉6个结晶水，若暴露在潮湿的空气中则又迅速吸收水。约250℃成为无水物。易溶于水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20℃：7lg/</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40℃：91g/</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，溶液呈中性，pH为6～7。微溶于乙醇。</w:t>
                  </w:r>
                </w:p>
              </w:tc>
            </w:tr>
            <w:tr w14:paraId="30ACEDF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12" w:hRule="atLeast"/>
                <w:jc w:val="center"/>
              </w:trPr>
              <w:tc>
                <w:tcPr>
                  <w:tcW w:w="659" w:type="pct"/>
                  <w:shd w:val="clear" w:color="auto" w:fill="auto"/>
                  <w:noWrap w:val="0"/>
                  <w:vAlign w:val="center"/>
                </w:tcPr>
                <w:p w14:paraId="30F5FE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五水合硫代硫酸钠</w:t>
                  </w:r>
                </w:p>
              </w:tc>
              <w:tc>
                <w:tcPr>
                  <w:tcW w:w="4340" w:type="pct"/>
                  <w:shd w:val="clear" w:color="auto" w:fill="auto"/>
                  <w:noWrap w:val="0"/>
                  <w:vAlign w:val="center"/>
                </w:tcPr>
                <w:p w14:paraId="648D7BF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无色透明单斜晶体。熔点48℃；相对密度1</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69。易溶于水，溶解时吸热，不溶于乙醇。在潮湿空气中有潮解性。在33℃以上的空气中易风化。可被空气氧化，具有还原性。能溶解卤化银。加热至100℃则失去5个结晶水，灼烧则分解为硫化钠和硫酸钠。</w:t>
                  </w:r>
                </w:p>
              </w:tc>
            </w:tr>
            <w:tr w14:paraId="17EC0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1EA33E3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五水硫代硫酸钠</w:t>
                  </w:r>
                </w:p>
              </w:tc>
              <w:tc>
                <w:tcPr>
                  <w:tcW w:w="4340" w:type="pct"/>
                  <w:shd w:val="clear" w:color="auto" w:fill="auto"/>
                  <w:noWrap w:val="0"/>
                  <w:vAlign w:val="center"/>
                </w:tcPr>
                <w:p w14:paraId="35BD2EA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单斜晶体。熔点48℃；相对密度1.69。易溶于水，溶解时吸热，不溶于乙醇。在潮湿空气中有潮解性。在33℃以上的空气中易风化。可被空气氧化，具有还原性。能溶解卤化银。加热至100℃则失去5个结晶水，灼烧则分解为硫化钠和硫酸钠。</w:t>
                  </w:r>
                </w:p>
              </w:tc>
            </w:tr>
            <w:tr w14:paraId="6E880E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4A5B7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五水合硫酸铜</w:t>
                  </w:r>
                </w:p>
              </w:tc>
              <w:tc>
                <w:tcPr>
                  <w:tcW w:w="4340" w:type="pct"/>
                  <w:shd w:val="clear" w:color="auto" w:fill="auto"/>
                  <w:noWrap w:val="0"/>
                  <w:vAlign w:val="center"/>
                </w:tcPr>
                <w:p w14:paraId="193F391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蓝色结晶或蓝色结晶粉末。易溶于水，不溶于醇类。</w:t>
                  </w:r>
                </w:p>
              </w:tc>
            </w:tr>
            <w:tr w14:paraId="61EE7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13" w:hRule="atLeast"/>
                <w:jc w:val="center"/>
              </w:trPr>
              <w:tc>
                <w:tcPr>
                  <w:tcW w:w="659" w:type="pct"/>
                  <w:shd w:val="clear" w:color="auto" w:fill="auto"/>
                  <w:noWrap w:val="0"/>
                  <w:vAlign w:val="center"/>
                </w:tcPr>
                <w:p w14:paraId="280FB34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二水合氯化亚锡</w:t>
                  </w:r>
                </w:p>
              </w:tc>
              <w:tc>
                <w:tcPr>
                  <w:tcW w:w="4340" w:type="pct"/>
                  <w:shd w:val="clear" w:color="auto" w:fill="auto"/>
                  <w:noWrap w:val="0"/>
                  <w:vAlign w:val="center"/>
                </w:tcPr>
                <w:p w14:paraId="4BEB4AE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白色或无色结晶。无臭或稍带盐酸臭味。有无水物和二水物两种。熔点246.8℃；沸点652℃。极易溶于水，中性水溶液易水解生成沉淀，酸性溶液有强还原性。与碱作用生成</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水和</w:t>
                  </w:r>
                  <w:r>
                    <w:rPr>
                      <w:rFonts w:hint="default" w:ascii="Times New Roman" w:hAnsi="Times New Roman" w:eastAsia="宋体" w:cs="Times New Roman"/>
                      <w:i w:val="0"/>
                      <w:iCs w:val="0"/>
                      <w:color w:val="auto"/>
                      <w:kern w:val="0"/>
                      <w:sz w:val="21"/>
                      <w:szCs w:val="21"/>
                      <w:highlight w:val="none"/>
                      <w:u w:val="none"/>
                      <w:lang w:val="en-US" w:eastAsia="zh-CN" w:bidi="ar"/>
                    </w:rPr>
                    <w:t>氧化物沉淀，碱过量则生成溶解的亚锡酸盐。溶于乙醇和冰醋酸。极易溶于稀盐酸。可从空气中吸收氧，形成不溶性的氯氧化物。</w:t>
                  </w:r>
                </w:p>
              </w:tc>
            </w:tr>
            <w:tr w14:paraId="267963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31A55B2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氯化亚锡</w:t>
                  </w:r>
                </w:p>
              </w:tc>
              <w:tc>
                <w:tcPr>
                  <w:tcW w:w="4340" w:type="pct"/>
                  <w:shd w:val="clear" w:color="auto" w:fill="auto"/>
                  <w:noWrap w:val="0"/>
                  <w:vAlign w:val="center"/>
                </w:tcPr>
                <w:p w14:paraId="6CB914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发烟液体或无色立方结晶。熔点-33℃。沸点114.1℃。液体相对密度2.226。溶于冷水并放出大量的热，溶于乙醇、乙醚、苯、甲苯、四氯化碳、二硫化碳等。遇H发泡剂立即燃烧。与碱性物质混合能引起爆炸。遇热水则分解。在湿空气中吸水生</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成为</w:t>
                  </w:r>
                  <w:r>
                    <w:rPr>
                      <w:rFonts w:hint="default" w:ascii="Times New Roman" w:hAnsi="Times New Roman" w:eastAsia="宋体" w:cs="Times New Roman"/>
                      <w:i w:val="0"/>
                      <w:iCs w:val="0"/>
                      <w:color w:val="auto"/>
                      <w:kern w:val="0"/>
                      <w:sz w:val="21"/>
                      <w:szCs w:val="21"/>
                      <w:highlight w:val="none"/>
                      <w:u w:val="none"/>
                      <w:lang w:val="en-US" w:eastAsia="zh-CN" w:bidi="ar"/>
                    </w:rPr>
                    <w:t>三水物，放出热和近似白色烟雾状有刺激性和腐蚀性的氯化氢气体。进一步加水，生成5、8、9等不同数量的结晶水的化合物。无水氯化锡在低温下能吸收大量的氯气，同时体积形成膨胀和冰点下降；能与氨反应生成复盐；与碱金属作用生成锡酸盐。与醇、醚、醛、酮、羧酸、酯类等有机物能发生加成反应。有强腐蚀性。</w:t>
                  </w:r>
                </w:p>
              </w:tc>
            </w:tr>
            <w:tr w14:paraId="0F456C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12" w:hRule="atLeast"/>
                <w:jc w:val="center"/>
              </w:trPr>
              <w:tc>
                <w:tcPr>
                  <w:tcW w:w="659" w:type="pct"/>
                  <w:shd w:val="clear" w:color="auto" w:fill="auto"/>
                  <w:noWrap w:val="0"/>
                  <w:vAlign w:val="center"/>
                </w:tcPr>
                <w:p w14:paraId="0DBE0A7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二水合钼酸钠</w:t>
                  </w:r>
                </w:p>
              </w:tc>
              <w:tc>
                <w:tcPr>
                  <w:tcW w:w="4340" w:type="pct"/>
                  <w:shd w:val="clear" w:color="auto" w:fill="auto"/>
                  <w:noWrap w:val="0"/>
                  <w:vAlign w:val="center"/>
                </w:tcPr>
                <w:p w14:paraId="0FA6B75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钼酸钠二水合物为白色结晶固体。可在水中溶解，不溶于醇和乙醚。</w:t>
                  </w:r>
                </w:p>
              </w:tc>
            </w:tr>
            <w:tr w14:paraId="5F840E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32" w:hRule="atLeast"/>
                <w:jc w:val="center"/>
              </w:trPr>
              <w:tc>
                <w:tcPr>
                  <w:tcW w:w="659" w:type="pct"/>
                  <w:shd w:val="clear" w:color="auto" w:fill="auto"/>
                  <w:noWrap w:val="0"/>
                  <w:vAlign w:val="center"/>
                </w:tcPr>
                <w:p w14:paraId="493404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二水合氯化钡</w:t>
                  </w:r>
                </w:p>
              </w:tc>
              <w:tc>
                <w:tcPr>
                  <w:tcW w:w="4340" w:type="pct"/>
                  <w:shd w:val="clear" w:color="auto" w:fill="auto"/>
                  <w:noWrap w:val="0"/>
                  <w:vAlign w:val="center"/>
                </w:tcPr>
                <w:p w14:paraId="18ED48E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无色结晶或白色颗粒或粉末。熔点963℃；微有吸湿性。易溶于水，溶于甲醇和甘油，几乎不溶于乙醇、乙酸乙酯、丙酮。受热分解有毒氯化物和钡氧化物烟雾。</w:t>
                  </w:r>
                </w:p>
              </w:tc>
            </w:tr>
            <w:tr w14:paraId="68FED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52" w:hRule="atLeast"/>
                <w:jc w:val="center"/>
              </w:trPr>
              <w:tc>
                <w:tcPr>
                  <w:tcW w:w="659" w:type="pct"/>
                  <w:shd w:val="clear" w:color="auto" w:fill="auto"/>
                  <w:noWrap w:val="0"/>
                  <w:vAlign w:val="center"/>
                </w:tcPr>
                <w:p w14:paraId="34AD16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一水合柠檬酸</w:t>
                  </w:r>
                </w:p>
              </w:tc>
              <w:tc>
                <w:tcPr>
                  <w:tcW w:w="4340" w:type="pct"/>
                  <w:shd w:val="clear" w:color="auto" w:fill="auto"/>
                  <w:noWrap w:val="0"/>
                  <w:vAlign w:val="center"/>
                </w:tcPr>
                <w:p w14:paraId="57B292A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白色结晶颗粒或粉末。有潮解性。1g</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该</w:t>
                  </w:r>
                  <w:r>
                    <w:rPr>
                      <w:rFonts w:hint="default" w:ascii="Times New Roman" w:hAnsi="Times New Roman" w:eastAsia="宋体" w:cs="Times New Roman"/>
                      <w:i w:val="0"/>
                      <w:iCs w:val="0"/>
                      <w:color w:val="auto"/>
                      <w:kern w:val="0"/>
                      <w:sz w:val="21"/>
                      <w:szCs w:val="21"/>
                      <w:highlight w:val="none"/>
                      <w:u w:val="none"/>
                      <w:lang w:val="en-US" w:eastAsia="zh-CN" w:bidi="ar"/>
                    </w:rPr>
                    <w:t>品溶于0.65mL水，能缓慢地溶于2.5mL甘油，不溶于乙醇。其水溶液对石蕊呈碱性．pH值约8.5。180℃失去结晶水。</w:t>
                  </w:r>
                </w:p>
              </w:tc>
            </w:tr>
            <w:tr w14:paraId="1411EA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8" w:hRule="atLeast"/>
                <w:jc w:val="center"/>
              </w:trPr>
              <w:tc>
                <w:tcPr>
                  <w:tcW w:w="659" w:type="pct"/>
                  <w:shd w:val="clear" w:color="auto" w:fill="auto"/>
                  <w:noWrap w:val="0"/>
                  <w:vAlign w:val="center"/>
                </w:tcPr>
                <w:p w14:paraId="31B068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甲基红钠盐</w:t>
                  </w:r>
                </w:p>
              </w:tc>
              <w:tc>
                <w:tcPr>
                  <w:tcW w:w="4340" w:type="pct"/>
                  <w:shd w:val="clear" w:color="auto" w:fill="auto"/>
                  <w:noWrap w:val="0"/>
                  <w:vAlign w:val="center"/>
                </w:tcPr>
                <w:p w14:paraId="7B4B210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甲基红钠盐为深红色结晶粉末，可溶于水和醇类溶剂。它在酸性条件下呈现鲜红色，而在碱性条件下则变为黄色。甲基红钠盐无论是固体还是溶液，都属于一种低毒物质。</w:t>
                  </w:r>
                </w:p>
              </w:tc>
            </w:tr>
            <w:tr w14:paraId="33DD80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535" w:hRule="atLeast"/>
                <w:jc w:val="center"/>
              </w:trPr>
              <w:tc>
                <w:tcPr>
                  <w:tcW w:w="659" w:type="pct"/>
                  <w:shd w:val="clear" w:color="auto" w:fill="auto"/>
                  <w:noWrap w:val="0"/>
                  <w:vAlign w:val="center"/>
                </w:tcPr>
                <w:p w14:paraId="7CB3306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硫酸铝钾</w:t>
                  </w:r>
                </w:p>
              </w:tc>
              <w:tc>
                <w:tcPr>
                  <w:tcW w:w="4340" w:type="pct"/>
                  <w:shd w:val="clear" w:color="auto" w:fill="auto"/>
                  <w:noWrap w:val="0"/>
                  <w:vAlign w:val="center"/>
                </w:tcPr>
                <w:p w14:paraId="13045CA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无色透明结晶或白色结晶性粉末。味微甜而涩。熔点92.5℃；相对密度1.725。易溶于水（</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g溶于7.2mL冷水，0.3mL沸水）、甘油，溶液呈酸性。溶于稀酸，不溶于乙醇、丙酮。常温下稳定，当在温度60～65℃，长期接触空气易风化，失去结晶水。加热至200℃以上因失去结晶水而成为无水物。更高的温度则放出S</w:t>
                  </w:r>
                  <w:r>
                    <w:rPr>
                      <w:rFonts w:hint="eastAsia"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，在空气中可风化成不透明状，可缓慢溶于甘油，几乎不溶于乙醇。</w:t>
                  </w:r>
                </w:p>
              </w:tc>
            </w:tr>
            <w:tr w14:paraId="62B0A4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5" w:hRule="atLeast"/>
                <w:jc w:val="center"/>
              </w:trPr>
              <w:tc>
                <w:tcPr>
                  <w:tcW w:w="659" w:type="pct"/>
                  <w:shd w:val="clear" w:color="auto" w:fill="auto"/>
                  <w:noWrap w:val="0"/>
                  <w:vAlign w:val="center"/>
                </w:tcPr>
                <w:p w14:paraId="5D88FAE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柠檬酸三钠</w:t>
                  </w:r>
                </w:p>
              </w:tc>
              <w:tc>
                <w:tcPr>
                  <w:tcW w:w="4340" w:type="pct"/>
                  <w:shd w:val="clear" w:color="auto" w:fill="auto"/>
                  <w:noWrap w:val="0"/>
                  <w:vAlign w:val="center"/>
                </w:tcPr>
                <w:p w14:paraId="665ABCD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无色结晶或白色结晶性粉末；无臭；在湿空气中微有潮解性，在热空气中有风化性。本品在水中易溶，在乙醇中不溶。</w:t>
                  </w:r>
                </w:p>
              </w:tc>
            </w:tr>
            <w:tr w14:paraId="591B17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ED689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氯化钙</w:t>
                  </w:r>
                </w:p>
              </w:tc>
              <w:tc>
                <w:tcPr>
                  <w:tcW w:w="4340" w:type="pct"/>
                  <w:shd w:val="clear" w:color="auto" w:fill="auto"/>
                  <w:noWrap w:val="0"/>
                  <w:vAlign w:val="center"/>
                </w:tcPr>
                <w:p w14:paraId="380F364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立方结晶。一般工业产品为白色或灰白色多孔块状或粒状、蜂窝状。无臭、味微苦。相对密度2.15。熔点782℃。沸点1600℃以上。吸湿性极强，暴露于空气中极易潮解。易溶于水，同时放出大量的热，其水溶液呈微酸性。溶于醇、丙酮、醋酸。与氨或乙醇作用，分别生成Ca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·8NH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和CaCl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·4C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OH络合物。在常温下由水溶液结晶而析出的常为六水物，逐渐加热至30℃时则溶解。在自身的结晶水中，继续加热逐渐失水，至200℃时变为二水物，再加热至260℃则变为白色多孔状的无水氯化钙。</w:t>
                  </w:r>
                </w:p>
              </w:tc>
            </w:tr>
            <w:tr w14:paraId="763987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F3902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二氮杂菲</w:t>
                  </w:r>
                </w:p>
              </w:tc>
              <w:tc>
                <w:tcPr>
                  <w:tcW w:w="4340" w:type="pct"/>
                  <w:shd w:val="clear" w:color="auto" w:fill="auto"/>
                  <w:noWrap w:val="0"/>
                  <w:vAlign w:val="center"/>
                </w:tcPr>
                <w:p w14:paraId="02C8CB4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邻二氮菲固体呈白色晶体，溶于水形成浅黄至黄色溶液。用水重结晶时，含一分子结晶水。熔点91.5℃(102℃)。用苯重结晶时，不含结晶水，熔点98~100℃(117℃)。沸点360℃以上。溶于乙醇、苯、丙酮，不溶于</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"https://baike.so.com/doc/721112-763466.html"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石油醚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。与铁、铜、钴、镍和2,2′-联</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"https://baike.so.com/doc/436355-7116070.html"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吡啶</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形成配合物，与Fe</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形成红色配合物，用高锰酸钾氧化得2,2′-二吡啶基-3,3′</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二羧酸。可用作铜、铁的定量比色试剂，又可作为用</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"https://baike.so.com/doc/5838411-6051242.html"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硫酸铈</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滴定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"https://baike.so.com/doc/1671389-1767153.html"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铁盐</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的</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还可用作动物性纤维的染料。</w:t>
                  </w:r>
                </w:p>
              </w:tc>
            </w:tr>
            <w:tr w14:paraId="256A1C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88" w:hRule="atLeast"/>
                <w:jc w:val="center"/>
              </w:trPr>
              <w:tc>
                <w:tcPr>
                  <w:tcW w:w="659" w:type="pct"/>
                  <w:shd w:val="clear" w:color="auto" w:fill="auto"/>
                  <w:noWrap w:val="0"/>
                  <w:vAlign w:val="center"/>
                </w:tcPr>
                <w:p w14:paraId="7F1BAFC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六水氯化钴</w:t>
                  </w:r>
                </w:p>
              </w:tc>
              <w:tc>
                <w:tcPr>
                  <w:tcW w:w="4340" w:type="pct"/>
                  <w:shd w:val="clear" w:color="auto" w:fill="auto"/>
                  <w:noWrap w:val="0"/>
                  <w:vAlign w:val="center"/>
                </w:tcPr>
                <w:p w14:paraId="58B6D90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红色或紫红色单斜结晶。有潮解性。溶于水、甘油、乙醇、丙酮、乙醚。熔点87℃；其水溶液加热或加浓盐酸、氯化物或有机溶剂变为蓝色。将水溶液沸腾，再加入氨水就会生成氯化</w:t>
                  </w:r>
                  <w:r>
                    <w:rPr>
                      <w:rFonts w:hint="default" w:ascii="Times New Roman" w:hAnsi="Times New Roman" w:cs="Times New Roman"/>
                      <w:color w:val="auto"/>
                      <w:kern w:val="0"/>
                      <w:sz w:val="21"/>
                      <w:szCs w:val="21"/>
                      <w:highlight w:val="none"/>
                      <w:lang w:val="en-US" w:eastAsia="zh-CN" w:bidi="ar"/>
                    </w:rPr>
                    <w:t>钴</w:t>
                  </w:r>
                  <w:r>
                    <w:rPr>
                      <w:rFonts w:hint="default" w:ascii="Times New Roman" w:hAnsi="Times New Roman" w:eastAsia="宋体" w:cs="Times New Roman"/>
                      <w:i w:val="0"/>
                      <w:iCs w:val="0"/>
                      <w:color w:val="auto"/>
                      <w:kern w:val="0"/>
                      <w:sz w:val="21"/>
                      <w:szCs w:val="21"/>
                      <w:highlight w:val="none"/>
                      <w:u w:val="none"/>
                      <w:lang w:val="en-US" w:eastAsia="zh-CN" w:bidi="ar"/>
                    </w:rPr>
                    <w:t>的碱式盐。溶液遇光也呈蓝色。在30～35℃结晶开始风化并浊化，在45～50℃下加热4h几乎完全变成四水氯化钴。52～56℃下加热失去4个结晶水成为二水物，加热至120～140℃时完全失去6个结晶水变成无水氯化钴。本品不燃，有毒，具刺激性，具致敏性。</w:t>
                  </w:r>
                  <w:r>
                    <w:rPr>
                      <w:rFonts w:hint="eastAsia" w:cs="Times New Roman"/>
                      <w:i w:val="0"/>
                      <w:iCs w:val="0"/>
                      <w:color w:val="auto"/>
                      <w:kern w:val="0"/>
                      <w:sz w:val="21"/>
                      <w:szCs w:val="21"/>
                      <w:highlight w:val="none"/>
                      <w:u w:val="none"/>
                      <w:lang w:val="en-US" w:eastAsia="zh-CN" w:bidi="ar"/>
                    </w:rPr>
                    <w:t>具有</w:t>
                  </w:r>
                  <w:r>
                    <w:rPr>
                      <w:rFonts w:hint="default" w:ascii="Times New Roman" w:hAnsi="Times New Roman" w:eastAsia="宋体" w:cs="Times New Roman"/>
                      <w:i w:val="0"/>
                      <w:iCs w:val="0"/>
                      <w:color w:val="auto"/>
                      <w:kern w:val="0"/>
                      <w:sz w:val="21"/>
                      <w:szCs w:val="21"/>
                      <w:highlight w:val="none"/>
                      <w:u w:val="none"/>
                      <w:lang w:val="en-US" w:eastAsia="zh-CN" w:bidi="ar"/>
                    </w:rPr>
                    <w:t>特殊的燃烧爆炸特性。受高热分解产生有毒的腐蚀性烟气。</w:t>
                  </w:r>
                </w:p>
              </w:tc>
            </w:tr>
            <w:tr w14:paraId="0D30CF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88" w:hRule="atLeast"/>
                <w:jc w:val="center"/>
              </w:trPr>
              <w:tc>
                <w:tcPr>
                  <w:tcW w:w="659" w:type="pct"/>
                  <w:shd w:val="clear" w:color="auto" w:fill="auto"/>
                  <w:noWrap w:val="0"/>
                  <w:vAlign w:val="center"/>
                </w:tcPr>
                <w:p w14:paraId="0AF913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硫酸肼</w:t>
                  </w:r>
                </w:p>
              </w:tc>
              <w:tc>
                <w:tcPr>
                  <w:tcW w:w="4340" w:type="pct"/>
                  <w:shd w:val="clear" w:color="auto" w:fill="auto"/>
                  <w:noWrap w:val="0"/>
                  <w:vAlign w:val="center"/>
                </w:tcPr>
                <w:p w14:paraId="2413475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无色鳞状结晶或斜方晶系结晶。无味。相对密度1.37。熔点254℃。微溶于冷水，易溶于热水，水溶液呈酸性。不溶于醇。空气中稳定，吸湿性弱。有强还原性，避免和碱类、氧化剂接触。</w:t>
                  </w:r>
                </w:p>
              </w:tc>
            </w:tr>
            <w:tr w14:paraId="0981CF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78" w:hRule="atLeast"/>
                <w:jc w:val="center"/>
              </w:trPr>
              <w:tc>
                <w:tcPr>
                  <w:tcW w:w="659" w:type="pct"/>
                  <w:shd w:val="clear" w:color="auto" w:fill="auto"/>
                  <w:noWrap w:val="0"/>
                  <w:vAlign w:val="center"/>
                </w:tcPr>
                <w:p w14:paraId="7026EA3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硅藻土</w:t>
                  </w:r>
                </w:p>
              </w:tc>
              <w:tc>
                <w:tcPr>
                  <w:tcW w:w="4340" w:type="pct"/>
                  <w:shd w:val="clear" w:color="auto" w:fill="auto"/>
                  <w:noWrap w:val="0"/>
                  <w:vAlign w:val="center"/>
                </w:tcPr>
                <w:p w14:paraId="24B8ACE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由无定形的Si</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组成，并含有少量Fe</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、Ca</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lang w:val="en-US" w:eastAsia="zh-CN" w:bidi="ar"/>
                    </w:rPr>
                    <w:t>、Mg</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lang w:val="en-US" w:eastAsia="zh-CN" w:bidi="ar"/>
                    </w:rPr>
                    <w:t>、Al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及有机杂质。纯净的硅藻土呈白色、土状，含杂质时则呈灰白、黄、灰、绿以至黑色。硬度1~1.5．但硅藻骨架达4.5—5。熔点1400～1650℃，一般密度1.9～2.35g/cm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。折射率低，</w:t>
                  </w:r>
                  <w:r>
                    <w:rPr>
                      <w:rFonts w:hint="eastAsia" w:cs="Times New Roman"/>
                      <w:i w:val="0"/>
                      <w:iCs w:val="0"/>
                      <w:color w:val="auto"/>
                      <w:kern w:val="0"/>
                      <w:sz w:val="21"/>
                      <w:szCs w:val="21"/>
                      <w:highlight w:val="none"/>
                      <w:u w:val="none"/>
                      <w:lang w:val="en-US" w:eastAsia="zh-CN" w:bidi="ar"/>
                    </w:rPr>
                    <w:t>具有</w:t>
                  </w:r>
                  <w:r>
                    <w:rPr>
                      <w:rFonts w:hint="default" w:ascii="Times New Roman" w:hAnsi="Times New Roman" w:eastAsia="宋体" w:cs="Times New Roman"/>
                      <w:i w:val="0"/>
                      <w:iCs w:val="0"/>
                      <w:color w:val="auto"/>
                      <w:kern w:val="0"/>
                      <w:sz w:val="21"/>
                      <w:szCs w:val="21"/>
                      <w:highlight w:val="none"/>
                      <w:u w:val="none"/>
                      <w:lang w:val="en-US" w:eastAsia="zh-CN" w:bidi="ar"/>
                    </w:rPr>
                    <w:t>液体吸附能力，表面积大，对声、热、电传导性低，易溶于碱，不溶于除氢氟酸外的任何酸。硅藻土矿经常与</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黏土矿</w:t>
                  </w:r>
                  <w:r>
                    <w:rPr>
                      <w:rFonts w:hint="default" w:ascii="Times New Roman" w:hAnsi="Times New Roman" w:eastAsia="宋体" w:cs="Times New Roman"/>
                      <w:i w:val="0"/>
                      <w:iCs w:val="0"/>
                      <w:color w:val="auto"/>
                      <w:kern w:val="0"/>
                      <w:sz w:val="21"/>
                      <w:szCs w:val="21"/>
                      <w:highlight w:val="none"/>
                      <w:u w:val="none"/>
                      <w:lang w:val="en-US" w:eastAsia="zh-CN" w:bidi="ar"/>
                    </w:rPr>
                    <w:t>共生，黏土可以单独成层，也可与硅藻土相杂。</w:t>
                  </w:r>
                </w:p>
              </w:tc>
            </w:tr>
            <w:tr w14:paraId="7CAB81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65" w:hRule="atLeast"/>
                <w:jc w:val="center"/>
              </w:trPr>
              <w:tc>
                <w:tcPr>
                  <w:tcW w:w="659" w:type="pct"/>
                  <w:shd w:val="clear" w:color="auto" w:fill="auto"/>
                  <w:noWrap w:val="0"/>
                  <w:vAlign w:val="center"/>
                </w:tcPr>
                <w:p w14:paraId="47AB458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环六亚甲基四胺（易制爆）</w:t>
                  </w:r>
                </w:p>
              </w:tc>
              <w:tc>
                <w:tcPr>
                  <w:tcW w:w="4340" w:type="pct"/>
                  <w:shd w:val="clear" w:color="auto" w:fill="auto"/>
                  <w:noWrap w:val="0"/>
                  <w:vAlign w:val="center"/>
                </w:tcPr>
                <w:p w14:paraId="2453EC6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至淡黄色结晶粉末。可燃。几乎无臭，味甜而苦。易溶于水、乙醇、氯仿等有机溶剂，难溶于苯、四氯化碳，不溶于乙醚、汽油。升温至300℃时放出氰化氢，继续升温，则分解为甲烷、氢和氮。在弱酸溶液中分解为氨及甲醛。与火焰接触时，立即燃烧并产生无烟火焰。有挥发性。遇明火、高热可燃。与氧化剂混合能形成有爆炸性的混合物。与硝酸纤维大面积接触会引起燃烧。与过氧化钠接触剧烈反应。其蒸气比空气重，易在低处聚集。</w:t>
                  </w:r>
                </w:p>
              </w:tc>
            </w:tr>
            <w:tr w14:paraId="2B61B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33" w:hRule="atLeast"/>
                <w:jc w:val="center"/>
              </w:trPr>
              <w:tc>
                <w:tcPr>
                  <w:tcW w:w="659" w:type="pct"/>
                  <w:shd w:val="clear" w:color="auto" w:fill="auto"/>
                  <w:noWrap w:val="0"/>
                  <w:vAlign w:val="center"/>
                </w:tcPr>
                <w:p w14:paraId="24A7429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次氯酸钠浓溶液</w:t>
                  </w:r>
                </w:p>
              </w:tc>
              <w:tc>
                <w:tcPr>
                  <w:tcW w:w="4340" w:type="pct"/>
                  <w:shd w:val="clear" w:color="auto" w:fill="auto"/>
                  <w:noWrap w:val="0"/>
                  <w:vAlign w:val="center"/>
                </w:tcPr>
                <w:p w14:paraId="307B833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次氯酸钠为白色粉末。工业品次氯酸钠是无色或淡黄色的液体。熔点18℃。在空气中极不稳定，分解产生二氧化碳。受热后迅速分解，在碱性状态时较稳定。次氯酸钠易溶于水，溶于水后成烧碱及次氯酸，0℃时</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 H</w:t>
                  </w:r>
                  <w:r>
                    <w:rPr>
                      <w:rFonts w:hint="default" w:ascii="Times New Roman" w:hAnsi="Times New Roman"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O溶解29.3g</w:t>
                  </w:r>
                  <w:r>
                    <w:rPr>
                      <w:rFonts w:hint="eastAsia" w:cs="Times New Roman"/>
                      <w:i w:val="0"/>
                      <w:iCs w:val="0"/>
                      <w:color w:val="auto"/>
                      <w:kern w:val="0"/>
                      <w:sz w:val="21"/>
                      <w:szCs w:val="21"/>
                      <w:highlight w:val="none"/>
                      <w:u w:val="none"/>
                      <w:lang w:val="en-US" w:eastAsia="zh-CN" w:bidi="ar"/>
                    </w:rPr>
                    <w:t>次氯酸</w:t>
                  </w:r>
                  <w:r>
                    <w:rPr>
                      <w:rFonts w:hint="default" w:ascii="Times New Roman" w:hAnsi="Times New Roman" w:eastAsia="宋体" w:cs="Times New Roman"/>
                      <w:i w:val="0"/>
                      <w:iCs w:val="0"/>
                      <w:color w:val="auto"/>
                      <w:kern w:val="0"/>
                      <w:sz w:val="21"/>
                      <w:szCs w:val="21"/>
                      <w:highlight w:val="none"/>
                      <w:u w:val="none"/>
                      <w:lang w:val="en-US" w:eastAsia="zh-CN" w:bidi="ar"/>
                    </w:rPr>
                    <w:t>钠。次氯酸再分解生成氯化氢和新生氧，新生氧的氧化能力很强，所以次氯酸钠也是强氧化剂。其稳定度受光、热、重金属阳离子和pH值的影响。具有刺激性气味。</w:t>
                  </w:r>
                </w:p>
              </w:tc>
            </w:tr>
            <w:tr w14:paraId="185942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1" w:hRule="atLeast"/>
                <w:jc w:val="center"/>
              </w:trPr>
              <w:tc>
                <w:tcPr>
                  <w:tcW w:w="659" w:type="pct"/>
                  <w:shd w:val="clear" w:color="auto" w:fill="auto"/>
                  <w:noWrap w:val="0"/>
                  <w:vAlign w:val="center"/>
                </w:tcPr>
                <w:p w14:paraId="32E0E0D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EDTA二钠</w:t>
                  </w:r>
                </w:p>
              </w:tc>
              <w:tc>
                <w:tcPr>
                  <w:tcW w:w="4340" w:type="pct"/>
                  <w:shd w:val="clear" w:color="auto" w:fill="auto"/>
                  <w:noWrap w:val="0"/>
                  <w:vAlign w:val="center"/>
                </w:tcPr>
                <w:p w14:paraId="757ECC0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白色或类白色结晶性粉末；无臭。在水中溶解，在甲醇、乙醇或三氯甲烷中几乎不溶。</w:t>
                  </w:r>
                </w:p>
              </w:tc>
            </w:tr>
            <w:tr w14:paraId="214751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67" w:hRule="atLeast"/>
                <w:jc w:val="center"/>
              </w:trPr>
              <w:tc>
                <w:tcPr>
                  <w:tcW w:w="659" w:type="pct"/>
                  <w:shd w:val="clear" w:color="auto" w:fill="auto"/>
                  <w:noWrap w:val="0"/>
                  <w:vAlign w:val="center"/>
                </w:tcPr>
                <w:p w14:paraId="0737B19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氧化镧</w:t>
                  </w:r>
                </w:p>
              </w:tc>
              <w:tc>
                <w:tcPr>
                  <w:tcW w:w="4340" w:type="pct"/>
                  <w:shd w:val="clear" w:color="auto" w:fill="auto"/>
                  <w:noWrap w:val="0"/>
                  <w:vAlign w:val="center"/>
                </w:tcPr>
                <w:p w14:paraId="20F9530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氧化镧为白色无定形粉末。熔点&gt;2000℃。微溶于水，易溶于酸而生成相应的盐类。露置空气中易吸收二氧化碳和水，逐渐变成碳酸镧。灼烧的氧化镧与水化合放出大量的热。</w:t>
                  </w:r>
                </w:p>
              </w:tc>
            </w:tr>
            <w:tr w14:paraId="0684C5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230B17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氧化镁</w:t>
                  </w:r>
                </w:p>
              </w:tc>
              <w:tc>
                <w:tcPr>
                  <w:tcW w:w="4340" w:type="pct"/>
                  <w:shd w:val="clear" w:color="auto" w:fill="auto"/>
                  <w:noWrap w:val="0"/>
                  <w:vAlign w:val="center"/>
                </w:tcPr>
                <w:p w14:paraId="710C0C8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白色细微结晶。相对密度3.19～3.71；熔点2800℃；几乎不溶于水，溶于稀酸。在空气中易吸收水分和二氧化碳。</w:t>
                  </w:r>
                </w:p>
              </w:tc>
            </w:tr>
            <w:tr w14:paraId="414C0C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39AF635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碳酸镁</w:t>
                  </w:r>
                </w:p>
              </w:tc>
              <w:tc>
                <w:tcPr>
                  <w:tcW w:w="4340" w:type="pct"/>
                  <w:shd w:val="clear" w:color="auto" w:fill="auto"/>
                  <w:noWrap w:val="0"/>
                  <w:vAlign w:val="center"/>
                </w:tcPr>
                <w:p w14:paraId="389166D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白色颗粒性粉末。无臭，无味。不溶于水和乙醇。</w:t>
                  </w:r>
                </w:p>
              </w:tc>
            </w:tr>
            <w:tr w14:paraId="0320FD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01C2A5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硫脲</w:t>
                  </w:r>
                </w:p>
              </w:tc>
              <w:tc>
                <w:tcPr>
                  <w:tcW w:w="4340" w:type="pct"/>
                  <w:shd w:val="clear" w:color="auto" w:fill="auto"/>
                  <w:noWrap w:val="0"/>
                  <w:vAlign w:val="center"/>
                </w:tcPr>
                <w:p w14:paraId="7483800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无色或白色结晶或结晶性粉末。味苦。能溶于11份水，溶于乙醇，几乎不溶于乙醚。在真空下，150～160℃升华。遇明火、高热可燃。与氧化剂能发生强烈反应。受热分解，放出氮、硫的氧化物等毒性气体。</w:t>
                  </w:r>
                </w:p>
              </w:tc>
            </w:tr>
            <w:tr w14:paraId="76AE0A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9" w:hRule="atLeast"/>
                <w:jc w:val="center"/>
              </w:trPr>
              <w:tc>
                <w:tcPr>
                  <w:tcW w:w="659" w:type="pct"/>
                  <w:shd w:val="clear" w:color="auto" w:fill="auto"/>
                  <w:noWrap w:val="0"/>
                  <w:vAlign w:val="center"/>
                </w:tcPr>
                <w:p w14:paraId="33CB12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乙酰丙酮</w:t>
                  </w:r>
                </w:p>
              </w:tc>
              <w:tc>
                <w:tcPr>
                  <w:tcW w:w="4340" w:type="pct"/>
                  <w:shd w:val="clear" w:color="auto" w:fill="auto"/>
                  <w:noWrap w:val="0"/>
                  <w:vAlign w:val="center"/>
                </w:tcPr>
                <w:p w14:paraId="39E6665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无色易流动液体，有酯的气味，冷却时凝成有光泽的晶体。受光作用时，转化成褐色液体，并且生成树脂。相对密度</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9753。沸点140.5℃。熔点-23℃。闪点40.56℃。折射率1.4494。溶于水、乙醇、氯仿、乙醚、苯、丙酮和冰醋酸。</w:t>
                  </w:r>
                </w:p>
              </w:tc>
            </w:tr>
            <w:tr w14:paraId="75A7DA0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D48B36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玻璃棉</w:t>
                  </w:r>
                </w:p>
              </w:tc>
              <w:tc>
                <w:tcPr>
                  <w:tcW w:w="4340" w:type="pct"/>
                  <w:shd w:val="clear" w:color="auto" w:fill="auto"/>
                  <w:noWrap w:val="0"/>
                  <w:vAlign w:val="center"/>
                </w:tcPr>
                <w:p w14:paraId="1D8BC32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化学性质玻璃纤维作为强化塑料的补强材料应用时，最大的特征是抗拉强度大。抗拉强度在标准状态下是6.3～6.9 g/d，湿润状态5.4～5.8g/d。密度2.54。耐热性好，温度达300℃时对强度</w:t>
                  </w:r>
                  <w:r>
                    <w:rPr>
                      <w:rFonts w:hint="eastAsia" w:cs="Times New Roman"/>
                      <w:i w:val="0"/>
                      <w:iCs w:val="0"/>
                      <w:color w:val="auto"/>
                      <w:kern w:val="0"/>
                      <w:sz w:val="21"/>
                      <w:szCs w:val="21"/>
                      <w:highlight w:val="none"/>
                      <w:u w:val="none"/>
                      <w:lang w:val="en-US" w:eastAsia="zh-CN" w:bidi="ar"/>
                    </w:rPr>
                    <w:t>没有</w:t>
                  </w:r>
                  <w:r>
                    <w:rPr>
                      <w:rFonts w:hint="default" w:ascii="Times New Roman" w:hAnsi="Times New Roman" w:eastAsia="宋体" w:cs="Times New Roman"/>
                      <w:i w:val="0"/>
                      <w:iCs w:val="0"/>
                      <w:color w:val="auto"/>
                      <w:kern w:val="0"/>
                      <w:sz w:val="21"/>
                      <w:szCs w:val="21"/>
                      <w:highlight w:val="none"/>
                      <w:u w:val="none"/>
                      <w:lang w:val="en-US" w:eastAsia="zh-CN" w:bidi="ar"/>
                    </w:rPr>
                    <w:t>影响。有优良的电绝缘性，是高级的电绝缘材料，也用于绝热材料和防火屏蔽材料。对氢氟酸和磷酸浸渍的无机酸和有机酸的耐化学药品性很强。</w:t>
                  </w:r>
                </w:p>
              </w:tc>
            </w:tr>
            <w:tr w14:paraId="17C9F3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9" w:hRule="atLeast"/>
                <w:jc w:val="center"/>
              </w:trPr>
              <w:tc>
                <w:tcPr>
                  <w:tcW w:w="659" w:type="pct"/>
                  <w:shd w:val="clear" w:color="auto" w:fill="auto"/>
                  <w:noWrap w:val="0"/>
                  <w:vAlign w:val="center"/>
                </w:tcPr>
                <w:p w14:paraId="4B70A2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AHMT溶液</w:t>
                  </w:r>
                </w:p>
              </w:tc>
              <w:tc>
                <w:tcPr>
                  <w:tcW w:w="4340" w:type="pct"/>
                  <w:shd w:val="clear" w:color="auto" w:fill="auto"/>
                  <w:noWrap w:val="0"/>
                  <w:vAlign w:val="center"/>
                </w:tcPr>
                <w:p w14:paraId="49098E6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4-氨基-3-肼基-5-巯基-1,2,4-三氮唑（缩写为ATHN）是一种有机化合物。ATHN为白色结晶固体。微溶于水，溶于一些有机溶剂如乙醇和丙酮。</w:t>
                  </w:r>
                </w:p>
              </w:tc>
            </w:tr>
            <w:tr w14:paraId="7AF605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93" w:hRule="atLeast"/>
                <w:jc w:val="center"/>
              </w:trPr>
              <w:tc>
                <w:tcPr>
                  <w:tcW w:w="659" w:type="pct"/>
                  <w:shd w:val="clear" w:color="auto" w:fill="auto"/>
                  <w:noWrap w:val="0"/>
                  <w:vAlign w:val="center"/>
                </w:tcPr>
                <w:p w14:paraId="0B493BD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磷酸氢二钾</w:t>
                  </w:r>
                </w:p>
              </w:tc>
              <w:tc>
                <w:tcPr>
                  <w:tcW w:w="4340" w:type="pct"/>
                  <w:shd w:val="clear" w:color="auto" w:fill="auto"/>
                  <w:noWrap w:val="0"/>
                  <w:vAlign w:val="center"/>
                </w:tcPr>
                <w:p w14:paraId="3B0E10D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无色半透明结晶或白色结晶性粉末，无臭。易溶于水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6.3g／</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，不溶于乙醇。有吸湿性，1%的水溶液pH值约9.0。</w:t>
                  </w:r>
                </w:p>
              </w:tc>
            </w:tr>
            <w:tr w14:paraId="2E8A65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3F89B2E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结晶紫</w:t>
                  </w:r>
                </w:p>
              </w:tc>
              <w:tc>
                <w:tcPr>
                  <w:tcW w:w="4340" w:type="pct"/>
                  <w:shd w:val="clear" w:color="auto" w:fill="auto"/>
                  <w:noWrap w:val="0"/>
                  <w:vAlign w:val="center"/>
                </w:tcPr>
                <w:p w14:paraId="5C60ABF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溶于水、乙醇和氯仿，不溶于乙醚。水溶液和乙醇溶液呈深紫色，遇浓硫酸显橙色。暗绿色</w:t>
                  </w:r>
                  <w:r>
                    <w:rPr>
                      <w:rFonts w:hint="eastAsia" w:cs="Times New Roman"/>
                      <w:i w:val="0"/>
                      <w:iCs w:val="0"/>
                      <w:color w:val="auto"/>
                      <w:kern w:val="0"/>
                      <w:sz w:val="21"/>
                      <w:szCs w:val="21"/>
                      <w:highlight w:val="none"/>
                      <w:u w:val="none"/>
                      <w:lang w:val="en-US" w:eastAsia="zh-CN" w:bidi="ar"/>
                    </w:rPr>
                    <w:t>荧光</w:t>
                  </w:r>
                  <w:r>
                    <w:rPr>
                      <w:rFonts w:hint="default" w:ascii="Times New Roman" w:hAnsi="Times New Roman" w:eastAsia="宋体" w:cs="Times New Roman"/>
                      <w:i w:val="0"/>
                      <w:iCs w:val="0"/>
                      <w:color w:val="auto"/>
                      <w:kern w:val="0"/>
                      <w:sz w:val="21"/>
                      <w:szCs w:val="21"/>
                      <w:highlight w:val="none"/>
                      <w:u w:val="none"/>
                      <w:lang w:val="en-US" w:eastAsia="zh-CN" w:bidi="ar"/>
                    </w:rPr>
                    <w:t>粉末或粒子。溶于冷水和热水，呈紫色，极易溶于乙醇。于浓硫酸中呈红黄色，稀释后呈暗绿光黄色，然后转变成蓝和紫色。染棉纤维日晒牢度为1-2级，染腈纶纤维日晒牢度为2-3级。</w:t>
                  </w:r>
                </w:p>
              </w:tc>
            </w:tr>
            <w:tr w14:paraId="71CD94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33" w:hRule="atLeast"/>
                <w:jc w:val="center"/>
              </w:trPr>
              <w:tc>
                <w:tcPr>
                  <w:tcW w:w="659" w:type="pct"/>
                  <w:shd w:val="clear" w:color="auto" w:fill="auto"/>
                  <w:noWrap w:val="0"/>
                  <w:vAlign w:val="center"/>
                </w:tcPr>
                <w:p w14:paraId="3AB08E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草酸铵</w:t>
                  </w:r>
                </w:p>
              </w:tc>
              <w:tc>
                <w:tcPr>
                  <w:tcW w:w="4340" w:type="pct"/>
                  <w:shd w:val="clear" w:color="auto" w:fill="auto"/>
                  <w:noWrap w:val="0"/>
                  <w:vAlign w:val="center"/>
                </w:tcPr>
                <w:p w14:paraId="3346F47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无色柱状或白色粒状结晶。无味，有毒。该品溶于20mL水、2.6mL沸水，微溶于乙醇，不溶于氨。其溶液呈中性（0.</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mol/L，pH值6.4）。热至95℃时脱水，加高热即分解。可燃，但不易点燃，燃烧中伴生有毒气体。</w:t>
                  </w:r>
                </w:p>
              </w:tc>
            </w:tr>
            <w:tr w14:paraId="2AFDE3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07687FC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草酸钛钾</w:t>
                  </w:r>
                </w:p>
              </w:tc>
              <w:tc>
                <w:tcPr>
                  <w:tcW w:w="4340" w:type="pct"/>
                  <w:shd w:val="clear" w:color="auto" w:fill="auto"/>
                  <w:noWrap w:val="0"/>
                  <w:vAlign w:val="center"/>
                </w:tcPr>
                <w:p w14:paraId="53F2C16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白色结晶固体，可溶于水。草酸钛钾具有较强的还原性和氧化性，可与氧发生反应并放出燃烧。</w:t>
                  </w:r>
                </w:p>
              </w:tc>
            </w:tr>
            <w:tr w14:paraId="53E9B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12" w:hRule="atLeast"/>
                <w:jc w:val="center"/>
              </w:trPr>
              <w:tc>
                <w:tcPr>
                  <w:tcW w:w="659" w:type="pct"/>
                  <w:shd w:val="clear" w:color="auto" w:fill="auto"/>
                  <w:noWrap w:val="0"/>
                  <w:vAlign w:val="center"/>
                </w:tcPr>
                <w:p w14:paraId="15718A5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沙黄</w:t>
                  </w:r>
                </w:p>
              </w:tc>
              <w:tc>
                <w:tcPr>
                  <w:tcW w:w="4340" w:type="pct"/>
                  <w:shd w:val="clear" w:color="auto" w:fill="auto"/>
                  <w:noWrap w:val="0"/>
                  <w:vAlign w:val="center"/>
                </w:tcPr>
                <w:p w14:paraId="7BFA182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溶于水呈红色，溶于乙醇呈红光</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带黄</w:t>
                  </w:r>
                  <w:r>
                    <w:rPr>
                      <w:rFonts w:hint="eastAsia" w:cs="Times New Roman"/>
                      <w:i w:val="0"/>
                      <w:iCs w:val="0"/>
                      <w:color w:val="auto"/>
                      <w:kern w:val="0"/>
                      <w:sz w:val="21"/>
                      <w:szCs w:val="21"/>
                      <w:highlight w:val="none"/>
                      <w:u w:val="none"/>
                      <w:lang w:val="en-US" w:eastAsia="zh-CN" w:bidi="ar"/>
                    </w:rPr>
                    <w:t>光的</w:t>
                  </w:r>
                  <w:r>
                    <w:rPr>
                      <w:rFonts w:hint="default" w:ascii="Times New Roman" w:hAnsi="Times New Roman" w:eastAsia="宋体" w:cs="Times New Roman"/>
                      <w:i w:val="0"/>
                      <w:iCs w:val="0"/>
                      <w:color w:val="auto"/>
                      <w:kern w:val="0"/>
                      <w:sz w:val="21"/>
                      <w:szCs w:val="21"/>
                      <w:highlight w:val="none"/>
                      <w:u w:val="none"/>
                      <w:lang w:val="en-US" w:eastAsia="zh-CN" w:bidi="ar"/>
                    </w:rPr>
                    <w:t>红色</w:t>
                  </w:r>
                  <w:r>
                    <w:rPr>
                      <w:rFonts w:hint="eastAsia" w:cs="Times New Roman"/>
                      <w:i w:val="0"/>
                      <w:iCs w:val="0"/>
                      <w:color w:val="auto"/>
                      <w:kern w:val="0"/>
                      <w:sz w:val="21"/>
                      <w:szCs w:val="21"/>
                      <w:highlight w:val="none"/>
                      <w:u w:val="none"/>
                      <w:shd w:val="clear" w:fill="FFFFFF"/>
                      <w:lang w:val="en-US" w:eastAsia="zh-CN" w:bidi="ar"/>
                    </w:rPr>
                    <w:t>荧光</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。于浓硫酸中呈绿色，稀释后呈蓝色，并转变为红色。其水溶液加入氢氧化钠产生棕红色沉淀，加入盐酸呈</w:t>
                  </w:r>
                  <w:r>
                    <w:rPr>
                      <w:rFonts w:hint="eastAsia" w:cs="Times New Roman"/>
                      <w:i w:val="0"/>
                      <w:iCs w:val="0"/>
                      <w:color w:val="auto"/>
                      <w:kern w:val="0"/>
                      <w:sz w:val="21"/>
                      <w:szCs w:val="21"/>
                      <w:highlight w:val="none"/>
                      <w:u w:val="none"/>
                      <w:lang w:val="en-US" w:eastAsia="zh-CN" w:bidi="ar"/>
                    </w:rPr>
                    <w:t>蓝</w:t>
                  </w:r>
                  <w:r>
                    <w:rPr>
                      <w:rFonts w:hint="default" w:ascii="Times New Roman" w:hAnsi="Times New Roman" w:eastAsia="宋体" w:cs="Times New Roman"/>
                      <w:i w:val="0"/>
                      <w:iCs w:val="0"/>
                      <w:color w:val="auto"/>
                      <w:kern w:val="0"/>
                      <w:sz w:val="21"/>
                      <w:szCs w:val="21"/>
                      <w:highlight w:val="none"/>
                      <w:u w:val="none"/>
                      <w:lang w:val="en-US" w:eastAsia="zh-CN" w:bidi="ar"/>
                    </w:rPr>
                    <w:t>紫色。</w:t>
                  </w:r>
                </w:p>
              </w:tc>
            </w:tr>
            <w:tr w14:paraId="4F0A7C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10" w:hRule="atLeast"/>
                <w:jc w:val="center"/>
              </w:trPr>
              <w:tc>
                <w:tcPr>
                  <w:tcW w:w="659" w:type="pct"/>
                  <w:shd w:val="clear" w:color="auto" w:fill="auto"/>
                  <w:noWrap w:val="0"/>
                  <w:vAlign w:val="center"/>
                </w:tcPr>
                <w:p w14:paraId="301403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3,2</w:t>
                  </w:r>
                  <w:r>
                    <w:rPr>
                      <w:rFonts w:hint="default" w:ascii="Times New Roman" w:hAnsi="Times New Roman" w:cs="Times New Roman"/>
                      <w:color w:val="auto"/>
                      <w:kern w:val="0"/>
                      <w:sz w:val="21"/>
                      <w:szCs w:val="21"/>
                      <w:highlight w:val="none"/>
                      <w:shd w:val="clear" w:fill="FFFFFF"/>
                      <w:lang w:val="en-US" w:eastAsia="zh-CN" w:bidi="ar"/>
                    </w:rPr>
                    <w:t>-</w:t>
                  </w:r>
                  <w:r>
                    <w:rPr>
                      <w:rFonts w:hint="default" w:ascii="Times New Roman" w:hAnsi="Times New Roman" w:cs="Times New Roman"/>
                      <w:color w:val="auto"/>
                      <w:kern w:val="0"/>
                      <w:sz w:val="21"/>
                      <w:szCs w:val="21"/>
                      <w:highlight w:val="none"/>
                      <w:lang w:val="en-US" w:eastAsia="zh-CN" w:bidi="ar"/>
                    </w:rPr>
                    <w:t>二氨基萘</w:t>
                  </w:r>
                </w:p>
              </w:tc>
              <w:tc>
                <w:tcPr>
                  <w:tcW w:w="4340" w:type="pct"/>
                  <w:shd w:val="clear" w:color="auto" w:fill="auto"/>
                  <w:noWrap w:val="0"/>
                  <w:vAlign w:val="center"/>
                </w:tcPr>
                <w:p w14:paraId="4E7C9D7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叶状结晶。熔点199℃，相对密度1.0968（26/4℃），折光率1.6342（26℃）。溶于醇、醚、丙酮及稀酸，难溶于水。</w:t>
                  </w:r>
                </w:p>
              </w:tc>
            </w:tr>
            <w:tr w14:paraId="2A5DA8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52" w:hRule="atLeast"/>
                <w:jc w:val="center"/>
              </w:trPr>
              <w:tc>
                <w:tcPr>
                  <w:tcW w:w="659" w:type="pct"/>
                  <w:shd w:val="clear" w:color="auto" w:fill="auto"/>
                  <w:noWrap w:val="0"/>
                  <w:vAlign w:val="center"/>
                </w:tcPr>
                <w:p w14:paraId="63B6AF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硫酸铈</w:t>
                  </w:r>
                </w:p>
              </w:tc>
              <w:tc>
                <w:tcPr>
                  <w:tcW w:w="4340" w:type="pct"/>
                  <w:shd w:val="clear" w:color="auto" w:fill="auto"/>
                  <w:noWrap w:val="0"/>
                  <w:vAlign w:val="center"/>
                </w:tcPr>
                <w:p w14:paraId="3E64C1B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无水硫酸铈为黄色结晶性粉末。加热脱水，180～200℃成无水盐。350℃以上分解，生成硫酸氧铈。溶于冷水和热酸，在热水中分解为碱式盐。</w:t>
                  </w:r>
                </w:p>
              </w:tc>
            </w:tr>
            <w:tr w14:paraId="52E1F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87" w:hRule="atLeast"/>
                <w:jc w:val="center"/>
              </w:trPr>
              <w:tc>
                <w:tcPr>
                  <w:tcW w:w="659" w:type="pct"/>
                  <w:shd w:val="clear" w:color="auto" w:fill="auto"/>
                  <w:noWrap w:val="0"/>
                  <w:vAlign w:val="center"/>
                </w:tcPr>
                <w:p w14:paraId="71D140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硫酸铜</w:t>
                  </w:r>
                </w:p>
              </w:tc>
              <w:tc>
                <w:tcPr>
                  <w:tcW w:w="4340" w:type="pct"/>
                  <w:shd w:val="clear" w:color="auto" w:fill="auto"/>
                  <w:noWrap w:val="0"/>
                  <w:vAlign w:val="center"/>
                </w:tcPr>
                <w:p w14:paraId="395180B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白色、淡灰白色至淡绿白色正交结晶或</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无</w:t>
                  </w:r>
                  <w:r>
                    <w:rPr>
                      <w:rFonts w:hint="eastAsia" w:cs="Times New Roman"/>
                      <w:i w:val="0"/>
                      <w:iCs w:val="0"/>
                      <w:color w:val="auto"/>
                      <w:kern w:val="0"/>
                      <w:sz w:val="21"/>
                      <w:szCs w:val="21"/>
                      <w:highlight w:val="none"/>
                      <w:u w:val="none"/>
                      <w:shd w:val="clear" w:fill="FFFFFF"/>
                      <w:lang w:val="en-US" w:eastAsia="zh-CN" w:bidi="ar"/>
                    </w:rPr>
                    <w:t>定型</w:t>
                  </w:r>
                  <w:r>
                    <w:rPr>
                      <w:rFonts w:hint="default" w:ascii="Times New Roman" w:hAnsi="Times New Roman" w:eastAsia="宋体" w:cs="Times New Roman"/>
                      <w:i w:val="0"/>
                      <w:iCs w:val="0"/>
                      <w:color w:val="auto"/>
                      <w:kern w:val="0"/>
                      <w:sz w:val="21"/>
                      <w:szCs w:val="21"/>
                      <w:highlight w:val="none"/>
                      <w:u w:val="none"/>
                      <w:lang w:val="en-US" w:eastAsia="zh-CN" w:bidi="ar"/>
                    </w:rPr>
                    <w:t>粉末。约560℃分解Id 3.6。易吸潮。溶于水，溶液呈酸性，不溶于乙醇。</w:t>
                  </w:r>
                </w:p>
              </w:tc>
            </w:tr>
            <w:tr w14:paraId="572ACD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53" w:hRule="atLeast"/>
                <w:jc w:val="center"/>
              </w:trPr>
              <w:tc>
                <w:tcPr>
                  <w:tcW w:w="659" w:type="pct"/>
                  <w:shd w:val="clear" w:color="auto" w:fill="auto"/>
                  <w:noWrap w:val="0"/>
                  <w:vAlign w:val="center"/>
                </w:tcPr>
                <w:p w14:paraId="0AF185E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铂-钴标准溶液</w:t>
                  </w:r>
                </w:p>
              </w:tc>
              <w:tc>
                <w:tcPr>
                  <w:tcW w:w="4340" w:type="pct"/>
                  <w:shd w:val="clear" w:color="auto" w:fill="auto"/>
                  <w:noWrap w:val="0"/>
                  <w:vAlign w:val="center"/>
                </w:tcPr>
                <w:p w14:paraId="208A638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标准溶液</w:t>
                  </w:r>
                </w:p>
              </w:tc>
            </w:tr>
            <w:tr w14:paraId="32AA7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B2FAAF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姜黄素</w:t>
                  </w:r>
                </w:p>
              </w:tc>
              <w:tc>
                <w:tcPr>
                  <w:tcW w:w="4340" w:type="pct"/>
                  <w:shd w:val="clear" w:color="auto" w:fill="auto"/>
                  <w:noWrap w:val="0"/>
                  <w:vAlign w:val="center"/>
                </w:tcPr>
                <w:p w14:paraId="6BA7BC4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橙黄色结晶性粉末。有特殊臭。熔点179～182℃。不溶于水和乙醚，溶于乙醇、冰醋酸、丙二醇。碱性条件下呈红褐色，酸性则呈浅黄色。与氢氧化镁形成色淀，呈黄红色。与金属离子，尤其是铁离子，形成螯合物，导致变色。约5mg/kg铁离子就开始影响色素，10mg/kg以上时变为红褐色，染色能力降低，因此需选用适当容器。最好与螯合剂六偏磷酸钠、酸式焦磷酸钠共同使用。耐光性、耐铁离子性较差，耐热性较好。</w:t>
                  </w:r>
                  <w:r>
                    <w:rPr>
                      <w:rFonts w:hint="eastAsia" w:cs="Times New Roman"/>
                      <w:i w:val="0"/>
                      <w:iCs w:val="0"/>
                      <w:color w:val="auto"/>
                      <w:kern w:val="0"/>
                      <w:sz w:val="21"/>
                      <w:szCs w:val="21"/>
                      <w:highlight w:val="none"/>
                      <w:u w:val="none"/>
                      <w:lang w:val="en-US" w:eastAsia="zh-CN" w:bidi="ar"/>
                    </w:rPr>
                    <w:t>附着力</w:t>
                  </w:r>
                  <w:r>
                    <w:rPr>
                      <w:rFonts w:hint="default" w:ascii="Times New Roman" w:hAnsi="Times New Roman" w:eastAsia="宋体" w:cs="Times New Roman"/>
                      <w:i w:val="0"/>
                      <w:iCs w:val="0"/>
                      <w:color w:val="auto"/>
                      <w:kern w:val="0"/>
                      <w:sz w:val="21"/>
                      <w:szCs w:val="21"/>
                      <w:highlight w:val="none"/>
                      <w:u w:val="none"/>
                      <w:lang w:val="en-US" w:eastAsia="zh-CN" w:bidi="ar"/>
                    </w:rPr>
                    <w:t>强</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特别是对蛋白质</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。每个分子结构中均有两个活性酚结构，故具有一定的抗氧化能力。</w:t>
                  </w:r>
                </w:p>
              </w:tc>
            </w:tr>
            <w:tr w14:paraId="4FBF19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7BDB2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苯</w:t>
                  </w:r>
                </w:p>
              </w:tc>
              <w:tc>
                <w:tcPr>
                  <w:tcW w:w="4340" w:type="pct"/>
                  <w:shd w:val="clear" w:color="auto" w:fill="auto"/>
                  <w:noWrap w:val="0"/>
                  <w:vAlign w:val="center"/>
                </w:tcPr>
                <w:p w14:paraId="2A44ADF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在常温常压下为无色透明挥发性液体。易挥发，能与乙醇、乙醚、丙酮、氯仿、冰乙酸、二硫化碳、四氯化碳及油类等有机溶剂相混溶。苯是一种不易分解的化合物。其蒸气能与空气形成爆炸性的混合物。遇到高热或明火极容易引起燃烧和爆炸。容易产生和积聚静电。与氧化剂接触反应激烈。</w:t>
                  </w:r>
                </w:p>
              </w:tc>
            </w:tr>
            <w:tr w14:paraId="7597F7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0EEC1D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铜铁试剂</w:t>
                  </w:r>
                </w:p>
              </w:tc>
              <w:tc>
                <w:tcPr>
                  <w:tcW w:w="4340" w:type="pct"/>
                  <w:shd w:val="clear" w:color="auto" w:fill="auto"/>
                  <w:noWrap w:val="0"/>
                  <w:vAlign w:val="center"/>
                </w:tcPr>
                <w:p w14:paraId="2CF052E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白色或乳白色，具有光泽的鳞片状结晶。久置颜色变暗。易溶于水、乙醇。白色或带褐色鳞片状结晶。</w:t>
                  </w:r>
                </w:p>
              </w:tc>
            </w:tr>
            <w:tr w14:paraId="7DD862F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EB28DE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二氯甲烷</w:t>
                  </w:r>
                </w:p>
              </w:tc>
              <w:tc>
                <w:tcPr>
                  <w:tcW w:w="4340" w:type="pct"/>
                  <w:shd w:val="clear" w:color="auto" w:fill="auto"/>
                  <w:noWrap w:val="0"/>
                  <w:vAlign w:val="center"/>
                </w:tcPr>
                <w:p w14:paraId="009836E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易挥发液体。具有类似醚的刺激性气味。溶于约50倍的水，溶于酚、醛、酮、冰醋酸、磷酸三乙酯、乙酰乙酸乙酯、环己胺。与其他氯代烃溶剂和乙醇、乙醚及N，N-二甲基甲酰胺混溶。相对密度1.3266。熔点-95.1℃。沸点40℃。自燃点640℃。黏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0.43mPa．s。折射率1.4244。临界温度245℃．临界压力6.171MPa。热解后产生HC</w:t>
                  </w:r>
                  <w:r>
                    <w:rPr>
                      <w:rFonts w:hint="default" w:ascii="Times New Roman" w:hAnsi="Times New Roman" w:cs="Times New Roman"/>
                      <w:i w:val="0"/>
                      <w:iCs w:val="0"/>
                      <w:color w:val="auto"/>
                      <w:kern w:val="0"/>
                      <w:sz w:val="21"/>
                      <w:szCs w:val="21"/>
                      <w:highlight w:val="none"/>
                      <w:u w:val="none"/>
                      <w:lang w:val="en-US" w:eastAsia="zh-CN" w:bidi="ar"/>
                    </w:rPr>
                    <w:t>l</w:t>
                  </w:r>
                  <w:r>
                    <w:rPr>
                      <w:rFonts w:hint="default" w:ascii="Times New Roman" w:hAnsi="Times New Roman" w:eastAsia="宋体" w:cs="Times New Roman"/>
                      <w:i w:val="0"/>
                      <w:iCs w:val="0"/>
                      <w:color w:val="auto"/>
                      <w:kern w:val="0"/>
                      <w:sz w:val="21"/>
                      <w:szCs w:val="21"/>
                      <w:highlight w:val="none"/>
                      <w:u w:val="none"/>
                      <w:lang w:val="en-US" w:eastAsia="zh-CN" w:bidi="ar"/>
                    </w:rPr>
                    <w:t>和痕量的光气，与水长期加热，生成甲醛和HC1。进一步氯化，可得CHCl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70EB15A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2" w:hRule="atLeast"/>
                <w:jc w:val="center"/>
              </w:trPr>
              <w:tc>
                <w:tcPr>
                  <w:tcW w:w="659" w:type="pct"/>
                  <w:shd w:val="clear" w:color="auto" w:fill="auto"/>
                  <w:noWrap w:val="0"/>
                  <w:vAlign w:val="center"/>
                </w:tcPr>
                <w:p w14:paraId="15FE120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正己烷</w:t>
                  </w:r>
                </w:p>
              </w:tc>
              <w:tc>
                <w:tcPr>
                  <w:tcW w:w="4340" w:type="pct"/>
                  <w:shd w:val="clear" w:color="auto" w:fill="auto"/>
                  <w:noWrap w:val="0"/>
                  <w:vAlign w:val="center"/>
                </w:tcPr>
                <w:p w14:paraId="194D032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无色易挥发液体。难溶于水，可溶于乙醇，易溶于乙醚、氯仿、酮类等有机溶剂。</w:t>
                  </w:r>
                </w:p>
              </w:tc>
            </w:tr>
            <w:tr w14:paraId="53ECA8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19" w:hRule="atLeast"/>
                <w:jc w:val="center"/>
              </w:trPr>
              <w:tc>
                <w:tcPr>
                  <w:tcW w:w="659" w:type="pct"/>
                  <w:shd w:val="clear" w:color="auto" w:fill="auto"/>
                  <w:noWrap w:val="0"/>
                  <w:vAlign w:val="center"/>
                </w:tcPr>
                <w:p w14:paraId="5505F4B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三氯乙醛</w:t>
                  </w:r>
                </w:p>
              </w:tc>
              <w:tc>
                <w:tcPr>
                  <w:tcW w:w="4340" w:type="pct"/>
                  <w:shd w:val="clear" w:color="auto" w:fill="auto"/>
                  <w:noWrap w:val="0"/>
                  <w:vAlign w:val="center"/>
                </w:tcPr>
                <w:p w14:paraId="60108FC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无色易挥发油状液体，有刺激性气味。相对密度1.510。熔点-57,5℃。沸点97.8℃。蒸气压</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4.666kPa。与水化合生成三氯乙醛水合物。溶于水、乙醇、乙醚和氯仿。</w:t>
                  </w:r>
                </w:p>
              </w:tc>
            </w:tr>
            <w:tr w14:paraId="1A436A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76" w:hRule="atLeast"/>
                <w:jc w:val="center"/>
              </w:trPr>
              <w:tc>
                <w:tcPr>
                  <w:tcW w:w="659" w:type="pct"/>
                  <w:shd w:val="clear" w:color="auto" w:fill="auto"/>
                  <w:noWrap w:val="0"/>
                  <w:vAlign w:val="center"/>
                </w:tcPr>
                <w:p w14:paraId="6AE7869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三聚乙醛</w:t>
                  </w:r>
                </w:p>
              </w:tc>
              <w:tc>
                <w:tcPr>
                  <w:tcW w:w="4340" w:type="pct"/>
                  <w:shd w:val="clear" w:color="auto" w:fill="auto"/>
                  <w:noWrap w:val="0"/>
                  <w:vAlign w:val="center"/>
                </w:tcPr>
                <w:p w14:paraId="0B13EEB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无色有香味的液体，为三分子乙醛的聚合物。微溶于热水，能与醇、醚混溶。</w:t>
                  </w:r>
                </w:p>
              </w:tc>
            </w:tr>
            <w:tr w14:paraId="358710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193215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水合三氯乙醛</w:t>
                  </w:r>
                </w:p>
              </w:tc>
              <w:tc>
                <w:tcPr>
                  <w:tcW w:w="4340" w:type="pct"/>
                  <w:shd w:val="clear" w:color="auto" w:fill="auto"/>
                  <w:noWrap w:val="0"/>
                  <w:vAlign w:val="center"/>
                </w:tcPr>
                <w:p w14:paraId="6B7EB16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无色单斜片状结晶。熔点53-57℃。溶于水、乙醇和醚。1ml水可溶解水合氯醛：0℃时2.4g；25℃8.3g；40℃14.3g。1g水合氯醛可溶于：1.3ml乙醇，2ml氯仿，1.5ml乙醚。</w:t>
                  </w:r>
                </w:p>
              </w:tc>
            </w:tr>
            <w:tr w14:paraId="4EB4BC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323629A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丙烯醛</w:t>
                  </w:r>
                </w:p>
              </w:tc>
              <w:tc>
                <w:tcPr>
                  <w:tcW w:w="4340" w:type="pct"/>
                  <w:shd w:val="clear" w:color="auto" w:fill="auto"/>
                  <w:noWrap w:val="0"/>
                  <w:vAlign w:val="center"/>
                </w:tcPr>
                <w:p w14:paraId="3A41312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常温下为无色或浅黄色、易挥发的透明液体，具有强烈的刺激性，其</w:t>
                  </w:r>
                  <w:r>
                    <w:rPr>
                      <w:rFonts w:hint="eastAsia" w:cs="Times New Roman"/>
                      <w:i w:val="0"/>
                      <w:iCs w:val="0"/>
                      <w:color w:val="auto"/>
                      <w:kern w:val="0"/>
                      <w:sz w:val="21"/>
                      <w:szCs w:val="21"/>
                      <w:highlight w:val="none"/>
                      <w:u w:val="none"/>
                      <w:lang w:val="en-US" w:eastAsia="zh-CN" w:bidi="ar"/>
                    </w:rPr>
                    <w:t>蒸气</w:t>
                  </w:r>
                  <w:r>
                    <w:rPr>
                      <w:rFonts w:hint="default" w:ascii="Times New Roman" w:hAnsi="Times New Roman" w:eastAsia="宋体" w:cs="Times New Roman"/>
                      <w:i w:val="0"/>
                      <w:iCs w:val="0"/>
                      <w:color w:val="auto"/>
                      <w:kern w:val="0"/>
                      <w:sz w:val="21"/>
                      <w:szCs w:val="21"/>
                      <w:highlight w:val="none"/>
                      <w:u w:val="none"/>
                      <w:lang w:val="en-US" w:eastAsia="zh-CN" w:bidi="ar"/>
                    </w:rPr>
                    <w:t>有强烈的催泪性。溶于2～3份水。能与大多数有机溶剂加石蜡烃（正己烷、正辛烷、正戊烷）、甲苯、二甲苯、氯仿、甲醇、乙醇、丙酮、丙烯酸、乙酸乙酯等完全互溶。不稳定，其蒸汽与空气形成爆炸性混合物，遇明火、高热极易燃烧爆炸，遇高热易聚合并放出大量热量。</w:t>
                  </w:r>
                </w:p>
              </w:tc>
            </w:tr>
            <w:tr w14:paraId="2EE424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28" w:hRule="atLeast"/>
                <w:jc w:val="center"/>
              </w:trPr>
              <w:tc>
                <w:tcPr>
                  <w:tcW w:w="659" w:type="pct"/>
                  <w:shd w:val="clear" w:color="auto" w:fill="auto"/>
                  <w:noWrap w:val="0"/>
                  <w:vAlign w:val="center"/>
                </w:tcPr>
                <w:p w14:paraId="76E0622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溴百里酚蓝指示剂</w:t>
                  </w:r>
                </w:p>
              </w:tc>
              <w:tc>
                <w:tcPr>
                  <w:tcW w:w="4340" w:type="pct"/>
                  <w:shd w:val="clear" w:color="auto" w:fill="auto"/>
                  <w:noWrap w:val="0"/>
                  <w:vAlign w:val="center"/>
                </w:tcPr>
                <w:p w14:paraId="379DA30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溴百里酚蓝呈无色或浅玫瑰结晶性粉末状，易溶于醇、稀碱溶液和氨水中，微溶于水，不溶于石油醚。其遇酸性时为黄色，碱性时为蓝色。</w:t>
                  </w:r>
                </w:p>
              </w:tc>
            </w:tr>
            <w:tr w14:paraId="74EEDD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1" w:hRule="atLeast"/>
                <w:jc w:val="center"/>
              </w:trPr>
              <w:tc>
                <w:tcPr>
                  <w:tcW w:w="659" w:type="pct"/>
                  <w:shd w:val="clear" w:color="auto" w:fill="auto"/>
                  <w:noWrap w:val="0"/>
                  <w:vAlign w:val="center"/>
                </w:tcPr>
                <w:p w14:paraId="11AFD90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百里酚蓝</w:t>
                  </w:r>
                </w:p>
              </w:tc>
              <w:tc>
                <w:tcPr>
                  <w:tcW w:w="4340" w:type="pct"/>
                  <w:shd w:val="clear" w:color="auto" w:fill="auto"/>
                  <w:noWrap w:val="0"/>
                  <w:vAlign w:val="center"/>
                </w:tcPr>
                <w:p w14:paraId="6FFE8DE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棕绿色结晶性粉末。溶于乙醇及碱溶液，不溶于水。溶于碱呈蓝色。pH值1.2～2.8时由红至黄色．8.0～9.6时由黄至蓝色。</w:t>
                  </w:r>
                </w:p>
              </w:tc>
            </w:tr>
            <w:tr w14:paraId="330C87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1" w:hRule="atLeast"/>
                <w:jc w:val="center"/>
              </w:trPr>
              <w:tc>
                <w:tcPr>
                  <w:tcW w:w="659" w:type="pct"/>
                  <w:shd w:val="clear" w:color="auto" w:fill="auto"/>
                  <w:noWrap w:val="0"/>
                  <w:vAlign w:val="center"/>
                </w:tcPr>
                <w:p w14:paraId="1B7C224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溴酚蓝</w:t>
                  </w:r>
                </w:p>
              </w:tc>
              <w:tc>
                <w:tcPr>
                  <w:tcW w:w="4340" w:type="pct"/>
                  <w:shd w:val="clear" w:color="auto" w:fill="auto"/>
                  <w:noWrap w:val="0"/>
                  <w:vAlign w:val="center"/>
                </w:tcPr>
                <w:p w14:paraId="3B75313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长六方体菱形结晶或粉末。279℃分解。易溶于氢氧化钠溶液而形成</w:t>
                  </w:r>
                  <w:r>
                    <w:rPr>
                      <w:rFonts w:hint="eastAsia" w:cs="Times New Roman"/>
                      <w:i w:val="0"/>
                      <w:iCs w:val="0"/>
                      <w:color w:val="auto"/>
                      <w:kern w:val="0"/>
                      <w:sz w:val="21"/>
                      <w:szCs w:val="21"/>
                      <w:highlight w:val="none"/>
                      <w:u w:val="none"/>
                      <w:lang w:val="en-US" w:eastAsia="zh-CN" w:bidi="ar"/>
                    </w:rPr>
                    <w:t>水溶</w:t>
                  </w:r>
                  <w:r>
                    <w:rPr>
                      <w:rFonts w:hint="default" w:ascii="Times New Roman" w:hAnsi="Times New Roman" w:eastAsia="宋体" w:cs="Times New Roman"/>
                      <w:i w:val="0"/>
                      <w:iCs w:val="0"/>
                      <w:color w:val="auto"/>
                      <w:kern w:val="0"/>
                      <w:sz w:val="21"/>
                      <w:szCs w:val="21"/>
                      <w:highlight w:val="none"/>
                      <w:u w:val="none"/>
                      <w:lang w:val="en-US" w:eastAsia="zh-CN" w:bidi="ar"/>
                    </w:rPr>
                    <w:t>性钠盐，溶于乙醇、乙醚、苯，微溶于水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100mL水</w:t>
                  </w:r>
                  <w:r>
                    <w:rPr>
                      <w:rFonts w:hint="eastAsia" w:cs="Times New Roman"/>
                      <w:i w:val="0"/>
                      <w:iCs w:val="0"/>
                      <w:color w:val="auto"/>
                      <w:kern w:val="0"/>
                      <w:sz w:val="21"/>
                      <w:szCs w:val="21"/>
                      <w:highlight w:val="none"/>
                      <w:u w:val="none"/>
                      <w:lang w:val="en-US" w:eastAsia="zh-CN" w:bidi="ar"/>
                    </w:rPr>
                    <w:t>约</w:t>
                  </w:r>
                  <w:r>
                    <w:rPr>
                      <w:rFonts w:hint="default" w:ascii="Times New Roman" w:hAnsi="Times New Roman" w:eastAsia="宋体" w:cs="Times New Roman"/>
                      <w:i w:val="0"/>
                      <w:iCs w:val="0"/>
                      <w:color w:val="auto"/>
                      <w:kern w:val="0"/>
                      <w:sz w:val="21"/>
                      <w:szCs w:val="21"/>
                      <w:highlight w:val="none"/>
                      <w:u w:val="none"/>
                      <w:lang w:val="en-US" w:eastAsia="zh-CN" w:bidi="ar"/>
                    </w:rPr>
                    <w:t>0.4g该品</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747B02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13D87A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钛铁试剂</w:t>
                  </w:r>
                </w:p>
              </w:tc>
              <w:tc>
                <w:tcPr>
                  <w:tcW w:w="4340" w:type="pct"/>
                  <w:shd w:val="clear" w:color="auto" w:fill="auto"/>
                  <w:noWrap w:val="0"/>
                  <w:vAlign w:val="center"/>
                </w:tcPr>
                <w:p w14:paraId="2476C5D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邻苯二酚-3,5-二磺酸钠（也称为Tiron）是一种白色结晶固体。它在常温下是可溶于水的。邻苯二酚-3,5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二磺酸钠具有多种用途。它是一种螯合剂，可以与金属离子形成稳定的络合物。这种</w:t>
                  </w:r>
                  <w:r>
                    <w:rPr>
                      <w:rFonts w:hint="eastAsia" w:cs="Times New Roman"/>
                      <w:i w:val="0"/>
                      <w:iCs w:val="0"/>
                      <w:color w:val="auto"/>
                      <w:kern w:val="0"/>
                      <w:sz w:val="21"/>
                      <w:szCs w:val="21"/>
                      <w:highlight w:val="none"/>
                      <w:u w:val="none"/>
                      <w:lang w:val="en-US" w:eastAsia="zh-CN" w:bidi="ar"/>
                    </w:rPr>
                    <w:t>耦合</w:t>
                  </w:r>
                  <w:r>
                    <w:rPr>
                      <w:rFonts w:hint="default" w:ascii="Times New Roman" w:hAnsi="Times New Roman" w:eastAsia="宋体" w:cs="Times New Roman"/>
                      <w:i w:val="0"/>
                      <w:iCs w:val="0"/>
                      <w:color w:val="auto"/>
                      <w:kern w:val="0"/>
                      <w:sz w:val="21"/>
                      <w:szCs w:val="21"/>
                      <w:highlight w:val="none"/>
                      <w:u w:val="none"/>
                      <w:lang w:val="en-US" w:eastAsia="zh-CN" w:bidi="ar"/>
                    </w:rPr>
                    <w:t>能力使得它在分析化学中被广泛应用于测定和分离金属离子。</w:t>
                  </w:r>
                </w:p>
              </w:tc>
            </w:tr>
            <w:tr w14:paraId="0E66D7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1F152F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甲基橙指示剂</w:t>
                  </w:r>
                </w:p>
              </w:tc>
              <w:tc>
                <w:tcPr>
                  <w:tcW w:w="4340" w:type="pct"/>
                  <w:shd w:val="clear" w:color="auto" w:fill="auto"/>
                  <w:noWrap w:val="0"/>
                  <w:vAlign w:val="center"/>
                </w:tcPr>
                <w:p w14:paraId="2C78CA4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甲基橙由对氨基苯磺酸经重氮化后与</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"https://baike.so.com/doc/5467300-7125590.html"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N,N-二甲基苯胺</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偶合而成，显碱性，容量测定锡</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热时Sn使甲基橙褪色</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，强还原剂</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Ti、Cr</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和强氧化剂</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氯、</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"https://baike.so.com/doc/2607593-2753350.html"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溴</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的消色指示剂。甲基橙的变色范围是pH≦3.1时变红，3.1</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4.4时呈橙色，pH≧4.4时变黄。</w:t>
                  </w:r>
                </w:p>
              </w:tc>
            </w:tr>
            <w:tr w14:paraId="0D0EAC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19" w:hRule="atLeast"/>
                <w:jc w:val="center"/>
              </w:trPr>
              <w:tc>
                <w:tcPr>
                  <w:tcW w:w="659" w:type="pct"/>
                  <w:shd w:val="clear" w:color="auto" w:fill="auto"/>
                  <w:noWrap w:val="0"/>
                  <w:vAlign w:val="center"/>
                </w:tcPr>
                <w:p w14:paraId="2640AA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依红</w:t>
                  </w:r>
                  <w:r>
                    <w:rPr>
                      <w:rFonts w:hint="default" w:ascii="Times New Roman" w:hAnsi="Times New Roman" w:cs="Times New Roman"/>
                      <w:color w:val="auto"/>
                      <w:kern w:val="0"/>
                      <w:sz w:val="21"/>
                      <w:szCs w:val="21"/>
                      <w:highlight w:val="none"/>
                      <w:shd w:val="clear" w:fill="FFFFFF"/>
                      <w:lang w:val="en-US" w:eastAsia="zh-CN" w:bidi="ar"/>
                    </w:rPr>
                    <w:t>美蓝</w:t>
                  </w:r>
                  <w:r>
                    <w:rPr>
                      <w:rFonts w:hint="default" w:ascii="Times New Roman" w:hAnsi="Times New Roman" w:cs="Times New Roman"/>
                      <w:color w:val="auto"/>
                      <w:kern w:val="0"/>
                      <w:sz w:val="21"/>
                      <w:szCs w:val="21"/>
                      <w:highlight w:val="none"/>
                      <w:lang w:val="en-US" w:eastAsia="zh-CN" w:bidi="ar"/>
                    </w:rPr>
                    <w:t>水溶液</w:t>
                  </w:r>
                </w:p>
              </w:tc>
              <w:tc>
                <w:tcPr>
                  <w:tcW w:w="4340" w:type="pct"/>
                  <w:shd w:val="clear" w:color="auto" w:fill="auto"/>
                  <w:noWrap w:val="0"/>
                  <w:vAlign w:val="center"/>
                </w:tcPr>
                <w:p w14:paraId="45BB694F">
                  <w:pPr>
                    <w:keepNext w:val="0"/>
                    <w:keepLines w:val="0"/>
                    <w:suppressLineNumbers w:val="0"/>
                    <w:bidi w:val="0"/>
                    <w:spacing w:before="0" w:beforeAutospacing="0" w:after="0" w:afterAutospacing="0"/>
                    <w:ind w:left="0" w:right="0"/>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一种用于细胞染色的染料，也称</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"https://baike.so.com/doc/7607158-7881253.html"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瑞氏染料</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，是</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"https://baike.so.com/doc/5905633-6118535.html"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碱性染料</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shd w:val="clear" w:fill="FFFFFF"/>
                      <w:lang w:val="en-US" w:eastAsia="zh-CN"/>
                    </w:rPr>
                    <w:t>美蓝(</w:t>
                  </w:r>
                  <w:r>
                    <w:rPr>
                      <w:rFonts w:hint="default" w:ascii="Times New Roman" w:hAnsi="Times New Roman" w:cs="Times New Roman"/>
                      <w:color w:val="auto"/>
                      <w:sz w:val="21"/>
                      <w:szCs w:val="21"/>
                      <w:highlight w:val="none"/>
                      <w:lang w:val="en-US" w:eastAsia="zh-CN"/>
                    </w:rPr>
                    <w:t>Methylene blue</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和</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"https://baike.so.com/doc/5630201-5842822.html"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酸性染料</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黄色</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"https://baike.so.com/doc/6711064-6925102.html"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伊红</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(Eosin Y</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的合称。伊红</w:t>
                  </w:r>
                  <w:r>
                    <w:rPr>
                      <w:rFonts w:hint="default" w:ascii="Times New Roman" w:hAnsi="Times New Roman" w:cs="Times New Roman"/>
                      <w:color w:val="auto"/>
                      <w:sz w:val="21"/>
                      <w:szCs w:val="21"/>
                      <w:highlight w:val="none"/>
                      <w:shd w:val="clear" w:fill="FFFFFF"/>
                      <w:lang w:val="en-US" w:eastAsia="zh-CN"/>
                    </w:rPr>
                    <w:t>美蓝</w:t>
                  </w:r>
                  <w:r>
                    <w:rPr>
                      <w:rFonts w:hint="default" w:ascii="Times New Roman" w:hAnsi="Times New Roman" w:cs="Times New Roman"/>
                      <w:color w:val="auto"/>
                      <w:sz w:val="21"/>
                      <w:szCs w:val="21"/>
                      <w:highlight w:val="none"/>
                      <w:lang w:val="en-US" w:eastAsia="zh-CN"/>
                    </w:rPr>
                    <w:t>染料染色称为瑞氏</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Wright's stain</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shd w:val="clear" w:fill="FFFFFF"/>
                      <w:lang w:val="en-US" w:eastAsia="zh-CN"/>
                    </w:rPr>
                    <w:t>美蓝</w:t>
                  </w:r>
                  <w:r>
                    <w:rPr>
                      <w:rFonts w:hint="default" w:ascii="Times New Roman" w:hAnsi="Times New Roman" w:cs="Times New Roman"/>
                      <w:color w:val="auto"/>
                      <w:sz w:val="21"/>
                      <w:szCs w:val="21"/>
                      <w:highlight w:val="none"/>
                      <w:lang w:val="en-US" w:eastAsia="zh-CN"/>
                    </w:rPr>
                    <w:t>-伊红Y</w:t>
                  </w:r>
                  <w:r>
                    <w:rPr>
                      <w:rFonts w:hint="default" w:ascii="Times New Roman" w:hAnsi="Times New Roman" w:cs="Times New Roman"/>
                      <w:color w:val="auto"/>
                      <w:sz w:val="21"/>
                      <w:szCs w:val="21"/>
                      <w:highlight w:val="none"/>
                      <w:shd w:val="clear" w:fill="FFFFFF"/>
                      <w:lang w:val="en-US" w:eastAsia="zh-CN"/>
                    </w:rPr>
                    <w:t>)</w:t>
                  </w:r>
                  <w:r>
                    <w:rPr>
                      <w:rFonts w:hint="default" w:ascii="Times New Roman" w:hAnsi="Times New Roman" w:cs="Times New Roman"/>
                      <w:color w:val="auto"/>
                      <w:sz w:val="21"/>
                      <w:szCs w:val="21"/>
                      <w:highlight w:val="none"/>
                      <w:lang w:val="en-US" w:eastAsia="zh-CN"/>
                    </w:rPr>
                    <w:t>染色。用</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"https://baike.so.com/doc/6996765-7219644.html"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甲醇</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作瑞氏染料</w:t>
                  </w:r>
                  <w:r>
                    <w:rPr>
                      <w:rFonts w:hint="default" w:ascii="Times New Roman" w:hAnsi="Times New Roman" w:cs="Times New Roman"/>
                      <w:color w:val="auto"/>
                      <w:sz w:val="21"/>
                      <w:szCs w:val="21"/>
                      <w:highlight w:val="none"/>
                      <w:lang w:val="en-US" w:eastAsia="zh-CN"/>
                    </w:rPr>
                    <w:fldChar w:fldCharType="begin"/>
                  </w:r>
                  <w:r>
                    <w:rPr>
                      <w:rFonts w:hint="default" w:ascii="Times New Roman" w:hAnsi="Times New Roman" w:cs="Times New Roman"/>
                      <w:color w:val="auto"/>
                      <w:sz w:val="21"/>
                      <w:szCs w:val="21"/>
                      <w:highlight w:val="none"/>
                      <w:lang w:val="en-US" w:eastAsia="zh-CN"/>
                    </w:rPr>
                    <w:instrText xml:space="preserve"> HYPERLINK "https://baike.so.com/doc/1355777-1433373.html" \t "https://baike.so.com/doc/_blank" </w:instrText>
                  </w:r>
                  <w:r>
                    <w:rPr>
                      <w:rFonts w:hint="default" w:ascii="Times New Roman" w:hAnsi="Times New Roman" w:cs="Times New Roman"/>
                      <w:color w:val="auto"/>
                      <w:sz w:val="21"/>
                      <w:szCs w:val="21"/>
                      <w:highlight w:val="none"/>
                      <w:lang w:val="en-US" w:eastAsia="zh-CN"/>
                    </w:rPr>
                    <w:fldChar w:fldCharType="separate"/>
                  </w:r>
                  <w:r>
                    <w:rPr>
                      <w:rFonts w:hint="default" w:ascii="Times New Roman" w:hAnsi="Times New Roman" w:cs="Times New Roman"/>
                      <w:color w:val="auto"/>
                      <w:sz w:val="21"/>
                      <w:szCs w:val="21"/>
                      <w:highlight w:val="none"/>
                      <w:lang w:val="en-US" w:eastAsia="zh-CN"/>
                    </w:rPr>
                    <w:t>溶剂</w:t>
                  </w:r>
                  <w:r>
                    <w:rPr>
                      <w:rFonts w:hint="default" w:ascii="Times New Roman" w:hAnsi="Times New Roman" w:cs="Times New Roman"/>
                      <w:color w:val="auto"/>
                      <w:sz w:val="21"/>
                      <w:szCs w:val="21"/>
                      <w:highlight w:val="none"/>
                      <w:lang w:val="en-US" w:eastAsia="zh-CN"/>
                    </w:rPr>
                    <w:fldChar w:fldCharType="end"/>
                  </w:r>
                  <w:r>
                    <w:rPr>
                      <w:rFonts w:hint="default" w:ascii="Times New Roman" w:hAnsi="Times New Roman" w:cs="Times New Roman"/>
                      <w:color w:val="auto"/>
                      <w:sz w:val="21"/>
                      <w:szCs w:val="21"/>
                      <w:highlight w:val="none"/>
                      <w:lang w:val="en-US" w:eastAsia="zh-CN"/>
                    </w:rPr>
                    <w:t>，即成瑞氏染液，或称伊红</w:t>
                  </w:r>
                  <w:r>
                    <w:rPr>
                      <w:rFonts w:hint="default" w:ascii="Times New Roman" w:hAnsi="Times New Roman" w:cs="Times New Roman"/>
                      <w:color w:val="auto"/>
                      <w:sz w:val="21"/>
                      <w:szCs w:val="21"/>
                      <w:highlight w:val="none"/>
                      <w:shd w:val="clear" w:fill="FFFFFF"/>
                      <w:lang w:val="en-US" w:eastAsia="zh-CN"/>
                    </w:rPr>
                    <w:t>美蓝</w:t>
                  </w:r>
                  <w:r>
                    <w:rPr>
                      <w:rFonts w:hint="default" w:ascii="Times New Roman" w:hAnsi="Times New Roman" w:cs="Times New Roman"/>
                      <w:color w:val="auto"/>
                      <w:sz w:val="21"/>
                      <w:szCs w:val="21"/>
                      <w:highlight w:val="none"/>
                      <w:lang w:val="en-US" w:eastAsia="zh-CN"/>
                    </w:rPr>
                    <w:t>染液。</w:t>
                  </w:r>
                </w:p>
              </w:tc>
            </w:tr>
            <w:tr w14:paraId="4432A89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12" w:hRule="atLeast"/>
                <w:jc w:val="center"/>
              </w:trPr>
              <w:tc>
                <w:tcPr>
                  <w:tcW w:w="659" w:type="pct"/>
                  <w:shd w:val="clear" w:color="auto" w:fill="auto"/>
                  <w:noWrap w:val="0"/>
                  <w:vAlign w:val="center"/>
                </w:tcPr>
                <w:p w14:paraId="4BC342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二硫化碳</w:t>
                  </w:r>
                </w:p>
              </w:tc>
              <w:tc>
                <w:tcPr>
                  <w:tcW w:w="4340" w:type="pct"/>
                  <w:shd w:val="clear" w:color="auto" w:fill="auto"/>
                  <w:noWrap w:val="0"/>
                  <w:vAlign w:val="center"/>
                </w:tcPr>
                <w:p w14:paraId="0E41C75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纯品稍有甜味。沸点46.3℃，冰点111℃。密度：气体</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空气=1)2. 64，溶于苛性碱和硫化碱，几乎不溶于水。空气中的燃烧极限1.25%～40%（按体积计）。水中溶解度0.22g/</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mL(22℃)。在100℃左右时自燃。熏蒸蒸气由液体蒸发产生，绝大多数情况下与其他不燃烧物混合</w:t>
                  </w:r>
                  <w:r>
                    <w:rPr>
                      <w:rFonts w:hint="eastAsia" w:cs="Times New Roman"/>
                      <w:i w:val="0"/>
                      <w:iCs w:val="0"/>
                      <w:color w:val="auto"/>
                      <w:kern w:val="0"/>
                      <w:sz w:val="21"/>
                      <w:szCs w:val="21"/>
                      <w:highlight w:val="none"/>
                      <w:u w:val="none"/>
                      <w:lang w:val="en-US" w:eastAsia="zh-CN" w:bidi="ar"/>
                    </w:rPr>
                    <w:t>使用</w:t>
                  </w:r>
                  <w:r>
                    <w:rPr>
                      <w:rFonts w:hint="default" w:ascii="Times New Roman" w:hAnsi="Times New Roman" w:eastAsia="宋体" w:cs="Times New Roman"/>
                      <w:i w:val="0"/>
                      <w:iCs w:val="0"/>
                      <w:color w:val="auto"/>
                      <w:kern w:val="0"/>
                      <w:sz w:val="21"/>
                      <w:szCs w:val="21"/>
                      <w:highlight w:val="none"/>
                      <w:u w:val="none"/>
                      <w:lang w:val="en-US" w:eastAsia="zh-CN" w:bidi="ar"/>
                    </w:rPr>
                    <w:t>。能与无水乙醇、醚、苯、氯仿、四氯化碳、油脂以任何比例混合。能溶解碘、溴、硫、脂肪、蜡、树脂、橡胶、樟脑、黄磷。极易燃，接触热、火星、火焰或氧化剂易燃烧爆炸。受热分解产生有毒的硫化物烟气。与铝、锌、钾、氟、氯、叠氮化物等反应剧烈，有燃烧爆炸危险。高速冲击、摩擦可因产生静电火花放电引起燃烧爆炸。</w:t>
                  </w:r>
                </w:p>
              </w:tc>
            </w:tr>
            <w:tr w14:paraId="2BE823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24" w:hRule="atLeast"/>
                <w:jc w:val="center"/>
              </w:trPr>
              <w:tc>
                <w:tcPr>
                  <w:tcW w:w="659" w:type="pct"/>
                  <w:shd w:val="clear" w:color="auto" w:fill="auto"/>
                  <w:noWrap w:val="0"/>
                  <w:vAlign w:val="center"/>
                </w:tcPr>
                <w:p w14:paraId="6518E92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对氨基二甲基苯胺盐酸盐</w:t>
                  </w:r>
                </w:p>
              </w:tc>
              <w:tc>
                <w:tcPr>
                  <w:tcW w:w="4340" w:type="pct"/>
                  <w:shd w:val="clear" w:color="auto" w:fill="auto"/>
                  <w:noWrap w:val="0"/>
                  <w:vAlign w:val="center"/>
                </w:tcPr>
                <w:p w14:paraId="00E019E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N,N</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二甲基对苯二胺单盐酸盐是一种白色或近白色的结晶固体。它在溶解于水或乙醇中，可以发出蓝色</w:t>
                  </w:r>
                  <w:r>
                    <w:rPr>
                      <w:rFonts w:hint="eastAsia" w:cs="Times New Roman"/>
                      <w:i w:val="0"/>
                      <w:iCs w:val="0"/>
                      <w:color w:val="auto"/>
                      <w:kern w:val="0"/>
                      <w:sz w:val="21"/>
                      <w:szCs w:val="21"/>
                      <w:highlight w:val="none"/>
                      <w:u w:val="none"/>
                      <w:shd w:val="clear" w:fill="FFFFFF"/>
                      <w:lang w:val="en-US" w:eastAsia="zh-CN" w:bidi="ar"/>
                    </w:rPr>
                    <w:t>的荧光</w:t>
                  </w:r>
                  <w:r>
                    <w:rPr>
                      <w:rFonts w:hint="default" w:ascii="Times New Roman" w:hAnsi="Times New Roman" w:eastAsia="宋体" w:cs="Times New Roman"/>
                      <w:i w:val="0"/>
                      <w:iCs w:val="0"/>
                      <w:color w:val="auto"/>
                      <w:kern w:val="0"/>
                      <w:sz w:val="21"/>
                      <w:szCs w:val="21"/>
                      <w:highlight w:val="none"/>
                      <w:u w:val="none"/>
                      <w:lang w:val="en-US" w:eastAsia="zh-CN" w:bidi="ar"/>
                    </w:rPr>
                    <w:t>。该化合物对光和空气相对稳定，但对温度敏感。常用于化学分析、有机合成以及染料和颜料的制备过程中。</w:t>
                  </w:r>
                </w:p>
              </w:tc>
            </w:tr>
            <w:tr w14:paraId="7D82AA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04" w:hRule="atLeast"/>
                <w:jc w:val="center"/>
              </w:trPr>
              <w:tc>
                <w:tcPr>
                  <w:tcW w:w="659" w:type="pct"/>
                  <w:shd w:val="clear" w:color="auto" w:fill="auto"/>
                  <w:noWrap w:val="0"/>
                  <w:vAlign w:val="center"/>
                </w:tcPr>
                <w:p w14:paraId="5D4B98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对氨基苯磺酸</w:t>
                  </w:r>
                </w:p>
              </w:tc>
              <w:tc>
                <w:tcPr>
                  <w:tcW w:w="4340" w:type="pct"/>
                  <w:shd w:val="clear" w:color="auto" w:fill="auto"/>
                  <w:noWrap w:val="0"/>
                  <w:vAlign w:val="center"/>
                </w:tcPr>
                <w:p w14:paraId="3309EDB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白色、灰白色结晶或粉末。易溶于氨和碱金属氢氧化物或碳酸盐溶液中，较易溶于热水，微溶于冷水，微</w:t>
                  </w:r>
                  <w:r>
                    <w:rPr>
                      <w:rFonts w:hint="eastAsia" w:cs="Times New Roman"/>
                      <w:i w:val="0"/>
                      <w:iCs w:val="0"/>
                      <w:color w:val="auto"/>
                      <w:kern w:val="0"/>
                      <w:sz w:val="21"/>
                      <w:szCs w:val="21"/>
                      <w:highlight w:val="none"/>
                      <w:u w:val="none"/>
                      <w:lang w:val="en-US" w:eastAsia="zh-CN" w:bidi="ar"/>
                    </w:rPr>
                    <w:t>溶于</w:t>
                  </w:r>
                  <w:r>
                    <w:rPr>
                      <w:rFonts w:hint="default" w:ascii="Times New Roman" w:hAnsi="Times New Roman" w:eastAsia="宋体" w:cs="Times New Roman"/>
                      <w:i w:val="0"/>
                      <w:iCs w:val="0"/>
                      <w:color w:val="auto"/>
                      <w:kern w:val="0"/>
                      <w:sz w:val="21"/>
                      <w:szCs w:val="21"/>
                      <w:highlight w:val="none"/>
                      <w:u w:val="none"/>
                      <w:lang w:val="en-US" w:eastAsia="zh-CN" w:bidi="ar"/>
                    </w:rPr>
                    <w:t>甲醇，几乎不溶于乙醇、乙醚、苯。水中溶解度为：</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1.94%。见光变色。在280℃开始分解碳化。呈酸性，有刺激性。受热分解，放出氮、硫的氧化物等毒性气体。</w:t>
                  </w:r>
                </w:p>
              </w:tc>
            </w:tr>
            <w:tr w14:paraId="45048F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36F408F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苯胺</w:t>
                  </w:r>
                </w:p>
              </w:tc>
              <w:tc>
                <w:tcPr>
                  <w:tcW w:w="4340" w:type="pct"/>
                  <w:shd w:val="clear" w:color="auto" w:fill="auto"/>
                  <w:noWrap w:val="0"/>
                  <w:vAlign w:val="center"/>
                </w:tcPr>
                <w:p w14:paraId="225EFA7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化学性质无色液体。熔点-30℃，沸点268℃，167℃（2.27kPa），相对密度1.085。微溶于水，易溶于乙醇、乙醚、氯仿。</w:t>
                  </w:r>
                </w:p>
              </w:tc>
            </w:tr>
            <w:tr w14:paraId="479859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46" w:hRule="atLeast"/>
                <w:jc w:val="center"/>
              </w:trPr>
              <w:tc>
                <w:tcPr>
                  <w:tcW w:w="659" w:type="pct"/>
                  <w:shd w:val="clear" w:color="auto" w:fill="auto"/>
                  <w:noWrap w:val="0"/>
                  <w:vAlign w:val="center"/>
                </w:tcPr>
                <w:p w14:paraId="2286DC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盐酸</w:t>
                  </w:r>
                  <w:r>
                    <w:rPr>
                      <w:rFonts w:hint="default" w:ascii="Times New Roman" w:hAnsi="Times New Roman" w:cs="Times New Roman"/>
                      <w:color w:val="auto"/>
                      <w:kern w:val="0"/>
                      <w:sz w:val="21"/>
                      <w:szCs w:val="21"/>
                      <w:highlight w:val="none"/>
                      <w:shd w:val="clear" w:fill="FFFFFF"/>
                      <w:lang w:val="en-US" w:eastAsia="zh-CN" w:bidi="ar"/>
                    </w:rPr>
                    <w:t>副玫瑰苯胺</w:t>
                  </w:r>
                </w:p>
              </w:tc>
              <w:tc>
                <w:tcPr>
                  <w:tcW w:w="4340" w:type="pct"/>
                  <w:shd w:val="clear" w:color="auto" w:fill="auto"/>
                  <w:noWrap w:val="0"/>
                  <w:vAlign w:val="center"/>
                </w:tcPr>
                <w:p w14:paraId="7956331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碱性红9是一种碱性染料，也被称为酚酞红。它属于偶氮染料的一种，化学名称为1-(phenylazo)-2-naphthol-3,6-</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disulfonic</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acid。它具有鲜艳的红色，可溶于水和乙醇，不溶于有机溶剂。碱性红9在酸性条件下呈淡黄色，而在碱性条件下呈红色。</w:t>
                  </w:r>
                </w:p>
              </w:tc>
            </w:tr>
            <w:tr w14:paraId="012026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60" w:hRule="atLeast"/>
                <w:jc w:val="center"/>
              </w:trPr>
              <w:tc>
                <w:tcPr>
                  <w:tcW w:w="659" w:type="pct"/>
                  <w:shd w:val="clear" w:color="auto" w:fill="auto"/>
                  <w:noWrap w:val="0"/>
                  <w:vAlign w:val="center"/>
                </w:tcPr>
                <w:p w14:paraId="42A7319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溴甲酚绿乙醇溶液</w:t>
                  </w:r>
                </w:p>
              </w:tc>
              <w:tc>
                <w:tcPr>
                  <w:tcW w:w="4340" w:type="pct"/>
                  <w:shd w:val="clear" w:color="auto" w:fill="auto"/>
                  <w:noWrap w:val="0"/>
                  <w:vAlign w:val="center"/>
                </w:tcPr>
                <w:p w14:paraId="4B1351C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溴甲酚绿呈绿色结晶粉末状。其溶解度较高，可以在醇、酮、酯等有机溶剂中溶解，稍微溶于水。溴甲酚绿是一种酚酞类指示剂，可在酸性溶液中由黄色变为绿色。</w:t>
                  </w:r>
                </w:p>
              </w:tc>
            </w:tr>
            <w:tr w14:paraId="303EF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5" w:hRule="atLeast"/>
                <w:jc w:val="center"/>
              </w:trPr>
              <w:tc>
                <w:tcPr>
                  <w:tcW w:w="659" w:type="pct"/>
                  <w:shd w:val="clear" w:color="auto" w:fill="auto"/>
                  <w:noWrap w:val="0"/>
                  <w:vAlign w:val="center"/>
                </w:tcPr>
                <w:p w14:paraId="1EE16DE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甲基红</w:t>
                  </w:r>
                </w:p>
              </w:tc>
              <w:tc>
                <w:tcPr>
                  <w:tcW w:w="4340" w:type="pct"/>
                  <w:shd w:val="clear" w:color="auto" w:fill="auto"/>
                  <w:noWrap w:val="0"/>
                  <w:vAlign w:val="center"/>
                </w:tcPr>
                <w:p w14:paraId="20CD22C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甲基红为红色结晶粉末。可溶于水、醇、醚等有机溶剂。在酸性溶液中呈红色，而在碱性溶液中呈黄色。具有一定的光和热稳定性，但容易被还原物质脱色。</w:t>
                  </w:r>
                </w:p>
              </w:tc>
            </w:tr>
            <w:tr w14:paraId="2DC1F8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4" w:hRule="atLeast"/>
                <w:jc w:val="center"/>
              </w:trPr>
              <w:tc>
                <w:tcPr>
                  <w:tcW w:w="659" w:type="pct"/>
                  <w:shd w:val="clear" w:color="auto" w:fill="auto"/>
                  <w:noWrap w:val="0"/>
                  <w:vAlign w:val="center"/>
                </w:tcPr>
                <w:p w14:paraId="2FA04FC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碱性品红乙醇溶液</w:t>
                  </w:r>
                </w:p>
              </w:tc>
              <w:tc>
                <w:tcPr>
                  <w:tcW w:w="4340" w:type="pct"/>
                  <w:shd w:val="clear" w:color="auto" w:fill="auto"/>
                  <w:noWrap w:val="0"/>
                  <w:vAlign w:val="center"/>
                </w:tcPr>
                <w:p w14:paraId="7049B0F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黄绿色闪光结晶块状或砂状物。溶于冷、热水中呈红紫色，极易溶于酒精中呈红色。遇浓硫酸呈黄棕色，稀释后几乎无色。其水溶液加氢氧化钠液呈带有红色沉淀的几乎无色液体。</w:t>
                  </w:r>
                </w:p>
              </w:tc>
            </w:tr>
            <w:tr w14:paraId="0C287E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56" w:hRule="atLeast"/>
                <w:jc w:val="center"/>
              </w:trPr>
              <w:tc>
                <w:tcPr>
                  <w:tcW w:w="659" w:type="pct"/>
                  <w:shd w:val="clear" w:color="auto" w:fill="auto"/>
                  <w:noWrap w:val="0"/>
                  <w:vAlign w:val="center"/>
                </w:tcPr>
                <w:p w14:paraId="1DB4690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碱石灰</w:t>
                  </w:r>
                </w:p>
              </w:tc>
              <w:tc>
                <w:tcPr>
                  <w:tcW w:w="4340" w:type="pct"/>
                  <w:shd w:val="clear" w:color="auto" w:fill="auto"/>
                  <w:noWrap w:val="0"/>
                  <w:vAlign w:val="center"/>
                </w:tcPr>
                <w:p w14:paraId="3A017F4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本品为白色或灰白色颗粒，或含有着色指示剂的颗粒，以显示本品的二氧化碳吸收力。</w:t>
                  </w:r>
                </w:p>
              </w:tc>
            </w:tr>
            <w:tr w14:paraId="0C29BC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384" w:hRule="atLeast"/>
                <w:jc w:val="center"/>
              </w:trPr>
              <w:tc>
                <w:tcPr>
                  <w:tcW w:w="659" w:type="pct"/>
                  <w:shd w:val="clear" w:color="auto" w:fill="auto"/>
                  <w:noWrap w:val="0"/>
                  <w:vAlign w:val="center"/>
                </w:tcPr>
                <w:p w14:paraId="12282CD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三甲胺水溶液</w:t>
                  </w:r>
                </w:p>
              </w:tc>
              <w:tc>
                <w:tcPr>
                  <w:tcW w:w="4340" w:type="pct"/>
                  <w:shd w:val="clear" w:color="auto" w:fill="auto"/>
                  <w:noWrap w:val="0"/>
                  <w:vAlign w:val="center"/>
                </w:tcPr>
                <w:p w14:paraId="5E12A73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本品无水物为无色液化气体。有鱼腥的氨气味。能溶于水、乙醇和乙醚。易燃烧，其蒸气与空气形成爆炸性混合物，爆炸极限为2%～11.6%。自燃点190℃。相对密度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d20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0.632。凝固点-117.1℃。沸点2.9℃。闪点（闭杯）-6.67℃。临界温度161℃。燃烧热2357kj/mol。临界压力4.154kPa。40%三甲胺水溶液的沸点26.</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EAACE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40" w:hRule="atLeast"/>
                <w:jc w:val="center"/>
              </w:trPr>
              <w:tc>
                <w:tcPr>
                  <w:tcW w:w="659" w:type="pct"/>
                  <w:shd w:val="clear" w:color="auto" w:fill="auto"/>
                  <w:noWrap w:val="0"/>
                  <w:vAlign w:val="center"/>
                </w:tcPr>
                <w:p w14:paraId="4980E5C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溴代十六烷基三甲胺</w:t>
                  </w:r>
                </w:p>
              </w:tc>
              <w:tc>
                <w:tcPr>
                  <w:tcW w:w="4340" w:type="pct"/>
                  <w:shd w:val="clear" w:color="auto" w:fill="auto"/>
                  <w:noWrap w:val="0"/>
                  <w:vAlign w:val="center"/>
                </w:tcPr>
                <w:p w14:paraId="1250009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白色为淡黄色的固体或胶状液体。易溶于水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10份水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、乙醇，微溶于丙酮，几乎不溶于醚和苯。耐热、耐光、耐</w:t>
                  </w:r>
                  <w:r>
                    <w:rPr>
                      <w:rFonts w:hint="eastAsia" w:cs="Times New Roman"/>
                      <w:i w:val="0"/>
                      <w:iCs w:val="0"/>
                      <w:color w:val="auto"/>
                      <w:kern w:val="0"/>
                      <w:sz w:val="21"/>
                      <w:szCs w:val="21"/>
                      <w:highlight w:val="none"/>
                      <w:u w:val="none"/>
                      <w:lang w:val="en-US" w:eastAsia="zh-CN" w:bidi="ar"/>
                    </w:rPr>
                    <w:t>强碱</w:t>
                  </w:r>
                  <w:r>
                    <w:rPr>
                      <w:rFonts w:hint="default" w:ascii="Times New Roman" w:hAnsi="Times New Roman" w:eastAsia="宋体" w:cs="Times New Roman"/>
                      <w:i w:val="0"/>
                      <w:iCs w:val="0"/>
                      <w:color w:val="auto"/>
                      <w:kern w:val="0"/>
                      <w:sz w:val="21"/>
                      <w:szCs w:val="21"/>
                      <w:highlight w:val="none"/>
                      <w:u w:val="none"/>
                      <w:lang w:val="en-US" w:eastAsia="zh-CN" w:bidi="ar"/>
                    </w:rPr>
                    <w:t>和耐</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强碱</w:t>
                  </w:r>
                  <w:r>
                    <w:rPr>
                      <w:rFonts w:hint="default" w:ascii="Times New Roman" w:hAnsi="Times New Roman" w:eastAsia="宋体" w:cs="Times New Roman"/>
                      <w:i w:val="0"/>
                      <w:iCs w:val="0"/>
                      <w:color w:val="auto"/>
                      <w:kern w:val="0"/>
                      <w:sz w:val="21"/>
                      <w:szCs w:val="21"/>
                      <w:highlight w:val="none"/>
                      <w:u w:val="none"/>
                      <w:lang w:val="en-US" w:eastAsia="zh-CN" w:bidi="ar"/>
                    </w:rPr>
                    <w:t>。具有优良的表面活性、稳定性和生物降解性。</w:t>
                  </w:r>
                </w:p>
              </w:tc>
            </w:tr>
            <w:tr w14:paraId="697754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19" w:hRule="atLeast"/>
                <w:jc w:val="center"/>
              </w:trPr>
              <w:tc>
                <w:tcPr>
                  <w:tcW w:w="659" w:type="pct"/>
                  <w:shd w:val="clear" w:color="auto" w:fill="auto"/>
                  <w:noWrap w:val="0"/>
                  <w:vAlign w:val="center"/>
                </w:tcPr>
                <w:p w14:paraId="6D1619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液体石蜡</w:t>
                  </w:r>
                </w:p>
              </w:tc>
              <w:tc>
                <w:tcPr>
                  <w:tcW w:w="4340" w:type="pct"/>
                  <w:shd w:val="clear" w:color="auto" w:fill="auto"/>
                  <w:noWrap w:val="0"/>
                  <w:vAlign w:val="center"/>
                </w:tcPr>
                <w:p w14:paraId="213AD3E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无色半透明状液体，无味，无臭，可溶于乙醚、石油醚、挥发油，可与多数非挥发性油混溶（不包括蓖麻油），不溶于水和乙醇。对光、热、酸稳定，但长时间受热或光照会慢慢氧化。</w:t>
                  </w:r>
                </w:p>
              </w:tc>
            </w:tr>
            <w:tr w14:paraId="6E1D41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2F9ABC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甲基异丁基丙酮</w:t>
                  </w:r>
                </w:p>
              </w:tc>
              <w:tc>
                <w:tcPr>
                  <w:tcW w:w="4340" w:type="pct"/>
                  <w:shd w:val="clear" w:color="auto" w:fill="auto"/>
                  <w:noWrap w:val="0"/>
                  <w:vAlign w:val="center"/>
                </w:tcPr>
                <w:p w14:paraId="49676A8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白色或微黄色透明液体，具有芳香味。熔点-44℃，沸点164℃(167.9℃)，72℃(2.67kPa)，63-64℃(1.47kPa)，</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"https://baike.so.com/doc/720555-762868.html"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闪点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13℃，相对密度0.9387(20℃)，折射率1.4232。可溶于水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乙醇</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乙醚和氯仿等，不稳定，与碱作用或在</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"https://baike.so.com/doc/3425855-3605576.html"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常压蒸馏</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时即分解。室温下长期储存易 聚合。</w:t>
                  </w:r>
                </w:p>
              </w:tc>
            </w:tr>
            <w:tr w14:paraId="0397CB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66" w:hRule="atLeast"/>
                <w:jc w:val="center"/>
              </w:trPr>
              <w:tc>
                <w:tcPr>
                  <w:tcW w:w="659" w:type="pct"/>
                  <w:shd w:val="clear" w:color="auto" w:fill="auto"/>
                  <w:noWrap w:val="0"/>
                  <w:vAlign w:val="center"/>
                </w:tcPr>
                <w:p w14:paraId="3F84575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硫代乙酰胺</w:t>
                  </w:r>
                </w:p>
              </w:tc>
              <w:tc>
                <w:tcPr>
                  <w:tcW w:w="4340" w:type="pct"/>
                  <w:shd w:val="clear" w:color="auto" w:fill="auto"/>
                  <w:noWrap w:val="0"/>
                  <w:vAlign w:val="center"/>
                </w:tcPr>
                <w:p w14:paraId="07D0585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结晶。熔点113-114℃，25℃水中的溶解度16.3g/100ml，乙醇26.4g/100ml。极微溶于苯、乙醚。其水溶液在室温或50-60℃时相当稳定，但当有氢离子存在时，很快产生硫代氢而分解。新制品有时有硫醇臭、微吸潮。</w:t>
                  </w:r>
                </w:p>
              </w:tc>
            </w:tr>
            <w:tr w14:paraId="33E1B4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68C2D2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甲醛试剂纯度40%</w:t>
                  </w:r>
                </w:p>
              </w:tc>
              <w:tc>
                <w:tcPr>
                  <w:tcW w:w="4340" w:type="pct"/>
                  <w:shd w:val="clear" w:color="auto" w:fill="auto"/>
                  <w:noWrap w:val="0"/>
                  <w:vAlign w:val="center"/>
                </w:tcPr>
                <w:p w14:paraId="0BC024C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能与水、乙醇、丙酮任意混溶。在空气中能逐渐被氧化为甲酸，是强还原剂。其蒸气与空气形成爆炸性混合物，遇明火、高热能引起燃烧爆炸。在一般商品中，都加入10%～12%的甲醇作为抑制剂，否则会发生聚合。</w:t>
                  </w:r>
                </w:p>
              </w:tc>
            </w:tr>
            <w:tr w14:paraId="6C701B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014BA1D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对二甲氨基苯甲醛</w:t>
                  </w:r>
                </w:p>
              </w:tc>
              <w:tc>
                <w:tcPr>
                  <w:tcW w:w="4340" w:type="pct"/>
                  <w:shd w:val="clear" w:color="auto" w:fill="auto"/>
                  <w:noWrap w:val="0"/>
                  <w:vAlign w:val="center"/>
                </w:tcPr>
                <w:p w14:paraId="005C340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白色或淡黄色叶状结晶或粉末。熔点74℃，沸点176-177℃（2.27kPa），闪点164℃。溶于醇、醚、丙酮、氯仿和乙酸，微溶于水。有苯甲醛样气味，遇光渐变红色。</w:t>
                  </w:r>
                </w:p>
              </w:tc>
            </w:tr>
            <w:tr w14:paraId="518DF2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179" w:hRule="atLeast"/>
                <w:jc w:val="center"/>
              </w:trPr>
              <w:tc>
                <w:tcPr>
                  <w:tcW w:w="659" w:type="pct"/>
                  <w:shd w:val="clear" w:color="auto" w:fill="auto"/>
                  <w:noWrap w:val="0"/>
                  <w:vAlign w:val="center"/>
                </w:tcPr>
                <w:p w14:paraId="50873AC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四氯化碳</w:t>
                  </w:r>
                </w:p>
              </w:tc>
              <w:tc>
                <w:tcPr>
                  <w:tcW w:w="4340" w:type="pct"/>
                  <w:shd w:val="clear" w:color="auto" w:fill="auto"/>
                  <w:noWrap w:val="0"/>
                  <w:vAlign w:val="center"/>
                </w:tcPr>
                <w:p w14:paraId="60D6170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四氯化碳是一种无色有毒液体，能溶解脂肪、油漆等多种物质，易挥发液体，具氯仿的微甜气味。分子量153.84，在常温常压下密度1.595g/cm³(20℃)，沸点76.8℃，蒸气压15.26kPa(25℃)，蒸气密度5.3g/L。四氯化碳与水互不相溶，可与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"https://baike.so.com/doc/1041070-1101158.html"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、氯仿及</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"https://baike.so.com/doc/721112-763466.html"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石油醚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等混溶。</w:t>
                  </w:r>
                </w:p>
              </w:tc>
            </w:tr>
            <w:tr w14:paraId="7D835C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7B84720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三乙胺纯度99%</w:t>
                  </w:r>
                </w:p>
              </w:tc>
              <w:tc>
                <w:tcPr>
                  <w:tcW w:w="4340" w:type="pct"/>
                  <w:shd w:val="clear" w:color="auto" w:fill="auto"/>
                  <w:noWrap w:val="0"/>
                  <w:vAlign w:val="center"/>
                </w:tcPr>
                <w:p w14:paraId="29845E9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挥发液体，有强烈氨味，易燃。微溶于水，溶于乙醇、乙醚等多数有机溶剂。在空气中的爆炸极限为1.2%～8.0%。呈碱性。其蒸气与空气形成爆炸性混合物，遇明火、高热能引起燃烧爆炸。与氧化剂能发生强烈反应。</w:t>
                  </w:r>
                </w:p>
              </w:tc>
            </w:tr>
            <w:tr w14:paraId="793C0C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47" w:hRule="atLeast"/>
                <w:jc w:val="center"/>
              </w:trPr>
              <w:tc>
                <w:tcPr>
                  <w:tcW w:w="659" w:type="pct"/>
                  <w:shd w:val="clear" w:color="auto" w:fill="auto"/>
                  <w:noWrap w:val="0"/>
                  <w:vAlign w:val="center"/>
                </w:tcPr>
                <w:p w14:paraId="5C68690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1,3-二苯基脲</w:t>
                  </w:r>
                </w:p>
              </w:tc>
              <w:tc>
                <w:tcPr>
                  <w:tcW w:w="4340" w:type="pct"/>
                  <w:shd w:val="clear" w:color="auto" w:fill="auto"/>
                  <w:noWrap w:val="0"/>
                  <w:vAlign w:val="center"/>
                </w:tcPr>
                <w:p w14:paraId="7748AB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w:t>
                  </w:r>
                  <w:r>
                    <w:rPr>
                      <w:rFonts w:hint="eastAsia" w:cs="Times New Roman"/>
                      <w:i w:val="0"/>
                      <w:iCs w:val="0"/>
                      <w:color w:val="auto"/>
                      <w:kern w:val="0"/>
                      <w:sz w:val="21"/>
                      <w:szCs w:val="21"/>
                      <w:highlight w:val="none"/>
                      <w:u w:val="none"/>
                      <w:lang w:val="en-US" w:eastAsia="zh-CN" w:bidi="ar"/>
                    </w:rPr>
                    <w:t>菱</w:t>
                  </w:r>
                  <w:r>
                    <w:rPr>
                      <w:rFonts w:hint="default" w:ascii="Times New Roman" w:hAnsi="Times New Roman" w:eastAsia="宋体" w:cs="Times New Roman"/>
                      <w:i w:val="0"/>
                      <w:iCs w:val="0"/>
                      <w:color w:val="auto"/>
                      <w:kern w:val="0"/>
                      <w:sz w:val="21"/>
                      <w:szCs w:val="21"/>
                      <w:highlight w:val="none"/>
                      <w:u w:val="none"/>
                      <w:lang w:val="en-US" w:eastAsia="zh-CN" w:bidi="ar"/>
                    </w:rPr>
                    <w:t>状体结晶。熔点239-240℃，沸点260℃，相对密度1.239。溶于冰醋酸、乙醚、微溶于吡啶，极微溶于水、醇、丙酮和氯仿。</w:t>
                  </w:r>
                </w:p>
              </w:tc>
            </w:tr>
            <w:tr w14:paraId="0F975A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64" w:hRule="atLeast"/>
                <w:jc w:val="center"/>
              </w:trPr>
              <w:tc>
                <w:tcPr>
                  <w:tcW w:w="659" w:type="pct"/>
                  <w:shd w:val="clear" w:color="auto" w:fill="auto"/>
                  <w:noWrap w:val="0"/>
                  <w:vAlign w:val="center"/>
                </w:tcPr>
                <w:p w14:paraId="373DDCE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甲酸钠</w:t>
                  </w:r>
                </w:p>
              </w:tc>
              <w:tc>
                <w:tcPr>
                  <w:tcW w:w="4340" w:type="pct"/>
                  <w:shd w:val="clear" w:color="auto" w:fill="auto"/>
                  <w:noWrap w:val="0"/>
                  <w:vAlign w:val="center"/>
                </w:tcPr>
                <w:p w14:paraId="678AEBA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无色结晶。微有甲酸气味。有潮解性。微溶于乙醇。其水溶液呈中性，pH值约为7。</w:t>
                  </w:r>
                </w:p>
              </w:tc>
            </w:tr>
            <w:tr w14:paraId="014677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22" w:hRule="atLeast"/>
                <w:jc w:val="center"/>
              </w:trPr>
              <w:tc>
                <w:tcPr>
                  <w:tcW w:w="659" w:type="pct"/>
                  <w:shd w:val="clear" w:color="auto" w:fill="auto"/>
                  <w:noWrap w:val="0"/>
                  <w:vAlign w:val="center"/>
                </w:tcPr>
                <w:p w14:paraId="537E0D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丙烯基硫脲</w:t>
                  </w:r>
                </w:p>
              </w:tc>
              <w:tc>
                <w:tcPr>
                  <w:tcW w:w="4340" w:type="pct"/>
                  <w:shd w:val="clear" w:color="auto" w:fill="auto"/>
                  <w:noWrap w:val="0"/>
                  <w:vAlign w:val="center"/>
                </w:tcPr>
                <w:p w14:paraId="2BE54A8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白色结晶。微有蒜臭味。能溶于30份水，溶于乙醇。溶解度：67g/l水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 1370g/l甲醇；不溶于苯，溶于乙醚，硼酸、苯甲酸和聚氨酯溶液；微溶于70%乙醇。</w:t>
                  </w:r>
                </w:p>
              </w:tc>
            </w:tr>
            <w:tr w14:paraId="6B4C3E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7C2F4F7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乙撑</w:t>
                  </w:r>
                  <w:r>
                    <w:rPr>
                      <w:rFonts w:hint="default" w:ascii="Times New Roman" w:hAnsi="Times New Roman" w:cs="Times New Roman"/>
                      <w:color w:val="auto"/>
                      <w:kern w:val="0"/>
                      <w:sz w:val="21"/>
                      <w:szCs w:val="21"/>
                      <w:highlight w:val="none"/>
                      <w:lang w:val="en-US" w:eastAsia="zh-CN" w:bidi="ar"/>
                    </w:rPr>
                    <w:t>硫脲</w:t>
                  </w:r>
                </w:p>
              </w:tc>
              <w:tc>
                <w:tcPr>
                  <w:tcW w:w="4340" w:type="pct"/>
                  <w:shd w:val="clear" w:color="auto" w:fill="auto"/>
                  <w:noWrap w:val="0"/>
                  <w:vAlign w:val="center"/>
                </w:tcPr>
                <w:p w14:paraId="519A6A4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白色至淡绿色晶体，具有微弱的氨臭。微溶于冷水，易溶于热水，在室温下微溶于乙醇、甲醇、醋酸和汽油中，不溶于丙酮、乙醚和氯仿中。</w:t>
                  </w:r>
                </w:p>
              </w:tc>
            </w:tr>
            <w:tr w14:paraId="43CFCA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485B0C1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乙醇胺</w:t>
                  </w:r>
                </w:p>
              </w:tc>
              <w:tc>
                <w:tcPr>
                  <w:tcW w:w="4340" w:type="pct"/>
                  <w:shd w:val="clear" w:color="auto" w:fill="auto"/>
                  <w:noWrap w:val="0"/>
                  <w:vAlign w:val="center"/>
                </w:tcPr>
                <w:p w14:paraId="30E918E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常温下为无色透明黏稠的液体，具有吸湿性和氨臭味。能与水、乙醇和丙酮等混溶，微溶于苯、乙醚、四氯化碳、乙醇和氯仿。与硫酸、硝酸、盐酸等强酸发生剧烈反应。与无机酸和有机酸反应生成酯；可燃，遇高温、明火或与氧化剂接触时有燃烧的危险性。</w:t>
                  </w:r>
                </w:p>
              </w:tc>
            </w:tr>
            <w:tr w14:paraId="61AF5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6207BB6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三乙醇胺</w:t>
                  </w:r>
                </w:p>
              </w:tc>
              <w:tc>
                <w:tcPr>
                  <w:tcW w:w="4340" w:type="pct"/>
                  <w:shd w:val="clear" w:color="auto" w:fill="auto"/>
                  <w:noWrap w:val="0"/>
                  <w:vAlign w:val="center"/>
                </w:tcPr>
                <w:p w14:paraId="74B28EA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在常温下为无色透明黏稠液体，有轻微的氨味。具有吸湿性，可以吸收空气中的水分和二氧化碳。能与水和醇任意混合，溶于氯仿，微</w:t>
                  </w:r>
                  <w:r>
                    <w:rPr>
                      <w:rFonts w:hint="eastAsia" w:cs="Times New Roman"/>
                      <w:i w:val="0"/>
                      <w:iCs w:val="0"/>
                      <w:color w:val="auto"/>
                      <w:kern w:val="0"/>
                      <w:sz w:val="21"/>
                      <w:szCs w:val="21"/>
                      <w:highlight w:val="none"/>
                      <w:u w:val="none"/>
                      <w:lang w:val="en-US" w:eastAsia="zh-CN" w:bidi="ar"/>
                    </w:rPr>
                    <w:t>溶于</w:t>
                  </w:r>
                  <w:r>
                    <w:rPr>
                      <w:rFonts w:hint="default" w:ascii="Times New Roman" w:hAnsi="Times New Roman" w:eastAsia="宋体" w:cs="Times New Roman"/>
                      <w:i w:val="0"/>
                      <w:iCs w:val="0"/>
                      <w:color w:val="auto"/>
                      <w:kern w:val="0"/>
                      <w:sz w:val="21"/>
                      <w:szCs w:val="21"/>
                      <w:highlight w:val="none"/>
                      <w:u w:val="none"/>
                      <w:lang w:val="en-US" w:eastAsia="zh-CN" w:bidi="ar"/>
                    </w:rPr>
                    <w:t>苯和醚。0.1mol/L溶液的pH为10.5。遇高热、明火或与氧化剂接触，有引起燃烧的危险。其水溶液有腐蚀性。</w:t>
                  </w:r>
                </w:p>
              </w:tc>
            </w:tr>
            <w:tr w14:paraId="4BF3C64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29E150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弗洛里硅土</w:t>
                  </w:r>
                </w:p>
              </w:tc>
              <w:tc>
                <w:tcPr>
                  <w:tcW w:w="4340" w:type="pct"/>
                  <w:shd w:val="clear" w:color="auto" w:fill="auto"/>
                  <w:noWrap w:val="0"/>
                  <w:vAlign w:val="center"/>
                </w:tcPr>
                <w:p w14:paraId="68D02EB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合成的硅酸镁，其组成可有所不同，但氧化镁</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MgO</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和二氧化硅</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SiO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的摩尔比平均为2</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5。白色细粉，无臭，无味，无沙砾感。略有吸湿性。易受无机酸分解。10%混悬液的pH值为7.0～10.8。不溶于水和乙醇。</w:t>
                  </w:r>
                </w:p>
              </w:tc>
            </w:tr>
            <w:tr w14:paraId="1EE062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34" w:hRule="atLeast"/>
                <w:jc w:val="center"/>
              </w:trPr>
              <w:tc>
                <w:tcPr>
                  <w:tcW w:w="659" w:type="pct"/>
                  <w:shd w:val="clear" w:color="auto" w:fill="auto"/>
                  <w:noWrap w:val="0"/>
                  <w:vAlign w:val="center"/>
                </w:tcPr>
                <w:p w14:paraId="450BC5D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硫酸氢钾</w:t>
                  </w:r>
                </w:p>
              </w:tc>
              <w:tc>
                <w:tcPr>
                  <w:tcW w:w="4340" w:type="pct"/>
                  <w:shd w:val="clear" w:color="auto" w:fill="auto"/>
                  <w:noWrap w:val="0"/>
                  <w:vAlign w:val="center"/>
                </w:tcPr>
                <w:p w14:paraId="19AF406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硫酸氢钾是一种白色结晶固体，在常温下易溶于水。其溶液呈强酸性，可以腐蚀金属、皮肤和眼睛。在高温下可以失水结晶，生成硫酸钾。</w:t>
                  </w:r>
                </w:p>
              </w:tc>
            </w:tr>
            <w:tr w14:paraId="72CC142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noWrap w:val="0"/>
                  <w:vAlign w:val="center"/>
                </w:tcPr>
                <w:p w14:paraId="0EE4C32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二水硝普酸钠</w:t>
                  </w:r>
                </w:p>
              </w:tc>
              <w:tc>
                <w:tcPr>
                  <w:tcW w:w="4340" w:type="pct"/>
                  <w:shd w:val="clear" w:color="auto" w:fill="auto"/>
                  <w:noWrap w:val="0"/>
                  <w:vAlign w:val="center"/>
                </w:tcPr>
                <w:p w14:paraId="6AE0C21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亚硝基铁氰化钠</w:t>
                  </w:r>
                  <w:r>
                    <w:rPr>
                      <w:rFonts w:hint="default" w:ascii="Times New Roman" w:hAnsi="Times New Roman" w:eastAsia="宋体" w:cs="Times New Roman"/>
                      <w:i w:val="0"/>
                      <w:iCs w:val="0"/>
                      <w:color w:val="auto"/>
                      <w:kern w:val="0"/>
                      <w:sz w:val="21"/>
                      <w:szCs w:val="21"/>
                      <w:highlight w:val="none"/>
                      <w:u w:val="none"/>
                      <w:lang w:val="en-US" w:eastAsia="zh-CN" w:bidi="ar"/>
                    </w:rPr>
                    <w:t>是无色结晶体，常以无水盐的形式存在。在干燥条件下相对稳定，但不稳定于潮湿的空气中。易溶于水，但不溶于有机溶剂。</w:t>
                  </w:r>
                </w:p>
              </w:tc>
            </w:tr>
            <w:tr w14:paraId="480122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5C25204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柠檬酸钠</w:t>
                  </w:r>
                </w:p>
              </w:tc>
              <w:tc>
                <w:tcPr>
                  <w:tcW w:w="4340" w:type="pct"/>
                  <w:shd w:val="clear" w:color="auto" w:fill="auto"/>
                  <w:noWrap w:val="0"/>
                  <w:vAlign w:val="center"/>
                </w:tcPr>
                <w:p w14:paraId="5B9BB30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别名枸橼酸钠，是一种有机化合物，外观为白色到无色</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"https://baike.so.com/doc/191492-202333.html"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晶体</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。无臭</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有清凉咸辣味。常温及空气中稳定</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在湿空气中微有溶解性</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在热空气中产生风化现象。加热至150℃失去结晶水。易溶于水、可溶于甘油、难溶于醇类及其他有机溶剂，过热分解，在潮湿的环境中微有潮解，在热空气中微有风化，其溶液pH值约为8。</w:t>
                  </w:r>
                </w:p>
              </w:tc>
            </w:tr>
            <w:tr w14:paraId="2A02EA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109907D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锌粒（易制爆）</w:t>
                  </w:r>
                </w:p>
              </w:tc>
              <w:tc>
                <w:tcPr>
                  <w:tcW w:w="4340" w:type="pct"/>
                  <w:shd w:val="clear" w:color="auto" w:fill="auto"/>
                  <w:noWrap w:val="0"/>
                  <w:vAlign w:val="center"/>
                </w:tcPr>
                <w:p w14:paraId="70D794F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锌为蓝白色金属（紧密堆积六方晶系）。粉末为浅灰色的细小粉末。熔点419. 58℃。沸点907℃。相对密度7.14。蒸汽压0.13kPa(487℃)。溶于无机酸、碱、醋酸，不溶于水。</w:t>
                  </w:r>
                </w:p>
              </w:tc>
            </w:tr>
            <w:tr w14:paraId="17D51F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4CFFD64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酒石酸</w:t>
                  </w:r>
                </w:p>
              </w:tc>
              <w:tc>
                <w:tcPr>
                  <w:tcW w:w="4340" w:type="pct"/>
                  <w:shd w:val="clear" w:color="auto" w:fill="auto"/>
                  <w:noWrap w:val="0"/>
                  <w:vAlign w:val="center"/>
                </w:tcPr>
                <w:p w14:paraId="276EED5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酒石酸是无色结晶性固体，在水中溶解度较高。它具有酸性，可与碱反应生成相应的盐。它可与一些金属离子形成配合物，具有稳定性。酒石酸在空气中稳定，不易受到氧化。</w:t>
                  </w:r>
                </w:p>
              </w:tc>
            </w:tr>
            <w:tr w14:paraId="5E9C9A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40" w:hRule="atLeast"/>
                <w:jc w:val="center"/>
              </w:trPr>
              <w:tc>
                <w:tcPr>
                  <w:tcW w:w="659" w:type="pct"/>
                  <w:shd w:val="clear" w:color="auto" w:fill="auto"/>
                  <w:noWrap w:val="0"/>
                  <w:vAlign w:val="center"/>
                </w:tcPr>
                <w:p w14:paraId="00456B6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酒石酸锑氢钾</w:t>
                  </w:r>
                </w:p>
              </w:tc>
              <w:tc>
                <w:tcPr>
                  <w:tcW w:w="4340" w:type="pct"/>
                  <w:shd w:val="clear" w:color="auto" w:fill="auto"/>
                  <w:noWrap w:val="0"/>
                  <w:vAlign w:val="center"/>
                </w:tcPr>
                <w:p w14:paraId="19EBC48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无色或白色结晶性粉末。相对Density1.984。易溶于稀无机酸、碱溶液或硼砂溶液。不溶于乙醇或乙酸。</w:t>
                  </w:r>
                </w:p>
              </w:tc>
            </w:tr>
            <w:tr w14:paraId="16177B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90" w:hRule="atLeast"/>
                <w:jc w:val="center"/>
              </w:trPr>
              <w:tc>
                <w:tcPr>
                  <w:tcW w:w="659" w:type="pct"/>
                  <w:shd w:val="clear" w:color="auto" w:fill="auto"/>
                  <w:noWrap w:val="0"/>
                  <w:vAlign w:val="center"/>
                </w:tcPr>
                <w:p w14:paraId="31E194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酒石酸锑钾</w:t>
                  </w:r>
                </w:p>
              </w:tc>
              <w:tc>
                <w:tcPr>
                  <w:tcW w:w="4340" w:type="pct"/>
                  <w:shd w:val="clear" w:color="auto" w:fill="auto"/>
                  <w:noWrap w:val="0"/>
                  <w:vAlign w:val="center"/>
                </w:tcPr>
                <w:p w14:paraId="6F8DBEA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本品为无色透明结晶体或白色粉末。相对密度2.607。</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α</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D20为141°。在空气中会慢慢风化。100℃失去结晶水。溶于水及甘油。不溶于酒精。水溶液呈弱碱性。遇单宁酸生成白色沉淀。</w:t>
                  </w:r>
                </w:p>
              </w:tc>
            </w:tr>
            <w:tr w14:paraId="6AE4D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15" w:hRule="atLeast"/>
                <w:jc w:val="center"/>
              </w:trPr>
              <w:tc>
                <w:tcPr>
                  <w:tcW w:w="659" w:type="pct"/>
                  <w:shd w:val="clear" w:color="auto" w:fill="auto"/>
                  <w:noWrap w:val="0"/>
                  <w:vAlign w:val="center"/>
                </w:tcPr>
                <w:p w14:paraId="698AFA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酒石酸钾钠</w:t>
                  </w:r>
                </w:p>
              </w:tc>
              <w:tc>
                <w:tcPr>
                  <w:tcW w:w="4340" w:type="pct"/>
                  <w:shd w:val="clear" w:color="auto" w:fill="auto"/>
                  <w:noWrap w:val="0"/>
                  <w:vAlign w:val="center"/>
                </w:tcPr>
                <w:p w14:paraId="5BFCFD7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bookmarkStart w:id="42" w:name="2677610-7125003-3_2"/>
                  <w:bookmarkEnd w:id="42"/>
                  <w:r>
                    <w:rPr>
                      <w:rFonts w:hint="default" w:ascii="Times New Roman" w:hAnsi="Times New Roman" w:eastAsia="宋体" w:cs="Times New Roman"/>
                      <w:i w:val="0"/>
                      <w:iCs w:val="0"/>
                      <w:color w:val="auto"/>
                      <w:kern w:val="0"/>
                      <w:sz w:val="21"/>
                      <w:szCs w:val="21"/>
                      <w:highlight w:val="none"/>
                      <w:u w:val="none"/>
                      <w:lang w:val="en-US" w:eastAsia="zh-CN" w:bidi="ar"/>
                    </w:rPr>
                    <w:t>四水物为白色结晶粉末。60℃开始失去部分结晶水，100℃时失去三分子结晶水，130～140℃时变为无水物，220℃开始分解。溶于0.9份水中，几乎不溶于乙醇，水溶液呈微碱性pH为7～8。在热空气中稍有风化性。</w:t>
                  </w:r>
                </w:p>
              </w:tc>
            </w:tr>
            <w:tr w14:paraId="205EE1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7" w:hRule="atLeast"/>
                <w:jc w:val="center"/>
              </w:trPr>
              <w:tc>
                <w:tcPr>
                  <w:tcW w:w="659" w:type="pct"/>
                  <w:shd w:val="clear" w:color="auto" w:fill="auto"/>
                  <w:noWrap w:val="0"/>
                  <w:vAlign w:val="center"/>
                </w:tcPr>
                <w:p w14:paraId="64F4DC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尿素</w:t>
                  </w:r>
                </w:p>
              </w:tc>
              <w:tc>
                <w:tcPr>
                  <w:tcW w:w="4340" w:type="pct"/>
                  <w:shd w:val="clear" w:color="auto" w:fill="auto"/>
                  <w:noWrap w:val="0"/>
                  <w:vAlign w:val="center"/>
                </w:tcPr>
                <w:p w14:paraId="3984E29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白色柱状结晶或结晶性粉末。lg该品溶于1mL水、10mL 95%乙醇、1mL 95%沸乙醇、20mL无水乙醇、6mL甲醇、2mL甘油，溶于浓盐酸，几乎不溶于乙醚、三氯甲烷。加热至熔点以上时分解成缩二脲、氨和三聚氰酸。</w:t>
                  </w:r>
                </w:p>
              </w:tc>
            </w:tr>
            <w:tr w14:paraId="4F8A7B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27" w:hRule="atLeast"/>
                <w:jc w:val="center"/>
              </w:trPr>
              <w:tc>
                <w:tcPr>
                  <w:tcW w:w="659" w:type="pct"/>
                  <w:shd w:val="clear" w:color="auto" w:fill="auto"/>
                  <w:noWrap w:val="0"/>
                  <w:vAlign w:val="center"/>
                </w:tcPr>
                <w:p w14:paraId="02627B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焦磷酸钠</w:t>
                  </w:r>
                </w:p>
              </w:tc>
              <w:tc>
                <w:tcPr>
                  <w:tcW w:w="4340" w:type="pct"/>
                  <w:shd w:val="clear" w:color="auto" w:fill="auto"/>
                  <w:noWrap w:val="0"/>
                  <w:vAlign w:val="center"/>
                </w:tcPr>
                <w:p w14:paraId="3528B86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白色粉状或结晶。相对密度2.534，熔点880℃，沸点938℃。无色透明结晶或白色结晶粉末。易溶于水，20℃时100g水中的溶解度为6.23，其水溶液呈碱性</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不溶于醇。水溶液在70℃以下尚稳定，煮沸则水解成磷酸氢二钠。在干燥空气中风化，在100℃失去结晶水。在空气中易吸收水分而潮解。与碱土金属离子能生成络合物</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与Ag+相遇时生成白色的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"https://baike.so.com/doc/1023184-1082166.html"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焦磷酸银</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22FFF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2" w:hRule="atLeast"/>
                <w:jc w:val="center"/>
              </w:trPr>
              <w:tc>
                <w:tcPr>
                  <w:tcW w:w="659" w:type="pct"/>
                  <w:shd w:val="clear" w:color="auto" w:fill="auto"/>
                  <w:noWrap w:val="0"/>
                  <w:vAlign w:val="center"/>
                </w:tcPr>
                <w:p w14:paraId="55F4FF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磷酸氢二钠</w:t>
                  </w:r>
                </w:p>
              </w:tc>
              <w:tc>
                <w:tcPr>
                  <w:tcW w:w="4340" w:type="pct"/>
                  <w:shd w:val="clear" w:color="auto" w:fill="auto"/>
                  <w:noWrap w:val="0"/>
                  <w:vAlign w:val="center"/>
                </w:tcPr>
                <w:p w14:paraId="375F57B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白色粉末、片状或粒状物。易溶于水，其水溶液呈碱性；不溶于醇。易潮解。暴露在潮湿空气中吸收水分生成二水物至七水物。</w:t>
                  </w:r>
                </w:p>
              </w:tc>
            </w:tr>
            <w:tr w14:paraId="517074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07" w:hRule="atLeast"/>
                <w:jc w:val="center"/>
              </w:trPr>
              <w:tc>
                <w:tcPr>
                  <w:tcW w:w="659" w:type="pct"/>
                  <w:shd w:val="clear" w:color="auto" w:fill="auto"/>
                  <w:noWrap w:val="0"/>
                  <w:vAlign w:val="center"/>
                </w:tcPr>
                <w:p w14:paraId="3422F6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七水合磷酸氢二钠</w:t>
                  </w:r>
                </w:p>
              </w:tc>
              <w:tc>
                <w:tcPr>
                  <w:tcW w:w="4340" w:type="pct"/>
                  <w:shd w:val="clear" w:color="auto" w:fill="auto"/>
                  <w:noWrap w:val="0"/>
                  <w:vAlign w:val="center"/>
                </w:tcPr>
                <w:p w14:paraId="17C28A7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磷酸氢二钠七水合物为无色结晶固体。可溶于水，溶解度随温度升高而增加。溶液呈碱性，pH值较高。对热和光较稳定。</w:t>
                  </w:r>
                </w:p>
              </w:tc>
            </w:tr>
            <w:tr w14:paraId="22A099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4" w:hRule="atLeast"/>
                <w:jc w:val="center"/>
              </w:trPr>
              <w:tc>
                <w:tcPr>
                  <w:tcW w:w="659" w:type="pct"/>
                  <w:shd w:val="clear" w:color="auto" w:fill="auto"/>
                  <w:vAlign w:val="center"/>
                </w:tcPr>
                <w:p w14:paraId="7FFC4C9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聚乙烯醇磷酸铵</w:t>
                  </w:r>
                </w:p>
              </w:tc>
              <w:tc>
                <w:tcPr>
                  <w:tcW w:w="4340" w:type="pct"/>
                  <w:shd w:val="clear" w:color="auto" w:fill="auto"/>
                  <w:vAlign w:val="center"/>
                </w:tcPr>
                <w:p w14:paraId="3B084ED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聚乙烯醇磷酸铵为无色或微黄色固体，具有良好的溶解性和吸湿性。它在水中可溶解，可形成胶体溶液，也溶于醇、酮和酸性溶液中。</w:t>
                  </w:r>
                </w:p>
              </w:tc>
            </w:tr>
            <w:tr w14:paraId="329BB5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9337A8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磷酸二氢铵</w:t>
                  </w:r>
                </w:p>
              </w:tc>
              <w:tc>
                <w:tcPr>
                  <w:tcW w:w="4340" w:type="pct"/>
                  <w:shd w:val="clear" w:color="auto" w:fill="auto"/>
                  <w:vAlign w:val="center"/>
                </w:tcPr>
                <w:p w14:paraId="6F31AFA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磷酸二氢铵为无色透明的正方晶系粗大或细小晶体。相对密度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19℃</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1.803，熔点150℃。易溶于水，微溶于醇，不溶于酮。在空气中稳定，加热到100～110℃不会失去氨；加热到130℃以上时开始分解，并逐步放出氨和水，生成偏磷酸铵和磷酸的混合物。其水溶液呈酸性，1%溶液的pH值为4.5。</w:t>
                  </w:r>
                </w:p>
              </w:tc>
            </w:tr>
            <w:tr w14:paraId="613CBD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182E8B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氯乙烯</w:t>
                  </w:r>
                </w:p>
              </w:tc>
              <w:tc>
                <w:tcPr>
                  <w:tcW w:w="4340" w:type="pct"/>
                  <w:shd w:val="clear" w:color="auto" w:fill="auto"/>
                  <w:vAlign w:val="center"/>
                </w:tcPr>
                <w:p w14:paraId="7F33D87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无色易液化气体。具有醚臭。微溶于水。水中溶解度（%，体积）：0℃0.81；10℃0.57；20℃0.29。溶于乙醇、乙醚、四氯化碳、苯。液体相对密度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0.9106。沸点-13.8℃。熔点-153.8℃。蒸气压</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337.3kPa。折射率1.4046。闪点</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闭杯）</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17.8℃。自燃点472℃。爆炸极限</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在空气中）3.6%～26. 4%</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体积）。可发生聚合、共聚、加成、缩合、取代等反应，生产出多种产品。</w:t>
                  </w:r>
                </w:p>
              </w:tc>
            </w:tr>
            <w:tr w14:paraId="167475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62A5AE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水杨酸</w:t>
                  </w:r>
                </w:p>
              </w:tc>
              <w:tc>
                <w:tcPr>
                  <w:tcW w:w="4340" w:type="pct"/>
                  <w:shd w:val="clear" w:color="auto" w:fill="auto"/>
                  <w:vAlign w:val="center"/>
                </w:tcPr>
                <w:p w14:paraId="3B7F654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白色针状结晶或单斜</w:t>
                  </w:r>
                  <w:r>
                    <w:rPr>
                      <w:rFonts w:hint="eastAsia" w:cs="Times New Roman"/>
                      <w:i w:val="0"/>
                      <w:iCs w:val="0"/>
                      <w:color w:val="auto"/>
                      <w:kern w:val="0"/>
                      <w:sz w:val="21"/>
                      <w:szCs w:val="21"/>
                      <w:highlight w:val="none"/>
                      <w:u w:val="none"/>
                      <w:lang w:val="en-US" w:eastAsia="zh-CN" w:bidi="ar"/>
                    </w:rPr>
                    <w:t>菱</w:t>
                  </w:r>
                  <w:r>
                    <w:rPr>
                      <w:rFonts w:hint="default" w:ascii="Times New Roman" w:hAnsi="Times New Roman" w:eastAsia="宋体" w:cs="Times New Roman"/>
                      <w:i w:val="0"/>
                      <w:iCs w:val="0"/>
                      <w:color w:val="auto"/>
                      <w:kern w:val="0"/>
                      <w:sz w:val="21"/>
                      <w:szCs w:val="21"/>
                      <w:highlight w:val="none"/>
                      <w:u w:val="none"/>
                      <w:lang w:val="en-US" w:eastAsia="zh-CN" w:bidi="ar"/>
                    </w:rPr>
                    <w:t>晶，有辛辣味。易燃。低毒。在空气中稳定，但遇光渐渐改变颜色。熔点159℃。相对密度1.443。沸点211℃。在76℃时升华。微溶于水，溶于丙酮、松节油、乙醇、乙醚、苯和氯仿。其水溶液呈酸性反应。</w:t>
                  </w:r>
                </w:p>
              </w:tc>
            </w:tr>
            <w:tr w14:paraId="13EED8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60E68CC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水杨基</w:t>
                  </w:r>
                  <w:r>
                    <w:rPr>
                      <w:rFonts w:hint="eastAsia" w:cs="Times New Roman"/>
                      <w:color w:val="auto"/>
                      <w:kern w:val="0"/>
                      <w:sz w:val="21"/>
                      <w:szCs w:val="21"/>
                      <w:highlight w:val="none"/>
                      <w:shd w:val="clear" w:fill="FFFFFF"/>
                      <w:lang w:val="en-US" w:eastAsia="zh-CN" w:bidi="ar"/>
                    </w:rPr>
                    <w:t>萤光</w:t>
                  </w:r>
                  <w:r>
                    <w:rPr>
                      <w:rFonts w:hint="default" w:ascii="Times New Roman" w:hAnsi="Times New Roman" w:cs="Times New Roman"/>
                      <w:color w:val="auto"/>
                      <w:kern w:val="0"/>
                      <w:sz w:val="21"/>
                      <w:szCs w:val="21"/>
                      <w:highlight w:val="none"/>
                      <w:lang w:val="en-US" w:eastAsia="zh-CN" w:bidi="ar"/>
                    </w:rPr>
                    <w:t>酮</w:t>
                  </w:r>
                </w:p>
              </w:tc>
              <w:tc>
                <w:tcPr>
                  <w:tcW w:w="4340" w:type="pct"/>
                  <w:shd w:val="clear" w:color="auto" w:fill="auto"/>
                  <w:vAlign w:val="center"/>
                </w:tcPr>
                <w:p w14:paraId="0690C00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水杨基荧光酮是一种有机化合物。它是一种淡黄色至黄色固体，可溶于有机溶剂如乙醇和氯仿。具有荧光性质，可在</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紫外光</w:t>
                  </w:r>
                  <w:r>
                    <w:rPr>
                      <w:rFonts w:hint="default" w:ascii="Times New Roman" w:hAnsi="Times New Roman" w:eastAsia="宋体" w:cs="Times New Roman"/>
                      <w:i w:val="0"/>
                      <w:iCs w:val="0"/>
                      <w:color w:val="auto"/>
                      <w:kern w:val="0"/>
                      <w:sz w:val="21"/>
                      <w:szCs w:val="21"/>
                      <w:highlight w:val="none"/>
                      <w:u w:val="none"/>
                      <w:lang w:val="en-US" w:eastAsia="zh-CN" w:bidi="ar"/>
                    </w:rPr>
                    <w:t>或蓝光激发下发出黄绿色荧光。</w:t>
                  </w:r>
                </w:p>
              </w:tc>
            </w:tr>
            <w:tr w14:paraId="2E99F7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23" w:hRule="atLeast"/>
                <w:jc w:val="center"/>
              </w:trPr>
              <w:tc>
                <w:tcPr>
                  <w:tcW w:w="659" w:type="pct"/>
                  <w:shd w:val="clear" w:color="auto" w:fill="auto"/>
                  <w:vAlign w:val="center"/>
                </w:tcPr>
                <w:p w14:paraId="283BF02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盐酸肼</w:t>
                  </w:r>
                </w:p>
              </w:tc>
              <w:tc>
                <w:tcPr>
                  <w:tcW w:w="4340" w:type="pct"/>
                  <w:shd w:val="clear" w:color="auto" w:fill="auto"/>
                  <w:vAlign w:val="center"/>
                </w:tcPr>
                <w:p w14:paraId="44E6D0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盐酸肼（化学式：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ClH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）是一种无色结晶体，具有刺激性气味。它的密度为1.500，熔点为89</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(lit.)，沸点为240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。盐酸肼在水中溶解度较高。</w:t>
                  </w:r>
                </w:p>
              </w:tc>
            </w:tr>
            <w:tr w14:paraId="055435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24" w:hRule="atLeast"/>
                <w:jc w:val="center"/>
              </w:trPr>
              <w:tc>
                <w:tcPr>
                  <w:tcW w:w="659" w:type="pct"/>
                  <w:shd w:val="clear" w:color="auto" w:fill="auto"/>
                  <w:vAlign w:val="center"/>
                </w:tcPr>
                <w:p w14:paraId="1A70A6D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盐酸萘乙二胺</w:t>
                  </w:r>
                </w:p>
              </w:tc>
              <w:tc>
                <w:tcPr>
                  <w:tcW w:w="4340" w:type="pct"/>
                  <w:shd w:val="clear" w:color="auto" w:fill="auto"/>
                  <w:vAlign w:val="center"/>
                </w:tcPr>
                <w:p w14:paraId="5DEB6B7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N-(1-萘</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乙二胺盐酸盐是一种白色至淡黄色结晶固体，可溶于水和一些有机溶剂。在空气中稳定。该化合物具有碱性。</w:t>
                  </w:r>
                </w:p>
              </w:tc>
            </w:tr>
            <w:tr w14:paraId="0002A9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7E0C9C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盐酸羟胺</w:t>
                  </w:r>
                </w:p>
              </w:tc>
              <w:tc>
                <w:tcPr>
                  <w:tcW w:w="4340" w:type="pct"/>
                  <w:shd w:val="clear" w:color="auto" w:fill="auto"/>
                  <w:vAlign w:val="center"/>
                </w:tcPr>
                <w:p w14:paraId="4672674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白色单斜晶系结晶。相对密度1.67(17℃)。熔点151℃，常温下较稳定，加热高于151℃时则分解。易溶于水，溶于乙醇、甘油，不溶于乙醚。吸湿性强，受潮后逐渐分解，放出腐蚀性、刺激性的烟雾。具有较强的还原性。有腐蚀性。</w:t>
                  </w:r>
                </w:p>
              </w:tc>
            </w:tr>
            <w:tr w14:paraId="19A9DC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01811A3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霍加拉特氧化剂</w:t>
                  </w:r>
                </w:p>
              </w:tc>
              <w:tc>
                <w:tcPr>
                  <w:tcW w:w="4340" w:type="pct"/>
                  <w:shd w:val="clear" w:color="auto" w:fill="auto"/>
                  <w:vAlign w:val="center"/>
                </w:tcPr>
                <w:p w14:paraId="563860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霍加拉特氧化剂主要成分为氧化锰</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(MnO)</w:t>
                  </w:r>
                  <w:r>
                    <w:rPr>
                      <w:rFonts w:hint="default" w:ascii="Times New Roman" w:hAnsi="Times New Roman" w:eastAsia="宋体" w:cs="Times New Roman"/>
                      <w:i w:val="0"/>
                      <w:iCs w:val="0"/>
                      <w:color w:val="auto"/>
                      <w:kern w:val="0"/>
                      <w:sz w:val="21"/>
                      <w:szCs w:val="21"/>
                      <w:highlight w:val="none"/>
                      <w:u w:val="none"/>
                      <w:lang w:val="en-US" w:eastAsia="zh-CN" w:bidi="ar"/>
                    </w:rPr>
                    <w:t>和氧化铜</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CUO</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，它的作用是将空气中的一氧化碳氧化成二氧化碳，用于仪器调零。此氧化剂在100℃以下的氧化效率应达到100%。为保证其氧化效率，在使用存放过程中应保持干燥。</w:t>
                  </w:r>
                </w:p>
              </w:tc>
            </w:tr>
            <w:tr w14:paraId="4C4C1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2C671CF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铬黑T</w:t>
                  </w:r>
                </w:p>
              </w:tc>
              <w:tc>
                <w:tcPr>
                  <w:tcW w:w="4340" w:type="pct"/>
                  <w:shd w:val="clear" w:color="auto" w:fill="auto"/>
                  <w:vAlign w:val="center"/>
                </w:tcPr>
                <w:p w14:paraId="52DFA1A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化学性质 黑褐色粉状。溶于水，并呈枣红至桨红色；稍溶于醇，并呈棕光品红色；微溶于丙酮。在浓硫酸中呈暗蓝色，稀释后呈浅红棕色；在浓硝酸中呈枯</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桔黄色</w:t>
                  </w:r>
                  <w:r>
                    <w:rPr>
                      <w:rFonts w:hint="default" w:ascii="Times New Roman" w:hAnsi="Times New Roman" w:eastAsia="宋体" w:cs="Times New Roman"/>
                      <w:i w:val="0"/>
                      <w:iCs w:val="0"/>
                      <w:color w:val="auto"/>
                      <w:kern w:val="0"/>
                      <w:sz w:val="21"/>
                      <w:szCs w:val="21"/>
                      <w:highlight w:val="none"/>
                      <w:u w:val="none"/>
                      <w:lang w:val="en-US" w:eastAsia="zh-CN" w:bidi="ar"/>
                    </w:rPr>
                    <w:t>。其水溶液，加浓盐酸无大变化；加氢氧化钠浓溶液转棕光品红色。水中溶解度（90℃）为25g/L。染色时遇铜、铁，色光影响较大。</w:t>
                  </w:r>
                </w:p>
              </w:tc>
            </w:tr>
            <w:tr w14:paraId="03C573C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28" w:hRule="atLeast"/>
                <w:jc w:val="center"/>
              </w:trPr>
              <w:tc>
                <w:tcPr>
                  <w:tcW w:w="659" w:type="pct"/>
                  <w:shd w:val="clear" w:color="auto" w:fill="auto"/>
                  <w:vAlign w:val="center"/>
                </w:tcPr>
                <w:p w14:paraId="789313B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麝香草酚</w:t>
                  </w:r>
                </w:p>
              </w:tc>
              <w:tc>
                <w:tcPr>
                  <w:tcW w:w="4340" w:type="pct"/>
                  <w:shd w:val="clear" w:color="auto" w:fill="auto"/>
                  <w:vAlign w:val="center"/>
                </w:tcPr>
                <w:p w14:paraId="1A5901A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白色结晶或结晶性粉末，具有百里香油的香气。溶于乙醇等有机溶剂，微溶于水和甘油。有强烈的腐蚀作用。</w:t>
                  </w:r>
                </w:p>
              </w:tc>
            </w:tr>
            <w:tr w14:paraId="211C61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96" w:hRule="atLeast"/>
                <w:jc w:val="center"/>
              </w:trPr>
              <w:tc>
                <w:tcPr>
                  <w:tcW w:w="659" w:type="pct"/>
                  <w:shd w:val="clear" w:color="auto" w:fill="auto"/>
                  <w:vAlign w:val="center"/>
                </w:tcPr>
                <w:p w14:paraId="0CA1E89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氢氧化锆</w:t>
                  </w:r>
                </w:p>
              </w:tc>
              <w:tc>
                <w:tcPr>
                  <w:tcW w:w="4340" w:type="pct"/>
                  <w:shd w:val="clear" w:color="auto" w:fill="auto"/>
                  <w:vAlign w:val="center"/>
                </w:tcPr>
                <w:p w14:paraId="51E9974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w:t>
                  </w:r>
                  <w:r>
                    <w:rPr>
                      <w:rFonts w:hint="eastAsia" w:cs="Times New Roman"/>
                      <w:i w:val="0"/>
                      <w:iCs w:val="0"/>
                      <w:color w:val="auto"/>
                      <w:kern w:val="0"/>
                      <w:sz w:val="21"/>
                      <w:szCs w:val="21"/>
                      <w:highlight w:val="none"/>
                      <w:u w:val="none"/>
                      <w:lang w:val="en-US" w:eastAsia="zh-CN" w:bidi="ar"/>
                    </w:rPr>
                    <w:t>无定形</w:t>
                  </w:r>
                  <w:r>
                    <w:rPr>
                      <w:rFonts w:hint="default" w:ascii="Times New Roman" w:hAnsi="Times New Roman" w:eastAsia="宋体" w:cs="Times New Roman"/>
                      <w:i w:val="0"/>
                      <w:iCs w:val="0"/>
                      <w:color w:val="auto"/>
                      <w:kern w:val="0"/>
                      <w:sz w:val="21"/>
                      <w:szCs w:val="21"/>
                      <w:highlight w:val="none"/>
                      <w:u w:val="none"/>
                      <w:lang w:val="en-US" w:eastAsia="zh-CN" w:bidi="ar"/>
                    </w:rPr>
                    <w:t>粉末，无毒无味，不溶于水，易溶于盐酸等无机酸。不溶于水和碱溶液，在500℃时分解成二氧化锆和水。</w:t>
                  </w:r>
                </w:p>
              </w:tc>
            </w:tr>
            <w:tr w14:paraId="2DED159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026ABE7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氢氧化钡</w:t>
                  </w:r>
                </w:p>
              </w:tc>
              <w:tc>
                <w:tcPr>
                  <w:tcW w:w="4340" w:type="pct"/>
                  <w:shd w:val="clear" w:color="auto" w:fill="auto"/>
                  <w:vAlign w:val="center"/>
                </w:tcPr>
                <w:p w14:paraId="17ACFF2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性状白色单斜晶系晶体。熔点78℃，相对密度2.18(16℃)，溶解性微溶于乙醇。溶于水，其水溶液呈强碱性。</w:t>
                  </w:r>
                </w:p>
              </w:tc>
            </w:tr>
            <w:tr w14:paraId="69519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46" w:hRule="atLeast"/>
                <w:jc w:val="center"/>
              </w:trPr>
              <w:tc>
                <w:tcPr>
                  <w:tcW w:w="659" w:type="pct"/>
                  <w:shd w:val="clear" w:color="auto" w:fill="auto"/>
                  <w:vAlign w:val="center"/>
                </w:tcPr>
                <w:p w14:paraId="5DD22E4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4-氨基苯磺酰胺</w:t>
                  </w:r>
                </w:p>
              </w:tc>
              <w:tc>
                <w:tcPr>
                  <w:tcW w:w="4340" w:type="pct"/>
                  <w:shd w:val="clear" w:color="auto" w:fill="auto"/>
                  <w:vAlign w:val="center"/>
                </w:tcPr>
                <w:p w14:paraId="055FC0A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无色或浅黄色结晶或晶体粉末。可溶于酸、碱和有机溶剂，稍溶于水。</w:t>
                  </w:r>
                </w:p>
              </w:tc>
            </w:tr>
            <w:tr w14:paraId="1695BD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63327CA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4-氨基安替比林</w:t>
                  </w:r>
                </w:p>
              </w:tc>
              <w:tc>
                <w:tcPr>
                  <w:tcW w:w="4340" w:type="pct"/>
                  <w:shd w:val="clear" w:color="auto" w:fill="auto"/>
                  <w:vAlign w:val="center"/>
                </w:tcPr>
                <w:p w14:paraId="569E1D9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一种白色结晶粉末，可溶于水和有机溶剂。它作为一种β2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肾上腺素能受体激动剂，能够刺激肾上腺素能受体，促进支气管平滑肌的松弛，从而减少支气管痉挛和炎症反应。</w:t>
                  </w:r>
                </w:p>
              </w:tc>
            </w:tr>
            <w:tr w14:paraId="36D14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DAEA77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硝酸锌</w:t>
                  </w:r>
                </w:p>
              </w:tc>
              <w:tc>
                <w:tcPr>
                  <w:tcW w:w="4340" w:type="pct"/>
                  <w:shd w:val="clear" w:color="auto" w:fill="auto"/>
                  <w:vAlign w:val="center"/>
                </w:tcPr>
                <w:p w14:paraId="126AC0B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无色四方晶体。相对密度2.065(14℃)。熔点36.4℃。加热到105～131℃失去6个结晶水。溶于水和乙醇。其水溶液呈酸性</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pH=4)。易潮解。加热时分解放出氧化氮气体，先转变成碱式盐Zn(NO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·3Z</w:t>
                  </w:r>
                  <w:r>
                    <w:rPr>
                      <w:rFonts w:hint="default" w:ascii="Times New Roman" w:hAnsi="Times New Roman"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lang w:val="en-US" w:eastAsia="zh-CN" w:bidi="ar"/>
                    </w:rPr>
                    <w:t>(OH)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，然后形成氧化锌。与有机物接触能引起燃烧和爆炸。燃烧时放出氧化氨气体。有毒！</w:t>
                  </w:r>
                </w:p>
              </w:tc>
            </w:tr>
            <w:tr w14:paraId="3419A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4CE15D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硝酸钠</w:t>
                  </w:r>
                </w:p>
              </w:tc>
              <w:tc>
                <w:tcPr>
                  <w:tcW w:w="4340" w:type="pct"/>
                  <w:shd w:val="clear" w:color="auto" w:fill="auto"/>
                  <w:vAlign w:val="center"/>
                </w:tcPr>
                <w:p w14:paraId="59532C6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硝酸钠在室温下为无色透明的菱形结晶，或白色或微带黄色的颗粒或粉末。味咸，略苦。在湿空气中易潮解。相对密度2.257</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熔点308℃，沸点308℃，并在沸腾时分解而生成NaNO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和O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。极易溶于水、液氨和甘油，难溶于乙醇、甲醇，极难溶于丙酮。400～600℃时放出N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和O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；热至700℃时放出NO；775～865℃时有少量NO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和N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O生成。分解后的残留物为N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O。在溶解于水中时，水温下降，水溶液呈中性。硝酸钠是一种氧化剂，与木屑、布、油类等有机物接触时，能引起燃烧和爆炸。</w:t>
                  </w:r>
                </w:p>
              </w:tc>
            </w:tr>
            <w:tr w14:paraId="47A619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71" w:hRule="atLeast"/>
                <w:jc w:val="center"/>
              </w:trPr>
              <w:tc>
                <w:tcPr>
                  <w:tcW w:w="659" w:type="pct"/>
                  <w:shd w:val="clear" w:color="auto" w:fill="auto"/>
                  <w:vAlign w:val="center"/>
                </w:tcPr>
                <w:p w14:paraId="1D590A7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硝酸镧</w:t>
                  </w:r>
                </w:p>
              </w:tc>
              <w:tc>
                <w:tcPr>
                  <w:tcW w:w="4340" w:type="pct"/>
                  <w:shd w:val="clear" w:color="auto" w:fill="auto"/>
                  <w:vAlign w:val="center"/>
                </w:tcPr>
                <w:p w14:paraId="2FF9AC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白色粉状结晶，有吸湿性，熔点约40℃，沸点126℃。易溶于水和醇，加热至熔点以上形成碱式盐。</w:t>
                  </w:r>
                </w:p>
              </w:tc>
            </w:tr>
            <w:tr w14:paraId="7DF5726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4E81F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三氧化铬</w:t>
                  </w:r>
                </w:p>
              </w:tc>
              <w:tc>
                <w:tcPr>
                  <w:tcW w:w="4340" w:type="pct"/>
                  <w:shd w:val="clear" w:color="auto" w:fill="auto"/>
                  <w:vAlign w:val="center"/>
                </w:tcPr>
                <w:p w14:paraId="78335C1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暗红色双锥体三棱柱状结晶或薄片、颗粒、粉末。易潮解。易溶于水，溶于乙醇、乙醚、硝酸、硫酸。熔点197℃；相对密度2.70。250℃时分解为三氧化二铬和氧气。与易燃物和可燃物接触会发生剧烈反应，甚至引起燃烧。强氧化剂。与还原性物质如镁粉、铝粉、硫、磷等混合后，经摩擦或撞击，能引起燃烧或爆炸。具有较强的腐蚀性。</w:t>
                  </w:r>
                </w:p>
              </w:tc>
            </w:tr>
            <w:tr w14:paraId="0B779F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61" w:hRule="atLeast"/>
                <w:jc w:val="center"/>
              </w:trPr>
              <w:tc>
                <w:tcPr>
                  <w:tcW w:w="659" w:type="pct"/>
                  <w:shd w:val="clear" w:color="auto" w:fill="auto"/>
                  <w:vAlign w:val="center"/>
                </w:tcPr>
                <w:p w14:paraId="7C27319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氧化亚锡</w:t>
                  </w:r>
                </w:p>
              </w:tc>
              <w:tc>
                <w:tcPr>
                  <w:tcW w:w="4340" w:type="pct"/>
                  <w:shd w:val="clear" w:color="auto" w:fill="auto"/>
                  <w:vAlign w:val="center"/>
                </w:tcPr>
                <w:p w14:paraId="4E59577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氧化亚锡是一种无色或淡黄色固体，具有金属氧化物的典型特性。它具有半导体性质，可以在一定温度下导电。</w:t>
                  </w:r>
                </w:p>
              </w:tc>
            </w:tr>
            <w:tr w14:paraId="27783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0404FE3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石英砂</w:t>
                  </w:r>
                </w:p>
              </w:tc>
              <w:tc>
                <w:tcPr>
                  <w:tcW w:w="4340" w:type="pct"/>
                </w:tcPr>
                <w:p w14:paraId="242A2F1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氧化硅为无色透明晶体或无定形粉末，无味。熔点为1710℃（方石英），1670℃（鳞石英）；沸点为2230℃。几乎不溶于水郓普通酸，能溶于氢氟酸生成氟化硅气体，缓慢地与热浓磷酸作用。无定形粉末能与碱起作用。物理和化学性质稳定，易成型，本身惰性，熔融物呈层状，加热时膨胀系数小。</w:t>
                  </w:r>
                </w:p>
              </w:tc>
            </w:tr>
            <w:tr w14:paraId="39B2FE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12" w:hRule="atLeast"/>
                <w:jc w:val="center"/>
              </w:trPr>
              <w:tc>
                <w:tcPr>
                  <w:tcW w:w="659" w:type="pct"/>
                  <w:shd w:val="clear" w:color="auto" w:fill="auto"/>
                  <w:vAlign w:val="center"/>
                </w:tcPr>
                <w:p w14:paraId="2A7EDCC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二苯基碳酰二肼</w:t>
                  </w:r>
                </w:p>
              </w:tc>
              <w:tc>
                <w:tcPr>
                  <w:tcW w:w="4340" w:type="pct"/>
                  <w:shd w:val="clear" w:color="auto" w:fill="auto"/>
                  <w:vAlign w:val="center"/>
                </w:tcPr>
                <w:p w14:paraId="10FFB4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苯基甲酰肼是一种有机化合物。它几乎不溶于水，但可溶于有机溶剂如醇和醚。该化合物是稳定的，但在较高温度下可能发生分解。二苯基甲酰肼可用作有机合成中的还原剂。它可以将酮和醛还原为相应的醇或伯胺。它也可用于还原亲电芳香化合物、氮氧杂环化合物和双键。</w:t>
                  </w:r>
                </w:p>
              </w:tc>
            </w:tr>
            <w:tr w14:paraId="003D9B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120982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喹啉</w:t>
                  </w:r>
                </w:p>
              </w:tc>
              <w:tc>
                <w:tcPr>
                  <w:tcW w:w="4340" w:type="pct"/>
                  <w:shd w:val="clear" w:color="auto" w:fill="auto"/>
                  <w:vAlign w:val="center"/>
                </w:tcPr>
                <w:p w14:paraId="106459A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无色液体，日久变黄，有特殊气味。相对密度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水一1</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1.09。熔点-14.5℃。沸点237.7℃。蒸气压0.13kPa/59.7℃。闪点99℃。溶于水、醇、醚、二硫化碳等多数有机溶剂。</w:t>
                  </w:r>
                </w:p>
              </w:tc>
            </w:tr>
            <w:tr w14:paraId="194503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6F8A9E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聚乙二醇</w:t>
                  </w:r>
                </w:p>
              </w:tc>
              <w:tc>
                <w:tcPr>
                  <w:tcW w:w="4340" w:type="pct"/>
                  <w:shd w:val="clear" w:color="auto" w:fill="auto"/>
                  <w:vAlign w:val="center"/>
                </w:tcPr>
                <w:p w14:paraId="448A01C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本品为白色粒状物。溶于水，溶于某些有机溶剂。其溶液在低浓度下具有很高的黏性，可用压延、挤压、铸塑等方式进行加工，是一种热塑性树脂，与其他树脂的相容性好。耐细菌侵蚀，在大气中的吸湿性较弱。</w:t>
                  </w:r>
                </w:p>
              </w:tc>
            </w:tr>
            <w:tr w14:paraId="16734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797EB5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靛蓝二磺酸钠</w:t>
                  </w:r>
                </w:p>
              </w:tc>
              <w:tc>
                <w:tcPr>
                  <w:tcW w:w="4340" w:type="pct"/>
                  <w:shd w:val="clear" w:color="auto" w:fill="auto"/>
                  <w:vAlign w:val="center"/>
                </w:tcPr>
                <w:p w14:paraId="3CDF2A1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靛蓝二磺酸钠，也被称为亚甲基蓝，是一种有机染料，常用于生物学和化学实验中的染色剂。生化实验：靛蓝二磺酸钠可以用作凝胶电泳的染色剂，用于分离和检测DNA和蛋白质。细胞培养：作为一种活细胞染色剂，靛蓝二磺酸钠可以用于细胞培养中的细胞计数和细胞存活率的测定。</w:t>
                  </w:r>
                </w:p>
              </w:tc>
            </w:tr>
            <w:tr w14:paraId="1DDF5F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3DFEB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二乙酰一肟</w:t>
                  </w:r>
                </w:p>
              </w:tc>
              <w:tc>
                <w:tcPr>
                  <w:tcW w:w="4340" w:type="pct"/>
                  <w:shd w:val="clear" w:color="auto" w:fill="auto"/>
                  <w:vAlign w:val="center"/>
                </w:tcPr>
                <w:p w14:paraId="38FA92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联乙酰一肟为无色至浅黄色固体。联乙酰一肟在常温下是相对稳定的。联乙酰一肟在有机合成领域中广泛应用，特别是作为有机化合物的保护基团。它可以用于保护羟基或氨基，防止在化学反应中发生其他位点的反应。联乙酰一肟还可用作合成中间体，用于合成其他有机化合物。</w:t>
                  </w:r>
                </w:p>
              </w:tc>
            </w:tr>
            <w:tr w14:paraId="481C73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4F4D5B8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二乙基二硫代氨基甲酸银</w:t>
                  </w:r>
                </w:p>
              </w:tc>
              <w:tc>
                <w:tcPr>
                  <w:tcW w:w="4340" w:type="pct"/>
                  <w:shd w:val="clear" w:color="auto" w:fill="auto"/>
                  <w:vAlign w:val="center"/>
                </w:tcPr>
                <w:p w14:paraId="31A9477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是一种白色结晶固体，在常温常压下稳定。在空气中可以稳定存在，但在与金属相接触时可能会氧化。在水中不溶解，但可溶于一些有机溶剂。为银化合物的中间体。用于合成其他有机银化合物、硫化银和银纳米颗粒等。用作荧光探针和光敏材料的前体，具有潜在的生物医学应用。</w:t>
                  </w:r>
                </w:p>
              </w:tc>
            </w:tr>
            <w:tr w14:paraId="3528E4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3D754F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二乙基二硫代氨基甲酸钠</w:t>
                  </w:r>
                </w:p>
              </w:tc>
              <w:tc>
                <w:tcPr>
                  <w:tcW w:w="4340" w:type="pct"/>
                  <w:shd w:val="clear" w:color="auto" w:fill="auto"/>
                  <w:vAlign w:val="center"/>
                </w:tcPr>
                <w:p w14:paraId="0B9D60E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二乙胺</w:t>
                  </w:r>
                  <w:r>
                    <w:rPr>
                      <w:rFonts w:hint="eastAsia" w:cs="Times New Roman"/>
                      <w:i w:val="0"/>
                      <w:iCs w:val="0"/>
                      <w:color w:val="auto"/>
                      <w:kern w:val="0"/>
                      <w:sz w:val="21"/>
                      <w:szCs w:val="21"/>
                      <w:highlight w:val="none"/>
                      <w:u w:val="none"/>
                      <w:lang w:val="en-US" w:eastAsia="zh-CN" w:bidi="ar"/>
                    </w:rPr>
                    <w:t>磺酸</w:t>
                  </w:r>
                  <w:r>
                    <w:rPr>
                      <w:rFonts w:hint="default" w:ascii="Times New Roman" w:hAnsi="Times New Roman" w:eastAsia="宋体" w:cs="Times New Roman"/>
                      <w:i w:val="0"/>
                      <w:iCs w:val="0"/>
                      <w:color w:val="auto"/>
                      <w:kern w:val="0"/>
                      <w:sz w:val="21"/>
                      <w:szCs w:val="21"/>
                      <w:highlight w:val="none"/>
                      <w:u w:val="none"/>
                      <w:lang w:val="en-US" w:eastAsia="zh-CN" w:bidi="ar"/>
                    </w:rPr>
                    <w:t>钠是一种有机化合物。它通常呈无色或白色结晶固体。二乙</w:t>
                  </w:r>
                  <w:r>
                    <w:rPr>
                      <w:rFonts w:hint="eastAsia" w:cs="Times New Roman"/>
                      <w:i w:val="0"/>
                      <w:iCs w:val="0"/>
                      <w:color w:val="auto"/>
                      <w:kern w:val="0"/>
                      <w:sz w:val="21"/>
                      <w:szCs w:val="21"/>
                      <w:highlight w:val="none"/>
                      <w:u w:val="none"/>
                      <w:lang w:val="en-US" w:eastAsia="zh-CN" w:bidi="ar"/>
                    </w:rPr>
                    <w:t>胺盐</w:t>
                  </w:r>
                  <w:r>
                    <w:rPr>
                      <w:rFonts w:hint="default" w:ascii="Times New Roman" w:hAnsi="Times New Roman" w:eastAsia="宋体" w:cs="Times New Roman"/>
                      <w:i w:val="0"/>
                      <w:iCs w:val="0"/>
                      <w:color w:val="auto"/>
                      <w:kern w:val="0"/>
                      <w:sz w:val="21"/>
                      <w:szCs w:val="21"/>
                      <w:highlight w:val="none"/>
                      <w:u w:val="none"/>
                      <w:lang w:val="en-US" w:eastAsia="zh-CN" w:bidi="ar"/>
                    </w:rPr>
                    <w:t>酸钠是一种较强的碱，具有碱性性质。它能溶解于水或醇类溶剂，生成可溶于水的溶液。二乙</w:t>
                  </w:r>
                  <w:r>
                    <w:rPr>
                      <w:rFonts w:hint="eastAsia" w:cs="Times New Roman"/>
                      <w:i w:val="0"/>
                      <w:iCs w:val="0"/>
                      <w:color w:val="auto"/>
                      <w:kern w:val="0"/>
                      <w:sz w:val="21"/>
                      <w:szCs w:val="21"/>
                      <w:highlight w:val="none"/>
                      <w:u w:val="none"/>
                      <w:lang w:val="en-US" w:eastAsia="zh-CN" w:bidi="ar"/>
                    </w:rPr>
                    <w:t>胺盐</w:t>
                  </w:r>
                  <w:r>
                    <w:rPr>
                      <w:rFonts w:hint="default" w:ascii="Times New Roman" w:hAnsi="Times New Roman" w:eastAsia="宋体" w:cs="Times New Roman"/>
                      <w:i w:val="0"/>
                      <w:iCs w:val="0"/>
                      <w:color w:val="auto"/>
                      <w:kern w:val="0"/>
                      <w:sz w:val="21"/>
                      <w:szCs w:val="21"/>
                      <w:highlight w:val="none"/>
                      <w:u w:val="none"/>
                      <w:lang w:val="en-US" w:eastAsia="zh-CN" w:bidi="ar"/>
                    </w:rPr>
                    <w:t>酸钠在水溶液中能与酸反应，中和酸的作用。它也能与一些金属离子形成络合物。在使用和储存时应注意安全。</w:t>
                  </w:r>
                </w:p>
              </w:tc>
            </w:tr>
            <w:tr w14:paraId="394D03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91966B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丁二酮肟</w:t>
                  </w:r>
                </w:p>
              </w:tc>
              <w:tc>
                <w:tcPr>
                  <w:tcW w:w="4340" w:type="pct"/>
                  <w:shd w:val="clear" w:color="auto" w:fill="auto"/>
                  <w:vAlign w:val="center"/>
                </w:tcPr>
                <w:p w14:paraId="059DCC1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晶体。熔点238-240℃。溶于醇、醚、丙酮和吡啶。每升水只能溶解0.5g，在氯仿、甲苯、二甲苯中溶解度也很小。DMF在化学实验室和工业中有广泛的应用。它也被用作合成反应中的催化剂和中间体，常见于有机合成反应中。DMF还可用于染料工业、塑料工业和合成纤维工业等领域。</w:t>
                  </w:r>
                </w:p>
              </w:tc>
            </w:tr>
            <w:tr w14:paraId="0A1EE2B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00" w:hRule="atLeast"/>
                <w:jc w:val="center"/>
              </w:trPr>
              <w:tc>
                <w:tcPr>
                  <w:tcW w:w="659" w:type="pct"/>
                  <w:shd w:val="clear" w:color="auto" w:fill="auto"/>
                  <w:vAlign w:val="center"/>
                </w:tcPr>
                <w:p w14:paraId="6E1C40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吡咯二硫代氨基甲酸铵</w:t>
                  </w:r>
                </w:p>
              </w:tc>
              <w:tc>
                <w:tcPr>
                  <w:tcW w:w="4340" w:type="pct"/>
                  <w:shd w:val="clear" w:color="auto" w:fill="auto"/>
                  <w:vAlign w:val="center"/>
                </w:tcPr>
                <w:p w14:paraId="0D9A8C6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白色结晶固体，可溶于水和一些有机溶剂。它是弱酸性物质，在水溶液中呈酸性，可与金属形成络合物。它的稳定性较好，不易分解。</w:t>
                  </w:r>
                </w:p>
              </w:tc>
            </w:tr>
            <w:tr w14:paraId="4E062F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0F7A18D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无水硫酸铝</w:t>
                  </w:r>
                </w:p>
              </w:tc>
              <w:tc>
                <w:tcPr>
                  <w:tcW w:w="4340" w:type="pct"/>
                  <w:shd w:val="clear" w:color="auto" w:fill="auto"/>
                  <w:vAlign w:val="center"/>
                </w:tcPr>
                <w:p w14:paraId="3F4C256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固体硫酸铝为白色、灰绿色或浅黄色片状或块状固体，液体硫酸铝为浅绿色或浅黄色液体。溶于水、酸和碱，不溶于醇。水溶液呈酸性，水解后生成氢氧化铝。</w:t>
                  </w:r>
                </w:p>
              </w:tc>
            </w:tr>
            <w:tr w14:paraId="4F6E07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E2FC99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无水二价硫酸锰溶液</w:t>
                  </w:r>
                </w:p>
              </w:tc>
              <w:tc>
                <w:tcPr>
                  <w:tcW w:w="4340" w:type="pct"/>
                  <w:shd w:val="clear" w:color="auto" w:fill="auto"/>
                  <w:vAlign w:val="center"/>
                </w:tcPr>
                <w:p w14:paraId="12A02BD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浅粉红色单斜晶系细结晶。相对密度2.95。易溶于水，不溶于乙醇。加热到200℃以上开始失去结晶水，约280℃时失去大部分结晶水．700℃时成无水盐熔融物。850℃时开始分解，因条件不同而放出三氧化硫、二氧化硫或氧气，残留黑色的不溶性四氧化三锰约在1150℃完全分解。</w:t>
                  </w:r>
                </w:p>
              </w:tc>
            </w:tr>
            <w:tr w14:paraId="6C6D91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D9305D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无水氯化钙</w:t>
                  </w:r>
                </w:p>
              </w:tc>
              <w:tc>
                <w:tcPr>
                  <w:tcW w:w="4340" w:type="pct"/>
                  <w:shd w:val="clear" w:color="auto" w:fill="auto"/>
                  <w:vAlign w:val="center"/>
                </w:tcPr>
                <w:p w14:paraId="2869BAA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立方结晶。一般工业产品为白色或灰白色多孔块状或粒状、蜂窝状。无臭、味微苦。相对密度2.15。熔点782℃。沸点1600℃以上。吸湿性极强，暴露于空气中极易潮解。易溶于水，同时放出大量的热，其水溶液呈微酸性。溶于醇、丙酮、醋酸。与氨或乙醇作用，分别生成CaC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·8NH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和CaC</w:t>
                  </w:r>
                  <w:r>
                    <w:rPr>
                      <w:rFonts w:hint="eastAsia" w:cs="Times New Roman"/>
                      <w:i w:val="0"/>
                      <w:iCs w:val="0"/>
                      <w:color w:val="auto"/>
                      <w:kern w:val="0"/>
                      <w:sz w:val="21"/>
                      <w:szCs w:val="21"/>
                      <w:highlight w:val="none"/>
                      <w:u w:val="none"/>
                      <w:lang w:val="en-US" w:eastAsia="zh-CN" w:bidi="ar"/>
                    </w:rPr>
                    <w:t>l</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·4C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 xml:space="preserve"> H</w:t>
                  </w:r>
                  <w:r>
                    <w:rPr>
                      <w:rFonts w:hint="eastAsia"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OH络合物。在常温下由水溶液结晶而析出的常为六水物，逐渐加热至30℃时则溶解在自身的结晶水中，继续加热逐渐失水，至200℃时变为二水物，再加热至260℃则变为白色多孔状的无水氯化钙。</w:t>
                  </w:r>
                </w:p>
              </w:tc>
            </w:tr>
            <w:tr w14:paraId="67A77F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51" w:hRule="atLeast"/>
                <w:jc w:val="center"/>
              </w:trPr>
              <w:tc>
                <w:tcPr>
                  <w:tcW w:w="659" w:type="pct"/>
                  <w:shd w:val="clear" w:color="auto" w:fill="auto"/>
                  <w:vAlign w:val="center"/>
                </w:tcPr>
                <w:p w14:paraId="74C2C87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乙醇</w:t>
                  </w:r>
                </w:p>
              </w:tc>
              <w:tc>
                <w:tcPr>
                  <w:tcW w:w="4340" w:type="pct"/>
                  <w:shd w:val="clear" w:color="auto" w:fill="auto"/>
                  <w:vAlign w:val="center"/>
                </w:tcPr>
                <w:p w14:paraId="607F13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无色透明液体。是在78.01℃馏出的与水共沸的混合物。易挥发。能与水及丙三醇、三氯甲烷、苯、乙醚等有机溶剂相混溶。</w:t>
                  </w:r>
                </w:p>
              </w:tc>
            </w:tr>
            <w:tr w14:paraId="2E22435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28" w:hRule="atLeast"/>
                <w:jc w:val="center"/>
              </w:trPr>
              <w:tc>
                <w:tcPr>
                  <w:tcW w:w="659" w:type="pct"/>
                  <w:shd w:val="clear" w:color="auto" w:fill="auto"/>
                  <w:vAlign w:val="center"/>
                </w:tcPr>
                <w:p w14:paraId="67BCB40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乙二胺四乙酸二钠</w:t>
                  </w:r>
                </w:p>
              </w:tc>
              <w:tc>
                <w:tcPr>
                  <w:tcW w:w="4340" w:type="pct"/>
                  <w:shd w:val="clear" w:color="auto" w:fill="auto"/>
                  <w:vAlign w:val="center"/>
                </w:tcPr>
                <w:p w14:paraId="32921F3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本品为白色或类白色结晶性粉末；无臭。本品在水中溶解，在甲醇、乙醇或三氯甲烷中几乎不溶。</w:t>
                  </w:r>
                </w:p>
              </w:tc>
            </w:tr>
            <w:tr w14:paraId="3EB3A5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D7B44F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硝基苯-d5</w:t>
                  </w:r>
                </w:p>
              </w:tc>
              <w:tc>
                <w:tcPr>
                  <w:tcW w:w="4340" w:type="pct"/>
                  <w:shd w:val="clear" w:color="auto" w:fill="auto"/>
                  <w:vAlign w:val="center"/>
                </w:tcPr>
                <w:p w14:paraId="3653253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暗紫色结晶。熔点217℃（分解）。其盐酸盐（C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14</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12</w:t>
                  </w: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6</w:t>
                  </w:r>
                  <w:r>
                    <w:rPr>
                      <w:rFonts w:hint="default" w:ascii="Times New Roman" w:hAnsi="Times New Roman" w:eastAsia="宋体" w:cs="Times New Roman"/>
                      <w:i w:val="0"/>
                      <w:iCs w:val="0"/>
                      <w:color w:val="auto"/>
                      <w:kern w:val="0"/>
                      <w:sz w:val="21"/>
                      <w:szCs w:val="21"/>
                      <w:highlight w:val="none"/>
                      <w:u w:val="none"/>
                      <w:lang w:val="en-US" w:eastAsia="zh-CN" w:bidi="ar"/>
                    </w:rPr>
                    <w:t>·HCL，[2315-20-0]）为橙色粉末，熔点280℃（分解）。溶于乙醇、二甲基亚砜、二甲基甲酰胺、吡啶及其他有机溶剂，几乎不溶于水和乙醚。</w:t>
                  </w:r>
                  <w:r>
                    <w:rPr>
                      <w:rFonts w:hint="eastAsia" w:cs="Times New Roman"/>
                      <w:i w:val="0"/>
                      <w:iCs w:val="0"/>
                      <w:color w:val="auto"/>
                      <w:kern w:val="0"/>
                      <w:sz w:val="21"/>
                      <w:szCs w:val="21"/>
                      <w:highlight w:val="none"/>
                      <w:u w:val="none"/>
                      <w:shd w:val="clear" w:fill="FFFFFF"/>
                      <w:lang w:val="en-US" w:eastAsia="zh-CN" w:bidi="ar"/>
                    </w:rPr>
                    <w:t>呋</w:t>
                  </w:r>
                  <w:r>
                    <w:rPr>
                      <w:rFonts w:hint="default" w:ascii="Times New Roman" w:hAnsi="Times New Roman" w:eastAsia="宋体" w:cs="Times New Roman"/>
                      <w:i w:val="0"/>
                      <w:iCs w:val="0"/>
                      <w:color w:val="auto"/>
                      <w:kern w:val="0"/>
                      <w:sz w:val="21"/>
                      <w:szCs w:val="21"/>
                      <w:highlight w:val="none"/>
                      <w:u w:val="none"/>
                      <w:lang w:val="en-US" w:eastAsia="zh-CN" w:bidi="ar"/>
                    </w:rPr>
                    <w:t>烯腙是一种中等爆炸性的化合物，具有较高的爆炸性。它在常温下不稳定，易于燃烧爆炸，并且对摩擦、冲击和静电都很敏感。它是氧化剂和强烈的还原剂，可与许多物质发生激烈的反应。</w:t>
                  </w:r>
                </w:p>
              </w:tc>
            </w:tr>
            <w:tr w14:paraId="217531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35953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2，4,6-三硝基苯甲酸</w:t>
                  </w:r>
                </w:p>
              </w:tc>
              <w:tc>
                <w:tcPr>
                  <w:tcW w:w="4340" w:type="pct"/>
                  <w:shd w:val="clear" w:color="auto" w:fill="auto"/>
                  <w:vAlign w:val="center"/>
                </w:tcPr>
                <w:p w14:paraId="3B61F69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2,4,6-三硝基苯甲酸是无色至淡黄色的晶体，具有强烈的刺激性气味。在常温下几乎不溶于水，但可溶于有机溶剂如乙醇、醚类和苯。它属于强性酸，可和碱反应。</w:t>
                  </w:r>
                </w:p>
              </w:tc>
            </w:tr>
            <w:tr w14:paraId="72E383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308ECE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五氯硝基苯</w:t>
                  </w:r>
                </w:p>
              </w:tc>
              <w:tc>
                <w:tcPr>
                  <w:tcW w:w="4340" w:type="pct"/>
                  <w:shd w:val="clear" w:color="auto" w:fill="auto"/>
                  <w:vAlign w:val="center"/>
                </w:tcPr>
                <w:p w14:paraId="48E34C2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纯品为无色针状结晶，工业品为微黄色。沸点328℃（稍分解）。熔点144℃。相对密度1.718。几乎不溶于水、冷乙醇，易溶于二硫化碳、苯、氯仿。化学性质稳定，不易挥发，不易水解和氧化，不受日光、温度和酸碱度影响，在</w:t>
                  </w:r>
                  <w:r>
                    <w:rPr>
                      <w:rFonts w:hint="eastAsia" w:cs="Times New Roman"/>
                      <w:i w:val="0"/>
                      <w:iCs w:val="0"/>
                      <w:color w:val="auto"/>
                      <w:kern w:val="0"/>
                      <w:sz w:val="21"/>
                      <w:szCs w:val="21"/>
                      <w:highlight w:val="none"/>
                      <w:u w:val="none"/>
                      <w:lang w:val="en-US" w:eastAsia="zh-CN" w:bidi="ar"/>
                    </w:rPr>
                    <w:t>土壤</w:t>
                  </w:r>
                  <w:r>
                    <w:rPr>
                      <w:rFonts w:hint="default" w:ascii="Times New Roman" w:hAnsi="Times New Roman" w:eastAsia="宋体" w:cs="Times New Roman"/>
                      <w:i w:val="0"/>
                      <w:iCs w:val="0"/>
                      <w:color w:val="auto"/>
                      <w:kern w:val="0"/>
                      <w:sz w:val="21"/>
                      <w:szCs w:val="21"/>
                      <w:highlight w:val="none"/>
                      <w:u w:val="none"/>
                      <w:lang w:val="en-US" w:eastAsia="zh-CN" w:bidi="ar"/>
                    </w:rPr>
                    <w:t>中残效较长。</w:t>
                  </w:r>
                </w:p>
              </w:tc>
            </w:tr>
            <w:tr w14:paraId="558AA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05E268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1-溴-2-硝基苯</w:t>
                  </w:r>
                </w:p>
              </w:tc>
              <w:tc>
                <w:tcPr>
                  <w:tcW w:w="4340" w:type="pct"/>
                  <w:shd w:val="clear" w:color="auto" w:fill="auto"/>
                  <w:vAlign w:val="center"/>
                </w:tcPr>
                <w:p w14:paraId="5E51875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2-溴硝基苯是白色至淡黄色的结晶固体。略溶于水，在有机溶剂如醚、醇和酮中溶解性较好。化学试剂：用于有机合成中的氧化还原反应和芳香化合物的取代反应。农药：2</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溴硝基苯可用作杀虫剂和除草剂的中间体。荧光染料：可用于制备荧光染料。</w:t>
                  </w:r>
                </w:p>
              </w:tc>
            </w:tr>
            <w:tr w14:paraId="0AC3A6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5EB161D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二氯异氰尿酸钠</w:t>
                  </w:r>
                </w:p>
              </w:tc>
              <w:tc>
                <w:tcPr>
                  <w:tcW w:w="4340" w:type="pct"/>
                  <w:shd w:val="clear" w:color="auto" w:fill="auto"/>
                  <w:vAlign w:val="center"/>
                </w:tcPr>
                <w:p w14:paraId="28B5130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白色结晶粉末或粒状物。有特殊的刺激性气味。熔点240～250℃。易溶于水，难溶于有机溶剂。强氧化剂。与易燃物、有机物接触易着火燃烧。与含氮化合物反应生成易爆炸的三氯化氮。受热或遇潮易分</w:t>
                  </w:r>
                  <w:r>
                    <w:rPr>
                      <w:rFonts w:hint="eastAsia" w:cs="Times New Roman"/>
                      <w:i w:val="0"/>
                      <w:iCs w:val="0"/>
                      <w:color w:val="auto"/>
                      <w:kern w:val="0"/>
                      <w:sz w:val="21"/>
                      <w:szCs w:val="21"/>
                      <w:highlight w:val="none"/>
                      <w:u w:val="none"/>
                      <w:lang w:val="en-US" w:eastAsia="zh-CN" w:bidi="ar"/>
                    </w:rPr>
                    <w:t>解</w:t>
                  </w:r>
                  <w:r>
                    <w:rPr>
                      <w:rFonts w:hint="default" w:ascii="Times New Roman" w:hAnsi="Times New Roman" w:eastAsia="宋体" w:cs="Times New Roman"/>
                      <w:i w:val="0"/>
                      <w:iCs w:val="0"/>
                      <w:color w:val="auto"/>
                      <w:kern w:val="0"/>
                      <w:sz w:val="21"/>
                      <w:szCs w:val="21"/>
                      <w:highlight w:val="none"/>
                      <w:u w:val="none"/>
                      <w:lang w:val="en-US" w:eastAsia="zh-CN" w:bidi="ar"/>
                    </w:rPr>
                    <w:t>出剧毒的烟气。</w:t>
                  </w:r>
                </w:p>
              </w:tc>
            </w:tr>
            <w:tr w14:paraId="1A8D95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6" w:hRule="atLeast"/>
                <w:jc w:val="center"/>
              </w:trPr>
              <w:tc>
                <w:tcPr>
                  <w:tcW w:w="659" w:type="pct"/>
                  <w:shd w:val="clear" w:color="auto" w:fill="auto"/>
                  <w:vAlign w:val="center"/>
                </w:tcPr>
                <w:p w14:paraId="277D6DF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二丁基</w:t>
                  </w:r>
                  <w:r>
                    <w:rPr>
                      <w:rFonts w:hint="eastAsia" w:cs="Times New Roman"/>
                      <w:color w:val="auto"/>
                      <w:kern w:val="0"/>
                      <w:sz w:val="21"/>
                      <w:szCs w:val="21"/>
                      <w:highlight w:val="none"/>
                      <w:lang w:val="en-US" w:eastAsia="zh-CN" w:bidi="ar"/>
                    </w:rPr>
                    <w:t>氯苯</w:t>
                  </w:r>
                </w:p>
              </w:tc>
              <w:tc>
                <w:tcPr>
                  <w:tcW w:w="4340" w:type="pct"/>
                  <w:shd w:val="clear" w:color="auto" w:fill="auto"/>
                  <w:vAlign w:val="center"/>
                </w:tcPr>
                <w:p w14:paraId="7C80F0E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二正丁胺纯品为无色液体，相对密度0.767(20℃)，溶于水、丙酮和苯，极易溶于乙醇和乙醚。</w:t>
                  </w:r>
                </w:p>
              </w:tc>
            </w:tr>
            <w:tr w14:paraId="4A26B3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71" w:hRule="atLeast"/>
                <w:jc w:val="center"/>
              </w:trPr>
              <w:tc>
                <w:tcPr>
                  <w:tcW w:w="659" w:type="pct"/>
                  <w:shd w:val="clear" w:color="auto" w:fill="auto"/>
                  <w:vAlign w:val="center"/>
                </w:tcPr>
                <w:p w14:paraId="1C36C32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对-溴氟苯</w:t>
                  </w:r>
                </w:p>
              </w:tc>
              <w:tc>
                <w:tcPr>
                  <w:tcW w:w="4340" w:type="pct"/>
                  <w:shd w:val="clear" w:color="auto" w:fill="auto"/>
                  <w:vAlign w:val="center"/>
                </w:tcPr>
                <w:p w14:paraId="169FFE9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1-溴-4-氟苯是无色液体，相对密度1.593，不溶于水，溶于苯、甲苯、醚等有机溶剂。</w:t>
                  </w:r>
                </w:p>
              </w:tc>
            </w:tr>
            <w:tr w14:paraId="3E52B9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75" w:hRule="atLeast"/>
                <w:jc w:val="center"/>
              </w:trPr>
              <w:tc>
                <w:tcPr>
                  <w:tcW w:w="659" w:type="pct"/>
                  <w:shd w:val="clear" w:color="auto" w:fill="auto"/>
                  <w:vAlign w:val="center"/>
                </w:tcPr>
                <w:p w14:paraId="6627C54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月桂酸</w:t>
                  </w:r>
                </w:p>
              </w:tc>
              <w:tc>
                <w:tcPr>
                  <w:tcW w:w="4340" w:type="pct"/>
                  <w:shd w:val="clear" w:color="auto" w:fill="auto"/>
                  <w:vAlign w:val="center"/>
                </w:tcPr>
                <w:p w14:paraId="3EC141F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无色针状晶体。熔点44.2℃。沸点298.9℃。相对密度0.8679。折射率1. 4304。溶于甲醇，微溶于丙酮、石油醚和水。</w:t>
                  </w:r>
                </w:p>
              </w:tc>
            </w:tr>
            <w:tr w14:paraId="4D5958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A52929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硅镁吸附剂</w:t>
                  </w:r>
                </w:p>
              </w:tc>
              <w:tc>
                <w:tcPr>
                  <w:tcW w:w="4340" w:type="pct"/>
                  <w:shd w:val="clear" w:color="auto" w:fill="auto"/>
                  <w:vAlign w:val="center"/>
                </w:tcPr>
                <w:p w14:paraId="101279A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细粉。无臭、无味。不溶于水和乙醇。遇无机酸易分解，稍有吸湿性。医药上用作抗酸药。能中和胃酸和保护溃疡面，作用缓慢而持久。可用作脱臭剂、脱色剂，也用于陶瓷、橡胶等工业。食品级用作抗结块剂，助滤剂，被膜剂。奶制品中的填充剂。</w:t>
                  </w:r>
                </w:p>
              </w:tc>
            </w:tr>
            <w:tr w14:paraId="0804D0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7" w:hRule="atLeast"/>
                <w:jc w:val="center"/>
              </w:trPr>
              <w:tc>
                <w:tcPr>
                  <w:tcW w:w="659" w:type="pct"/>
                  <w:shd w:val="clear" w:color="auto" w:fill="auto"/>
                  <w:vAlign w:val="center"/>
                </w:tcPr>
                <w:p w14:paraId="5218469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乙腈</w:t>
                  </w:r>
                </w:p>
              </w:tc>
              <w:tc>
                <w:tcPr>
                  <w:tcW w:w="4340" w:type="pct"/>
                  <w:shd w:val="clear" w:color="auto" w:fill="auto"/>
                  <w:vAlign w:val="center"/>
                </w:tcPr>
                <w:p w14:paraId="5D3D9E0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能与水、乙醚、甲醇、丙酮、氯仿、四氯化碳、氯化乙烯、乙酸甲酯、乙酸乙酯、乙酰胺溶液和许多不饱和烃混溶，不能与饱和烃混溶。能溶解一些无机盐类，如硝酸银、硝酸锂和溴化镁等。能与水形成共沸混合物</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含水16%</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，共沸点76℃。易燃，其蒸气与空气可形成爆炸性混合物，遇明火、高热或与氧化剂接触，有引起燃烧爆炸的危险。与氧化剂能发生强烈反应。与硫酸、发烟硫酸、氯磺酸、过氯酸盐等反应剧烈。</w:t>
                  </w:r>
                </w:p>
              </w:tc>
            </w:tr>
            <w:tr w14:paraId="6A9E46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4C6A208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亚铁氰化钾</w:t>
                  </w:r>
                </w:p>
              </w:tc>
              <w:tc>
                <w:tcPr>
                  <w:tcW w:w="4340" w:type="pct"/>
                  <w:shd w:val="clear" w:color="auto" w:fill="auto"/>
                  <w:vAlign w:val="center"/>
                </w:tcPr>
                <w:p w14:paraId="2F67746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浅黄色单斜结晶或粉末，无臭。相对密度1.85。溶于水，不溶于乙醇和乙醚等。在空气中稳定，加热至70℃，开始失去结晶水，100℃时变成吸湿性白色粉末状无水物，高温时分解放出氨气。与酸、碱、铁离子等发生反应。</w:t>
                  </w:r>
                </w:p>
              </w:tc>
            </w:tr>
            <w:tr w14:paraId="7FF58A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69" w:hRule="atLeast"/>
                <w:jc w:val="center"/>
              </w:trPr>
              <w:tc>
                <w:tcPr>
                  <w:tcW w:w="659" w:type="pct"/>
                  <w:shd w:val="clear" w:color="auto" w:fill="auto"/>
                  <w:vAlign w:val="center"/>
                </w:tcPr>
                <w:p w14:paraId="4F7DB1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酸性铬蓝K</w:t>
                  </w:r>
                </w:p>
              </w:tc>
              <w:tc>
                <w:tcPr>
                  <w:tcW w:w="4340" w:type="pct"/>
                  <w:shd w:val="clear" w:color="auto" w:fill="auto"/>
                  <w:vAlign w:val="center"/>
                </w:tcPr>
                <w:p w14:paraId="22952D8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溶于水呈玫瑰红色，在碱性溶液中呈灰蓝色。通常与萘酚绿B配合使用，简称“K-B混合指示剂”在碱性条件下，呈蓝绿色，萘酚绿在使用中本身并无颜色变化，仅起衬托终点颜色</w:t>
                  </w:r>
                  <w:r>
                    <w:rPr>
                      <w:rFonts w:hint="eastAsia" w:cs="Times New Roman"/>
                      <w:i w:val="0"/>
                      <w:iCs w:val="0"/>
                      <w:color w:val="auto"/>
                      <w:kern w:val="0"/>
                      <w:sz w:val="21"/>
                      <w:szCs w:val="21"/>
                      <w:highlight w:val="none"/>
                      <w:u w:val="none"/>
                      <w:lang w:val="en-US" w:eastAsia="zh-CN" w:bidi="ar"/>
                    </w:rPr>
                    <w:t>的</w:t>
                  </w:r>
                  <w:r>
                    <w:rPr>
                      <w:rFonts w:hint="default" w:ascii="Times New Roman" w:hAnsi="Times New Roman" w:eastAsia="宋体" w:cs="Times New Roman"/>
                      <w:i w:val="0"/>
                      <w:iCs w:val="0"/>
                      <w:color w:val="auto"/>
                      <w:kern w:val="0"/>
                      <w:sz w:val="21"/>
                      <w:szCs w:val="21"/>
                      <w:highlight w:val="none"/>
                      <w:u w:val="none"/>
                      <w:lang w:val="en-US" w:eastAsia="zh-CN" w:bidi="ar"/>
                    </w:rPr>
                    <w:t>作用。在碱性条件下，试剂与某些金属离子络合，形成玫瑰红色络合物。常被用作EDTA滴定钙的指示剂，也用于钙，镁总量的测定。试剂水溶液不稳定，常于氯化钠粉末配成固体混合物保存</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合</w:t>
                  </w:r>
                  <w:r>
                    <w:rPr>
                      <w:rFonts w:hint="default" w:ascii="Times New Roman" w:hAnsi="Times New Roman" w:eastAsia="宋体" w:cs="Times New Roman"/>
                      <w:i w:val="0"/>
                      <w:iCs w:val="0"/>
                      <w:color w:val="auto"/>
                      <w:kern w:val="0"/>
                      <w:sz w:val="21"/>
                      <w:szCs w:val="21"/>
                      <w:highlight w:val="none"/>
                      <w:u w:val="none"/>
                      <w:lang w:val="en-US" w:eastAsia="zh-CN" w:bidi="ar"/>
                    </w:rPr>
                    <w:t>使用。</w:t>
                  </w:r>
                </w:p>
              </w:tc>
            </w:tr>
            <w:tr w14:paraId="4F5835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515F60D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四氢呋喃（色谱纯）</w:t>
                  </w:r>
                </w:p>
              </w:tc>
              <w:tc>
                <w:tcPr>
                  <w:tcW w:w="4340" w:type="pct"/>
                  <w:shd w:val="clear" w:color="auto" w:fill="auto"/>
                  <w:vAlign w:val="center"/>
                </w:tcPr>
                <w:p w14:paraId="2622258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无色液体，有类似</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己醚</w:t>
                  </w:r>
                  <w:r>
                    <w:rPr>
                      <w:rFonts w:hint="default" w:ascii="Times New Roman" w:hAnsi="Times New Roman" w:eastAsia="宋体" w:cs="Times New Roman"/>
                      <w:i w:val="0"/>
                      <w:iCs w:val="0"/>
                      <w:color w:val="auto"/>
                      <w:kern w:val="0"/>
                      <w:sz w:val="21"/>
                      <w:szCs w:val="21"/>
                      <w:highlight w:val="none"/>
                      <w:u w:val="none"/>
                      <w:lang w:val="en-US" w:eastAsia="zh-CN" w:bidi="ar"/>
                    </w:rPr>
                    <w:t>的气味。能溶于水及多数有机溶剂。蒸气能与空气形成爆炸物，与酸接触能发生反应，遇明火、强氧化剂有引起燃烧危险，与氢氧化钾、氢氧化钠有反应。</w:t>
                  </w:r>
                </w:p>
              </w:tc>
            </w:tr>
            <w:tr w14:paraId="3D3623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176E29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双（2</w:t>
                  </w:r>
                  <w:r>
                    <w:rPr>
                      <w:rFonts w:hint="default" w:ascii="Times New Roman" w:hAnsi="Times New Roman" w:cs="Times New Roman"/>
                      <w:color w:val="auto"/>
                      <w:kern w:val="0"/>
                      <w:sz w:val="21"/>
                      <w:szCs w:val="21"/>
                      <w:highlight w:val="none"/>
                      <w:shd w:val="clear" w:fill="FFFFFF"/>
                      <w:lang w:val="en-US" w:eastAsia="zh-CN" w:bidi="ar"/>
                    </w:rPr>
                    <w:t>-</w:t>
                  </w:r>
                  <w:r>
                    <w:rPr>
                      <w:rFonts w:hint="default" w:ascii="Times New Roman" w:hAnsi="Times New Roman" w:cs="Times New Roman"/>
                      <w:color w:val="auto"/>
                      <w:kern w:val="0"/>
                      <w:sz w:val="21"/>
                      <w:szCs w:val="21"/>
                      <w:highlight w:val="none"/>
                      <w:lang w:val="en-US" w:eastAsia="zh-CN" w:bidi="ar"/>
                    </w:rPr>
                    <w:t>乙基己基）酞酸酯</w:t>
                  </w:r>
                </w:p>
              </w:tc>
              <w:tc>
                <w:tcPr>
                  <w:tcW w:w="4340" w:type="pct"/>
                  <w:shd w:val="clear" w:color="auto" w:fill="auto"/>
                  <w:vAlign w:val="center"/>
                </w:tcPr>
                <w:p w14:paraId="213EDA1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无色透明液体，有特殊气味。相对密度0.986。熔点-55℃。沸点386.9℃，闪点217℃。着火点241℃。折射率1.4852。黏度81.4mPa.s。蒸气压</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200℃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176Pa。不溶于水，溶于大多数有机溶剂和烃类。与大多数工业用树脂有良好的相容性。与醋酸纤维素、聚醋酸乙烯酯部分相容。</w:t>
                  </w:r>
                </w:p>
              </w:tc>
            </w:tr>
            <w:tr w14:paraId="7EFB4B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07" w:hRule="atLeast"/>
                <w:jc w:val="center"/>
              </w:trPr>
              <w:tc>
                <w:tcPr>
                  <w:tcW w:w="659" w:type="pct"/>
                  <w:shd w:val="clear" w:color="auto" w:fill="auto"/>
                  <w:vAlign w:val="center"/>
                </w:tcPr>
                <w:p w14:paraId="036C72A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十氯联苯</w:t>
                  </w:r>
                </w:p>
              </w:tc>
              <w:tc>
                <w:tcPr>
                  <w:tcW w:w="4340" w:type="pct"/>
                  <w:shd w:val="clear" w:color="auto" w:fill="auto"/>
                  <w:vAlign w:val="center"/>
                </w:tcPr>
                <w:p w14:paraId="48893A6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十氯联苯是外观无色或微黄色的晶体，可溶于有机溶剂如苯、二氯甲烷和乙醇，几乎不溶于水。其强烈的氯化物特性，具有较高的毒性。</w:t>
                  </w:r>
                </w:p>
              </w:tc>
            </w:tr>
            <w:tr w14:paraId="2BE852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32" w:hRule="atLeast"/>
                <w:jc w:val="center"/>
              </w:trPr>
              <w:tc>
                <w:tcPr>
                  <w:tcW w:w="659" w:type="pct"/>
                  <w:shd w:val="clear" w:color="auto" w:fill="auto"/>
                  <w:vAlign w:val="center"/>
                </w:tcPr>
                <w:p w14:paraId="43BB4D4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十氟三苯基磷</w:t>
                  </w:r>
                </w:p>
              </w:tc>
              <w:tc>
                <w:tcPr>
                  <w:tcW w:w="4340" w:type="pct"/>
                  <w:shd w:val="clear" w:color="auto" w:fill="auto"/>
                  <w:vAlign w:val="center"/>
                </w:tcPr>
                <w:p w14:paraId="7E9E039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十氟三苯基磷是一种无色液体，具有特殊的气味。它在常温下不溶于水，但可溶于许多有机溶剂。TFP是一种热稳定的化合物，能耐受高温和氧化。十氟三苯基磷常用作配体或催化剂，参与有机合成反应，如氢化、构建碳</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碳键和碳</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氧键的反应等。</w:t>
                  </w:r>
                </w:p>
              </w:tc>
            </w:tr>
            <w:tr w14:paraId="0457FA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04" w:hRule="atLeast"/>
                <w:jc w:val="center"/>
              </w:trPr>
              <w:tc>
                <w:tcPr>
                  <w:tcW w:w="659" w:type="pct"/>
                  <w:shd w:val="clear" w:color="auto" w:fill="auto"/>
                  <w:vAlign w:val="center"/>
                </w:tcPr>
                <w:p w14:paraId="5F41A41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三联苯-d14</w:t>
                  </w:r>
                </w:p>
              </w:tc>
              <w:tc>
                <w:tcPr>
                  <w:tcW w:w="4340" w:type="pct"/>
                  <w:shd w:val="clear" w:color="auto" w:fill="auto"/>
                  <w:vAlign w:val="center"/>
                </w:tcPr>
                <w:p w14:paraId="4E55CC3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氨基对三联苯是白色或淡黄色固体。可溶于一些有机溶剂，如氯仿、苯和乙醇。</w:t>
                  </w:r>
                </w:p>
              </w:tc>
            </w:tr>
            <w:tr w14:paraId="6D50A9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66F668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过硫酸铵</w:t>
                  </w:r>
                </w:p>
              </w:tc>
              <w:tc>
                <w:tcPr>
                  <w:tcW w:w="4340" w:type="pct"/>
                  <w:shd w:val="clear" w:color="auto" w:fill="auto"/>
                  <w:vAlign w:val="center"/>
                </w:tcPr>
                <w:p w14:paraId="01ADFE4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无色单斜结晶或白色结晶性粉末。熔点120℃（分解）。具有很强的氧化性和腐蚀性。完全干燥</w:t>
                  </w:r>
                  <w:r>
                    <w:rPr>
                      <w:rFonts w:hint="eastAsia" w:cs="Times New Roman"/>
                      <w:i w:val="0"/>
                      <w:iCs w:val="0"/>
                      <w:color w:val="auto"/>
                      <w:kern w:val="0"/>
                      <w:sz w:val="21"/>
                      <w:szCs w:val="21"/>
                      <w:highlight w:val="none"/>
                      <w:u w:val="none"/>
                      <w:lang w:val="en-US" w:eastAsia="zh-CN" w:bidi="ar"/>
                    </w:rPr>
                    <w:t>地过</w:t>
                  </w:r>
                  <w:r>
                    <w:rPr>
                      <w:rFonts w:hint="default" w:ascii="Times New Roman" w:hAnsi="Times New Roman" w:eastAsia="宋体" w:cs="Times New Roman"/>
                      <w:i w:val="0"/>
                      <w:iCs w:val="0"/>
                      <w:color w:val="auto"/>
                      <w:kern w:val="0"/>
                      <w:sz w:val="21"/>
                      <w:szCs w:val="21"/>
                      <w:highlight w:val="none"/>
                      <w:u w:val="none"/>
                      <w:lang w:val="en-US" w:eastAsia="zh-CN" w:bidi="ar"/>
                    </w:rPr>
                    <w:t>硫酸铵不易分解，潮湿</w:t>
                  </w:r>
                  <w:r>
                    <w:rPr>
                      <w:rFonts w:hint="eastAsia" w:cs="Times New Roman"/>
                      <w:i w:val="0"/>
                      <w:iCs w:val="0"/>
                      <w:color w:val="auto"/>
                      <w:kern w:val="0"/>
                      <w:sz w:val="21"/>
                      <w:szCs w:val="21"/>
                      <w:highlight w:val="none"/>
                      <w:u w:val="none"/>
                      <w:lang w:val="en-US" w:eastAsia="zh-CN" w:bidi="ar"/>
                    </w:rPr>
                    <w:t>地过</w:t>
                  </w:r>
                  <w:r>
                    <w:rPr>
                      <w:rFonts w:hint="default" w:ascii="Times New Roman" w:hAnsi="Times New Roman" w:eastAsia="宋体" w:cs="Times New Roman"/>
                      <w:i w:val="0"/>
                      <w:iCs w:val="0"/>
                      <w:color w:val="auto"/>
                      <w:kern w:val="0"/>
                      <w:sz w:val="21"/>
                      <w:szCs w:val="21"/>
                      <w:highlight w:val="none"/>
                      <w:u w:val="none"/>
                      <w:lang w:val="en-US" w:eastAsia="zh-CN" w:bidi="ar"/>
                    </w:rPr>
                    <w:t>硫酸铵会逐渐分解，放出氧气和臭氧。易溶于水，其水溶液在室温下也会分解。与还原剂、有机物、易燃物或金属粉末等混合可形成爆炸性混合物。</w:t>
                  </w:r>
                </w:p>
              </w:tc>
            </w:tr>
            <w:tr w14:paraId="73510C3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526A1F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硅胶</w:t>
                  </w:r>
                </w:p>
              </w:tc>
              <w:tc>
                <w:tcPr>
                  <w:tcW w:w="4340" w:type="pct"/>
                  <w:shd w:val="clear" w:color="auto" w:fill="auto"/>
                  <w:vAlign w:val="center"/>
                </w:tcPr>
                <w:p w14:paraId="6D3C57A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为直径数纳米至百纳米的超微细颗粒分散在水中的乳白色胶体溶液。加热固化成硅胶。不燃、不爆、无毒。在胶体二氧化硅粒子表面的离子为水合型，因水分子覆盖而有亲水性。与有机物相溶性不好，对于用醇、丙酮等与水任意比例混合成的有机溶剂有相溶性。溶于氢氟酸和氢氧化钠溶液。不溶于其他无机酸。</w:t>
                  </w:r>
                </w:p>
              </w:tc>
            </w:tr>
            <w:tr w14:paraId="01BAAFC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35A526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凡士林</w:t>
                  </w:r>
                </w:p>
              </w:tc>
              <w:tc>
                <w:tcPr>
                  <w:tcW w:w="4340" w:type="pct"/>
                  <w:shd w:val="clear" w:color="auto" w:fill="auto"/>
                  <w:vAlign w:val="center"/>
                </w:tcPr>
                <w:p w14:paraId="4BCF6D8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至带黄色或淡琥珀色的半固体油脂状物。薄层状时透明，微有荧光。不溶于水，几乎不溶于冷的或热的乙醇和冷的无水乙醇中。溶于乙醚、己烷和大多数挥发或不挥发性油；易溶于苯、二硫化碳、氯仿和松节油。</w:t>
                  </w:r>
                </w:p>
              </w:tc>
            </w:tr>
            <w:tr w14:paraId="6D8F0E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AB8C4E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2,2,4-三甲基戊烷</w:t>
                  </w:r>
                </w:p>
              </w:tc>
              <w:tc>
                <w:tcPr>
                  <w:tcW w:w="4340" w:type="pct"/>
                  <w:shd w:val="clear" w:color="auto" w:fill="auto"/>
                  <w:vAlign w:val="center"/>
                </w:tcPr>
                <w:p w14:paraId="292F26B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无色、透明液体。不溶于水，溶于醚，易溶于醇、丙酮、苯、氯仿等。其蒸气与空气可形成爆炸性混合物，遇明火、高热能引起燃烧爆炸。遇强氧化剂会引起燃烧爆炸。</w:t>
                  </w:r>
                </w:p>
              </w:tc>
            </w:tr>
            <w:tr w14:paraId="794E02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18" w:hRule="atLeast"/>
                <w:jc w:val="center"/>
              </w:trPr>
              <w:tc>
                <w:tcPr>
                  <w:tcW w:w="659" w:type="pct"/>
                  <w:shd w:val="clear" w:color="auto" w:fill="auto"/>
                  <w:vAlign w:val="center"/>
                </w:tcPr>
                <w:p w14:paraId="1D9C872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环己二胺四乙酸</w:t>
                  </w:r>
                </w:p>
              </w:tc>
              <w:tc>
                <w:tcPr>
                  <w:tcW w:w="4340" w:type="pct"/>
                  <w:shd w:val="clear" w:color="auto" w:fill="auto"/>
                  <w:vAlign w:val="center"/>
                </w:tcPr>
                <w:p w14:paraId="0B02173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无色结晶性粉末。其在水中溶解性极好，也能溶解于一些有机溶剂如醇类和酮类。在常温下相对稳定，但在高温下可分解。</w:t>
                  </w:r>
                </w:p>
              </w:tc>
            </w:tr>
            <w:tr w14:paraId="39CF9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C4DE1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1，2-二氯乙烷-d4</w:t>
                  </w:r>
                </w:p>
              </w:tc>
              <w:tc>
                <w:tcPr>
                  <w:tcW w:w="4340" w:type="pct"/>
                  <w:shd w:val="clear" w:color="auto" w:fill="auto"/>
                  <w:vAlign w:val="center"/>
                </w:tcPr>
                <w:p w14:paraId="7C383FF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二氯乙烷-d4是一种氘代的1,2-二氯乙烷。它是一种无色液体，在常温下具有刺激性气味。用于核磁共振（NMR）研究中作为溶剂。氘被氢替代，使得该化合物在NMR谱图上表现出不同于1,2-二氯乙烷的特征，使得它成为进行定量和定性分析的有用工具。</w:t>
                  </w:r>
                </w:p>
              </w:tc>
            </w:tr>
            <w:tr w14:paraId="5F538D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E3337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Li-辛烷磺酸</w:t>
                  </w:r>
                </w:p>
              </w:tc>
              <w:tc>
                <w:tcPr>
                  <w:tcW w:w="4340" w:type="pct"/>
                  <w:shd w:val="clear" w:color="auto" w:fill="auto"/>
                  <w:vAlign w:val="center"/>
                </w:tcPr>
                <w:p w14:paraId="1D49235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这种离子液体主要用于溶剂和催化剂，在化工领域具有广泛的应用。它的溶解能力强，可以溶解许多有机和无机化合物，可以用作催化剂载体、电解质、溶剂和萃取剂等。它还被应用于电池、电荷存储材料、催化剂反应和生物质转化等方面。</w:t>
                  </w:r>
                </w:p>
              </w:tc>
            </w:tr>
            <w:tr w14:paraId="4B9311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25" w:hRule="atLeast"/>
                <w:jc w:val="center"/>
              </w:trPr>
              <w:tc>
                <w:tcPr>
                  <w:tcW w:w="659" w:type="pct"/>
                  <w:shd w:val="clear" w:color="auto" w:fill="auto"/>
                  <w:vAlign w:val="center"/>
                </w:tcPr>
                <w:p w14:paraId="0A5A5A0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4-氯-3-硝基三氟甲苯</w:t>
                  </w:r>
                </w:p>
              </w:tc>
              <w:tc>
                <w:tcPr>
                  <w:tcW w:w="4340" w:type="pct"/>
                  <w:shd w:val="clear" w:color="auto" w:fill="auto"/>
                  <w:vAlign w:val="center"/>
                </w:tcPr>
                <w:p w14:paraId="7EDA171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无色透明液体。相对密度1.4357。熔点-2.4℃。沸点202.8℃，105℃(4kPa)。折射率1.4719。溶于乙醇、乙醚，不溶于水。</w:t>
                  </w:r>
                </w:p>
              </w:tc>
            </w:tr>
            <w:tr w14:paraId="003673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97" w:hRule="atLeast"/>
                <w:jc w:val="center"/>
              </w:trPr>
              <w:tc>
                <w:tcPr>
                  <w:tcW w:w="659" w:type="pct"/>
                  <w:shd w:val="clear" w:color="auto" w:fill="auto"/>
                  <w:vAlign w:val="center"/>
                </w:tcPr>
                <w:p w14:paraId="2E8FE5B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柠檬酸氢二铵</w:t>
                  </w:r>
                </w:p>
              </w:tc>
              <w:tc>
                <w:tcPr>
                  <w:tcW w:w="4340" w:type="pct"/>
                  <w:shd w:val="clear" w:color="auto" w:fill="auto"/>
                  <w:vAlign w:val="center"/>
                </w:tcPr>
                <w:p w14:paraId="06969E8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白色颗粒或结晶性粉末。溶于约1份水，溶液呈弱酸性。微溶于乙醇。受高热即分解。</w:t>
                  </w:r>
                </w:p>
              </w:tc>
            </w:tr>
            <w:tr w14:paraId="0E3D7A9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EFFE77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溴化钠</w:t>
                  </w:r>
                </w:p>
              </w:tc>
              <w:tc>
                <w:tcPr>
                  <w:tcW w:w="4340" w:type="pct"/>
                  <w:shd w:val="clear" w:color="auto" w:fill="auto"/>
                  <w:vAlign w:val="center"/>
                </w:tcPr>
                <w:p w14:paraId="463FF3F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无色立方晶体或白色颗粒性粉末，属等轴晶系。无臭，</w:t>
                  </w:r>
                  <w:r>
                    <w:rPr>
                      <w:rFonts w:hint="eastAsia" w:cs="Times New Roman"/>
                      <w:i w:val="0"/>
                      <w:iCs w:val="0"/>
                      <w:color w:val="auto"/>
                      <w:kern w:val="0"/>
                      <w:sz w:val="21"/>
                      <w:szCs w:val="21"/>
                      <w:highlight w:val="none"/>
                      <w:u w:val="none"/>
                      <w:lang w:val="en-US" w:eastAsia="zh-CN" w:bidi="ar"/>
                    </w:rPr>
                    <w:t>味咸</w:t>
                  </w:r>
                  <w:r>
                    <w:rPr>
                      <w:rFonts w:hint="default" w:ascii="Times New Roman" w:hAnsi="Times New Roman" w:eastAsia="宋体" w:cs="Times New Roman"/>
                      <w:i w:val="0"/>
                      <w:iCs w:val="0"/>
                      <w:color w:val="auto"/>
                      <w:kern w:val="0"/>
                      <w:sz w:val="21"/>
                      <w:szCs w:val="21"/>
                      <w:highlight w:val="none"/>
                      <w:u w:val="none"/>
                      <w:lang w:val="en-US" w:eastAsia="zh-CN" w:bidi="ar"/>
                    </w:rPr>
                    <w:t>而稍苦。熔点755℃I相对密度3.21。在空气中易吸收水分而结块，但不潮解。易溶于水，微溶于乙醇。其水溶液呈中性，有导电性。溴化钠中的溴离子可被氟、氯所取代。与稀硫酸反应生成溴化氢，与浓硫酸、浓硝酸等反应，则氧化生成溴。当温度高于51℃时则生成二水合物。二水合物为无色单斜晶体。</w:t>
                  </w:r>
                </w:p>
              </w:tc>
            </w:tr>
            <w:tr w14:paraId="2BE6BF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510611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硼砂</w:t>
                  </w:r>
                </w:p>
              </w:tc>
              <w:tc>
                <w:tcPr>
                  <w:tcW w:w="4340" w:type="pct"/>
                  <w:shd w:val="clear" w:color="auto" w:fill="auto"/>
                  <w:vAlign w:val="center"/>
                </w:tcPr>
                <w:p w14:paraId="78A1157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无色结晶颗粒、无臭、味咸。熔点75℃。在干燥的空气中风化。易溶于水、甘油、不溶于乙醇，水溶液呈碱性．pH9.5。加热至100℃失去5分子结晶水，320℃即完全失水。</w:t>
                  </w:r>
                </w:p>
              </w:tc>
            </w:tr>
            <w:tr w14:paraId="102047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14" w:hRule="atLeast"/>
                <w:jc w:val="center"/>
              </w:trPr>
              <w:tc>
                <w:tcPr>
                  <w:tcW w:w="659" w:type="pct"/>
                  <w:shd w:val="clear" w:color="auto" w:fill="auto"/>
                  <w:vAlign w:val="center"/>
                </w:tcPr>
                <w:p w14:paraId="70D2A43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硫酸银</w:t>
                  </w:r>
                </w:p>
              </w:tc>
              <w:tc>
                <w:tcPr>
                  <w:tcW w:w="4340" w:type="pct"/>
                  <w:shd w:val="clear" w:color="auto" w:fill="auto"/>
                  <w:vAlign w:val="center"/>
                </w:tcPr>
                <w:p w14:paraId="682BF8F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无色结晶或白色结晶性粉末。熔点657℃；加热至1085℃分解。见光逐渐变黑。溶于125份水、71份沸水。溶于硝酸、氨水、浓硫酸。</w:t>
                  </w:r>
                </w:p>
              </w:tc>
            </w:tr>
            <w:tr w14:paraId="3177F49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4DE948E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菲绕啉</w:t>
                  </w:r>
                </w:p>
              </w:tc>
              <w:tc>
                <w:tcPr>
                  <w:tcW w:w="4340" w:type="pct"/>
                  <w:shd w:val="clear" w:color="auto" w:fill="auto"/>
                  <w:vAlign w:val="center"/>
                </w:tcPr>
                <w:p w14:paraId="46819AE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也称亚铁离子（Fe</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），是一种淡绿色的化合物。以下是试亚铁灵的一些性质：溶解性：试亚铁离子可以溶解在水中，形成淡绿色的溶液。在酸性条件下容易溶解，而在碱性条件下溶解度较低。氧化性</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亚铁离子是一种易于氧化的物质，可以被氧气、氧化剂以及空气中的氧气氧化为亚铁离子（Fe3+）。反应性：试亚铁离子作为过渡金属离子，参与了许多反应。例如，它可以与硫酸根离子反应生成淡绿色的硫酸亚铁，与氯气反应生成橙黄色的氯合亚铁，与碘酸根离子反应生成蓝色的碘合亚铁等。还原性</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亚铁离子具有很强的还原性，可以将其他物质还原为较低的氧化态。例如，它可以还原二氧化氯、硝酸等强氧化剂。</w:t>
                  </w:r>
                </w:p>
              </w:tc>
            </w:tr>
            <w:tr w14:paraId="199053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73B625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氟化钾</w:t>
                  </w:r>
                </w:p>
              </w:tc>
              <w:tc>
                <w:tcPr>
                  <w:tcW w:w="4340" w:type="pct"/>
                  <w:shd w:val="clear" w:color="auto" w:fill="auto"/>
                  <w:vAlign w:val="center"/>
                </w:tcPr>
                <w:p w14:paraId="116AE2F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无色立方晶体。易潮解。相对密度2. 48。熔点858℃。沸点1505℃。折射率1. 363。易溶于水，能溶于氢氟酸和液氨，微溶于醇及丙酮。水溶液呈碱性，能腐蚀玻璃及瓷器。加热至升华温度时才少许分解，但熔融氰化钾的活性较大，能腐蚀耐火物质。与过氧化氢可形成加成物KF．H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。水合物有两种：KF·2H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lang w:val="en-US" w:eastAsia="zh-CN" w:bidi="ar"/>
                    </w:rPr>
                    <w:t>和KF·4H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lang w:val="en-US" w:eastAsia="zh-CN" w:bidi="ar"/>
                    </w:rPr>
                    <w:t>。低于40.2℃时，水溶液中可结晶得到二水物</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KF·2H20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，系单斜晶体，41℃时可自溶于结晶水中。有毒。</w:t>
                  </w:r>
                </w:p>
              </w:tc>
            </w:tr>
            <w:tr w14:paraId="4F92B1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43EB0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淀粉</w:t>
                  </w:r>
                </w:p>
              </w:tc>
              <w:tc>
                <w:tcPr>
                  <w:tcW w:w="4340" w:type="pct"/>
                  <w:shd w:val="clear" w:color="auto" w:fill="auto"/>
                  <w:vAlign w:val="center"/>
                </w:tcPr>
                <w:p w14:paraId="0E1B882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以马铃薯为原料，经清洗、粉碎、干燥、过筛而得的一种白色柔软的无定形粉末。无臭。无味。有吸湿性。不溶于冷水、乙醇和乙醚。与水加温至55～60℃膨胀而变成具有</w:t>
                  </w:r>
                  <w:r>
                    <w:rPr>
                      <w:rFonts w:hint="eastAsia" w:cs="Times New Roman"/>
                      <w:i w:val="0"/>
                      <w:iCs w:val="0"/>
                      <w:color w:val="auto"/>
                      <w:kern w:val="0"/>
                      <w:sz w:val="21"/>
                      <w:szCs w:val="21"/>
                      <w:highlight w:val="none"/>
                      <w:u w:val="none"/>
                      <w:lang w:val="en-US" w:eastAsia="zh-CN" w:bidi="ar"/>
                    </w:rPr>
                    <w:t>黏性的</w:t>
                  </w:r>
                  <w:r>
                    <w:rPr>
                      <w:rFonts w:hint="default" w:ascii="Times New Roman" w:hAnsi="Times New Roman" w:eastAsia="宋体" w:cs="Times New Roman"/>
                      <w:i w:val="0"/>
                      <w:iCs w:val="0"/>
                      <w:color w:val="auto"/>
                      <w:kern w:val="0"/>
                      <w:sz w:val="21"/>
                      <w:szCs w:val="21"/>
                      <w:highlight w:val="none"/>
                      <w:u w:val="none"/>
                      <w:lang w:val="en-US" w:eastAsia="zh-CN" w:bidi="ar"/>
                    </w:rPr>
                    <w:t>半透明凝胶或胶体溶液。</w:t>
                  </w:r>
                </w:p>
              </w:tc>
            </w:tr>
            <w:tr w14:paraId="03D448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083977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硫酸锌</w:t>
                  </w:r>
                </w:p>
              </w:tc>
              <w:tc>
                <w:tcPr>
                  <w:tcW w:w="4340" w:type="pct"/>
                  <w:shd w:val="clear" w:color="auto" w:fill="auto"/>
                  <w:vAlign w:val="center"/>
                </w:tcPr>
                <w:p w14:paraId="650075A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酸锌又称皓矾、锌矾，常温下为无色或白色斜方晶体或粉末，有收敛性，易溶于水，水溶液呈酸性，微溶于乙醇和甘油。纯硫酸锌在空气中久贮不变黄，置于干燥空气中失去水而成白色粉末。有多种水合物：在0－39℃范围内与水相平衡的稳定水合物为七水硫酸锌，39－60℃内为6水硫酸锌，60－100℃内则为一水硫酸锌。当加热到280℃时各种水合物完全失去结晶水，680℃时分解为硫酸氧锌，750℃以上进一步分解，最后在930℃左右分解为氧化锌和三氧化硫。在一定范围内形成混合晶体。</w:t>
                  </w:r>
                </w:p>
              </w:tc>
            </w:tr>
            <w:tr w14:paraId="79C7D2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42" w:hRule="atLeast"/>
                <w:jc w:val="center"/>
              </w:trPr>
              <w:tc>
                <w:tcPr>
                  <w:tcW w:w="659" w:type="pct"/>
                  <w:shd w:val="clear" w:color="auto" w:fill="auto"/>
                  <w:vAlign w:val="center"/>
                </w:tcPr>
                <w:p w14:paraId="228A012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亚硝基铁氰化钠</w:t>
                  </w:r>
                </w:p>
              </w:tc>
              <w:tc>
                <w:tcPr>
                  <w:tcW w:w="4340" w:type="pct"/>
                  <w:shd w:val="clear" w:color="auto" w:fill="auto"/>
                  <w:vAlign w:val="center"/>
                </w:tcPr>
                <w:p w14:paraId="174081D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亚硝基铁氰化钠</w:t>
                  </w:r>
                  <w:r>
                    <w:rPr>
                      <w:rFonts w:hint="default" w:ascii="Times New Roman" w:hAnsi="Times New Roman" w:eastAsia="宋体" w:cs="Times New Roman"/>
                      <w:i w:val="0"/>
                      <w:iCs w:val="0"/>
                      <w:color w:val="auto"/>
                      <w:kern w:val="0"/>
                      <w:sz w:val="21"/>
                      <w:szCs w:val="21"/>
                      <w:highlight w:val="none"/>
                      <w:u w:val="none"/>
                      <w:lang w:val="en-US" w:eastAsia="zh-CN" w:bidi="ar"/>
                    </w:rPr>
                    <w:t>是无色结晶体，常以无水盐的形式存在。在干燥条件下相对稳定，但不稳定于潮湿的空气中。易溶于水，但不溶于有机溶剂。</w:t>
                  </w:r>
                </w:p>
              </w:tc>
            </w:tr>
            <w:tr w14:paraId="77791A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22" w:hRule="atLeast"/>
                <w:jc w:val="center"/>
              </w:trPr>
              <w:tc>
                <w:tcPr>
                  <w:tcW w:w="659" w:type="pct"/>
                  <w:shd w:val="clear" w:color="auto" w:fill="auto"/>
                  <w:vAlign w:val="center"/>
                </w:tcPr>
                <w:p w14:paraId="0596F2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四硼酸钠</w:t>
                  </w:r>
                </w:p>
              </w:tc>
              <w:tc>
                <w:tcPr>
                  <w:tcW w:w="4340" w:type="pct"/>
                  <w:shd w:val="clear" w:color="auto" w:fill="auto"/>
                  <w:vAlign w:val="center"/>
                </w:tcPr>
                <w:p w14:paraId="0BE34D0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无色结晶颗粒、无臭、味咸。熔点75℃。在干燥的空气中风化。易溶于水、甘油、不溶于乙醇，水溶液呈碱性．pH9.5。加热至100℃失去5分子结晶水，320℃即完全失水。</w:t>
                  </w:r>
                </w:p>
              </w:tc>
            </w:tr>
            <w:tr w14:paraId="210541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730" w:hRule="atLeast"/>
                <w:jc w:val="center"/>
              </w:trPr>
              <w:tc>
                <w:tcPr>
                  <w:tcW w:w="659" w:type="pct"/>
                  <w:shd w:val="clear" w:color="auto" w:fill="auto"/>
                  <w:vAlign w:val="center"/>
                </w:tcPr>
                <w:p w14:paraId="0719FAA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钼酸铵</w:t>
                  </w:r>
                </w:p>
              </w:tc>
              <w:tc>
                <w:tcPr>
                  <w:tcW w:w="4340" w:type="pct"/>
                  <w:shd w:val="clear" w:color="auto" w:fill="auto"/>
                  <w:vAlign w:val="center"/>
                </w:tcPr>
                <w:p w14:paraId="7F2C9A0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无色或浅黄绿色单斜结晶。相对密度2.498。溶于水、酸和碱中，不溶于醇。加热至90℃时失去1个结晶水，19 0℃时分解成氨、水和三氧化钼。放置空气中风化，失去一部分氨。</w:t>
                  </w:r>
                </w:p>
              </w:tc>
            </w:tr>
            <w:tr w14:paraId="781EE9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1310EB3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酚酞</w:t>
                  </w:r>
                </w:p>
              </w:tc>
              <w:tc>
                <w:tcPr>
                  <w:tcW w:w="4340" w:type="pct"/>
                  <w:shd w:val="clear" w:color="auto" w:fill="auto"/>
                  <w:vAlign w:val="center"/>
                </w:tcPr>
                <w:p w14:paraId="1A8D33D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在空气中稳定。溶于乙醇和碱溶液，在乙醚中略溶，1g溶于12ml乙醇、约100ml乙醚，溶于稀碱溶液呈深红色，极微溶于氯仿，不溶于水。最小致死量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大鼠，腹腔</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500mg/kg。有刺激性。</w:t>
                  </w:r>
                </w:p>
              </w:tc>
            </w:tr>
            <w:tr w14:paraId="3DEBE5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044" w:hRule="atLeast"/>
                <w:jc w:val="center"/>
              </w:trPr>
              <w:tc>
                <w:tcPr>
                  <w:tcW w:w="659" w:type="pct"/>
                  <w:shd w:val="clear" w:color="auto" w:fill="auto"/>
                  <w:vAlign w:val="center"/>
                </w:tcPr>
                <w:p w14:paraId="328D7C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亚甲蓝</w:t>
                  </w:r>
                </w:p>
              </w:tc>
              <w:tc>
                <w:tcPr>
                  <w:tcW w:w="4340" w:type="pct"/>
                  <w:shd w:val="clear" w:color="auto" w:fill="auto"/>
                  <w:vAlign w:val="center"/>
                </w:tcPr>
                <w:p w14:paraId="6FE214C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深绿色、有铜光的柱状结晶或结晶性粉末；无臭。在水或乙醇中易溶，在三氯甲烷中溶解。细菌染色剂。血清蛋白生化检验时配混合指示剂。配制脱落细胞检验染色液。制备碱性</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美蓝</w:t>
                  </w:r>
                  <w:r>
                    <w:rPr>
                      <w:rFonts w:hint="default" w:ascii="Times New Roman" w:hAnsi="Times New Roman" w:eastAsia="宋体" w:cs="Times New Roman"/>
                      <w:i w:val="0"/>
                      <w:iCs w:val="0"/>
                      <w:color w:val="auto"/>
                      <w:kern w:val="0"/>
                      <w:sz w:val="21"/>
                      <w:szCs w:val="21"/>
                      <w:highlight w:val="none"/>
                      <w:u w:val="none"/>
                      <w:lang w:val="en-US" w:eastAsia="zh-CN" w:bidi="ar"/>
                    </w:rPr>
                    <w:t>染色液。氧化还原指示剂。测定汞、锡。还原滴定剂。</w:t>
                  </w:r>
                </w:p>
              </w:tc>
            </w:tr>
            <w:tr w14:paraId="3FD556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96" w:hRule="atLeast"/>
                <w:jc w:val="center"/>
              </w:trPr>
              <w:tc>
                <w:tcPr>
                  <w:tcW w:w="659" w:type="pct"/>
                  <w:shd w:val="clear" w:color="auto" w:fill="auto"/>
                  <w:vAlign w:val="center"/>
                </w:tcPr>
                <w:p w14:paraId="21892DD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无砷铅粒</w:t>
                  </w:r>
                </w:p>
              </w:tc>
              <w:tc>
                <w:tcPr>
                  <w:tcW w:w="4340" w:type="pct"/>
                  <w:shd w:val="clear" w:color="auto" w:fill="auto"/>
                  <w:vAlign w:val="center"/>
                </w:tcPr>
                <w:p w14:paraId="293BDF2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蓝灰色的金属，质软。熔点327.4℃，沸点1740℃。不溶于水，溶于硝酸、热浓硫酸、碱液。粉体在受热、遇明火或接触氧化剂时会引起燃烧爆炸。</w:t>
                  </w:r>
                </w:p>
              </w:tc>
            </w:tr>
            <w:tr w14:paraId="734A2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30" w:hRule="atLeast"/>
                <w:jc w:val="center"/>
              </w:trPr>
              <w:tc>
                <w:tcPr>
                  <w:tcW w:w="659" w:type="pct"/>
                  <w:shd w:val="clear" w:color="auto" w:fill="auto"/>
                  <w:vAlign w:val="center"/>
                </w:tcPr>
                <w:p w14:paraId="49F3CF8F">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柠檬酸铵</w:t>
                  </w:r>
                </w:p>
              </w:tc>
              <w:tc>
                <w:tcPr>
                  <w:tcW w:w="4340" w:type="pct"/>
                  <w:shd w:val="clear" w:color="auto" w:fill="auto"/>
                  <w:vAlign w:val="center"/>
                </w:tcPr>
                <w:p w14:paraId="665C7AB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无色结晶或白色颗粒状固体。柠檬酸铵可溶于水及醇类溶剂，不溶于醚类溶剂。在溶液中时，pH值较酸性，约为2.7-3.2。柠檬酸铵在高温下分解，释放出氨气。</w:t>
                  </w:r>
                </w:p>
              </w:tc>
            </w:tr>
            <w:tr w14:paraId="0896013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53491F6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甲酚红</w:t>
                  </w:r>
                </w:p>
              </w:tc>
              <w:tc>
                <w:tcPr>
                  <w:tcW w:w="4340" w:type="pct"/>
                  <w:shd w:val="clear" w:color="auto" w:fill="auto"/>
                  <w:vAlign w:val="center"/>
                </w:tcPr>
                <w:p w14:paraId="585D5C0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红棕色或暗红色结晶性粉末。溶于稀酸（呈黄色）、稀</w:t>
                  </w:r>
                  <w:r>
                    <w:rPr>
                      <w:rFonts w:hint="eastAsia" w:cs="Times New Roman"/>
                      <w:i w:val="0"/>
                      <w:iCs w:val="0"/>
                      <w:color w:val="auto"/>
                      <w:kern w:val="0"/>
                      <w:sz w:val="21"/>
                      <w:szCs w:val="21"/>
                      <w:highlight w:val="none"/>
                      <w:u w:val="none"/>
                      <w:lang w:val="en-US" w:eastAsia="zh-CN" w:bidi="ar"/>
                    </w:rPr>
                    <w:t>氢氧化钠</w:t>
                  </w:r>
                  <w:r>
                    <w:rPr>
                      <w:rFonts w:hint="default" w:ascii="Times New Roman" w:hAnsi="Times New Roman" w:eastAsia="宋体" w:cs="Times New Roman"/>
                      <w:i w:val="0"/>
                      <w:iCs w:val="0"/>
                      <w:color w:val="auto"/>
                      <w:kern w:val="0"/>
                      <w:sz w:val="21"/>
                      <w:szCs w:val="21"/>
                      <w:highlight w:val="none"/>
                      <w:u w:val="none"/>
                      <w:lang w:val="en-US" w:eastAsia="zh-CN" w:bidi="ar"/>
                    </w:rPr>
                    <w:t>溶液（呈紫色），溶于乙醇、水。pH值0.2～1.8（由红至黄色）；7．O～8.0（由黄至紫红色）。</w:t>
                  </w:r>
                </w:p>
              </w:tc>
            </w:tr>
            <w:tr w14:paraId="5F2297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0A1F89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三水乙酸钠</w:t>
                  </w:r>
                </w:p>
              </w:tc>
              <w:tc>
                <w:tcPr>
                  <w:tcW w:w="4340" w:type="pct"/>
                  <w:shd w:val="clear" w:color="auto" w:fill="auto"/>
                  <w:vAlign w:val="center"/>
                </w:tcPr>
                <w:p w14:paraId="40118D7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本产品为无色或白色晶体，相对密度1.528g/cm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，熔点58</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，水溶性</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762g/L(20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°C</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溶于水和乙醚，微溶于乙醇</w:t>
                  </w:r>
                </w:p>
              </w:tc>
            </w:tr>
            <w:tr w14:paraId="4FD160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692" w:hRule="atLeast"/>
                <w:jc w:val="center"/>
              </w:trPr>
              <w:tc>
                <w:tcPr>
                  <w:tcW w:w="659" w:type="pct"/>
                  <w:shd w:val="clear" w:color="auto" w:fill="auto"/>
                  <w:vAlign w:val="center"/>
                </w:tcPr>
                <w:p w14:paraId="310824F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高氯酸（易制爆）</w:t>
                  </w:r>
                </w:p>
              </w:tc>
              <w:tc>
                <w:tcPr>
                  <w:tcW w:w="4340" w:type="pct"/>
                  <w:shd w:val="clear" w:color="auto" w:fill="auto"/>
                  <w:vAlign w:val="center"/>
                </w:tcPr>
                <w:p w14:paraId="1475B40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不稳定的微发烟液体。相对密度1.764。熔点-112℃。沸点39℃(7466.032Pa)。加热至约90℃时开始分解。无水高氯酸极不稳定，常压下不能制得，一般只能制得水合物。极易溶于水，可与水以任何比例混溶，其水溶液有很好的导电性。是强酸，又是强氧化剂，具有强腐蚀性，能破坏有机材料，</w:t>
                  </w:r>
                  <w:r>
                    <w:rPr>
                      <w:rFonts w:hint="eastAsia" w:cs="Times New Roman"/>
                      <w:i w:val="0"/>
                      <w:iCs w:val="0"/>
                      <w:color w:val="auto"/>
                      <w:kern w:val="0"/>
                      <w:sz w:val="21"/>
                      <w:szCs w:val="21"/>
                      <w:highlight w:val="none"/>
                      <w:u w:val="none"/>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某些有机物接触，在遇热的条件下极易引起爆炸。能与铁、铜、锌等进行剧烈反应生成氧化物，能将黄磷和硫黄分别氧化成磷酸和硫酸。</w:t>
                  </w:r>
                </w:p>
              </w:tc>
            </w:tr>
            <w:tr w14:paraId="2922D4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065462A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硝酸（易制爆）</w:t>
                  </w:r>
                </w:p>
              </w:tc>
              <w:tc>
                <w:tcPr>
                  <w:tcW w:w="4340" w:type="pct"/>
                  <w:shd w:val="clear" w:color="auto" w:fill="auto"/>
                  <w:vAlign w:val="center"/>
                </w:tcPr>
                <w:p w14:paraId="7BA0245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或黄色发烟液体，有令人窒息的气味。在空气中形成黄色到棕红色的雾状气体。能与水任意混溶。熔点-42℃，沸点83℃。硝酸不稳定，遇光或热会分解而放出二氧化氮，从而呈现浅黄色。浓硝酸是强氧化剂，遇有机物、木屑等能引起燃烧。含有痕量氧化物的浓硝酸几乎能与除铝和含铬特殊钢之外的所有金属发生反应，而除铝和含铬特殊钢则能被浓硝酸钝化。与乙醇、松节油、焦炭、有机碎渣的反应非常剧烈。</w:t>
                  </w:r>
                </w:p>
              </w:tc>
            </w:tr>
            <w:tr w14:paraId="11858A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97" w:hRule="atLeast"/>
                <w:jc w:val="center"/>
              </w:trPr>
              <w:tc>
                <w:tcPr>
                  <w:tcW w:w="659" w:type="pct"/>
                  <w:shd w:val="clear" w:color="auto" w:fill="auto"/>
                  <w:vAlign w:val="center"/>
                </w:tcPr>
                <w:p w14:paraId="129BC4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硝酸钾（易制爆）</w:t>
                  </w:r>
                </w:p>
              </w:tc>
              <w:tc>
                <w:tcPr>
                  <w:tcW w:w="4340" w:type="pct"/>
                  <w:shd w:val="clear" w:color="auto" w:fill="auto"/>
                  <w:vAlign w:val="center"/>
                </w:tcPr>
                <w:p w14:paraId="70F60455">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无色透明斜方或三方棱柱体结晶或白色结晶性粉末。熔点333℃；有潮解性。受热分解。19</w:t>
                  </w:r>
                  <w:r>
                    <w:rPr>
                      <w:rFonts w:hint="eastAsia" w:cs="Times New Roman"/>
                      <w:i w:val="0"/>
                      <w:iCs w:val="0"/>
                      <w:color w:val="auto"/>
                      <w:kern w:val="0"/>
                      <w:sz w:val="21"/>
                      <w:szCs w:val="21"/>
                      <w:highlight w:val="none"/>
                      <w:u w:val="none"/>
                      <w:lang w:val="en-US" w:eastAsia="zh-CN" w:bidi="ar"/>
                    </w:rPr>
                    <w:t>该产</w:t>
                  </w:r>
                  <w:r>
                    <w:rPr>
                      <w:rFonts w:hint="default" w:ascii="Times New Roman" w:hAnsi="Times New Roman" w:eastAsia="宋体" w:cs="Times New Roman"/>
                      <w:i w:val="0"/>
                      <w:iCs w:val="0"/>
                      <w:color w:val="auto"/>
                      <w:kern w:val="0"/>
                      <w:sz w:val="21"/>
                      <w:szCs w:val="21"/>
                      <w:highlight w:val="none"/>
                      <w:u w:val="none"/>
                      <w:lang w:val="en-US" w:eastAsia="zh-CN" w:bidi="ar"/>
                    </w:rPr>
                    <w:t>品溶于2.8mL水、0.5mL沸水、620mL乙醇，溶于甘油，不溶于无水乙醇。溶于水时能降低温度，水溶液pH值约为7。400℃分解放出氧气；具有强氧化性。与有机物、还原剂、易燃物等接触或混合时有引起燃烧爆炸的危险。</w:t>
                  </w:r>
                </w:p>
              </w:tc>
            </w:tr>
            <w:tr w14:paraId="6337CA5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641421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重铬酸钾（易制爆）</w:t>
                  </w:r>
                </w:p>
              </w:tc>
              <w:tc>
                <w:tcPr>
                  <w:tcW w:w="4340" w:type="pct"/>
                  <w:shd w:val="clear" w:color="auto" w:fill="auto"/>
                  <w:vAlign w:val="center"/>
                </w:tcPr>
                <w:p w14:paraId="4ED67E0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橙红色有光泽的单斜或三方晶系结晶。241.6℃由三斜晶系变为单斜晶系。熔点398℃；约500℃分解。溶于水，不同温度下饱和水溶液的浓度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为；4.3(0℃)11.7(20℃)、20.9(40℃)、31.3(60-C)、50.2(100℃)。溶液呈酸性，不溶于乙醇。具有强氧化性与腐蚀性，与还原剂、有机物、易燃物或金属粉末等混合可形成爆炸性混合物，经摩擦、震动或撞击可引起燃烧或爆炸。</w:t>
                  </w:r>
                </w:p>
              </w:tc>
            </w:tr>
            <w:tr w14:paraId="57C8E8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85" w:hRule="atLeast"/>
                <w:jc w:val="center"/>
              </w:trPr>
              <w:tc>
                <w:tcPr>
                  <w:tcW w:w="659" w:type="pct"/>
                  <w:shd w:val="clear" w:color="auto" w:fill="auto"/>
                  <w:vAlign w:val="center"/>
                </w:tcPr>
                <w:p w14:paraId="1A3F988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高锰酸钾（易制毒）</w:t>
                  </w:r>
                </w:p>
              </w:tc>
              <w:tc>
                <w:tcPr>
                  <w:tcW w:w="4340" w:type="pct"/>
                  <w:shd w:val="clear" w:color="auto" w:fill="auto"/>
                  <w:vAlign w:val="center"/>
                </w:tcPr>
                <w:p w14:paraId="6487EC3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在酸性环境下氧化性更强，能氧化负价态的氯、溴、碘、硫等离子及二氧化硫等。与皮肤接触可腐蚀皮肤产生棕色染色</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粉末散布于空气中有强烈刺激性。尿液、二氧化硫等可使其褪色。与较活泼金属粉末混合后有强烈燃烧性，危险。</w:t>
                  </w:r>
                </w:p>
              </w:tc>
            </w:tr>
            <w:tr w14:paraId="5AD915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EC70AB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硼氢化钠（易制爆）</w:t>
                  </w:r>
                </w:p>
              </w:tc>
              <w:tc>
                <w:tcPr>
                  <w:tcW w:w="4340" w:type="pct"/>
                  <w:shd w:val="clear" w:color="auto" w:fill="auto"/>
                  <w:vAlign w:val="center"/>
                </w:tcPr>
                <w:p w14:paraId="5D8D0B7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白色结晶粉末。相对密度1</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074。在干燥空气中温度达到300℃或真空400℃时仍稳定，不挥发，熔点505℃，硼氢化钠易溶于水、液氨、胺类，微溶于四氢呋喃，不溶于乙醚、苯、烃。与水作用产生氢气。在碱性溶液中稳定，在酸性溶液中则很快被完全分解。硼氢化钠碱性溶液呈棕黄色。</w:t>
                  </w:r>
                </w:p>
              </w:tc>
            </w:tr>
            <w:tr w14:paraId="61C10E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46" w:hRule="atLeast"/>
                <w:jc w:val="center"/>
              </w:trPr>
              <w:tc>
                <w:tcPr>
                  <w:tcW w:w="659" w:type="pct"/>
                  <w:shd w:val="clear" w:color="auto" w:fill="auto"/>
                  <w:vAlign w:val="center"/>
                </w:tcPr>
                <w:p w14:paraId="3866B30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硼氢化钾（易制爆）</w:t>
                  </w:r>
                </w:p>
              </w:tc>
              <w:tc>
                <w:tcPr>
                  <w:tcW w:w="4340" w:type="pct"/>
                  <w:shd w:val="clear" w:color="auto" w:fill="auto"/>
                  <w:vAlign w:val="center"/>
                </w:tcPr>
                <w:p w14:paraId="0A83ADE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疏松粉末或晶体。相对密度1.178。熔点585℃，在真空中约500℃开始分解，在空气中稳定，不吸湿性。硼氢化钾易溶于水，水溶液加热至1000℃时，完全释放出氢。溶于液氨，微溶于甲醇和乙醇，几乎不溶于乙醚、苯、四氢呋喃、甲醚及其他碳氢化合物。在碱性环境中稳定，遇无机酸分解而放出氢气。</w:t>
                  </w:r>
                </w:p>
              </w:tc>
            </w:tr>
            <w:tr w14:paraId="34BF4F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B5152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叠氮化钠（剧毒）</w:t>
                  </w:r>
                </w:p>
              </w:tc>
              <w:tc>
                <w:tcPr>
                  <w:tcW w:w="4340" w:type="pct"/>
                  <w:shd w:val="clear" w:color="auto" w:fill="auto"/>
                  <w:vAlign w:val="center"/>
                </w:tcPr>
                <w:p w14:paraId="6993DE8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白色六方系晶体，无味，无嗅，纯品无吸湿性。有毒。相对密度1.846。不溶于乙醚，微溶于乙醇</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 时0.3</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，溶于液氨</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0℃时50.7</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0℃时 39、10℃时40.16、100℃时55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。虽然无可燃性，但有爆炸性。</w:t>
                  </w:r>
                </w:p>
              </w:tc>
            </w:tr>
            <w:tr w14:paraId="4B34003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504F318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甲苯（易制毒）</w:t>
                  </w:r>
                </w:p>
              </w:tc>
              <w:tc>
                <w:tcPr>
                  <w:tcW w:w="4340" w:type="pct"/>
                  <w:shd w:val="clear" w:color="auto" w:fill="auto"/>
                  <w:vAlign w:val="center"/>
                </w:tcPr>
                <w:p w14:paraId="0D97105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无色澄清液体。有苯样气味。有强折光性。能与</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"https://baike.so.com/doc/3036121-3200992.html"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"https://baike.so.com/doc/1872265-1980372.html"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"https://baike.so.com/doc/7098038-7320983.html"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丙酮</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、氯仿、二硫化碳和冰乙酸混溶，极微溶于水。</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"https://baike.so.com/doc/2751462-2903816.html"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相对密度</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 0.866。</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"https://baike.so.com/doc/6746556-6961102.html"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凝固点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-95℃。</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"https://baike.so.com/doc/5567907-5783065.html"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沸点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110.6℃。</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"https://baike.so.com/doc/6175804-6389045.html"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折光率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1.4967。闪点</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闭杯</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4.4℃。易燃。蒸气能与空气形成爆炸性混合物，</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"https://baike.so.com/doc/625906-662542.html"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爆炸极限</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 1.2%</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体积</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。低毒，半数致死量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大鼠，经口</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5000mg/kg。高浓度气体有麻醉性。有刺激性。</w:t>
                  </w:r>
                </w:p>
              </w:tc>
            </w:tr>
            <w:tr w14:paraId="1D4CAB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067C6F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硫酸（易制毒）</w:t>
                  </w:r>
                </w:p>
              </w:tc>
              <w:tc>
                <w:tcPr>
                  <w:tcW w:w="4340" w:type="pct"/>
                  <w:shd w:val="clear" w:color="auto" w:fill="auto"/>
                  <w:vAlign w:val="center"/>
                </w:tcPr>
                <w:p w14:paraId="5A347BE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无水硫酸为无色油状液体，10.36℃时结晶，通常使用的是它的各种不同浓度的水溶液，用</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"https://baike.so.com/doc/4883217-5101179.html"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塔式法</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和</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"https://baike.so.com/doc/6290327-6503821.html"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接触法</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制取。前者所得为粗制稀硫酸，质量分数一般在75%左右</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后者可得质量分数98.3%的纯浓硫酸，沸点338℃，相对密度1.84。</w:t>
                  </w:r>
                </w:p>
              </w:tc>
            </w:tr>
            <w:tr w14:paraId="0A64C3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40" w:hRule="atLeast"/>
                <w:jc w:val="center"/>
              </w:trPr>
              <w:tc>
                <w:tcPr>
                  <w:tcW w:w="659" w:type="pct"/>
                  <w:shd w:val="clear" w:color="auto" w:fill="auto"/>
                  <w:vAlign w:val="center"/>
                </w:tcPr>
                <w:p w14:paraId="13C9B22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盐酸（易制毒）</w:t>
                  </w:r>
                </w:p>
              </w:tc>
              <w:tc>
                <w:tcPr>
                  <w:tcW w:w="4340" w:type="pct"/>
                  <w:shd w:val="clear" w:color="auto" w:fill="auto"/>
                  <w:vAlign w:val="center"/>
                </w:tcPr>
                <w:p w14:paraId="1EC3539C">
                  <w:pPr>
                    <w:keepNext w:val="0"/>
                    <w:keepLines w:val="0"/>
                    <w:suppressLineNumbers w:val="0"/>
                    <w:bidi w:val="0"/>
                    <w:spacing w:before="0" w:beforeAutospacing="0" w:after="0" w:afterAutospacing="0"/>
                    <w:ind w:left="0" w:right="0"/>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color w:val="auto"/>
                      <w:sz w:val="21"/>
                      <w:szCs w:val="21"/>
                      <w:highlight w:val="none"/>
                      <w:lang w:val="en-US" w:eastAsia="zh-CN"/>
                    </w:rPr>
                    <w:t>氯化氢的水溶液，为一元无机强酸，是一种混合物。浓盐酸为无色液体，有强烈的刺激性气味。</w:t>
                  </w:r>
                </w:p>
              </w:tc>
            </w:tr>
            <w:tr w14:paraId="6F3EDC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3D818F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丙酮（易制毒）</w:t>
                  </w:r>
                </w:p>
              </w:tc>
              <w:tc>
                <w:tcPr>
                  <w:tcW w:w="4340" w:type="pct"/>
                  <w:shd w:val="clear" w:color="auto" w:fill="auto"/>
                  <w:vAlign w:val="center"/>
                </w:tcPr>
                <w:p w14:paraId="6B29307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丙酮又名二甲基酮，为最简单的饱和酮。是一种无色透明液体，有特殊的辛辣气味。易溶于水和甲醇、乙醇、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"https://baike.so.com/doc/1041070-32350553.html"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氯仿、吡啶等有机溶剂。易燃、易挥发，化学性质较活泼。目前世界上丙酮的工业生产以异丙苯法为主。丙酮在工业上主要作为溶剂用于炸药、塑料、橡胶、纤维、制革、油脂、喷漆等行业中，也可作为合成烯酮、醋酐、碘仿、聚异戊二烯橡胶、</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"https://baike.so.com/doc/5243408-7125655.html"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甲基丙烯酸</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甲酯、氯仿、</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"https://baike.so.com/doc/995574-32329278.html"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环氧树脂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等物质的重要原料。</w:t>
                  </w:r>
                </w:p>
              </w:tc>
            </w:tr>
            <w:tr w14:paraId="056B75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C3967A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乙醚（易制毒）</w:t>
                  </w:r>
                </w:p>
              </w:tc>
              <w:tc>
                <w:tcPr>
                  <w:tcW w:w="4340" w:type="pct"/>
                  <w:shd w:val="clear" w:color="auto" w:fill="auto"/>
                  <w:vAlign w:val="center"/>
                </w:tcPr>
                <w:p w14:paraId="75A590C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乙醚，又称依打（音译自英语：Ether）、二乙醚或乙氧基乙烷，是一种醚类有机化合物，化学式为C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4</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10</w:t>
                  </w:r>
                  <w:r>
                    <w:rPr>
                      <w:rFonts w:hint="default" w:ascii="Times New Roman" w:hAnsi="Times New Roman" w:eastAsia="宋体" w:cs="Times New Roman"/>
                      <w:i w:val="0"/>
                      <w:iCs w:val="0"/>
                      <w:color w:val="auto"/>
                      <w:kern w:val="0"/>
                      <w:sz w:val="21"/>
                      <w:szCs w:val="21"/>
                      <w:highlight w:val="none"/>
                      <w:u w:val="none"/>
                      <w:lang w:val="en-US" w:eastAsia="zh-CN" w:bidi="ar"/>
                    </w:rPr>
                    <w:t>O或（C</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5</w:t>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是一种无色、高度挥发性、有甜味（“飘逸气味”）、极易燃的液体，通常在实验室中用作溶剂，并用作某些发动机的启动液。在非易燃药物如氟烷等被开发之前，医学上常被用作全身麻醉剂。火药工业用于制造无烟火药。</w:t>
                  </w:r>
                </w:p>
              </w:tc>
            </w:tr>
            <w:tr w14:paraId="2FB841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72D468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三氯甲烷（易制毒）</w:t>
                  </w:r>
                </w:p>
              </w:tc>
              <w:tc>
                <w:tcPr>
                  <w:tcW w:w="4340" w:type="pct"/>
                  <w:shd w:val="clear" w:color="auto" w:fill="auto"/>
                  <w:vAlign w:val="center"/>
                </w:tcPr>
                <w:p w14:paraId="436BE658">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无色透明液体。有特殊气味。味甜。高</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"https://baike.so.com/doc/6767704-6982818.html"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折光</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，不燃，质重，易挥发。纯品对光敏感，遇光照会与空气中的氧作用，逐渐分解而生成剧毒的光气</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碳酰氯</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"https://baike.so.com/doc/2962673-3125501.html"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氯化氢</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。可加入0.6%</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1%的</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"https://baike.so.com/doc/3036121-3200992.html"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作稳定剂。能与乙醇、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"https://baike.so.com/doc/3194557-3366490.html"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苯</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"https://baike.so.com/doc/1872265-1980372.html"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"https://baike.so.com/doc/721112-763466.html"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石油醚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"https://baike.so.com/doc/131852-139263.html"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四氯化碳</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"https://baike.so.com/doc/3452665-3633155.html"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二硫化碳</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和油类等混溶、 25℃时1ml溶于200ml水。</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"https://baike.so.com/doc/2751462-2903816.html"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相对密度</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1.4840。</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"https://baike.so.com/doc/6746556-6961102.html"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凝固点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-63.5℃。</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"https://baike.so.com/doc/5567907-5783065.html"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沸点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61~62℃。</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"https://baike.so.com/doc/6175804-6389045.html"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折光率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1.4476。低毒，半数致死量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大鼠，经口</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1194mg/kg。有麻醉性。有致癌可能性。</w:t>
                  </w:r>
                </w:p>
              </w:tc>
            </w:tr>
            <w:tr w14:paraId="62FC25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C52DE8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乙酸丁酯p=0.876g/ML</w:t>
                  </w:r>
                </w:p>
              </w:tc>
              <w:tc>
                <w:tcPr>
                  <w:tcW w:w="4340" w:type="pct"/>
                  <w:shd w:val="clear" w:color="auto" w:fill="auto"/>
                  <w:vAlign w:val="center"/>
                </w:tcPr>
                <w:p w14:paraId="2ACD3EC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有芳香气味。能与乙醇、乙醚和一般有机溶剂相混溶，溶于烃类。25℃时溶于约120份水。易燃。蒸气能与空气形成爆炸性混合物，爆炸极限1.4%～8.0%（体积）。有刺激性。高浓度时有麻醉性。遇明火、高热能引起燃烧爆炸。与氧化剂能发生强烈反应。</w:t>
                  </w:r>
                </w:p>
              </w:tc>
            </w:tr>
            <w:tr w14:paraId="001C61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2DEB6A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乙酸乙酯</w:t>
                  </w:r>
                </w:p>
              </w:tc>
              <w:tc>
                <w:tcPr>
                  <w:tcW w:w="4340" w:type="pct"/>
                  <w:shd w:val="clear" w:color="auto" w:fill="auto"/>
                  <w:vAlign w:val="center"/>
                </w:tcPr>
                <w:p w14:paraId="3E233AAB">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无色透明液体。具有挥发性。易燃。有水果香味。水分能使其缓解分解而呈酸性反应。能与三氯甲烷、乙醇、丙酮、乙醚相混溶，</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mL</w:t>
                  </w:r>
                  <w:r>
                    <w:rPr>
                      <w:rFonts w:hint="eastAsia" w:cs="Times New Roman"/>
                      <w:i w:val="0"/>
                      <w:iCs w:val="0"/>
                      <w:color w:val="auto"/>
                      <w:kern w:val="0"/>
                      <w:sz w:val="21"/>
                      <w:szCs w:val="21"/>
                      <w:highlight w:val="none"/>
                      <w:u w:val="none"/>
                      <w:lang w:val="en-US" w:eastAsia="zh-CN" w:bidi="ar"/>
                    </w:rPr>
                    <w:t>该产</w:t>
                  </w:r>
                  <w:r>
                    <w:rPr>
                      <w:rFonts w:hint="default" w:ascii="Times New Roman" w:hAnsi="Times New Roman" w:eastAsia="宋体" w:cs="Times New Roman"/>
                      <w:i w:val="0"/>
                      <w:iCs w:val="0"/>
                      <w:color w:val="auto"/>
                      <w:kern w:val="0"/>
                      <w:sz w:val="21"/>
                      <w:szCs w:val="21"/>
                      <w:highlight w:val="none"/>
                      <w:u w:val="none"/>
                      <w:lang w:val="en-US" w:eastAsia="zh-CN" w:bidi="ar"/>
                    </w:rPr>
                    <w:t>品25℃溶于l</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mL水。其蒸气与空气形成爆炸性混合物，遇明火、高热能引起燃烧爆炸。与氧化剂能发生强烈反应。</w:t>
                  </w:r>
                </w:p>
              </w:tc>
            </w:tr>
            <w:tr w14:paraId="1A9165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010B791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正十六烷</w:t>
                  </w:r>
                </w:p>
              </w:tc>
              <w:tc>
                <w:tcPr>
                  <w:tcW w:w="4340" w:type="pct"/>
                  <w:shd w:val="clear" w:color="auto" w:fill="auto"/>
                  <w:vAlign w:val="center"/>
                </w:tcPr>
                <w:p w14:paraId="1A1E289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无色液体。</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"https://baike.so.com/doc/367780-389604.html"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熔点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18.2℃，</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"https://baike.so.com/doc/5567907-5783065.html"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沸点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286.79，</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"https://baike.so.com/doc/720555-762868.html"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闪点</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135℃，着火点202℃，</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"https://baike.so.com/doc/4210704-4411860.html"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密度</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0.7734 g/cm³。与</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"https://baike.so.com/doc/1041070-1101158.html"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"https://baike.so.com/doc/721112-763466.html"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石油醚</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和</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"https://baike.so.com/doc/3328269-3505240.html"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三氯甲烷</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混溶，微溶于热</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"https://baike.so.com/doc/3036121-3200992.html"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乙醇</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，不溶于水。用于</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"https://baike.so.com/doc/1355777-1433373.html"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溶剂</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11B48F8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8413F5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异辛烷</w:t>
                  </w:r>
                </w:p>
              </w:tc>
              <w:tc>
                <w:tcPr>
                  <w:tcW w:w="4340" w:type="pct"/>
                  <w:shd w:val="clear" w:color="auto" w:fill="auto"/>
                  <w:vAlign w:val="center"/>
                </w:tcPr>
                <w:p w14:paraId="62FF8E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无色、透明液体。不溶于水，溶于醚，易溶于醇、丙酮、苯、氯仿等。其蒸气与空气可形成爆炸性混合物，遇明火、高热能引起燃烧爆炸。遇强氧化剂会引起燃烧爆炸。</w:t>
                  </w:r>
                </w:p>
              </w:tc>
            </w:tr>
            <w:tr w14:paraId="4D1D67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75FB51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甲亚胺</w:t>
                  </w:r>
                </w:p>
              </w:tc>
              <w:tc>
                <w:tcPr>
                  <w:tcW w:w="4340" w:type="pct"/>
                  <w:shd w:val="clear" w:color="auto" w:fill="auto"/>
                  <w:vAlign w:val="center"/>
                </w:tcPr>
                <w:p w14:paraId="4B7F60F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橙黄到橙红色粉末。可以在水和一些有机溶剂中溶解，如乙醇和丙酮。水合偶氮次甲基―H常用于合成和储存二氧化氮（NO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），作为一种氧化剂、爆炸源或荧光染料的前体。在分析化学中，水合偶氮次甲基―H也可用作铜离子检测剂，能与铜形成明显可见的蓝色配合物。</w:t>
                  </w:r>
                </w:p>
              </w:tc>
            </w:tr>
            <w:tr w14:paraId="171967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CECA42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乙醛</w:t>
                  </w:r>
                </w:p>
              </w:tc>
              <w:tc>
                <w:tcPr>
                  <w:tcW w:w="4340" w:type="pct"/>
                  <w:shd w:val="clear" w:color="auto" w:fill="auto"/>
                  <w:vAlign w:val="center"/>
                </w:tcPr>
                <w:p w14:paraId="3B6D319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无色、易燃、易挥发、易流动的液体，有辛辣刺激性气味。相对密度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do</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0.7780。熔点-123.5℃。沸点20.16℃。闪点（闭杯）-38℃。比热容</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25℃</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1.41J/(g-℃)。折射率1. 3311。</w:t>
                  </w:r>
                  <w:r>
                    <w:rPr>
                      <w:rFonts w:hint="eastAsia" w:cs="Times New Roman"/>
                      <w:i w:val="0"/>
                      <w:iCs w:val="0"/>
                      <w:color w:val="auto"/>
                      <w:kern w:val="0"/>
                      <w:sz w:val="21"/>
                      <w:szCs w:val="21"/>
                      <w:highlight w:val="none"/>
                      <w:u w:val="none"/>
                      <w:lang w:val="en-US" w:eastAsia="zh-CN" w:bidi="ar"/>
                    </w:rPr>
                    <w:t>无水乙醇</w:t>
                  </w:r>
                  <w:r>
                    <w:rPr>
                      <w:rFonts w:hint="default" w:ascii="Times New Roman" w:hAnsi="Times New Roman" w:eastAsia="宋体" w:cs="Times New Roman"/>
                      <w:i w:val="0"/>
                      <w:iCs w:val="0"/>
                      <w:color w:val="auto"/>
                      <w:kern w:val="0"/>
                      <w:sz w:val="21"/>
                      <w:szCs w:val="21"/>
                      <w:highlight w:val="none"/>
                      <w:u w:val="none"/>
                      <w:lang w:val="en-US" w:eastAsia="zh-CN" w:bidi="ar"/>
                    </w:rPr>
                    <w:t>、乙醚、苯、汽油、甲苯、二甲苯和丙酮混溶。蒸气与空气形成爆炸性混合物，爆炸极限4.0%～57.0%（体积）。临界温度181.5℃，临界压力6.40MPa。</w:t>
                  </w:r>
                </w:p>
              </w:tc>
            </w:tr>
            <w:tr w14:paraId="6920B48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34F81A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异戊醇</w:t>
                  </w:r>
                </w:p>
              </w:tc>
              <w:tc>
                <w:tcPr>
                  <w:tcW w:w="4340" w:type="pct"/>
                  <w:shd w:val="clear" w:color="auto" w:fill="auto"/>
                  <w:vAlign w:val="center"/>
                </w:tcPr>
                <w:p w14:paraId="224386F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无色透明液体。有特殊不愉快气味。能与乙醇、乙醚、苯、氯仿、石油醚、冰乙酸、油类相混溶。微溶于水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14℃，2g／100mL</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。其蒸气与空气形成爆炸性混合物，遇明火、高热能引起燃烧爆炸。与氧化剂能发生强烈反应。若遇高热．容器内压增大，有开裂和爆炸的危险。</w:t>
                  </w:r>
                </w:p>
              </w:tc>
            </w:tr>
            <w:tr w14:paraId="476738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A96DE2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异丙醇</w:t>
                  </w:r>
                </w:p>
              </w:tc>
              <w:tc>
                <w:tcPr>
                  <w:tcW w:w="4340" w:type="pct"/>
                  <w:shd w:val="clear" w:color="auto" w:fill="auto"/>
                  <w:vAlign w:val="center"/>
                </w:tcPr>
                <w:p w14:paraId="3091321A">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无色透明液体。微有乙醇气味。能与水、乙醇、乙醚、氯仿相混溶。其蒸气与空气形成爆炸性混合物，遇明火、高热能引起燃烧爆炸。与氧化剂能发生强烈反应。若遇高热，容器内压增大，有开裂和爆炸的危险。</w:t>
                  </w:r>
                </w:p>
              </w:tc>
            </w:tr>
            <w:tr w14:paraId="529640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88" w:hRule="atLeast"/>
                <w:jc w:val="center"/>
              </w:trPr>
              <w:tc>
                <w:tcPr>
                  <w:tcW w:w="659" w:type="pct"/>
                  <w:shd w:val="clear" w:color="auto" w:fill="auto"/>
                  <w:vAlign w:val="center"/>
                </w:tcPr>
                <w:p w14:paraId="721AC67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石油醚</w:t>
                  </w:r>
                </w:p>
              </w:tc>
              <w:tc>
                <w:tcPr>
                  <w:tcW w:w="4340" w:type="pct"/>
                  <w:shd w:val="clear" w:color="auto" w:fill="auto"/>
                  <w:vAlign w:val="center"/>
                </w:tcPr>
                <w:p w14:paraId="3AD3A41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石油醚是一种无色、挥发性强的液体。它主要由烷烃、芳烃和环烷烃等碳氢化合物组成。它在常温下易燃，能够与空气形成可燃性混合物。石油醚的密度较低，通常在0.7至0.8 g/cm³之间。石油醚具有良好的溶解性，可溶于乙醇、丙酮、乙醚等有机溶剂，但很难溶于水。其挥发性和易燃性，使用或储存石油醚时需要谨慎，并采取必要的安全措施。</w:t>
                  </w:r>
                </w:p>
              </w:tc>
            </w:tr>
            <w:tr w14:paraId="755494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05" w:hRule="atLeast"/>
                <w:jc w:val="center"/>
              </w:trPr>
              <w:tc>
                <w:tcPr>
                  <w:tcW w:w="659" w:type="pct"/>
                  <w:shd w:val="clear" w:color="auto" w:fill="auto"/>
                  <w:vAlign w:val="center"/>
                </w:tcPr>
                <w:p w14:paraId="682979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氯化汞</w:t>
                  </w:r>
                </w:p>
              </w:tc>
              <w:tc>
                <w:tcPr>
                  <w:tcW w:w="4340" w:type="pct"/>
                  <w:shd w:val="clear" w:color="auto" w:fill="auto"/>
                  <w:vAlign w:val="center"/>
                </w:tcPr>
                <w:p w14:paraId="38960E8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无色结晶或白色颗粒或粉末。熔点277℃；沸点302℃；d5.4。19该品</w:t>
                  </w:r>
                  <w:r>
                    <w:rPr>
                      <w:rFonts w:hint="eastAsia" w:cs="Times New Roman"/>
                      <w:i w:val="0"/>
                      <w:iCs w:val="0"/>
                      <w:color w:val="auto"/>
                      <w:kern w:val="0"/>
                      <w:sz w:val="21"/>
                      <w:szCs w:val="21"/>
                      <w:highlight w:val="none"/>
                      <w:u w:val="none"/>
                      <w:lang w:val="en-US" w:eastAsia="zh-CN" w:bidi="ar"/>
                    </w:rPr>
                    <w:t>溶于</w:t>
                  </w:r>
                  <w:r>
                    <w:rPr>
                      <w:rFonts w:hint="default" w:ascii="Times New Roman" w:hAnsi="Times New Roman" w:eastAsia="宋体" w:cs="Times New Roman"/>
                      <w:i w:val="0"/>
                      <w:iCs w:val="0"/>
                      <w:color w:val="auto"/>
                      <w:kern w:val="0"/>
                      <w:sz w:val="21"/>
                      <w:szCs w:val="21"/>
                      <w:highlight w:val="none"/>
                      <w:u w:val="none"/>
                      <w:lang w:val="en-US" w:eastAsia="zh-CN" w:bidi="ar"/>
                    </w:rPr>
                    <w:t>13. 5mL水、2.ImL沸水、3.8mL乙醇、1. 6mL沸乙醇、22mL乙醚、200mL苯、12mL甘油、40mL乙酸。溶于甲醇、乙酸乙酯、丙酮，微溶于二硫化碳、吡啶。在常温下有微量挥发。遇光或暴露在空气中会逐渐分解生成氯化亚汞、氯化氢和氧气。氯化汞水溶液呈酸性。与碱金属能发生剧烈反应。</w:t>
                  </w:r>
                </w:p>
              </w:tc>
            </w:tr>
            <w:tr w14:paraId="2FF237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90" w:hRule="atLeast"/>
                <w:jc w:val="center"/>
              </w:trPr>
              <w:tc>
                <w:tcPr>
                  <w:tcW w:w="659" w:type="pct"/>
                  <w:shd w:val="clear" w:color="auto" w:fill="auto"/>
                  <w:vAlign w:val="center"/>
                </w:tcPr>
                <w:p w14:paraId="7AA24A86">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硫氰酸汞</w:t>
                  </w:r>
                </w:p>
              </w:tc>
              <w:tc>
                <w:tcPr>
                  <w:tcW w:w="4340" w:type="pct"/>
                  <w:shd w:val="clear" w:color="auto" w:fill="auto"/>
                  <w:vAlign w:val="center"/>
                </w:tcPr>
                <w:p w14:paraId="24A882C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硫氰酸汞钾是一种白色结晶固体，可溶于水和醇。它具有较强的腐蚀性和毒性，应当小心使用。</w:t>
                  </w:r>
                </w:p>
              </w:tc>
            </w:tr>
            <w:tr w14:paraId="349331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662" w:hRule="atLeast"/>
                <w:jc w:val="center"/>
              </w:trPr>
              <w:tc>
                <w:tcPr>
                  <w:tcW w:w="659" w:type="pct"/>
                  <w:shd w:val="clear" w:color="auto" w:fill="auto"/>
                  <w:vAlign w:val="center"/>
                </w:tcPr>
                <w:p w14:paraId="73AAE06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硝酸铅（易制爆）</w:t>
                  </w:r>
                </w:p>
              </w:tc>
              <w:tc>
                <w:tcPr>
                  <w:tcW w:w="4340" w:type="pct"/>
                  <w:shd w:val="clear" w:color="auto" w:fill="auto"/>
                  <w:vAlign w:val="center"/>
                </w:tcPr>
                <w:p w14:paraId="4911127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有光泽的或白色等轴晶系的结晶。熔点470℃。极易溶于水，不溶于乙醇，难溶于甲醇。加热则分解为Pb</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lang w:val="en-US" w:eastAsia="zh-CN" w:bidi="ar"/>
                    </w:rPr>
                    <w:t>、N</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及</w:t>
                  </w:r>
                  <w:r>
                    <w:rPr>
                      <w:rFonts w:hint="default" w:ascii="Times New Roman" w:hAnsi="Times New Roman" w:cs="Times New Roman"/>
                      <w:i w:val="0"/>
                      <w:iCs w:val="0"/>
                      <w:color w:val="auto"/>
                      <w:kern w:val="0"/>
                      <w:sz w:val="21"/>
                      <w:szCs w:val="21"/>
                      <w:highlight w:val="none"/>
                      <w:u w:val="none"/>
                      <w:lang w:val="en-US" w:eastAsia="zh-CN" w:bidi="ar"/>
                    </w:rPr>
                    <w:t>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w:t>
                  </w:r>
                </w:p>
              </w:tc>
            </w:tr>
            <w:tr w14:paraId="47CDBE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87" w:hRule="atLeast"/>
                <w:jc w:val="center"/>
              </w:trPr>
              <w:tc>
                <w:tcPr>
                  <w:tcW w:w="659" w:type="pct"/>
                  <w:shd w:val="clear" w:color="auto" w:fill="auto"/>
                  <w:vAlign w:val="center"/>
                </w:tcPr>
                <w:p w14:paraId="66321D6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氰化物标准物质</w:t>
                  </w:r>
                </w:p>
              </w:tc>
              <w:tc>
                <w:tcPr>
                  <w:tcW w:w="4340" w:type="pct"/>
                  <w:shd w:val="clear" w:color="auto" w:fill="auto"/>
                  <w:vAlign w:val="center"/>
                </w:tcPr>
                <w:p w14:paraId="3F8CB9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标准溶液</w:t>
                  </w:r>
                </w:p>
              </w:tc>
            </w:tr>
            <w:tr w14:paraId="7C7E59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84" w:hRule="atLeast"/>
                <w:jc w:val="center"/>
              </w:trPr>
              <w:tc>
                <w:tcPr>
                  <w:tcW w:w="659" w:type="pct"/>
                  <w:shd w:val="clear" w:color="auto" w:fill="auto"/>
                  <w:vAlign w:val="center"/>
                </w:tcPr>
                <w:p w14:paraId="1E331E1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溴水</w:t>
                  </w:r>
                </w:p>
              </w:tc>
              <w:tc>
                <w:tcPr>
                  <w:tcW w:w="4340" w:type="pct"/>
                  <w:shd w:val="clear" w:color="auto" w:fill="auto"/>
                  <w:vAlign w:val="center"/>
                </w:tcPr>
                <w:p w14:paraId="6DC2DF6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溴单质与水的混合物。溴单质微溶于水，80%以上的溴会与水反应生成</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begin"/>
                  </w:r>
                  <w:r>
                    <w:rPr>
                      <w:rFonts w:hint="default" w:ascii="Times New Roman" w:hAnsi="Times New Roman" w:eastAsia="宋体" w:cs="Times New Roman"/>
                      <w:i w:val="0"/>
                      <w:iCs w:val="0"/>
                      <w:color w:val="auto"/>
                      <w:kern w:val="0"/>
                      <w:sz w:val="21"/>
                      <w:szCs w:val="21"/>
                      <w:highlight w:val="none"/>
                      <w:u w:val="none"/>
                      <w:lang w:val="en-US" w:eastAsia="zh-CN" w:bidi="ar"/>
                    </w:rPr>
                    <w:instrText xml:space="preserve"> HYPERLINK "https://baike.so.com/doc/6950183-7172584.html" \t "https://baike.so.com/doc/_blank" </w:instrTex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separate"/>
                  </w:r>
                  <w:r>
                    <w:rPr>
                      <w:rFonts w:hint="default" w:ascii="Times New Roman" w:hAnsi="Times New Roman" w:eastAsia="宋体" w:cs="Times New Roman"/>
                      <w:i w:val="0"/>
                      <w:iCs w:val="0"/>
                      <w:color w:val="auto"/>
                      <w:kern w:val="0"/>
                      <w:sz w:val="21"/>
                      <w:szCs w:val="21"/>
                      <w:highlight w:val="none"/>
                      <w:u w:val="none"/>
                      <w:lang w:val="en-US" w:eastAsia="zh-CN" w:bidi="ar"/>
                    </w:rPr>
                    <w:t>氢溴酸</w:t>
                  </w:r>
                  <w:r>
                    <w:rPr>
                      <w:rFonts w:hint="default" w:ascii="Times New Roman" w:hAnsi="Times New Roman" w:eastAsia="宋体" w:cs="Times New Roman"/>
                      <w:i w:val="0"/>
                      <w:iCs w:val="0"/>
                      <w:color w:val="auto"/>
                      <w:kern w:val="0"/>
                      <w:sz w:val="21"/>
                      <w:szCs w:val="21"/>
                      <w:highlight w:val="none"/>
                      <w:u w:val="none"/>
                      <w:lang w:val="en-US" w:eastAsia="zh-CN" w:bidi="ar"/>
                    </w:rPr>
                    <w:fldChar w:fldCharType="end"/>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与</w:t>
                  </w:r>
                  <w:r>
                    <w:rPr>
                      <w:rFonts w:hint="default" w:ascii="Times New Roman" w:hAnsi="Times New Roman" w:eastAsia="宋体" w:cs="Times New Roman"/>
                      <w:i w:val="0"/>
                      <w:iCs w:val="0"/>
                      <w:color w:val="auto"/>
                      <w:kern w:val="0"/>
                      <w:sz w:val="21"/>
                      <w:szCs w:val="21"/>
                      <w:highlight w:val="none"/>
                      <w:u w:val="none"/>
                      <w:lang w:val="en-US" w:eastAsia="zh-CN" w:bidi="ar"/>
                    </w:rPr>
                    <w:t>次溴酸，但仍然会有少量溴单质溶解在水中，所以溴水呈橙黄色。新制溴水可以</w:t>
                  </w:r>
                  <w:r>
                    <w:rPr>
                      <w:rFonts w:hint="eastAsia" w:cs="Times New Roman"/>
                      <w:i w:val="0"/>
                      <w:iCs w:val="0"/>
                      <w:color w:val="auto"/>
                      <w:kern w:val="0"/>
                      <w:sz w:val="21"/>
                      <w:szCs w:val="21"/>
                      <w:highlight w:val="none"/>
                      <w:u w:val="none"/>
                      <w:lang w:val="en-US" w:eastAsia="zh-CN" w:bidi="ar"/>
                    </w:rPr>
                    <w:t>看成</w:t>
                  </w:r>
                  <w:r>
                    <w:rPr>
                      <w:rFonts w:hint="default" w:ascii="Times New Roman" w:hAnsi="Times New Roman" w:eastAsia="宋体" w:cs="Times New Roman"/>
                      <w:i w:val="0"/>
                      <w:iCs w:val="0"/>
                      <w:color w:val="auto"/>
                      <w:kern w:val="0"/>
                      <w:sz w:val="21"/>
                      <w:szCs w:val="21"/>
                      <w:highlight w:val="none"/>
                      <w:u w:val="none"/>
                      <w:lang w:val="en-US" w:eastAsia="zh-CN" w:bidi="ar"/>
                    </w:rPr>
                    <w:t>溴的水溶液，进行与溴单质有关的化学反应，但时间较长的溴水中溴分子也会分解，溴水逐渐褪色。久置的溴水中只含有氢溴酸。次溴酸会在光照下分解成氢溴酸和氧气。</w:t>
                  </w:r>
                </w:p>
              </w:tc>
            </w:tr>
            <w:tr w14:paraId="6A57A8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72EEB31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亚砷酸钠溶液</w:t>
                  </w:r>
                </w:p>
              </w:tc>
              <w:tc>
                <w:tcPr>
                  <w:tcW w:w="4340" w:type="pct"/>
                  <w:shd w:val="clear" w:color="auto" w:fill="auto"/>
                  <w:vAlign w:val="center"/>
                </w:tcPr>
                <w:p w14:paraId="1DFABBC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有机砷类灭生性除草剂</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分子式</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NaASO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，简称SMA。其产品为灰白色粉末，密度1.87，极易溶于水，微溶于乙醇，稍吸湿，吸收CO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分解。可用于防除水生杂草及橡胶园除茅草。</w:t>
                  </w:r>
                </w:p>
              </w:tc>
            </w:tr>
            <w:tr w14:paraId="5B20A9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371FDB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亚砷酸钾</w:t>
                  </w:r>
                </w:p>
              </w:tc>
              <w:tc>
                <w:tcPr>
                  <w:tcW w:w="4340" w:type="pct"/>
                  <w:shd w:val="clear" w:color="auto" w:fill="auto"/>
                  <w:vAlign w:val="center"/>
                </w:tcPr>
                <w:p w14:paraId="7F889A09">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一种无机化合物，白色结晶粉末或颗粒。可溶于水，略溶于乙醇和乙醚。亚砷酸钾易被空气中的氧气氧化为砷酸钾。亚砷酸钾可用作杀真菌剂和杀虫剂的原料，用于农业上的植物病虫害防治。亚砷酸钾还可用于制备其他砷化合物。</w:t>
                  </w:r>
                </w:p>
              </w:tc>
            </w:tr>
            <w:tr w14:paraId="31B5FE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32" w:hRule="atLeast"/>
                <w:jc w:val="center"/>
              </w:trPr>
              <w:tc>
                <w:tcPr>
                  <w:tcW w:w="659" w:type="pct"/>
                  <w:shd w:val="clear" w:color="auto" w:fill="auto"/>
                  <w:vAlign w:val="center"/>
                </w:tcPr>
                <w:p w14:paraId="6E0A2CF1">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硫酸镉</w:t>
                  </w:r>
                </w:p>
              </w:tc>
              <w:tc>
                <w:tcPr>
                  <w:tcW w:w="4340" w:type="pct"/>
                  <w:shd w:val="clear" w:color="auto" w:fill="auto"/>
                  <w:vAlign w:val="center"/>
                </w:tcPr>
                <w:p w14:paraId="635E3FD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无色单斜结晶，无气味。相对密度3.091熔点41.5℃。溶于水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0℃时113g/l</w:t>
                  </w:r>
                  <w:r>
                    <w:rPr>
                      <w:rFonts w:hint="default" w:ascii="Times New Roman" w:hAnsi="Times New Roman" w:cs="Times New Roman"/>
                      <w:i w:val="0"/>
                      <w:iCs w:val="0"/>
                      <w:color w:val="auto"/>
                      <w:kern w:val="0"/>
                      <w:sz w:val="21"/>
                      <w:szCs w:val="21"/>
                      <w:highlight w:val="none"/>
                      <w:u w:val="none"/>
                      <w:lang w:val="en-US" w:eastAsia="zh-CN" w:bidi="ar"/>
                    </w:rPr>
                    <w:t>00</w:t>
                  </w:r>
                  <w:r>
                    <w:rPr>
                      <w:rFonts w:hint="default" w:ascii="Times New Roman" w:hAnsi="Times New Roman" w:eastAsia="宋体" w:cs="Times New Roman"/>
                      <w:i w:val="0"/>
                      <w:iCs w:val="0"/>
                      <w:color w:val="auto"/>
                      <w:kern w:val="0"/>
                      <w:sz w:val="21"/>
                      <w:szCs w:val="21"/>
                      <w:highlight w:val="none"/>
                      <w:u w:val="none"/>
                      <w:lang w:val="en-US" w:eastAsia="zh-CN" w:bidi="ar"/>
                    </w:rPr>
                    <w:t>mL水</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，不溶于乙醇、醋酸和乙醚。易风化。</w:t>
                  </w:r>
                </w:p>
              </w:tc>
            </w:tr>
            <w:tr w14:paraId="27C4CC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19FCEEE">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乙酸铅</w:t>
                  </w:r>
                </w:p>
              </w:tc>
              <w:tc>
                <w:tcPr>
                  <w:tcW w:w="4340" w:type="pct"/>
                  <w:shd w:val="clear" w:color="auto" w:fill="auto"/>
                  <w:vAlign w:val="center"/>
                </w:tcPr>
                <w:p w14:paraId="75F5C79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乙酸铅，又称醋酸铅，是一种白色晶体状化合物，带甜味，过去曾称为铅糖。和其他铅化合物一样，乙酸铅也有很大毒性。乙酸铅能溶于水或甘油。和水中形成三水合物，Pb(CH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COO)</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·3H</w:t>
                  </w:r>
                  <w:r>
                    <w:rPr>
                      <w:rFonts w:hint="default" w:ascii="Times New Roman" w:hAnsi="Times New Roman" w:eastAsia="宋体"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O，是一种无色或白色花状单斜晶体。 低浓度的乙酸铅在渐进式染发产品中的主要有效成分。</w:t>
                  </w:r>
                </w:p>
              </w:tc>
            </w:tr>
            <w:tr w14:paraId="05E1E5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281" w:hRule="atLeast"/>
                <w:jc w:val="center"/>
              </w:trPr>
              <w:tc>
                <w:tcPr>
                  <w:tcW w:w="659" w:type="pct"/>
                  <w:shd w:val="clear" w:color="auto" w:fill="auto"/>
                  <w:vAlign w:val="center"/>
                </w:tcPr>
                <w:p w14:paraId="6CAECB7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硫酸汞</w:t>
                  </w:r>
                </w:p>
              </w:tc>
              <w:tc>
                <w:tcPr>
                  <w:tcW w:w="4340" w:type="pct"/>
                  <w:shd w:val="clear" w:color="auto" w:fill="auto"/>
                  <w:vAlign w:val="center"/>
                </w:tcPr>
                <w:p w14:paraId="0F6C349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白色颗粒或结晶性粉末。相对密度6.47。熔点（分解）。遇热分解而变黄，继而变褐色，但经冷却后又再成白色。遇</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强热</w:t>
                  </w:r>
                  <w:r>
                    <w:rPr>
                      <w:rFonts w:hint="default" w:ascii="Times New Roman" w:hAnsi="Times New Roman" w:eastAsia="宋体" w:cs="Times New Roman"/>
                      <w:i w:val="0"/>
                      <w:iCs w:val="0"/>
                      <w:color w:val="auto"/>
                      <w:kern w:val="0"/>
                      <w:sz w:val="21"/>
                      <w:szCs w:val="21"/>
                      <w:highlight w:val="none"/>
                      <w:u w:val="none"/>
                      <w:lang w:val="en-US" w:eastAsia="zh-CN" w:bidi="ar"/>
                    </w:rPr>
                    <w:t>即分解。在少量水中变成一水物，但在大量的水中，特别是加热时，则分解成硫酸和碱式盐。溶于盐酸、热稀酸和浓的氯化钠溶液。不溶于丙酮和氨水。</w:t>
                  </w:r>
                </w:p>
              </w:tc>
            </w:tr>
            <w:tr w14:paraId="6377D4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4EA3A7F0">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shd w:val="clear" w:fill="FFFFFF"/>
                      <w:lang w:val="en-US" w:eastAsia="zh-CN" w:bidi="ar"/>
                    </w:rPr>
                    <w:t>二氯化汞</w:t>
                  </w:r>
                  <w:r>
                    <w:rPr>
                      <w:rFonts w:hint="default" w:ascii="Times New Roman" w:hAnsi="Times New Roman" w:cs="Times New Roman"/>
                      <w:color w:val="auto"/>
                      <w:kern w:val="0"/>
                      <w:sz w:val="21"/>
                      <w:szCs w:val="21"/>
                      <w:highlight w:val="none"/>
                      <w:lang w:val="en-US" w:eastAsia="zh-CN" w:bidi="ar"/>
                    </w:rPr>
                    <w:t>（剧毒）</w:t>
                  </w:r>
                </w:p>
              </w:tc>
              <w:tc>
                <w:tcPr>
                  <w:tcW w:w="4340" w:type="pct"/>
                  <w:shd w:val="clear" w:color="auto" w:fill="auto"/>
                  <w:vAlign w:val="center"/>
                </w:tcPr>
                <w:p w14:paraId="2E796BB0">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无色结晶或白色颗粒或粉末。熔点277℃；沸点302℃；该品</w:t>
                  </w:r>
                  <w:r>
                    <w:rPr>
                      <w:rFonts w:hint="eastAsia" w:cs="Times New Roman"/>
                      <w:i w:val="0"/>
                      <w:iCs w:val="0"/>
                      <w:color w:val="auto"/>
                      <w:kern w:val="0"/>
                      <w:sz w:val="21"/>
                      <w:szCs w:val="21"/>
                      <w:highlight w:val="none"/>
                      <w:u w:val="none"/>
                      <w:lang w:val="en-US" w:eastAsia="zh-CN" w:bidi="ar"/>
                    </w:rPr>
                    <w:t>溶于</w:t>
                  </w:r>
                  <w:r>
                    <w:rPr>
                      <w:rFonts w:hint="default" w:ascii="Times New Roman" w:hAnsi="Times New Roman" w:eastAsia="宋体" w:cs="Times New Roman"/>
                      <w:i w:val="0"/>
                      <w:iCs w:val="0"/>
                      <w:color w:val="auto"/>
                      <w:kern w:val="0"/>
                      <w:sz w:val="21"/>
                      <w:szCs w:val="21"/>
                      <w:highlight w:val="none"/>
                      <w:u w:val="none"/>
                      <w:lang w:val="en-US" w:eastAsia="zh-CN" w:bidi="ar"/>
                    </w:rPr>
                    <w:t>13.5mL水、2.ImL沸水、3.8mL乙醇、1.6mL沸乙醇、22mL乙醚、200mL苯、12mL甘油、40mL乙酸。溶于甲醇、乙酸乙酯、丙酮，微溶于二硫化碳、吡啶。在常温下有微量挥发。遇光或暴露在空气中会逐渐分解生成氯化亚汞、氯化氢和氧气。氯化汞水溶液呈酸性。与碱金属能发生剧烈反应。</w:t>
                  </w:r>
                </w:p>
              </w:tc>
            </w:tr>
            <w:tr w14:paraId="5EAFB8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5A21F6A7">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磷酸</w:t>
                  </w:r>
                </w:p>
              </w:tc>
              <w:tc>
                <w:tcPr>
                  <w:tcW w:w="4340" w:type="pct"/>
                  <w:shd w:val="clear" w:color="auto" w:fill="auto"/>
                  <w:vAlign w:val="center"/>
                </w:tcPr>
                <w:p w14:paraId="5924D1E7">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透明无色黏稠溶液，无臭。一般含量85%～95%。继续浓缩可得无色柱状晶体，密度</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18℃</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1.834g/cm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r>
                    <w:rPr>
                      <w:rFonts w:hint="default" w:ascii="Times New Roman" w:hAnsi="Times New Roman" w:eastAsia="宋体" w:cs="Times New Roman"/>
                      <w:i w:val="0"/>
                      <w:iCs w:val="0"/>
                      <w:color w:val="auto"/>
                      <w:kern w:val="0"/>
                      <w:sz w:val="21"/>
                      <w:szCs w:val="21"/>
                      <w:highlight w:val="none"/>
                      <w:u w:val="none"/>
                      <w:lang w:val="en-US" w:eastAsia="zh-CN" w:bidi="ar"/>
                    </w:rPr>
                    <w:t>，熔点42.3℃，沸点158℃，凝固点21.1℃。150℃成为无水物，加热至215℃变为焦磷酸，约于300℃变为偏磷酸，蒸气压3. 8Pa。潮解性强。可与水和乙醇混溶。</w:t>
                  </w:r>
                </w:p>
              </w:tc>
            </w:tr>
            <w:tr w14:paraId="363D1B1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819" w:hRule="atLeast"/>
                <w:jc w:val="center"/>
              </w:trPr>
              <w:tc>
                <w:tcPr>
                  <w:tcW w:w="659" w:type="pct"/>
                  <w:shd w:val="clear" w:color="auto" w:fill="auto"/>
                  <w:vAlign w:val="center"/>
                </w:tcPr>
                <w:p w14:paraId="32E594B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氢氧化钠</w:t>
                  </w:r>
                </w:p>
              </w:tc>
              <w:tc>
                <w:tcPr>
                  <w:tcW w:w="4340" w:type="pct"/>
                  <w:shd w:val="clear" w:color="auto" w:fill="auto"/>
                  <w:vAlign w:val="center"/>
                </w:tcPr>
                <w:p w14:paraId="7E9FE27C">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纯净的氢氧化钠是白色的固体，极易溶解于水，它的水溶液有涩味和滑腻感。氢氧化钠暴露在空气中时容易吸收水分，表面潮湿而逐步溶解，这种现象</w:t>
                  </w:r>
                  <w:r>
                    <w:rPr>
                      <w:rFonts w:hint="eastAsia" w:cs="Times New Roman"/>
                      <w:i w:val="0"/>
                      <w:iCs w:val="0"/>
                      <w:color w:val="auto"/>
                      <w:kern w:val="0"/>
                      <w:sz w:val="21"/>
                      <w:szCs w:val="21"/>
                      <w:highlight w:val="none"/>
                      <w:u w:val="none"/>
                      <w:lang w:val="en-US" w:eastAsia="zh-CN" w:bidi="ar"/>
                    </w:rPr>
                    <w:t>叫作</w:t>
                  </w:r>
                  <w:r>
                    <w:rPr>
                      <w:rFonts w:hint="default" w:ascii="Times New Roman" w:hAnsi="Times New Roman" w:eastAsia="宋体" w:cs="Times New Roman"/>
                      <w:i w:val="0"/>
                      <w:iCs w:val="0"/>
                      <w:color w:val="auto"/>
                      <w:kern w:val="0"/>
                      <w:sz w:val="21"/>
                      <w:szCs w:val="21"/>
                      <w:highlight w:val="none"/>
                      <w:u w:val="none"/>
                      <w:lang w:val="en-US" w:eastAsia="zh-CN" w:bidi="ar"/>
                    </w:rPr>
                    <w:t>潮解。其相对密度2.130。熔点318.4℃。沸点1390℃。</w:t>
                  </w:r>
                </w:p>
              </w:tc>
            </w:tr>
            <w:tr w14:paraId="75E90FC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313" w:hRule="atLeast"/>
                <w:jc w:val="center"/>
              </w:trPr>
              <w:tc>
                <w:tcPr>
                  <w:tcW w:w="659" w:type="pct"/>
                  <w:shd w:val="clear" w:color="auto" w:fill="auto"/>
                  <w:vAlign w:val="center"/>
                </w:tcPr>
                <w:p w14:paraId="27931914">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氢氧化钾</w:t>
                  </w:r>
                </w:p>
              </w:tc>
              <w:tc>
                <w:tcPr>
                  <w:tcW w:w="4340" w:type="pct"/>
                  <w:shd w:val="clear" w:color="auto" w:fill="auto"/>
                  <w:vAlign w:val="center"/>
                </w:tcPr>
                <w:p w14:paraId="6B1245BE">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白色或微黄色豆瓣状颗粒、棒状、块状物。熔点约360℃。380℃为无水物。在空气中极易吸湿而潮解，吸收二氧化碳生成碳酸钾。溶于0.9份水、0.6份沸水、3份乙醇、2.5份甘油，同时放出大量热。不溶于乙醚。0.</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mol/L水溶液pH值13.5。不燃，具有强腐蚀性。遇水和水蒸气大量放热，形成腐蚀性溶液。与酸</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发生中</w:t>
                  </w:r>
                  <w:r>
                    <w:rPr>
                      <w:rFonts w:hint="default" w:ascii="Times New Roman" w:hAnsi="Times New Roman" w:eastAsia="宋体" w:cs="Times New Roman"/>
                      <w:i w:val="0"/>
                      <w:iCs w:val="0"/>
                      <w:color w:val="auto"/>
                      <w:kern w:val="0"/>
                      <w:sz w:val="21"/>
                      <w:szCs w:val="21"/>
                      <w:highlight w:val="none"/>
                      <w:u w:val="none"/>
                      <w:lang w:val="en-US" w:eastAsia="zh-CN" w:bidi="ar"/>
                    </w:rPr>
                    <w:t>和反应并放热。</w:t>
                  </w:r>
                </w:p>
              </w:tc>
            </w:tr>
            <w:tr w14:paraId="65669E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0" w:hRule="atLeast"/>
                <w:jc w:val="center"/>
              </w:trPr>
              <w:tc>
                <w:tcPr>
                  <w:tcW w:w="659" w:type="pct"/>
                  <w:shd w:val="clear" w:color="auto" w:fill="auto"/>
                  <w:vAlign w:val="center"/>
                </w:tcPr>
                <w:p w14:paraId="2E78FA9A">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过氧化氢（易制毒）</w:t>
                  </w:r>
                </w:p>
              </w:tc>
              <w:tc>
                <w:tcPr>
                  <w:tcW w:w="4340" w:type="pct"/>
                  <w:shd w:val="clear" w:color="auto" w:fill="auto"/>
                  <w:vAlign w:val="center"/>
                </w:tcPr>
                <w:p w14:paraId="0633A3B3">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无色透明液体．30%过氧化氢在25℃时密度为1.llg/mL。过氧化氢是极弱的酸，是强氧化剂，高浓度过氧化氢接触有机物时可使其燃烧，与二氧化锰作用会发生爆炸。</w:t>
                  </w:r>
                </w:p>
              </w:tc>
            </w:tr>
            <w:tr w14:paraId="4ED4B2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543" w:hRule="atLeast"/>
                <w:jc w:val="center"/>
              </w:trPr>
              <w:tc>
                <w:tcPr>
                  <w:tcW w:w="659" w:type="pct"/>
                  <w:shd w:val="clear" w:color="auto" w:fill="auto"/>
                  <w:vAlign w:val="center"/>
                </w:tcPr>
                <w:p w14:paraId="7E60501B">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冰乙酸</w:t>
                  </w:r>
                </w:p>
              </w:tc>
              <w:tc>
                <w:tcPr>
                  <w:tcW w:w="4340" w:type="pct"/>
                  <w:shd w:val="clear" w:color="auto" w:fill="auto"/>
                  <w:vAlign w:val="center"/>
                </w:tcPr>
                <w:p w14:paraId="288F87C6">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液体，低温下凝固为冰状晶体。有刺激性气味。能与水、乙醇、乙醚和四氯化碳等有机溶剂相混溶，不溶于二硫化碳。易燃，具腐蚀性、强刺激性，可致人体灼伤。易燃，其蒸气与空气可形成爆炸性混合物，遇明火、高热能引起燃烧爆炸。与铬酸、过氧化钠、硝酸或</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其它</w:t>
                  </w:r>
                  <w:r>
                    <w:rPr>
                      <w:rFonts w:hint="default" w:ascii="Times New Roman" w:hAnsi="Times New Roman" w:eastAsia="宋体" w:cs="Times New Roman"/>
                      <w:i w:val="0"/>
                      <w:iCs w:val="0"/>
                      <w:color w:val="auto"/>
                      <w:kern w:val="0"/>
                      <w:sz w:val="21"/>
                      <w:szCs w:val="21"/>
                      <w:highlight w:val="none"/>
                      <w:u w:val="none"/>
                      <w:lang w:val="en-US" w:eastAsia="zh-CN" w:bidi="ar"/>
                    </w:rPr>
                    <w:t>氧化剂接触，有爆炸危险。</w:t>
                  </w:r>
                </w:p>
              </w:tc>
            </w:tr>
            <w:tr w14:paraId="1BD8C2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50B1243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甲酸</w:t>
                  </w:r>
                </w:p>
              </w:tc>
              <w:tc>
                <w:tcPr>
                  <w:tcW w:w="4340" w:type="pct"/>
                  <w:shd w:val="clear" w:color="auto" w:fill="auto"/>
                  <w:vAlign w:val="center"/>
                </w:tcPr>
                <w:p w14:paraId="4CE468B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发烟液体，有强烈的刺激性气味．属强酸类。能以任何比例与水互溶，并形成高于两者沸点的共沸混合物。能与许多有机溶剂互溶，但不溶于烃类。可燃，在30℃以上长期存放时，甲酸会发生缓慢分解，放出一氧化碳。其蒸气与空气形成爆炸性混合物，遇明火、高热能引起燃烧爆炸。与强氧化剂可发生反应。具有较强的腐蚀性。腐蚀铝、铸铁、钢、某些塑料、橡胶和涂料。</w:t>
                  </w:r>
                </w:p>
              </w:tc>
            </w:tr>
            <w:tr w14:paraId="39D4D6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B78E86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次氯化钠</w:t>
                  </w:r>
                </w:p>
              </w:tc>
              <w:tc>
                <w:tcPr>
                  <w:tcW w:w="4340" w:type="pct"/>
                  <w:shd w:val="clear" w:color="auto" w:fill="auto"/>
                  <w:vAlign w:val="center"/>
                </w:tcPr>
                <w:p w14:paraId="6111017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次氯酸钠为白色粉末。工业品次氯酸钠是无色或淡黄色的液体。熔点18℃。在空气中极不稳定，分解产生二氧化碳。受热后迅速分解，在碱性状态时较稳定。次氯酸钠易溶于水，溶于水后成烧碱及次氯酸，0℃时</w:t>
                  </w:r>
                  <w:r>
                    <w:rPr>
                      <w:rFonts w:hint="default" w:ascii="Times New Roman" w:hAnsi="Times New Roman" w:cs="Times New Roman"/>
                      <w:i w:val="0"/>
                      <w:iCs w:val="0"/>
                      <w:color w:val="auto"/>
                      <w:kern w:val="0"/>
                      <w:sz w:val="21"/>
                      <w:szCs w:val="21"/>
                      <w:highlight w:val="none"/>
                      <w:u w:val="none"/>
                      <w:lang w:val="en-US" w:eastAsia="zh-CN" w:bidi="ar"/>
                    </w:rPr>
                    <w:t>100</w:t>
                  </w:r>
                  <w:r>
                    <w:rPr>
                      <w:rFonts w:hint="default" w:ascii="Times New Roman" w:hAnsi="Times New Roman" w:eastAsia="宋体" w:cs="Times New Roman"/>
                      <w:i w:val="0"/>
                      <w:iCs w:val="0"/>
                      <w:color w:val="auto"/>
                      <w:kern w:val="0"/>
                      <w:sz w:val="21"/>
                      <w:szCs w:val="21"/>
                      <w:highlight w:val="none"/>
                      <w:u w:val="none"/>
                      <w:lang w:val="en-US" w:eastAsia="zh-CN" w:bidi="ar"/>
                    </w:rPr>
                    <w:t>mL H</w:t>
                  </w:r>
                  <w:r>
                    <w:rPr>
                      <w:rFonts w:hint="default" w:ascii="Times New Roman" w:hAnsi="Times New Roman" w:cs="Times New Roman"/>
                      <w:i w:val="0"/>
                      <w:iCs w:val="0"/>
                      <w:color w:val="auto"/>
                      <w:kern w:val="0"/>
                      <w:sz w:val="21"/>
                      <w:szCs w:val="21"/>
                      <w:highlight w:val="none"/>
                      <w:u w:val="none"/>
                      <w:vertAlign w:val="subscript"/>
                      <w:lang w:val="en-US" w:eastAsia="zh-CN" w:bidi="ar"/>
                    </w:rPr>
                    <w:t>2</w:t>
                  </w:r>
                  <w:r>
                    <w:rPr>
                      <w:rFonts w:hint="default" w:ascii="Times New Roman" w:hAnsi="Times New Roman" w:eastAsia="宋体" w:cs="Times New Roman"/>
                      <w:i w:val="0"/>
                      <w:iCs w:val="0"/>
                      <w:color w:val="auto"/>
                      <w:kern w:val="0"/>
                      <w:sz w:val="21"/>
                      <w:szCs w:val="21"/>
                      <w:highlight w:val="none"/>
                      <w:u w:val="none"/>
                      <w:lang w:val="en-US" w:eastAsia="zh-CN" w:bidi="ar"/>
                    </w:rPr>
                    <w:t>O溶解29.3g</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扶氯酸</w:t>
                  </w:r>
                  <w:r>
                    <w:rPr>
                      <w:rFonts w:hint="default" w:ascii="Times New Roman" w:hAnsi="Times New Roman" w:eastAsia="宋体" w:cs="Times New Roman"/>
                      <w:i w:val="0"/>
                      <w:iCs w:val="0"/>
                      <w:color w:val="auto"/>
                      <w:kern w:val="0"/>
                      <w:sz w:val="21"/>
                      <w:szCs w:val="21"/>
                      <w:highlight w:val="none"/>
                      <w:u w:val="none"/>
                      <w:lang w:val="en-US" w:eastAsia="zh-CN" w:bidi="ar"/>
                    </w:rPr>
                    <w:t>钠。次氯酸再分解生成氯化氢和新生氧，新生氧的氧化能力很强，所以次氯酸钠也是强氧化剂。其稳定度受光、热、重金属阳离子和pH值的影响。具有刺激性气味。</w:t>
                  </w:r>
                </w:p>
              </w:tc>
            </w:tr>
            <w:tr w14:paraId="3A3A4C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3CB99B6D">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草酸</w:t>
                  </w:r>
                </w:p>
              </w:tc>
              <w:tc>
                <w:tcPr>
                  <w:tcW w:w="4340" w:type="pct"/>
                  <w:shd w:val="clear" w:color="auto" w:fill="auto"/>
                  <w:vAlign w:val="center"/>
                </w:tcPr>
                <w:p w14:paraId="5FAF663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无色透明晶体，常含两分子结晶水。当加热到98～100℃时，草酸水合物即失去结晶水。无水草酸是具有潮解性的无色、无臭固体，有菱形和单斜</w:t>
                  </w:r>
                  <w:r>
                    <w:rPr>
                      <w:rFonts w:hint="eastAsia" w:cs="Times New Roman"/>
                      <w:i w:val="0"/>
                      <w:iCs w:val="0"/>
                      <w:color w:val="auto"/>
                      <w:kern w:val="0"/>
                      <w:sz w:val="21"/>
                      <w:szCs w:val="21"/>
                      <w:highlight w:val="none"/>
                      <w:u w:val="none"/>
                      <w:lang w:val="en-US" w:eastAsia="zh-CN" w:bidi="ar"/>
                    </w:rPr>
                    <w:t>晶型</w:t>
                  </w:r>
                  <w:r>
                    <w:rPr>
                      <w:rFonts w:hint="default" w:ascii="Times New Roman" w:hAnsi="Times New Roman" w:eastAsia="宋体" w:cs="Times New Roman"/>
                      <w:i w:val="0"/>
                      <w:iCs w:val="0"/>
                      <w:color w:val="auto"/>
                      <w:kern w:val="0"/>
                      <w:sz w:val="21"/>
                      <w:szCs w:val="21"/>
                      <w:highlight w:val="none"/>
                      <w:u w:val="none"/>
                      <w:lang w:val="en-US" w:eastAsia="zh-CN" w:bidi="ar"/>
                    </w:rPr>
                    <w:t>两种结晶形态。在室温下，菱形的草酸晶体在热力学上是稳定的，而单斜</w:t>
                  </w:r>
                  <w:r>
                    <w:rPr>
                      <w:rFonts w:hint="eastAsia" w:cs="Times New Roman"/>
                      <w:i w:val="0"/>
                      <w:iCs w:val="0"/>
                      <w:color w:val="auto"/>
                      <w:kern w:val="0"/>
                      <w:sz w:val="21"/>
                      <w:szCs w:val="21"/>
                      <w:highlight w:val="none"/>
                      <w:u w:val="none"/>
                      <w:lang w:val="en-US" w:eastAsia="zh-CN" w:bidi="ar"/>
                    </w:rPr>
                    <w:t>晶型</w:t>
                  </w:r>
                  <w:r>
                    <w:rPr>
                      <w:rFonts w:hint="default" w:ascii="Times New Roman" w:hAnsi="Times New Roman" w:eastAsia="宋体" w:cs="Times New Roman"/>
                      <w:i w:val="0"/>
                      <w:iCs w:val="0"/>
                      <w:color w:val="auto"/>
                      <w:kern w:val="0"/>
                      <w:sz w:val="21"/>
                      <w:szCs w:val="21"/>
                      <w:highlight w:val="none"/>
                      <w:u w:val="none"/>
                      <w:lang w:val="en-US" w:eastAsia="zh-CN" w:bidi="ar"/>
                    </w:rPr>
                    <w:t>的草酸晶体是热力学亚稳态。菱形草酸晶体的熔点和密度比单斜</w:t>
                  </w:r>
                  <w:r>
                    <w:rPr>
                      <w:rFonts w:hint="eastAsia" w:cs="Times New Roman"/>
                      <w:i w:val="0"/>
                      <w:iCs w:val="0"/>
                      <w:color w:val="auto"/>
                      <w:kern w:val="0"/>
                      <w:sz w:val="21"/>
                      <w:szCs w:val="21"/>
                      <w:highlight w:val="none"/>
                      <w:u w:val="none"/>
                      <w:lang w:val="en-US" w:eastAsia="zh-CN" w:bidi="ar"/>
                    </w:rPr>
                    <w:t>晶型</w:t>
                  </w:r>
                  <w:r>
                    <w:rPr>
                      <w:rFonts w:hint="default" w:ascii="Times New Roman" w:hAnsi="Times New Roman" w:eastAsia="宋体" w:cs="Times New Roman"/>
                      <w:i w:val="0"/>
                      <w:iCs w:val="0"/>
                      <w:color w:val="auto"/>
                      <w:kern w:val="0"/>
                      <w:sz w:val="21"/>
                      <w:szCs w:val="21"/>
                      <w:highlight w:val="none"/>
                      <w:u w:val="none"/>
                      <w:lang w:val="en-US" w:eastAsia="zh-CN" w:bidi="ar"/>
                    </w:rPr>
                    <w:t>草酸略高。无水草酸熔点189.5℃（分解）。157℃开始部分分解I当加速加热，草酸全部分解时生成甲酸、一氧化碳和水。易溶于水和醇，微溶于乙醚，不溶于苯、氯仿和石油醚。遇高热、明火或与氧化剂接触，有引起燃烧的危险。</w:t>
                  </w:r>
                </w:p>
              </w:tc>
            </w:tr>
            <w:tr w14:paraId="7773DD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25" w:hRule="atLeast"/>
                <w:jc w:val="center"/>
              </w:trPr>
              <w:tc>
                <w:tcPr>
                  <w:tcW w:w="659" w:type="pct"/>
                  <w:shd w:val="clear" w:color="auto" w:fill="auto"/>
                  <w:vAlign w:val="center"/>
                </w:tcPr>
                <w:p w14:paraId="1208A452">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硼酸</w:t>
                  </w:r>
                </w:p>
              </w:tc>
              <w:tc>
                <w:tcPr>
                  <w:tcW w:w="4340" w:type="pct"/>
                  <w:shd w:val="clear" w:color="auto" w:fill="auto"/>
                  <w:vAlign w:val="center"/>
                </w:tcPr>
                <w:p w14:paraId="13C2501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白色结晶性粉末或无色微带珍珠光泽</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的磷片</w:t>
                  </w:r>
                  <w:r>
                    <w:rPr>
                      <w:rFonts w:hint="default" w:ascii="Times New Roman" w:hAnsi="Times New Roman" w:eastAsia="宋体" w:cs="Times New Roman"/>
                      <w:i w:val="0"/>
                      <w:iCs w:val="0"/>
                      <w:color w:val="auto"/>
                      <w:kern w:val="0"/>
                      <w:sz w:val="21"/>
                      <w:szCs w:val="21"/>
                      <w:highlight w:val="none"/>
                      <w:u w:val="none"/>
                      <w:lang w:val="en-US" w:eastAsia="zh-CN" w:bidi="ar"/>
                    </w:rPr>
                    <w:t>或六角三斜结晶。无味，味微酸苦。熔点约171℃。溶于水、酒精、甘油、醚类及香精油中，水溶液呈弱酸性。硼酸在水中的溶解度随温度升高而增大，并能随水蒸气挥发0.</w:t>
                  </w:r>
                  <w:r>
                    <w:rPr>
                      <w:rFonts w:hint="default" w:ascii="Times New Roman" w:hAnsi="Times New Roman"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mol/L水溶液pH为5.1。能溶于18mL冷水，4mL沸水，18mL冷醇，6mL沸醇或4mL甘油。与皮肤接触有滑腻感，露置空气中无变化。加热至100～105℃时失去一分子水而形成偏硼酸，于104～160℃时长时间加热转变为焦硼酸，更高温度则形成无水物，300℃时生成硼酸酐。</w:t>
                  </w:r>
                </w:p>
              </w:tc>
            </w:tr>
            <w:tr w14:paraId="579C4F0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50" w:hRule="atLeast"/>
                <w:jc w:val="center"/>
              </w:trPr>
              <w:tc>
                <w:tcPr>
                  <w:tcW w:w="659" w:type="pct"/>
                  <w:shd w:val="clear" w:color="auto" w:fill="auto"/>
                  <w:vAlign w:val="center"/>
                </w:tcPr>
                <w:p w14:paraId="3ECAB81C">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氢气</w:t>
                  </w:r>
                </w:p>
              </w:tc>
              <w:tc>
                <w:tcPr>
                  <w:tcW w:w="4340" w:type="pct"/>
                  <w:shd w:val="clear" w:color="auto" w:fill="auto"/>
                  <w:vAlign w:val="center"/>
                </w:tcPr>
                <w:p w14:paraId="77054462">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无色、无味、无臭、无毒的易燃气体。熔点为-259.2℃，沸点-252.77℃，相对密度（</w:t>
                  </w:r>
                  <w:r>
                    <w:rPr>
                      <w:rFonts w:hint="default" w:ascii="Times New Roman" w:hAnsi="Times New Roman" w:cs="Times New Roman"/>
                      <w:i w:val="0"/>
                      <w:iCs w:val="0"/>
                      <w:color w:val="auto"/>
                      <w:kern w:val="0"/>
                      <w:sz w:val="21"/>
                      <w:szCs w:val="21"/>
                      <w:highlight w:val="none"/>
                      <w:u w:val="none"/>
                      <w:lang w:val="en-US" w:eastAsia="zh-CN" w:bidi="ar"/>
                    </w:rPr>
                    <w:t>0</w:t>
                  </w:r>
                  <w:r>
                    <w:rPr>
                      <w:rFonts w:hint="default" w:ascii="Times New Roman" w:hAnsi="Times New Roman" w:eastAsia="宋体" w:cs="Times New Roman"/>
                      <w:i w:val="0"/>
                      <w:iCs w:val="0"/>
                      <w:color w:val="auto"/>
                      <w:kern w:val="0"/>
                      <w:sz w:val="21"/>
                      <w:szCs w:val="21"/>
                      <w:highlight w:val="none"/>
                      <w:u w:val="none"/>
                      <w:lang w:val="en-US" w:eastAsia="zh-CN" w:bidi="ar"/>
                    </w:rPr>
                    <w:t>℃，空气=1）0.06960。气体密度0.08342kg</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液体密度70.96kg</w:t>
                  </w:r>
                  <w:r>
                    <w:rPr>
                      <w:rFonts w:hint="default" w:ascii="Times New Roman" w:hAnsi="Times New Roman"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临界温度-239.9℃，临界压力1.297MPa。在0℃时溶于约50体积水中。在高浓度时具有窒息性。极易扩散和渗透。强还原剂，对钢材有渗透作用，出现氢脆化现象。氢气无毒，但不能维持生命。与空气混合能形成爆炸性混合物，遇明火、高热能引起燃烧爆炸。与氟、氯等能发生剧烈的化学反应。燃烧时看不见火焰，与空气、氧、氯等混合易爆炸，自燃温度571.2t。在空气中的可燃限4.0%～75.0%。</w:t>
                  </w:r>
                </w:p>
              </w:tc>
            </w:tr>
            <w:tr w14:paraId="43B19C4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DC6B798">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乙炔</w:t>
                  </w:r>
                </w:p>
              </w:tc>
              <w:tc>
                <w:tcPr>
                  <w:tcW w:w="4340" w:type="pct"/>
                  <w:shd w:val="clear" w:color="auto" w:fill="auto"/>
                  <w:vAlign w:val="center"/>
                </w:tcPr>
                <w:p w14:paraId="4D4F501F">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无色有毒气体。相对密度1.0869。熔点</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118. 656kPa</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-80.8℃，沸点-84℃，折射率1.00051。闪点-17.78℃。自燃点305℃。在空气中爆炸极限2.396</w:t>
                  </w:r>
                  <w:r>
                    <w:rPr>
                      <w:rFonts w:hint="eastAsia" w:cs="Times New Roman"/>
                      <w:i w:val="0"/>
                      <w:iCs w:val="0"/>
                      <w:color w:val="auto"/>
                      <w:kern w:val="0"/>
                      <w:sz w:val="21"/>
                      <w:szCs w:val="21"/>
                      <w:highlight w:val="none"/>
                      <w:u w:val="none"/>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72.3%（体积）。微溶于水，溶于乙醇、苯、丙酮。性质活泼，能发生加成反应和聚合反应，在氧气中燃烧可发生高温</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3500℃</w:t>
                  </w:r>
                  <w:r>
                    <w:rPr>
                      <w:rFonts w:hint="default" w:ascii="Times New Roman" w:hAnsi="Times New Roman" w:eastAsia="宋体" w:cs="Times New Roman"/>
                      <w:i w:val="0"/>
                      <w:iCs w:val="0"/>
                      <w:color w:val="auto"/>
                      <w:kern w:val="0"/>
                      <w:sz w:val="21"/>
                      <w:szCs w:val="21"/>
                      <w:highlight w:val="none"/>
                      <w:u w:val="none"/>
                      <w:shd w:val="clear" w:fill="FFFFFF"/>
                      <w:lang w:val="en-US" w:eastAsia="zh-CN" w:bidi="ar"/>
                    </w:rPr>
                    <w:t>)</w:t>
                  </w:r>
                  <w:r>
                    <w:rPr>
                      <w:rFonts w:hint="default" w:ascii="Times New Roman" w:hAnsi="Times New Roman" w:eastAsia="宋体" w:cs="Times New Roman"/>
                      <w:i w:val="0"/>
                      <w:iCs w:val="0"/>
                      <w:color w:val="auto"/>
                      <w:kern w:val="0"/>
                      <w:sz w:val="21"/>
                      <w:szCs w:val="21"/>
                      <w:highlight w:val="none"/>
                      <w:u w:val="none"/>
                      <w:lang w:val="en-US" w:eastAsia="zh-CN" w:bidi="ar"/>
                    </w:rPr>
                    <w:t>和强光。</w:t>
                  </w:r>
                </w:p>
              </w:tc>
            </w:tr>
            <w:tr w14:paraId="3D04E2E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6E2ED385">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氮气</w:t>
                  </w:r>
                </w:p>
              </w:tc>
              <w:tc>
                <w:tcPr>
                  <w:tcW w:w="4340" w:type="pct"/>
                  <w:shd w:val="clear" w:color="auto" w:fill="auto"/>
                  <w:vAlign w:val="center"/>
                </w:tcPr>
                <w:p w14:paraId="24C4F81D">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臭、无味、无毒的惰性气体。沸点-195.79℃；熔点-210.01℃；常温下呈惰性，微溶于水、酒精和醚。氮的化学性质不活泼，在平常的状态下表现为很大的惰性，不容易与其他的物质发生化学反应。氮不可燃。它可与一些特别活泼的金属，例如锂和镁结合生成氮化物，在高温下也可与氢、氧和其他元素结合。微溶于水和绝大部分其他液体，是热和电的不良导体。</w:t>
                  </w:r>
                </w:p>
              </w:tc>
            </w:tr>
            <w:tr w14:paraId="693A83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17A18143">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氩气</w:t>
                  </w:r>
                </w:p>
              </w:tc>
              <w:tc>
                <w:tcPr>
                  <w:tcW w:w="4340" w:type="pct"/>
                  <w:shd w:val="clear" w:color="auto" w:fill="auto"/>
                  <w:vAlign w:val="center"/>
                </w:tcPr>
                <w:p w14:paraId="6398B6A4">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味、无臭、无毒的惰性气体，化学性质极不活泼。在21.1℃和101.3kPa下气体相对密度1.38。沸点-185.9℃。熔点-189.2℃。临界温度-122.3C，临界压力4.893MPa。溶于有机溶剂。不燃烧，无毒，但人体吸入易窒息。无腐蚀性。若遇高热，容器内压增大，有开裂和爆炸的危险</w:t>
                  </w:r>
                  <w:r>
                    <w:rPr>
                      <w:rFonts w:hint="default" w:ascii="Times New Roman" w:hAnsi="Times New Roman" w:cs="Times New Roman"/>
                      <w:i w:val="0"/>
                      <w:iCs w:val="0"/>
                      <w:color w:val="auto"/>
                      <w:kern w:val="0"/>
                      <w:sz w:val="21"/>
                      <w:szCs w:val="21"/>
                      <w:highlight w:val="none"/>
                      <w:u w:val="none"/>
                      <w:lang w:val="en-US" w:eastAsia="zh-CN" w:bidi="ar"/>
                    </w:rPr>
                    <w:t>。</w:t>
                  </w:r>
                </w:p>
              </w:tc>
            </w:tr>
            <w:tr w14:paraId="532A3E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949" w:hRule="atLeast"/>
                <w:jc w:val="center"/>
              </w:trPr>
              <w:tc>
                <w:tcPr>
                  <w:tcW w:w="659" w:type="pct"/>
                  <w:shd w:val="clear" w:color="auto" w:fill="auto"/>
                  <w:vAlign w:val="center"/>
                </w:tcPr>
                <w:p w14:paraId="2C681EE9">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氦气</w:t>
                  </w:r>
                </w:p>
              </w:tc>
              <w:tc>
                <w:tcPr>
                  <w:tcW w:w="4340" w:type="pct"/>
                  <w:shd w:val="clear" w:color="auto" w:fill="auto"/>
                  <w:vAlign w:val="center"/>
                </w:tcPr>
                <w:p w14:paraId="3A32CA81">
                  <w:pPr>
                    <w:keepNext w:val="0"/>
                    <w:keepLines w:val="0"/>
                    <w:widowControl/>
                    <w:suppressLineNumbers w:val="0"/>
                    <w:spacing w:before="0" w:beforeAutospacing="0" w:after="0" w:afterAutospacing="0"/>
                    <w:ind w:left="0" w:leftChars="0" w:right="0" w:rightChars="0"/>
                    <w:jc w:val="left"/>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无色、无臭、无味、无毒、不燃的惰性气体。在21.1℃和101.3kPa下气体相对密度0.138。沸点-268.9℃。临界温度-267.9℃，临界压力227kPa。不与任何物质起化学作用。若遇高热，容器内压增大，有开裂和爆炸的危险。</w:t>
                  </w:r>
                </w:p>
              </w:tc>
            </w:tr>
          </w:tbl>
          <w:p w14:paraId="59DEF8FC">
            <w:pPr>
              <w:pStyle w:val="5"/>
              <w:suppressLineNumbers w:val="0"/>
              <w:bidi w:val="0"/>
              <w:spacing w:beforeAutospacing="0" w:afterAutospacing="0"/>
              <w:ind w:right="0"/>
              <w:rPr>
                <w:rFonts w:hint="default" w:ascii="Times New Roman" w:hAnsi="Times New Roman" w:cs="Times New Roman"/>
                <w:color w:val="auto"/>
                <w:highlight w:val="none"/>
              </w:rPr>
            </w:pPr>
            <w:bookmarkStart w:id="43" w:name="_Toc28494"/>
            <w:r>
              <w:rPr>
                <w:rFonts w:hint="default" w:ascii="Times New Roman" w:hAnsi="Times New Roman" w:cs="Times New Roman"/>
                <w:color w:val="auto"/>
                <w:highlight w:val="none"/>
                <w:lang w:val="en-US" w:eastAsia="zh-CN"/>
              </w:rPr>
              <w:t>水平衡</w:t>
            </w:r>
            <w:bookmarkEnd w:id="43"/>
          </w:p>
          <w:p w14:paraId="3DB694B7">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本项目运营过程主要有员工生活</w:t>
            </w:r>
            <w:r>
              <w:rPr>
                <w:rFonts w:hint="default" w:ascii="Times New Roman" w:hAnsi="Times New Roman" w:cs="Times New Roman"/>
                <w:color w:val="auto"/>
                <w:highlight w:val="none"/>
                <w:shd w:val="clear" w:fill="FFFFFF"/>
                <w:lang w:val="en-US" w:eastAsia="zh-CN"/>
              </w:rPr>
              <w:t>用排水及</w:t>
            </w:r>
            <w:r>
              <w:rPr>
                <w:rFonts w:hint="default" w:ascii="Times New Roman" w:hAnsi="Times New Roman" w:cs="Times New Roman"/>
                <w:color w:val="auto"/>
                <w:highlight w:val="none"/>
                <w:lang w:val="en-US" w:eastAsia="zh-CN"/>
              </w:rPr>
              <w:t>实验检测过程中生产用排水。</w:t>
            </w:r>
          </w:p>
          <w:p w14:paraId="29629BDB">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（1）生活用排水</w:t>
            </w:r>
          </w:p>
          <w:p w14:paraId="793E9323">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据建设单位提供资料，项目员工30人，</w:t>
            </w:r>
            <w:r>
              <w:rPr>
                <w:rFonts w:hint="default" w:ascii="Times New Roman" w:hAnsi="Times New Roman" w:cs="Times New Roman"/>
                <w:color w:val="auto"/>
                <w:highlight w:val="none"/>
                <w:u w:val="none"/>
                <w:lang w:val="en-US" w:eastAsia="zh-CN"/>
              </w:rPr>
              <w:t>年工作300天，</w:t>
            </w:r>
            <w:r>
              <w:rPr>
                <w:rFonts w:hint="default" w:ascii="Times New Roman" w:hAnsi="Times New Roman" w:cs="Times New Roman"/>
                <w:color w:val="auto"/>
                <w:highlight w:val="none"/>
                <w:lang w:val="en-US" w:eastAsia="zh-CN"/>
              </w:rPr>
              <w:t>均不提供食宿。</w:t>
            </w:r>
            <w:r>
              <w:rPr>
                <w:rFonts w:hint="default" w:ascii="Times New Roman" w:hAnsi="Times New Roman" w:cs="Times New Roman"/>
                <w:color w:val="auto"/>
                <w:highlight w:val="none"/>
                <w:u w:val="none"/>
                <w:lang w:val="en-US" w:eastAsia="zh-CN"/>
              </w:rPr>
              <w:t>根据福建省《行业用水定额》（DB35/T772-2018），不住厂职工用水按50L/人·d计，</w:t>
            </w:r>
            <w:r>
              <w:rPr>
                <w:rFonts w:hint="default" w:ascii="Times New Roman" w:hAnsi="Times New Roman" w:cs="Times New Roman"/>
                <w:color w:val="auto"/>
                <w:highlight w:val="none"/>
                <w:lang w:val="en-US" w:eastAsia="zh-CN"/>
              </w:rPr>
              <w:t>则项目员工生活用水量约450t/a（1</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t/d），</w:t>
            </w:r>
            <w:r>
              <w:rPr>
                <w:rFonts w:hint="default" w:ascii="Times New Roman" w:hAnsi="Times New Roman" w:cs="Times New Roman"/>
                <w:color w:val="auto"/>
                <w:highlight w:val="none"/>
                <w:u w:val="none"/>
                <w:lang w:val="en-US" w:eastAsia="zh-CN"/>
              </w:rPr>
              <w:t>生活污水产污系数按生活水量的80%计，则新增生活污水排放量为360t/a（1.2t/d）。</w:t>
            </w:r>
          </w:p>
          <w:p w14:paraId="122CBC83">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（2）生产用排水</w:t>
            </w:r>
          </w:p>
          <w:p w14:paraId="07A38B75">
            <w:pPr>
              <w:pStyle w:val="36"/>
              <w:keepNext w:val="0"/>
              <w:keepLines w:val="0"/>
              <w:suppressLineNumbers w:val="0"/>
              <w:bidi w:val="0"/>
              <w:spacing w:before="0" w:beforeAutospacing="0" w:after="0" w:afterAutospacing="0"/>
              <w:ind w:left="0" w:right="0"/>
              <w:rPr>
                <w:rFonts w:hint="default" w:ascii="Times New Roman" w:hAnsi="Times New Roman" w:cs="Times New Roman"/>
                <w:b w:val="0"/>
                <w:bCs w:val="0"/>
                <w:color w:val="auto"/>
                <w:highlight w:val="none"/>
                <w:lang w:val="en-US" w:eastAsia="zh-CN"/>
              </w:rPr>
            </w:pPr>
            <w:r>
              <w:rPr>
                <w:rFonts w:hint="default" w:ascii="Times New Roman" w:hAnsi="Times New Roman" w:cs="Times New Roman"/>
                <w:color w:val="auto"/>
                <w:highlight w:val="none"/>
                <w:lang w:val="en-US" w:eastAsia="zh-CN"/>
              </w:rPr>
              <w:t>项目生产用水主要为</w:t>
            </w:r>
            <w:r>
              <w:rPr>
                <w:rFonts w:hint="default" w:ascii="Times New Roman" w:hAnsi="Times New Roman" w:eastAsia="宋体" w:cs="Times New Roman"/>
                <w:color w:val="auto"/>
                <w:highlight w:val="none"/>
                <w:lang w:val="en-US" w:eastAsia="zh-CN"/>
              </w:rPr>
              <w:t>纯水机</w:t>
            </w:r>
            <w:r>
              <w:rPr>
                <w:rFonts w:hint="default" w:ascii="Times New Roman" w:hAnsi="Times New Roman" w:cs="Times New Roman"/>
                <w:color w:val="auto"/>
                <w:highlight w:val="none"/>
                <w:lang w:val="en-US" w:eastAsia="zh-CN"/>
              </w:rPr>
              <w:t>制纯水用水、</w:t>
            </w:r>
            <w:r>
              <w:rPr>
                <w:rFonts w:hint="default" w:ascii="Times New Roman" w:hAnsi="Times New Roman" w:cs="Times New Roman"/>
                <w:b w:val="0"/>
                <w:bCs w:val="0"/>
                <w:color w:val="auto"/>
                <w:szCs w:val="21"/>
                <w:highlight w:val="none"/>
              </w:rPr>
              <w:t>实验室仪器用</w:t>
            </w:r>
            <w:r>
              <w:rPr>
                <w:rFonts w:hint="default" w:ascii="Times New Roman" w:hAnsi="Times New Roman" w:cs="Times New Roman"/>
                <w:b w:val="0"/>
                <w:bCs w:val="0"/>
                <w:color w:val="auto"/>
                <w:szCs w:val="21"/>
                <w:highlight w:val="none"/>
                <w:shd w:val="clear" w:fill="FFFFFF"/>
              </w:rPr>
              <w:t>排水</w:t>
            </w:r>
            <w:r>
              <w:rPr>
                <w:rFonts w:hint="default" w:ascii="Times New Roman" w:hAnsi="Times New Roman" w:cs="Times New Roman"/>
                <w:b w:val="0"/>
                <w:bCs w:val="0"/>
                <w:color w:val="auto"/>
                <w:highlight w:val="none"/>
                <w:lang w:val="en-US" w:eastAsia="zh-CN"/>
              </w:rPr>
              <w:t>、</w:t>
            </w:r>
            <w:r>
              <w:rPr>
                <w:rFonts w:hint="default" w:ascii="Times New Roman" w:hAnsi="Times New Roman" w:cs="Times New Roman"/>
                <w:b w:val="0"/>
                <w:bCs w:val="0"/>
                <w:color w:val="auto"/>
                <w:szCs w:val="21"/>
                <w:highlight w:val="none"/>
              </w:rPr>
              <w:t>样品排水</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实验器具</w:t>
            </w:r>
            <w:r>
              <w:rPr>
                <w:rFonts w:hint="default" w:ascii="Times New Roman" w:hAnsi="Times New Roman" w:cs="Times New Roman"/>
                <w:b w:val="0"/>
                <w:bCs w:val="0"/>
                <w:color w:val="auto"/>
                <w:highlight w:val="none"/>
                <w:lang w:val="en-US" w:eastAsia="zh-CN"/>
              </w:rPr>
              <w:t>清洗用水、喷淋塔用水等。</w:t>
            </w:r>
          </w:p>
          <w:p w14:paraId="400A2F58">
            <w:pPr>
              <w:pStyle w:val="36"/>
              <w:keepNext w:val="0"/>
              <w:keepLines w:val="0"/>
              <w:suppressLineNumbers w:val="0"/>
              <w:bidi w:val="0"/>
              <w:spacing w:before="0" w:beforeAutospacing="0" w:after="0" w:afterAutospacing="0"/>
              <w:ind w:left="0" w:right="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highlight w:val="none"/>
                <w:lang w:val="en-US" w:eastAsia="zh-CN"/>
              </w:rPr>
              <w:t>①</w:t>
            </w:r>
            <w:r>
              <w:rPr>
                <w:rFonts w:hint="default" w:ascii="Times New Roman" w:hAnsi="Times New Roman" w:cs="Times New Roman"/>
                <w:b w:val="0"/>
                <w:bCs w:val="0"/>
                <w:color w:val="auto"/>
                <w:szCs w:val="21"/>
                <w:highlight w:val="none"/>
              </w:rPr>
              <w:t>制纯</w:t>
            </w:r>
            <w:r>
              <w:rPr>
                <w:rFonts w:hint="default" w:ascii="Times New Roman" w:hAnsi="Times New Roman" w:cs="Times New Roman"/>
                <w:b w:val="0"/>
                <w:bCs w:val="0"/>
                <w:color w:val="auto"/>
                <w:highlight w:val="none"/>
                <w:lang w:val="en-US" w:eastAsia="zh-CN"/>
              </w:rPr>
              <w:t>水</w:t>
            </w:r>
            <w:r>
              <w:rPr>
                <w:rFonts w:hint="default" w:ascii="Times New Roman" w:hAnsi="Times New Roman" w:cs="Times New Roman"/>
                <w:b w:val="0"/>
                <w:bCs w:val="0"/>
                <w:color w:val="auto"/>
                <w:szCs w:val="21"/>
                <w:highlight w:val="none"/>
              </w:rPr>
              <w:t>用水</w:t>
            </w:r>
          </w:p>
          <w:p w14:paraId="107FBF9F">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本项目使用纯水机制纯水，制得的纯水用于检测药剂配制及实验器具清洗。</w:t>
            </w:r>
          </w:p>
          <w:p w14:paraId="045B31B7">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lang w:val="en-US" w:eastAsia="zh-CN"/>
              </w:rPr>
            </w:pPr>
            <w:r>
              <w:rPr>
                <w:rFonts w:hint="default" w:ascii="Times New Roman" w:hAnsi="Times New Roman" w:cs="Times New Roman"/>
                <w:b w:val="0"/>
                <w:bCs w:val="0"/>
                <w:color w:val="auto"/>
                <w:highlight w:val="none"/>
                <w:lang w:val="en-US" w:eastAsia="zh-CN"/>
              </w:rPr>
              <w:t>根据建设单位提供资料，</w:t>
            </w:r>
            <w:r>
              <w:rPr>
                <w:rFonts w:hint="default" w:ascii="Times New Roman" w:hAnsi="Times New Roman" w:eastAsia="宋体" w:cs="Times New Roman"/>
                <w:b w:val="0"/>
                <w:bCs w:val="0"/>
                <w:color w:val="auto"/>
                <w:highlight w:val="none"/>
                <w:lang w:val="en-US" w:eastAsia="zh-CN"/>
              </w:rPr>
              <w:t>本项目拟设置1台纯水机将自来水制备为纯水，主要用于溶液配置和实验室器具的最后冲洗。项目年总用纯水量约30t</w:t>
            </w:r>
            <w:r>
              <w:rPr>
                <w:rFonts w:hint="default" w:ascii="Times New Roman" w:hAnsi="Times New Roman" w:cs="Times New Roman"/>
                <w:b w:val="0"/>
                <w:bCs w:val="0"/>
                <w:color w:val="auto"/>
                <w:highlight w:val="none"/>
                <w:lang w:val="en-US" w:eastAsia="zh-CN"/>
              </w:rPr>
              <w:t>（0.1t/d）</w:t>
            </w:r>
            <w:r>
              <w:rPr>
                <w:rFonts w:hint="default" w:ascii="Times New Roman" w:hAnsi="Times New Roman" w:eastAsia="宋体" w:cs="Times New Roman"/>
                <w:b w:val="0"/>
                <w:bCs w:val="0"/>
                <w:color w:val="auto"/>
                <w:highlight w:val="none"/>
                <w:lang w:val="en-US" w:eastAsia="zh-CN"/>
              </w:rPr>
              <w:t>，纯水机制纯效率约75%，则制纯用新鲜自来水量约为40t/a</w:t>
            </w:r>
            <w:r>
              <w:rPr>
                <w:rFonts w:hint="default" w:ascii="Times New Roman" w:hAnsi="Times New Roman" w:cs="Times New Roman"/>
                <w:b w:val="0"/>
                <w:bCs w:val="0"/>
                <w:color w:val="auto"/>
                <w:highlight w:val="none"/>
                <w:lang w:val="en-US" w:eastAsia="zh-CN"/>
              </w:rPr>
              <w:t>（</w:t>
            </w:r>
            <w:r>
              <w:rPr>
                <w:rFonts w:hint="eastAsia" w:cs="Times New Roman"/>
                <w:b w:val="0"/>
                <w:bCs w:val="0"/>
                <w:color w:val="auto"/>
                <w:highlight w:val="none"/>
                <w:lang w:val="en-US" w:eastAsia="zh-CN"/>
              </w:rPr>
              <w:t>0.</w:t>
            </w:r>
            <w:r>
              <w:rPr>
                <w:rFonts w:hint="default" w:ascii="Times New Roman" w:hAnsi="Times New Roman" w:cs="Times New Roman"/>
                <w:b w:val="0"/>
                <w:bCs w:val="0"/>
                <w:color w:val="auto"/>
                <w:highlight w:val="none"/>
                <w:lang w:val="en-US" w:eastAsia="zh-CN"/>
              </w:rPr>
              <w:t>133t/d）</w:t>
            </w:r>
            <w:r>
              <w:rPr>
                <w:rFonts w:hint="default" w:ascii="Times New Roman" w:hAnsi="Times New Roman" w:eastAsia="宋体" w:cs="Times New Roman"/>
                <w:b w:val="0"/>
                <w:bCs w:val="0"/>
                <w:color w:val="auto"/>
                <w:highlight w:val="none"/>
                <w:lang w:val="en-US" w:eastAsia="zh-CN"/>
              </w:rPr>
              <w:t>，制纯浓水产生量约10t/a</w:t>
            </w:r>
            <w:r>
              <w:rPr>
                <w:rFonts w:hint="default" w:ascii="Times New Roman" w:hAnsi="Times New Roman" w:cs="Times New Roman"/>
                <w:b w:val="0"/>
                <w:bCs w:val="0"/>
                <w:color w:val="auto"/>
                <w:highlight w:val="none"/>
                <w:lang w:val="en-US" w:eastAsia="zh-CN"/>
              </w:rPr>
              <w:t>（0.</w:t>
            </w:r>
            <w:r>
              <w:rPr>
                <w:rFonts w:hint="eastAsia" w:cs="Times New Roman"/>
                <w:b w:val="0"/>
                <w:bCs w:val="0"/>
                <w:color w:val="auto"/>
                <w:highlight w:val="none"/>
                <w:lang w:val="en-US" w:eastAsia="zh-CN"/>
              </w:rPr>
              <w:t>0</w:t>
            </w:r>
            <w:r>
              <w:rPr>
                <w:rFonts w:hint="default" w:ascii="Times New Roman" w:hAnsi="Times New Roman" w:cs="Times New Roman"/>
                <w:b w:val="0"/>
                <w:bCs w:val="0"/>
                <w:color w:val="auto"/>
                <w:highlight w:val="none"/>
                <w:lang w:val="en-US" w:eastAsia="zh-CN"/>
              </w:rPr>
              <w:t>33t/d）</w:t>
            </w:r>
            <w:r>
              <w:rPr>
                <w:rFonts w:hint="default" w:ascii="Times New Roman" w:hAnsi="Times New Roman" w:eastAsia="宋体" w:cs="Times New Roman"/>
                <w:b w:val="0"/>
                <w:bCs w:val="0"/>
                <w:color w:val="auto"/>
                <w:highlight w:val="none"/>
                <w:lang w:val="en-US" w:eastAsia="zh-CN"/>
              </w:rPr>
              <w:t>，制纯浓水</w:t>
            </w:r>
            <w:r>
              <w:rPr>
                <w:rFonts w:hint="eastAsia"/>
                <w:color w:val="auto"/>
                <w:kern w:val="0"/>
                <w:szCs w:val="21"/>
              </w:rPr>
              <w:t>经废水处理设施处理后与生活污水一并进入</w:t>
            </w:r>
            <w:r>
              <w:rPr>
                <w:rFonts w:hint="eastAsia"/>
                <w:color w:val="auto"/>
                <w:szCs w:val="21"/>
              </w:rPr>
              <w:t>出租方</w:t>
            </w:r>
            <w:r>
              <w:rPr>
                <w:rFonts w:hint="eastAsia"/>
                <w:color w:val="auto"/>
                <w:kern w:val="0"/>
                <w:szCs w:val="21"/>
              </w:rPr>
              <w:t>厂区已建化粪池处理后排入市政污水管网，送往福清市融元污水处理厂集中处理。</w:t>
            </w:r>
          </w:p>
          <w:p w14:paraId="71CD98F2">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 w:val="0"/>
                <w:bCs w:val="0"/>
                <w:color w:val="auto"/>
                <w:highlight w:val="none"/>
                <w:lang w:val="en-US" w:eastAsia="zh-CN"/>
              </w:rPr>
            </w:pPr>
            <w:r>
              <w:rPr>
                <w:rFonts w:hint="default" w:ascii="Times New Roman" w:hAnsi="Times New Roman" w:eastAsia="宋体" w:cs="Times New Roman"/>
                <w:b w:val="0"/>
                <w:bCs w:val="0"/>
                <w:color w:val="auto"/>
                <w:highlight w:val="none"/>
                <w:lang w:val="en-US" w:eastAsia="zh-CN"/>
              </w:rPr>
              <w:t>药剂配制</w:t>
            </w:r>
            <w:r>
              <w:rPr>
                <w:rFonts w:hint="eastAsia" w:cs="Times New Roman"/>
                <w:b w:val="0"/>
                <w:bCs w:val="0"/>
                <w:color w:val="auto"/>
                <w:highlight w:val="none"/>
                <w:lang w:val="en-US" w:eastAsia="zh-CN"/>
              </w:rPr>
              <w:t>、器具清洗</w:t>
            </w:r>
            <w:r>
              <w:rPr>
                <w:rFonts w:hint="default" w:ascii="Times New Roman" w:hAnsi="Times New Roman" w:eastAsia="宋体" w:cs="Times New Roman"/>
                <w:b w:val="0"/>
                <w:bCs w:val="0"/>
                <w:color w:val="auto"/>
                <w:highlight w:val="none"/>
                <w:lang w:val="en-US" w:eastAsia="zh-CN"/>
              </w:rPr>
              <w:t>用水：制得</w:t>
            </w:r>
            <w:r>
              <w:rPr>
                <w:rFonts w:hint="eastAsia" w:cs="Times New Roman"/>
                <w:b w:val="0"/>
                <w:bCs w:val="0"/>
                <w:color w:val="auto"/>
                <w:highlight w:val="none"/>
                <w:lang w:val="en-US" w:eastAsia="zh-CN"/>
              </w:rPr>
              <w:t>后</w:t>
            </w:r>
            <w:r>
              <w:rPr>
                <w:rFonts w:hint="default" w:ascii="Times New Roman" w:hAnsi="Times New Roman" w:eastAsia="宋体" w:cs="Times New Roman"/>
                <w:b w:val="0"/>
                <w:bCs w:val="0"/>
                <w:color w:val="auto"/>
                <w:highlight w:val="none"/>
                <w:lang w:val="en-US" w:eastAsia="zh-CN"/>
              </w:rPr>
              <w:t>纯水</w:t>
            </w:r>
            <w:r>
              <w:rPr>
                <w:rFonts w:hint="eastAsia" w:cs="Times New Roman"/>
                <w:b w:val="0"/>
                <w:bCs w:val="0"/>
                <w:color w:val="auto"/>
                <w:highlight w:val="none"/>
                <w:lang w:val="en-US" w:eastAsia="zh-CN"/>
              </w:rPr>
              <w:t>的</w:t>
            </w:r>
            <w:r>
              <w:rPr>
                <w:rFonts w:hint="default" w:ascii="Times New Roman" w:hAnsi="Times New Roman" w:eastAsia="宋体" w:cs="Times New Roman"/>
                <w:b w:val="0"/>
                <w:bCs w:val="0"/>
                <w:color w:val="auto"/>
                <w:highlight w:val="none"/>
                <w:lang w:val="en-US" w:eastAsia="zh-CN"/>
              </w:rPr>
              <w:t>约20%用于</w:t>
            </w:r>
            <w:r>
              <w:rPr>
                <w:rFonts w:hint="eastAsia" w:cs="Times New Roman"/>
                <w:b w:val="0"/>
                <w:bCs w:val="0"/>
                <w:color w:val="auto"/>
                <w:highlight w:val="none"/>
                <w:lang w:val="en-US" w:eastAsia="zh-CN"/>
              </w:rPr>
              <w:t>试剂</w:t>
            </w:r>
            <w:r>
              <w:rPr>
                <w:rFonts w:hint="default" w:ascii="Times New Roman" w:hAnsi="Times New Roman" w:eastAsia="宋体" w:cs="Times New Roman"/>
                <w:b w:val="0"/>
                <w:bCs w:val="0"/>
                <w:color w:val="auto"/>
                <w:highlight w:val="none"/>
                <w:lang w:val="en-US" w:eastAsia="zh-CN"/>
              </w:rPr>
              <w:t>溶液配置</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约6t/a</w:t>
            </w:r>
            <w:r>
              <w:rPr>
                <w:rFonts w:hint="eastAsia"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w:t>
            </w:r>
            <w:r>
              <w:rPr>
                <w:rFonts w:hint="eastAsia" w:cs="Times New Roman"/>
                <w:b w:val="0"/>
                <w:bCs w:val="0"/>
                <w:color w:val="auto"/>
                <w:highlight w:val="none"/>
                <w:lang w:val="en-US" w:eastAsia="zh-CN"/>
              </w:rPr>
              <w:t>02</w:t>
            </w:r>
            <w:r>
              <w:rPr>
                <w:rFonts w:hint="default" w:ascii="Times New Roman" w:hAnsi="Times New Roman" w:cs="Times New Roman"/>
                <w:b w:val="0"/>
                <w:bCs w:val="0"/>
                <w:color w:val="auto"/>
                <w:highlight w:val="none"/>
                <w:lang w:val="en-US" w:eastAsia="zh-CN"/>
              </w:rPr>
              <w:t>t/d</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实验后将产生检验废液，约占配置</w:t>
            </w:r>
            <w:r>
              <w:rPr>
                <w:rFonts w:hint="eastAsia" w:cs="Times New Roman"/>
                <w:b w:val="0"/>
                <w:bCs w:val="0"/>
                <w:color w:val="auto"/>
                <w:highlight w:val="none"/>
                <w:lang w:val="en-US" w:eastAsia="zh-CN"/>
              </w:rPr>
              <w:t>试剂</w:t>
            </w:r>
            <w:r>
              <w:rPr>
                <w:rFonts w:hint="default" w:ascii="Times New Roman" w:hAnsi="Times New Roman" w:eastAsia="宋体" w:cs="Times New Roman"/>
                <w:b w:val="0"/>
                <w:bCs w:val="0"/>
                <w:color w:val="auto"/>
                <w:highlight w:val="none"/>
                <w:lang w:val="en-US" w:eastAsia="zh-CN"/>
              </w:rPr>
              <w:t>溶液的80%，即约4.8t/a</w:t>
            </w:r>
            <w:r>
              <w:rPr>
                <w:rFonts w:hint="eastAsia" w:cs="Times New Roman"/>
                <w:b w:val="0"/>
                <w:bCs w:val="0"/>
                <w:color w:val="auto"/>
                <w:highlight w:val="none"/>
                <w:lang w:val="en-US" w:eastAsia="zh-CN"/>
              </w:rPr>
              <w:t>（</w:t>
            </w:r>
            <w:r>
              <w:rPr>
                <w:rFonts w:hint="default" w:ascii="Times New Roman" w:hAnsi="Times New Roman" w:cs="Times New Roman"/>
                <w:b w:val="0"/>
                <w:bCs w:val="0"/>
                <w:color w:val="auto"/>
                <w:highlight w:val="none"/>
                <w:lang w:val="en-US" w:eastAsia="zh-CN"/>
              </w:rPr>
              <w:t>0.</w:t>
            </w:r>
            <w:r>
              <w:rPr>
                <w:rFonts w:hint="eastAsia" w:cs="Times New Roman"/>
                <w:b w:val="0"/>
                <w:bCs w:val="0"/>
                <w:color w:val="auto"/>
                <w:highlight w:val="none"/>
                <w:lang w:val="en-US" w:eastAsia="zh-CN"/>
              </w:rPr>
              <w:t>016</w:t>
            </w:r>
            <w:r>
              <w:rPr>
                <w:rFonts w:hint="default" w:ascii="Times New Roman" w:hAnsi="Times New Roman" w:cs="Times New Roman"/>
                <w:b w:val="0"/>
                <w:bCs w:val="0"/>
                <w:color w:val="auto"/>
                <w:highlight w:val="none"/>
                <w:lang w:val="en-US" w:eastAsia="zh-CN"/>
              </w:rPr>
              <w:t>t/d</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，主要含酸、碱、有机物、重金属、有毒物质等，按其性质用专用桶分类收集该废液，收集后暂存于危废暂存间内，定期交由资质单位清运处置</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制得</w:t>
            </w:r>
            <w:r>
              <w:rPr>
                <w:rFonts w:hint="eastAsia" w:cs="Times New Roman"/>
                <w:b w:val="0"/>
                <w:bCs w:val="0"/>
                <w:color w:val="auto"/>
                <w:highlight w:val="none"/>
                <w:lang w:val="en-US" w:eastAsia="zh-CN"/>
              </w:rPr>
              <w:t>的</w:t>
            </w:r>
            <w:r>
              <w:rPr>
                <w:rFonts w:hint="default" w:ascii="Times New Roman" w:hAnsi="Times New Roman" w:eastAsia="宋体" w:cs="Times New Roman"/>
                <w:b w:val="0"/>
                <w:bCs w:val="0"/>
                <w:color w:val="auto"/>
                <w:highlight w:val="none"/>
                <w:lang w:val="en-US" w:eastAsia="zh-CN"/>
              </w:rPr>
              <w:t>纯水80%</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约24t/a</w:t>
            </w:r>
            <w:r>
              <w:rPr>
                <w:rFonts w:hint="eastAsia" w:cs="Times New Roman"/>
                <w:b w:val="0"/>
                <w:bCs w:val="0"/>
                <w:color w:val="auto"/>
                <w:highlight w:val="none"/>
                <w:lang w:val="en-US" w:eastAsia="zh-CN"/>
              </w:rPr>
              <w:t>（0.08</w:t>
            </w:r>
            <w:r>
              <w:rPr>
                <w:rFonts w:hint="default" w:ascii="Times New Roman" w:hAnsi="Times New Roman" w:cs="Times New Roman"/>
                <w:b w:val="0"/>
                <w:bCs w:val="0"/>
                <w:color w:val="auto"/>
                <w:highlight w:val="none"/>
                <w:lang w:val="en-US" w:eastAsia="zh-CN"/>
              </w:rPr>
              <w:t>t/d</w:t>
            </w:r>
            <w:r>
              <w:rPr>
                <w:rFonts w:hint="eastAsia" w:cs="Times New Roman"/>
                <w:b w:val="0"/>
                <w:bCs w:val="0"/>
                <w:color w:val="auto"/>
                <w:highlight w:val="none"/>
                <w:lang w:val="en-US" w:eastAsia="zh-CN"/>
              </w:rPr>
              <w:t>）</w:t>
            </w:r>
            <w:r>
              <w:rPr>
                <w:rFonts w:hint="default" w:ascii="Times New Roman" w:hAnsi="Times New Roman" w:eastAsia="宋体" w:cs="Times New Roman"/>
                <w:b w:val="0"/>
                <w:bCs w:val="0"/>
                <w:color w:val="auto"/>
                <w:highlight w:val="none"/>
                <w:lang w:val="en-US" w:eastAsia="zh-CN"/>
              </w:rPr>
              <w:t>用于实验器具</w:t>
            </w:r>
            <w:r>
              <w:rPr>
                <w:rFonts w:hint="eastAsia" w:cs="Times New Roman"/>
                <w:b w:val="0"/>
                <w:bCs w:val="0"/>
                <w:color w:val="auto"/>
                <w:highlight w:val="none"/>
                <w:lang w:val="en-US" w:eastAsia="zh-CN"/>
              </w:rPr>
              <w:t>清洗（纯水）</w:t>
            </w:r>
            <w:r>
              <w:rPr>
                <w:rFonts w:hint="default" w:ascii="Times New Roman" w:hAnsi="Times New Roman" w:eastAsia="宋体" w:cs="Times New Roman"/>
                <w:b w:val="0"/>
                <w:bCs w:val="0"/>
                <w:color w:val="auto"/>
                <w:highlight w:val="none"/>
                <w:lang w:val="en-US" w:eastAsia="zh-CN"/>
              </w:rPr>
              <w:t>，实验器具清洗废水使用废水处理设施处理后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厂区已建化粪池处理后排入市政污水管网，送往福清市融元污水处理厂集中处理</w:t>
            </w:r>
            <w:r>
              <w:rPr>
                <w:rFonts w:hint="default" w:ascii="Times New Roman" w:hAnsi="Times New Roman" w:eastAsia="宋体" w:cs="Times New Roman"/>
                <w:b w:val="0"/>
                <w:bCs w:val="0"/>
                <w:color w:val="auto"/>
                <w:highlight w:val="none"/>
                <w:lang w:val="en-US" w:eastAsia="zh-CN"/>
              </w:rPr>
              <w:t>。</w:t>
            </w:r>
          </w:p>
          <w:p w14:paraId="5AD52594">
            <w:pPr>
              <w:pStyle w:val="36"/>
              <w:keepNext w:val="0"/>
              <w:keepLines w:val="0"/>
              <w:suppressLineNumbers w:val="0"/>
              <w:bidi w:val="0"/>
              <w:spacing w:before="0" w:beforeAutospacing="0" w:after="0" w:afterAutospacing="0"/>
              <w:ind w:left="0" w:right="0"/>
              <w:rPr>
                <w:rFonts w:hint="default" w:ascii="Times New Roman" w:hAnsi="Times New Roman" w:cs="Times New Roman"/>
                <w:b w:val="0"/>
                <w:bCs w:val="0"/>
                <w:color w:val="auto"/>
                <w:szCs w:val="21"/>
                <w:highlight w:val="none"/>
              </w:rPr>
            </w:pPr>
            <w:r>
              <w:rPr>
                <w:rFonts w:hint="default" w:ascii="Times New Roman" w:hAnsi="Times New Roman" w:cs="Times New Roman"/>
                <w:b w:val="0"/>
                <w:bCs w:val="0"/>
                <w:color w:val="auto"/>
                <w:szCs w:val="21"/>
                <w:highlight w:val="none"/>
                <w:lang w:val="en-US" w:eastAsia="zh-CN"/>
              </w:rPr>
              <w:t>②</w:t>
            </w:r>
            <w:r>
              <w:rPr>
                <w:rFonts w:hint="default" w:ascii="Times New Roman" w:hAnsi="Times New Roman" w:cs="Times New Roman"/>
                <w:b w:val="0"/>
                <w:bCs w:val="0"/>
                <w:color w:val="auto"/>
                <w:szCs w:val="21"/>
                <w:highlight w:val="none"/>
              </w:rPr>
              <w:t>实验室仪器用排水</w:t>
            </w:r>
          </w:p>
          <w:p w14:paraId="1553F7DD">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实验时水浴锅、灭菌器、振荡器等需要用水进行间接加热、间接震荡等，根据建设单位提供资料，用水量约为0.4t/d（120t/a），产生的排水系数按80%计，即0.32t/d（96t/a），该部分水基本不与实验物料直接接触，浓度较低，</w:t>
            </w:r>
            <w:r>
              <w:rPr>
                <w:rFonts w:hint="default" w:ascii="Times New Roman" w:hAnsi="Times New Roman" w:cs="Times New Roman"/>
                <w:b w:val="0"/>
                <w:bCs w:val="0"/>
                <w:color w:val="auto"/>
                <w:szCs w:val="21"/>
                <w:highlight w:val="none"/>
              </w:rPr>
              <w:t>实验室仪器排水</w:t>
            </w:r>
            <w:r>
              <w:rPr>
                <w:rFonts w:hint="eastAsia" w:cs="Times New Roman"/>
                <w:b w:val="0"/>
                <w:bCs w:val="0"/>
                <w:color w:val="auto"/>
                <w:szCs w:val="21"/>
                <w:highlight w:val="none"/>
                <w:lang w:val="en-US" w:eastAsia="zh-CN"/>
              </w:rPr>
              <w:t>经</w:t>
            </w:r>
            <w:r>
              <w:rPr>
                <w:rFonts w:hint="default" w:ascii="Times New Roman" w:hAnsi="Times New Roman" w:eastAsia="宋体" w:cs="Times New Roman"/>
                <w:b w:val="0"/>
                <w:bCs w:val="0"/>
                <w:color w:val="auto"/>
                <w:highlight w:val="none"/>
                <w:lang w:val="en-US" w:eastAsia="zh-CN"/>
              </w:rPr>
              <w:t>废水处理设施处理后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厂区已建化粪池处理后排入市政污水管网，送往福清市融元污水处理厂集中处理</w:t>
            </w:r>
            <w:r>
              <w:rPr>
                <w:rFonts w:hint="default" w:ascii="Times New Roman" w:hAnsi="Times New Roman" w:eastAsia="宋体" w:cs="Times New Roman"/>
                <w:b w:val="0"/>
                <w:bCs w:val="0"/>
                <w:color w:val="auto"/>
                <w:highlight w:val="none"/>
                <w:lang w:val="en-US" w:eastAsia="zh-CN"/>
              </w:rPr>
              <w:t>。</w:t>
            </w:r>
          </w:p>
          <w:p w14:paraId="37BB0507">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③样品排水</w:t>
            </w:r>
          </w:p>
          <w:p w14:paraId="3E021E78">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根据建设单位提供的资料，项目年检测水样6000份</w:t>
            </w:r>
            <w:r>
              <w:rPr>
                <w:rFonts w:hint="eastAsia" w:cs="Times New Roman"/>
                <w:color w:val="auto"/>
                <w:highlight w:val="none"/>
                <w:lang w:val="en-US" w:eastAsia="zh-CN"/>
              </w:rPr>
              <w:t>，平均一天水样约20份</w:t>
            </w:r>
            <w:r>
              <w:rPr>
                <w:rFonts w:hint="default" w:ascii="Times New Roman" w:hAnsi="Times New Roman" w:eastAsia="宋体" w:cs="Times New Roman"/>
                <w:color w:val="auto"/>
                <w:highlight w:val="none"/>
                <w:lang w:val="en-US" w:eastAsia="zh-CN"/>
              </w:rPr>
              <w:t>，检测的水样均为自来水水厂原水及出厂水，每例水样约500mL（0.5kg）</w:t>
            </w:r>
            <w:r>
              <w:rPr>
                <w:rFonts w:hint="eastAsia" w:cs="Times New Roman"/>
                <w:color w:val="auto"/>
                <w:highlight w:val="none"/>
                <w:lang w:val="en-US" w:eastAsia="zh-CN"/>
              </w:rPr>
              <w:t>，一天检测的水样重量约10kg/d。其中</w:t>
            </w:r>
            <w:r>
              <w:rPr>
                <w:rFonts w:hint="default" w:ascii="Times New Roman" w:hAnsi="Times New Roman" w:eastAsia="宋体" w:cs="Times New Roman"/>
                <w:color w:val="auto"/>
                <w:highlight w:val="none"/>
                <w:lang w:val="en-US" w:eastAsia="zh-CN"/>
              </w:rPr>
              <w:t>约5%水样用于实验检测（0.</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kg</w:t>
            </w:r>
            <w:r>
              <w:rPr>
                <w:rFonts w:hint="eastAsia" w:cs="Times New Roman"/>
                <w:color w:val="auto"/>
                <w:highlight w:val="none"/>
                <w:lang w:val="en-US" w:eastAsia="zh-CN"/>
              </w:rPr>
              <w:t>/</w:t>
            </w:r>
            <w:r>
              <w:rPr>
                <w:rFonts w:hint="default" w:ascii="Times New Roman" w:hAnsi="Times New Roman" w:eastAsia="宋体" w:cs="Times New Roman"/>
                <w:color w:val="auto"/>
                <w:highlight w:val="none"/>
                <w:lang w:val="en-US" w:eastAsia="zh-CN"/>
              </w:rPr>
              <w:t>d</w:t>
            </w:r>
            <w:r>
              <w:rPr>
                <w:rFonts w:hint="eastAsia" w:cs="Times New Roman"/>
                <w:color w:val="auto"/>
                <w:highlight w:val="none"/>
                <w:lang w:val="en-US" w:eastAsia="zh-CN"/>
              </w:rPr>
              <w:t>，0.15</w:t>
            </w:r>
            <w:r>
              <w:rPr>
                <w:rFonts w:hint="default" w:ascii="Times New Roman" w:hAnsi="Times New Roman" w:eastAsia="宋体" w:cs="Times New Roman"/>
                <w:color w:val="auto"/>
                <w:highlight w:val="none"/>
                <w:lang w:val="en-US" w:eastAsia="zh-CN"/>
              </w:rPr>
              <w:t>t/a），剩余共0.</w:t>
            </w:r>
            <w:r>
              <w:rPr>
                <w:rFonts w:hint="eastAsia" w:cs="Times New Roman"/>
                <w:color w:val="auto"/>
                <w:highlight w:val="none"/>
                <w:lang w:val="en-US" w:eastAsia="zh-CN"/>
              </w:rPr>
              <w:t>00</w:t>
            </w:r>
            <w:r>
              <w:rPr>
                <w:rFonts w:hint="default" w:ascii="Times New Roman" w:hAnsi="Times New Roman" w:eastAsia="宋体" w:cs="Times New Roman"/>
                <w:color w:val="auto"/>
                <w:highlight w:val="none"/>
                <w:lang w:val="en-US" w:eastAsia="zh-CN"/>
              </w:rPr>
              <w:t>95t/d（2.85t/a）水样</w:t>
            </w:r>
            <w:r>
              <w:rPr>
                <w:rFonts w:hint="eastAsia" w:cs="Times New Roman"/>
                <w:color w:val="auto"/>
                <w:highlight w:val="none"/>
                <w:lang w:val="en-US" w:eastAsia="zh-CN"/>
              </w:rPr>
              <w:t>排入</w:t>
            </w:r>
            <w:r>
              <w:rPr>
                <w:rFonts w:hint="default" w:ascii="Times New Roman" w:hAnsi="Times New Roman" w:eastAsia="宋体" w:cs="Times New Roman"/>
                <w:b w:val="0"/>
                <w:bCs w:val="0"/>
                <w:color w:val="auto"/>
                <w:highlight w:val="none"/>
                <w:lang w:val="en-US" w:eastAsia="zh-CN"/>
              </w:rPr>
              <w:t>废水处理设施后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厂区已建化粪池处理后排入市政污水管网，送往福清市融元污水处理厂集中处理</w:t>
            </w:r>
            <w:r>
              <w:rPr>
                <w:rFonts w:hint="default" w:ascii="Times New Roman" w:hAnsi="Times New Roman" w:eastAsia="宋体" w:cs="Times New Roman"/>
                <w:color w:val="auto"/>
                <w:highlight w:val="none"/>
                <w:lang w:val="en-US" w:eastAsia="zh-CN"/>
              </w:rPr>
              <w:t>。</w:t>
            </w:r>
          </w:p>
          <w:p w14:paraId="3A0609B8">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w:t>
            </w:r>
            <w:r>
              <w:rPr>
                <w:rFonts w:hint="eastAsia" w:cs="Times New Roman"/>
                <w:b w:val="0"/>
                <w:bCs w:val="0"/>
                <w:color w:val="auto"/>
                <w:highlight w:val="none"/>
                <w:lang w:val="en-US" w:eastAsia="zh-CN"/>
              </w:rPr>
              <w:t>实验器具</w:t>
            </w:r>
            <w:r>
              <w:rPr>
                <w:rFonts w:hint="default" w:ascii="Times New Roman" w:hAnsi="Times New Roman" w:cs="Times New Roman"/>
                <w:color w:val="auto"/>
                <w:highlight w:val="none"/>
                <w:lang w:val="en-US" w:eastAsia="zh-CN"/>
              </w:rPr>
              <w:t>清洗用水</w:t>
            </w:r>
          </w:p>
          <w:p w14:paraId="7FF95F01">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eastAsia"/>
                <w:color w:val="auto"/>
              </w:rPr>
              <w:t>项目实验主要为一般实验，不涉及重金属实验，</w:t>
            </w:r>
            <w:r>
              <w:rPr>
                <w:rFonts w:hint="eastAsia" w:cs="Times New Roman"/>
                <w:b w:val="0"/>
                <w:bCs w:val="0"/>
                <w:color w:val="auto"/>
                <w:highlight w:val="none"/>
                <w:lang w:val="en-US" w:eastAsia="zh-CN"/>
              </w:rPr>
              <w:t>实验器具</w:t>
            </w:r>
            <w:r>
              <w:rPr>
                <w:rFonts w:hint="eastAsia"/>
                <w:color w:val="auto"/>
              </w:rPr>
              <w:t>清洗废水不含重金属。</w:t>
            </w:r>
            <w:r>
              <w:rPr>
                <w:rFonts w:hint="default" w:ascii="Times New Roman" w:hAnsi="Times New Roman" w:cs="Times New Roman"/>
                <w:color w:val="auto"/>
                <w:highlight w:val="none"/>
                <w:shd w:val="clear" w:fill="FFFFFF"/>
                <w:lang w:val="en-US" w:eastAsia="zh-CN"/>
              </w:rPr>
              <w:t>检测实验</w:t>
            </w:r>
            <w:r>
              <w:rPr>
                <w:rFonts w:hint="default" w:ascii="Times New Roman" w:hAnsi="Times New Roman" w:cs="Times New Roman"/>
                <w:color w:val="auto"/>
                <w:highlight w:val="none"/>
                <w:lang w:val="en-US" w:eastAsia="zh-CN"/>
              </w:rPr>
              <w:t>结束后需对实验室器皿进行清洗根据建设单位提供资料，实验器皿</w:t>
            </w:r>
            <w:r>
              <w:rPr>
                <w:rFonts w:hint="eastAsia" w:cs="Times New Roman"/>
                <w:color w:val="auto"/>
                <w:highlight w:val="none"/>
                <w:lang w:val="en-US" w:eastAsia="zh-CN"/>
              </w:rPr>
              <w:t>清</w:t>
            </w:r>
            <w:r>
              <w:rPr>
                <w:rFonts w:hint="default" w:ascii="Times New Roman" w:hAnsi="Times New Roman" w:cs="Times New Roman"/>
                <w:color w:val="auto"/>
                <w:highlight w:val="none"/>
                <w:lang w:val="en-US" w:eastAsia="zh-CN"/>
              </w:rPr>
              <w:t>洗用水量约为1</w:t>
            </w:r>
            <w:r>
              <w:rPr>
                <w:rFonts w:hint="eastAsia" w:cs="Times New Roman"/>
                <w:color w:val="auto"/>
                <w:highlight w:val="none"/>
                <w:lang w:val="en-US" w:eastAsia="zh-CN"/>
              </w:rPr>
              <w:t>74</w:t>
            </w:r>
            <w:r>
              <w:rPr>
                <w:rFonts w:hint="default" w:ascii="Times New Roman" w:hAnsi="Times New Roman" w:cs="Times New Roman"/>
                <w:color w:val="auto"/>
                <w:highlight w:val="none"/>
                <w:lang w:val="en-US" w:eastAsia="zh-CN"/>
              </w:rPr>
              <w:t>t/a（0.5</w:t>
            </w:r>
            <w:r>
              <w:rPr>
                <w:rFonts w:hint="eastAsia" w:cs="Times New Roman"/>
                <w:color w:val="auto"/>
                <w:highlight w:val="none"/>
                <w:lang w:val="en-US" w:eastAsia="zh-CN"/>
              </w:rPr>
              <w:t>8</w:t>
            </w:r>
            <w:r>
              <w:rPr>
                <w:rFonts w:hint="default" w:ascii="Times New Roman" w:hAnsi="Times New Roman" w:cs="Times New Roman"/>
                <w:color w:val="auto"/>
                <w:highlight w:val="none"/>
                <w:lang w:val="en-US" w:eastAsia="zh-CN"/>
              </w:rPr>
              <w:t>t/d）。实验器皿</w:t>
            </w:r>
            <w:r>
              <w:rPr>
                <w:rFonts w:hint="eastAsia" w:cs="Times New Roman"/>
                <w:color w:val="auto"/>
                <w:highlight w:val="none"/>
                <w:lang w:val="en-US" w:eastAsia="zh-CN"/>
              </w:rPr>
              <w:t>清</w:t>
            </w:r>
            <w:r>
              <w:rPr>
                <w:rFonts w:hint="default" w:ascii="Times New Roman" w:hAnsi="Times New Roman" w:cs="Times New Roman"/>
                <w:color w:val="auto"/>
                <w:highlight w:val="none"/>
                <w:lang w:val="en-US" w:eastAsia="zh-CN"/>
              </w:rPr>
              <w:t>洗</w:t>
            </w:r>
            <w:r>
              <w:rPr>
                <w:rFonts w:hint="eastAsia" w:cs="Times New Roman"/>
                <w:color w:val="auto"/>
                <w:highlight w:val="none"/>
                <w:lang w:val="en-US" w:eastAsia="zh-CN"/>
              </w:rPr>
              <w:t>前端2至3次使用自来水清洗，前端后</w:t>
            </w:r>
            <w:r>
              <w:rPr>
                <w:rFonts w:hint="eastAsia" w:cs="Times New Roman"/>
                <w:color w:val="auto"/>
                <w:highlight w:val="none"/>
                <w:shd w:val="clear" w:fill="FFFFFF"/>
                <w:lang w:val="en-US" w:eastAsia="zh-CN"/>
              </w:rPr>
              <w:t>段</w:t>
            </w:r>
            <w:r>
              <w:rPr>
                <w:rFonts w:hint="eastAsia" w:cs="Times New Roman"/>
                <w:color w:val="auto"/>
                <w:highlight w:val="none"/>
                <w:lang w:val="en-US" w:eastAsia="zh-CN"/>
              </w:rPr>
              <w:t>1至2次使用纯水清洗，其中自来水清洗用水用量</w:t>
            </w:r>
            <w:r>
              <w:rPr>
                <w:rFonts w:hint="default" w:ascii="Times New Roman" w:hAnsi="Times New Roman" w:cs="Times New Roman"/>
                <w:color w:val="auto"/>
                <w:highlight w:val="none"/>
                <w:lang w:val="en-US" w:eastAsia="zh-CN"/>
              </w:rPr>
              <w:t>1</w:t>
            </w:r>
            <w:r>
              <w:rPr>
                <w:rFonts w:hint="eastAsia" w:cs="Times New Roman"/>
                <w:color w:val="auto"/>
                <w:highlight w:val="none"/>
                <w:lang w:val="en-US" w:eastAsia="zh-CN"/>
              </w:rPr>
              <w:t>50</w:t>
            </w:r>
            <w:r>
              <w:rPr>
                <w:rFonts w:hint="default" w:ascii="Times New Roman" w:hAnsi="Times New Roman" w:cs="Times New Roman"/>
                <w:color w:val="auto"/>
                <w:highlight w:val="none"/>
                <w:lang w:val="en-US" w:eastAsia="zh-CN"/>
              </w:rPr>
              <w:t>t/a（0.5t/d）</w:t>
            </w:r>
            <w:r>
              <w:rPr>
                <w:rFonts w:hint="eastAsia" w:cs="Times New Roman"/>
                <w:color w:val="auto"/>
                <w:highlight w:val="none"/>
                <w:lang w:val="en-US" w:eastAsia="zh-CN"/>
              </w:rPr>
              <w:t>，纯水清洗用水用量24</w:t>
            </w:r>
            <w:r>
              <w:rPr>
                <w:rFonts w:hint="default" w:ascii="Times New Roman" w:hAnsi="Times New Roman" w:cs="Times New Roman"/>
                <w:color w:val="auto"/>
                <w:highlight w:val="none"/>
                <w:lang w:val="en-US" w:eastAsia="zh-CN"/>
              </w:rPr>
              <w:t>t/a（0.</w:t>
            </w:r>
            <w:r>
              <w:rPr>
                <w:rFonts w:hint="eastAsia" w:cs="Times New Roman"/>
                <w:color w:val="auto"/>
                <w:highlight w:val="none"/>
                <w:lang w:val="en-US" w:eastAsia="zh-CN"/>
              </w:rPr>
              <w:t>08</w:t>
            </w:r>
            <w:r>
              <w:rPr>
                <w:rFonts w:hint="default" w:ascii="Times New Roman" w:hAnsi="Times New Roman" w:cs="Times New Roman"/>
                <w:color w:val="auto"/>
                <w:highlight w:val="none"/>
                <w:lang w:val="en-US" w:eastAsia="zh-CN"/>
              </w:rPr>
              <w:t>t/d）。实验器皿</w:t>
            </w:r>
            <w:r>
              <w:rPr>
                <w:rFonts w:hint="eastAsia" w:cs="Times New Roman"/>
                <w:color w:val="auto"/>
                <w:highlight w:val="none"/>
                <w:lang w:val="en-US" w:eastAsia="zh-CN"/>
              </w:rPr>
              <w:t>清</w:t>
            </w:r>
            <w:r>
              <w:rPr>
                <w:rFonts w:hint="default" w:ascii="Times New Roman" w:hAnsi="Times New Roman" w:cs="Times New Roman"/>
                <w:color w:val="auto"/>
                <w:highlight w:val="none"/>
                <w:lang w:val="en-US" w:eastAsia="zh-CN"/>
              </w:rPr>
              <w:t>洗</w:t>
            </w:r>
            <w:r>
              <w:rPr>
                <w:rFonts w:hint="default" w:ascii="Times New Roman" w:hAnsi="Times New Roman" w:eastAsia="宋体" w:cs="Times New Roman"/>
                <w:color w:val="auto"/>
                <w:highlight w:val="none"/>
                <w:lang w:val="en-US" w:eastAsia="zh-CN"/>
              </w:rPr>
              <w:t>废水</w:t>
            </w:r>
            <w:r>
              <w:rPr>
                <w:rFonts w:hint="eastAsia" w:cs="Times New Roman"/>
                <w:color w:val="auto"/>
                <w:highlight w:val="none"/>
                <w:lang w:val="en-US" w:eastAsia="zh-CN"/>
              </w:rPr>
              <w:t>进入</w:t>
            </w:r>
            <w:r>
              <w:rPr>
                <w:rFonts w:hint="default" w:ascii="Times New Roman" w:hAnsi="Times New Roman" w:eastAsia="宋体" w:cs="Times New Roman"/>
                <w:color w:val="auto"/>
                <w:highlight w:val="none"/>
                <w:lang w:val="en-US" w:eastAsia="zh-CN"/>
              </w:rPr>
              <w:t>废水处理设施处理后排入市政污水管网，</w:t>
            </w:r>
            <w:r>
              <w:rPr>
                <w:rFonts w:hint="eastAsia"/>
                <w:color w:val="auto"/>
                <w:kern w:val="0"/>
                <w:szCs w:val="21"/>
              </w:rPr>
              <w:t>送往</w:t>
            </w:r>
            <w:r>
              <w:rPr>
                <w:rFonts w:hint="eastAsia" w:cs="Times New Roman"/>
                <w:color w:val="auto"/>
                <w:highlight w:val="none"/>
                <w:lang w:val="en-US" w:eastAsia="zh-CN"/>
              </w:rPr>
              <w:t>福清市融元污水处理厂</w:t>
            </w:r>
            <w:r>
              <w:rPr>
                <w:rFonts w:hint="default" w:ascii="Times New Roman" w:hAnsi="Times New Roman" w:eastAsia="宋体" w:cs="Times New Roman"/>
                <w:color w:val="auto"/>
                <w:highlight w:val="none"/>
                <w:lang w:val="en-US" w:eastAsia="zh-CN"/>
              </w:rPr>
              <w:t>集中处理。</w:t>
            </w:r>
          </w:p>
          <w:p w14:paraId="429CF9CD">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⑤喷淋塔用水</w:t>
            </w:r>
          </w:p>
          <w:p w14:paraId="41C85302">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项目部分实验过程产生的酸性废气，采用小型碱液喷淋塔进行处理，废气喷淋塔水箱容积约为1m³，循环使用，每日补充损耗按5%计，循环一年后更换一次，更换的废液作为危废进行处理，则喷淋塔用水量约为15t/a（平均0.05t/d）。</w:t>
            </w:r>
          </w:p>
          <w:p w14:paraId="46EB071F">
            <w:pPr>
              <w:pStyle w:val="36"/>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157" w:afterLines="50" w:afterAutospacing="0" w:line="240" w:lineRule="auto"/>
              <w:ind w:left="0" w:leftChars="0" w:right="0" w:firstLine="0" w:firstLineChars="0"/>
              <w:textAlignment w:val="auto"/>
              <w:rPr>
                <w:rFonts w:hint="default" w:ascii="Times New Roman" w:hAnsi="Times New Roman" w:cs="Times New Roman"/>
                <w:color w:val="auto"/>
                <w:highlight w:val="none"/>
                <w:u w:val="none"/>
                <w:lang w:val="en-US" w:eastAsia="zh-CN"/>
              </w:rPr>
            </w:pPr>
            <w:r>
              <w:rPr>
                <w:rFonts w:hint="default" w:ascii="Times New Roman" w:hAnsi="Times New Roman" w:cs="Times New Roman"/>
                <w:color w:val="auto"/>
                <w:highlight w:val="none"/>
                <w:u w:val="none"/>
                <w:lang w:val="en-US" w:eastAsia="zh-CN"/>
              </w:rPr>
              <w:object>
                <v:shape id="_x0000_i1025" o:spt="75" type="#_x0000_t75" style="height:285.45pt;width:412.6pt;" o:ole="t" filled="f" o:preferrelative="t" stroked="f" coordsize="21600,21600">
                  <v:path/>
                  <v:fill on="f" focussize="0,0"/>
                  <v:stroke on="f"/>
                  <v:imagedata r:id="rId20" o:title=""/>
                  <o:lock v:ext="edit" aspectratio="f"/>
                  <w10:wrap type="none"/>
                  <w10:anchorlock/>
                </v:shape>
                <o:OLEObject Type="Embed" ProgID="Visio.Drawing.15" ShapeID="_x0000_i1025" DrawAspect="Content" ObjectID="_1468075725" r:id="rId19">
                  <o:LockedField>false</o:LockedField>
                </o:OLEObject>
              </w:object>
            </w:r>
          </w:p>
          <w:p w14:paraId="7E71BD75">
            <w:pPr>
              <w:pStyle w:val="38"/>
              <w:keepNext w:val="0"/>
              <w:keepLines w:val="0"/>
              <w:suppressLineNumbers w:val="0"/>
              <w:tabs>
                <w:tab w:val="left" w:pos="0"/>
                <w:tab w:val="clear" w:pos="420"/>
              </w:tabs>
              <w:bidi w:val="0"/>
              <w:spacing w:before="0" w:beforeAutospacing="0" w:after="0" w:afterAutospacing="0"/>
              <w:ind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项目水平衡图（t/d）</w:t>
            </w:r>
          </w:p>
          <w:p w14:paraId="639E1806">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p>
          <w:p w14:paraId="70F256D8">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p>
          <w:p w14:paraId="42DAFBBF">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color w:val="auto"/>
                <w:highlight w:val="none"/>
                <w:lang w:val="en-US" w:eastAsia="zh-CN"/>
              </w:rPr>
            </w:pPr>
          </w:p>
          <w:p w14:paraId="1F40DDC3">
            <w:pPr>
              <w:pStyle w:val="36"/>
              <w:keepNext w:val="0"/>
              <w:keepLines w:val="0"/>
              <w:suppressLineNumbers w:val="0"/>
              <w:bidi w:val="0"/>
              <w:spacing w:before="0" w:beforeAutospacing="0" w:after="0" w:afterAutospacing="0"/>
              <w:ind w:left="0" w:right="0"/>
              <w:rPr>
                <w:rFonts w:hint="default"/>
                <w:color w:val="auto"/>
                <w:highlight w:val="none"/>
                <w:lang w:val="en-US" w:eastAsia="zh-CN"/>
              </w:rPr>
            </w:pPr>
          </w:p>
        </w:tc>
      </w:tr>
      <w:tr w14:paraId="65956B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77" w:hRule="atLeast"/>
          <w:jc w:val="center"/>
        </w:trPr>
        <w:tc>
          <w:tcPr>
            <w:tcW w:w="589" w:type="dxa"/>
            <w:vAlign w:val="center"/>
          </w:tcPr>
          <w:p w14:paraId="5E1CF83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工艺流程和产排污环节</w:t>
            </w:r>
          </w:p>
        </w:tc>
        <w:tc>
          <w:tcPr>
            <w:tcW w:w="8471" w:type="dxa"/>
          </w:tcPr>
          <w:p w14:paraId="1689172B">
            <w:pPr>
              <w:pStyle w:val="5"/>
              <w:suppressLineNumbers w:val="0"/>
              <w:bidi w:val="0"/>
              <w:spacing w:beforeAutospacing="0" w:afterAutospacing="0"/>
              <w:ind w:right="0"/>
              <w:rPr>
                <w:rFonts w:hint="default" w:ascii="Times New Roman" w:hAnsi="Times New Roman" w:cs="Times New Roman"/>
                <w:color w:val="auto"/>
                <w:highlight w:val="none"/>
              </w:rPr>
            </w:pPr>
            <w:bookmarkStart w:id="44" w:name="_Toc2298"/>
            <w:bookmarkStart w:id="45" w:name="_Toc799"/>
            <w:bookmarkStart w:id="46" w:name="_Toc19480"/>
            <w:bookmarkStart w:id="47" w:name="_Toc30849"/>
            <w:r>
              <w:rPr>
                <w:rFonts w:hint="default" w:ascii="Times New Roman" w:hAnsi="Times New Roman" w:cs="Times New Roman"/>
                <w:color w:val="auto"/>
                <w:highlight w:val="none"/>
              </w:rPr>
              <w:t>主要工艺流程及产污环节</w:t>
            </w:r>
            <w:bookmarkEnd w:id="44"/>
            <w:bookmarkEnd w:id="45"/>
            <w:bookmarkEnd w:id="46"/>
            <w:bookmarkEnd w:id="47"/>
          </w:p>
          <w:p w14:paraId="59D4836F">
            <w:pPr>
              <w:pStyle w:val="6"/>
              <w:suppressLineNumbers w:val="0"/>
              <w:bidi w:val="0"/>
              <w:spacing w:beforeAutospacing="0" w:afterAutospacing="0"/>
              <w:ind w:right="0"/>
              <w:rPr>
                <w:rFonts w:hint="default" w:ascii="Times New Roman" w:hAnsi="Times New Roman" w:cs="Times New Roman"/>
                <w:color w:val="auto"/>
                <w:highlight w:val="none"/>
              </w:rPr>
            </w:pPr>
            <w:r>
              <w:rPr>
                <w:rFonts w:hint="default" w:ascii="Times New Roman" w:hAnsi="Times New Roman" w:cs="Times New Roman"/>
                <w:color w:val="auto"/>
                <w:highlight w:val="none"/>
              </w:rPr>
              <w:t>工艺流程及产污环节</w:t>
            </w:r>
          </w:p>
          <w:p w14:paraId="321A45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本项目主要从事水厂水样的检测，检测水质指标</w:t>
            </w:r>
            <w:r>
              <w:rPr>
                <w:rFonts w:hint="eastAsia" w:ascii="Times New Roman" w:hAnsi="Times New Roman" w:eastAsia="宋体" w:cs="Times New Roman"/>
                <w:color w:val="auto"/>
                <w:kern w:val="2"/>
                <w:sz w:val="24"/>
                <w:szCs w:val="24"/>
                <w:highlight w:val="none"/>
                <w:lang w:val="en-US" w:eastAsia="zh-CN" w:bidi="ar"/>
              </w:rPr>
              <w:t>见</w:t>
            </w:r>
            <w:r>
              <w:rPr>
                <w:rFonts w:hint="eastAsia" w:ascii="Times New Roman" w:hAnsi="Times New Roman" w:eastAsia="宋体" w:cs="Times New Roman"/>
                <w:color w:val="auto"/>
                <w:kern w:val="2"/>
                <w:sz w:val="24"/>
                <w:szCs w:val="24"/>
                <w:highlight w:val="none"/>
                <w:lang w:val="en-US" w:eastAsia="zh-CN" w:bidi="ar"/>
              </w:rPr>
              <w:fldChar w:fldCharType="begin"/>
            </w:r>
            <w:r>
              <w:rPr>
                <w:rFonts w:hint="eastAsia" w:ascii="Times New Roman" w:hAnsi="Times New Roman" w:eastAsia="宋体" w:cs="Times New Roman"/>
                <w:color w:val="auto"/>
                <w:kern w:val="2"/>
                <w:sz w:val="24"/>
                <w:szCs w:val="24"/>
                <w:highlight w:val="none"/>
                <w:lang w:val="en-US" w:eastAsia="zh-CN" w:bidi="ar"/>
              </w:rPr>
              <w:instrText xml:space="preserve"> REF _Ref23179 \r \h </w:instrText>
            </w:r>
            <w:r>
              <w:rPr>
                <w:rFonts w:hint="eastAsia" w:ascii="Times New Roman" w:hAnsi="Times New Roman" w:eastAsia="宋体" w:cs="Times New Roman"/>
                <w:color w:val="auto"/>
                <w:kern w:val="2"/>
                <w:sz w:val="24"/>
                <w:szCs w:val="24"/>
                <w:highlight w:val="none"/>
                <w:lang w:val="en-US" w:eastAsia="zh-CN" w:bidi="ar"/>
              </w:rPr>
              <w:fldChar w:fldCharType="separate"/>
            </w:r>
            <w:r>
              <w:rPr>
                <w:rFonts w:hint="eastAsia" w:ascii="Times New Roman" w:hAnsi="Times New Roman" w:eastAsia="宋体" w:cs="Times New Roman"/>
                <w:color w:val="auto"/>
                <w:kern w:val="2"/>
                <w:sz w:val="24"/>
                <w:szCs w:val="24"/>
                <w:highlight w:val="none"/>
                <w:lang w:val="en-US" w:eastAsia="zh-CN" w:bidi="ar"/>
              </w:rPr>
              <w:t>表2.5-1</w:t>
            </w:r>
            <w:r>
              <w:rPr>
                <w:rFonts w:hint="eastAsia" w:ascii="Times New Roman" w:hAnsi="Times New Roman" w:eastAsia="宋体" w:cs="Times New Roman"/>
                <w:color w:val="auto"/>
                <w:kern w:val="2"/>
                <w:sz w:val="24"/>
                <w:szCs w:val="24"/>
                <w:highlight w:val="none"/>
                <w:lang w:val="en-US" w:eastAsia="zh-CN" w:bidi="ar"/>
              </w:rPr>
              <w:fldChar w:fldCharType="end"/>
            </w:r>
            <w:r>
              <w:rPr>
                <w:rFonts w:hint="eastAsia" w:ascii="Times New Roman" w:hAnsi="Times New Roman" w:eastAsia="宋体"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检测水质指标一览表其工艺流程详见下</w:t>
            </w: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REF _Ref5897 \n \h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Fonts w:hint="default" w:ascii="Times New Roman" w:hAnsi="Times New Roman" w:eastAsia="宋体" w:cs="Times New Roman"/>
                <w:color w:val="auto"/>
                <w:kern w:val="2"/>
                <w:sz w:val="24"/>
                <w:szCs w:val="24"/>
                <w:highlight w:val="none"/>
                <w:lang w:val="en-US" w:eastAsia="zh-CN" w:bidi="ar"/>
              </w:rPr>
              <w:t>图2.5-1</w:t>
            </w:r>
            <w:r>
              <w:rPr>
                <w:rFonts w:hint="default" w:ascii="Times New Roman" w:hAnsi="Times New Roman" w:eastAsia="宋体" w:cs="Times New Roman"/>
                <w:color w:val="auto"/>
                <w:kern w:val="2"/>
                <w:sz w:val="24"/>
                <w:szCs w:val="24"/>
                <w:highlight w:val="none"/>
                <w:lang w:val="en-US" w:eastAsia="zh-CN" w:bidi="ar"/>
              </w:rPr>
              <w:fldChar w:fldCharType="end"/>
            </w:r>
            <w:r>
              <w:rPr>
                <w:rFonts w:hint="default" w:ascii="Times New Roman" w:hAnsi="Times New Roman" w:eastAsia="宋体" w:cs="Times New Roman"/>
                <w:color w:val="auto"/>
                <w:kern w:val="2"/>
                <w:sz w:val="24"/>
                <w:szCs w:val="24"/>
                <w:highlight w:val="none"/>
                <w:lang w:val="en-US" w:eastAsia="zh-CN" w:bidi="ar"/>
              </w:rPr>
              <w:t>。其纯水制备流程见</w:t>
            </w:r>
            <w:r>
              <w:rPr>
                <w:rFonts w:hint="default" w:ascii="Times New Roman" w:hAnsi="Times New Roman" w:eastAsia="宋体" w:cs="Times New Roman"/>
                <w:color w:val="auto"/>
                <w:kern w:val="2"/>
                <w:sz w:val="24"/>
                <w:szCs w:val="24"/>
                <w:highlight w:val="none"/>
                <w:lang w:val="en-US" w:eastAsia="zh-CN" w:bidi="ar"/>
              </w:rPr>
              <w:fldChar w:fldCharType="begin"/>
            </w:r>
            <w:r>
              <w:rPr>
                <w:rFonts w:hint="default" w:ascii="Times New Roman" w:hAnsi="Times New Roman" w:eastAsia="宋体" w:cs="Times New Roman"/>
                <w:color w:val="auto"/>
                <w:kern w:val="2"/>
                <w:sz w:val="24"/>
                <w:szCs w:val="24"/>
                <w:highlight w:val="none"/>
                <w:lang w:val="en-US" w:eastAsia="zh-CN" w:bidi="ar"/>
              </w:rPr>
              <w:instrText xml:space="preserve"> REF _Ref3254 \r \h </w:instrText>
            </w:r>
            <w:r>
              <w:rPr>
                <w:rFonts w:hint="default" w:ascii="Times New Roman" w:hAnsi="Times New Roman" w:eastAsia="宋体" w:cs="Times New Roman"/>
                <w:color w:val="auto"/>
                <w:kern w:val="2"/>
                <w:sz w:val="24"/>
                <w:szCs w:val="24"/>
                <w:highlight w:val="none"/>
                <w:lang w:val="en-US" w:eastAsia="zh-CN" w:bidi="ar"/>
              </w:rPr>
              <w:fldChar w:fldCharType="separate"/>
            </w:r>
            <w:r>
              <w:rPr>
                <w:rFonts w:hint="default" w:ascii="Times New Roman" w:hAnsi="Times New Roman" w:eastAsia="宋体" w:cs="Times New Roman"/>
                <w:color w:val="auto"/>
                <w:kern w:val="2"/>
                <w:sz w:val="24"/>
                <w:szCs w:val="24"/>
                <w:highlight w:val="none"/>
                <w:lang w:val="en-US" w:eastAsia="zh-CN" w:bidi="ar"/>
              </w:rPr>
              <w:t>图2.5-2</w:t>
            </w:r>
            <w:r>
              <w:rPr>
                <w:rFonts w:hint="default" w:ascii="Times New Roman" w:hAnsi="Times New Roman" w:eastAsia="宋体" w:cs="Times New Roman"/>
                <w:color w:val="auto"/>
                <w:kern w:val="2"/>
                <w:sz w:val="24"/>
                <w:szCs w:val="24"/>
                <w:highlight w:val="none"/>
                <w:lang w:val="en-US" w:eastAsia="zh-CN" w:bidi="ar"/>
              </w:rPr>
              <w:fldChar w:fldCharType="end"/>
            </w:r>
            <w:r>
              <w:rPr>
                <w:rFonts w:hint="default" w:ascii="Times New Roman" w:hAnsi="Times New Roman" w:eastAsia="宋体" w:cs="Times New Roman"/>
                <w:color w:val="auto"/>
                <w:kern w:val="2"/>
                <w:sz w:val="24"/>
                <w:szCs w:val="24"/>
                <w:highlight w:val="none"/>
                <w:lang w:val="en-US" w:eastAsia="zh-CN" w:bidi="ar"/>
              </w:rPr>
              <w:t>。</w:t>
            </w:r>
          </w:p>
          <w:p w14:paraId="1E4D197F">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rPr>
            </w:pPr>
            <w:bookmarkStart w:id="48" w:name="_Ref23179"/>
            <w:r>
              <w:rPr>
                <w:rFonts w:hint="default" w:ascii="Times New Roman" w:hAnsi="Times New Roman" w:cs="Times New Roman"/>
                <w:color w:val="auto"/>
                <w:highlight w:val="none"/>
                <w:lang w:val="en-US" w:eastAsia="zh-CN"/>
              </w:rPr>
              <w:t>检测水质指标一览表</w:t>
            </w:r>
            <w:bookmarkEnd w:id="48"/>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2"/>
              <w:gridCol w:w="670"/>
              <w:gridCol w:w="1165"/>
              <w:gridCol w:w="1062"/>
              <w:gridCol w:w="4916"/>
            </w:tblGrid>
            <w:tr w14:paraId="3F35FA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67" w:type="pct"/>
                  <w:noWrap w:val="0"/>
                  <w:tcMar>
                    <w:top w:w="0" w:type="dxa"/>
                    <w:left w:w="51" w:type="dxa"/>
                    <w:bottom w:w="0" w:type="dxa"/>
                    <w:right w:w="51" w:type="dxa"/>
                  </w:tcMar>
                  <w:vAlign w:val="center"/>
                </w:tcPr>
                <w:p w14:paraId="2C73EB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序号</w:t>
                  </w:r>
                </w:p>
              </w:tc>
              <w:tc>
                <w:tcPr>
                  <w:tcW w:w="405" w:type="pct"/>
                  <w:noWrap w:val="0"/>
                  <w:vAlign w:val="center"/>
                </w:tcPr>
                <w:p w14:paraId="1FD771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指标</w:t>
                  </w:r>
                </w:p>
              </w:tc>
              <w:tc>
                <w:tcPr>
                  <w:tcW w:w="1348" w:type="pct"/>
                  <w:gridSpan w:val="2"/>
                  <w:noWrap w:val="0"/>
                  <w:vAlign w:val="center"/>
                </w:tcPr>
                <w:p w14:paraId="1A131E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标准来源</w:t>
                  </w:r>
                </w:p>
              </w:tc>
              <w:tc>
                <w:tcPr>
                  <w:tcW w:w="2977" w:type="pct"/>
                  <w:noWrap w:val="0"/>
                  <w:vAlign w:val="center"/>
                </w:tcPr>
                <w:p w14:paraId="4959A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检测因子</w:t>
                  </w:r>
                </w:p>
              </w:tc>
            </w:tr>
            <w:tr w14:paraId="74BD6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7" w:type="pct"/>
                  <w:vMerge w:val="restart"/>
                  <w:noWrap w:val="0"/>
                  <w:tcMar>
                    <w:top w:w="0" w:type="dxa"/>
                    <w:left w:w="51" w:type="dxa"/>
                    <w:bottom w:w="0" w:type="dxa"/>
                    <w:right w:w="51" w:type="dxa"/>
                  </w:tcMar>
                  <w:vAlign w:val="center"/>
                </w:tcPr>
                <w:p w14:paraId="2D05C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1</w:t>
                  </w:r>
                </w:p>
              </w:tc>
              <w:tc>
                <w:tcPr>
                  <w:tcW w:w="405" w:type="pct"/>
                  <w:vMerge w:val="restart"/>
                  <w:noWrap w:val="0"/>
                  <w:vAlign w:val="center"/>
                </w:tcPr>
                <w:p w14:paraId="3F6A5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微生物指标</w:t>
                  </w:r>
                </w:p>
              </w:tc>
              <w:tc>
                <w:tcPr>
                  <w:tcW w:w="705" w:type="pct"/>
                  <w:vMerge w:val="restart"/>
                  <w:noWrap w:val="0"/>
                  <w:tcMar>
                    <w:top w:w="0" w:type="dxa"/>
                    <w:left w:w="51" w:type="dxa"/>
                    <w:bottom w:w="0" w:type="dxa"/>
                    <w:right w:w="51" w:type="dxa"/>
                  </w:tcMar>
                  <w:vAlign w:val="center"/>
                </w:tcPr>
                <w:p w14:paraId="37E9C7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《生活饮用水卫生标准》（GB 5749-2022）</w:t>
                  </w:r>
                </w:p>
              </w:tc>
              <w:tc>
                <w:tcPr>
                  <w:tcW w:w="643" w:type="pct"/>
                  <w:noWrap w:val="0"/>
                  <w:tcMar>
                    <w:top w:w="0" w:type="dxa"/>
                    <w:left w:w="51" w:type="dxa"/>
                    <w:bottom w:w="0" w:type="dxa"/>
                    <w:right w:w="51" w:type="dxa"/>
                  </w:tcMar>
                  <w:vAlign w:val="center"/>
                </w:tcPr>
                <w:p w14:paraId="2621DE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常规指标</w:t>
                  </w:r>
                </w:p>
              </w:tc>
              <w:tc>
                <w:tcPr>
                  <w:tcW w:w="2977" w:type="pct"/>
                  <w:noWrap w:val="0"/>
                  <w:vAlign w:val="center"/>
                </w:tcPr>
                <w:p w14:paraId="475B23C7">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总大肠菌群</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大肠埃希氏菌</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菌落总数</w:t>
                  </w:r>
                </w:p>
              </w:tc>
            </w:tr>
            <w:tr w14:paraId="54F55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7" w:type="pct"/>
                  <w:vMerge w:val="continue"/>
                  <w:noWrap w:val="0"/>
                  <w:tcMar>
                    <w:top w:w="0" w:type="dxa"/>
                    <w:left w:w="51" w:type="dxa"/>
                    <w:bottom w:w="0" w:type="dxa"/>
                    <w:right w:w="51" w:type="dxa"/>
                  </w:tcMar>
                  <w:vAlign w:val="center"/>
                </w:tcPr>
                <w:p w14:paraId="4ED5BC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lang w:val="en-US" w:eastAsia="zh-CN"/>
                    </w:rPr>
                  </w:pPr>
                </w:p>
              </w:tc>
              <w:tc>
                <w:tcPr>
                  <w:tcW w:w="405" w:type="pct"/>
                  <w:vMerge w:val="continue"/>
                  <w:noWrap w:val="0"/>
                  <w:vAlign w:val="center"/>
                </w:tcPr>
                <w:p w14:paraId="03B384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p>
              </w:tc>
              <w:tc>
                <w:tcPr>
                  <w:tcW w:w="705" w:type="pct"/>
                  <w:vMerge w:val="continue"/>
                  <w:noWrap w:val="0"/>
                  <w:tcMar>
                    <w:top w:w="0" w:type="dxa"/>
                    <w:left w:w="51" w:type="dxa"/>
                    <w:bottom w:w="0" w:type="dxa"/>
                    <w:right w:w="51" w:type="dxa"/>
                  </w:tcMar>
                  <w:vAlign w:val="center"/>
                </w:tcPr>
                <w:p w14:paraId="6344DB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p>
              </w:tc>
              <w:tc>
                <w:tcPr>
                  <w:tcW w:w="643" w:type="pct"/>
                  <w:noWrap w:val="0"/>
                  <w:tcMar>
                    <w:top w:w="0" w:type="dxa"/>
                    <w:left w:w="51" w:type="dxa"/>
                    <w:bottom w:w="0" w:type="dxa"/>
                    <w:right w:w="51" w:type="dxa"/>
                  </w:tcMar>
                  <w:vAlign w:val="center"/>
                </w:tcPr>
                <w:p w14:paraId="41A3DC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水消毒剂常规指标</w:t>
                  </w:r>
                </w:p>
              </w:tc>
              <w:tc>
                <w:tcPr>
                  <w:tcW w:w="2977" w:type="pct"/>
                  <w:noWrap w:val="0"/>
                  <w:vAlign w:val="center"/>
                </w:tcPr>
                <w:p w14:paraId="5E971C50">
                  <w:pPr>
                    <w:keepNext w:val="0"/>
                    <w:keepLines w:val="0"/>
                    <w:suppressLineNumbers w:val="0"/>
                    <w:spacing w:before="0" w:beforeAutospacing="0" w:after="0" w:afterAutospacing="0"/>
                    <w:ind w:left="0" w:right="0"/>
                    <w:jc w:val="both"/>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游离氯</w:t>
                  </w:r>
                  <w:r>
                    <w:rPr>
                      <w:rFonts w:hint="eastAsia"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总氯</w:t>
                  </w:r>
                  <w:r>
                    <w:rPr>
                      <w:rFonts w:hint="eastAsia" w:cs="Times New Roman"/>
                      <w:b/>
                      <w:bCs/>
                      <w:color w:val="auto"/>
                      <w:sz w:val="21"/>
                      <w:szCs w:val="21"/>
                      <w:highlight w:val="none"/>
                      <w:lang w:val="en-US" w:eastAsia="zh-CN"/>
                    </w:rPr>
                    <w:t>、</w:t>
                  </w:r>
                  <w:r>
                    <w:rPr>
                      <w:rFonts w:hint="default" w:ascii="Times New Roman" w:hAnsi="Times New Roman" w:eastAsia="宋体" w:cs="Times New Roman"/>
                      <w:b w:val="0"/>
                      <w:bCs w:val="0"/>
                      <w:color w:val="auto"/>
                      <w:sz w:val="21"/>
                      <w:szCs w:val="21"/>
                      <w:highlight w:val="none"/>
                      <w:lang w:val="en-US" w:eastAsia="zh-CN"/>
                    </w:rPr>
                    <w:t>臭氧</w:t>
                  </w:r>
                  <w:r>
                    <w:rPr>
                      <w:rFonts w:hint="eastAsia" w:cs="Times New Roman"/>
                      <w:b w:val="0"/>
                      <w:bCs w:val="0"/>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lang w:val="en-US" w:eastAsia="zh-CN"/>
                    </w:rPr>
                    <w:t>二氧化氯</w:t>
                  </w:r>
                </w:p>
              </w:tc>
            </w:tr>
            <w:tr w14:paraId="68263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267" w:type="pct"/>
                  <w:vMerge w:val="continue"/>
                  <w:noWrap w:val="0"/>
                  <w:tcMar>
                    <w:top w:w="0" w:type="dxa"/>
                    <w:left w:w="51" w:type="dxa"/>
                    <w:bottom w:w="0" w:type="dxa"/>
                    <w:right w:w="51" w:type="dxa"/>
                  </w:tcMar>
                  <w:vAlign w:val="center"/>
                </w:tcPr>
                <w:p w14:paraId="6A479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cs="Times New Roman"/>
                      <w:b w:val="0"/>
                      <w:bCs w:val="0"/>
                      <w:color w:val="auto"/>
                      <w:sz w:val="21"/>
                      <w:szCs w:val="21"/>
                      <w:highlight w:val="none"/>
                      <w:lang w:val="en-US" w:eastAsia="zh-CN"/>
                    </w:rPr>
                  </w:pPr>
                </w:p>
              </w:tc>
              <w:tc>
                <w:tcPr>
                  <w:tcW w:w="405" w:type="pct"/>
                  <w:vMerge w:val="continue"/>
                  <w:noWrap w:val="0"/>
                  <w:vAlign w:val="center"/>
                </w:tcPr>
                <w:p w14:paraId="30D2FC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p>
              </w:tc>
              <w:tc>
                <w:tcPr>
                  <w:tcW w:w="705" w:type="pct"/>
                  <w:vMerge w:val="continue"/>
                  <w:noWrap w:val="0"/>
                  <w:tcMar>
                    <w:top w:w="0" w:type="dxa"/>
                    <w:left w:w="51" w:type="dxa"/>
                    <w:bottom w:w="0" w:type="dxa"/>
                    <w:right w:w="51" w:type="dxa"/>
                  </w:tcMar>
                  <w:vAlign w:val="center"/>
                </w:tcPr>
                <w:p w14:paraId="2CF9CF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p>
              </w:tc>
              <w:tc>
                <w:tcPr>
                  <w:tcW w:w="643" w:type="pct"/>
                  <w:noWrap w:val="0"/>
                  <w:tcMar>
                    <w:top w:w="0" w:type="dxa"/>
                    <w:left w:w="51" w:type="dxa"/>
                    <w:bottom w:w="0" w:type="dxa"/>
                    <w:right w:w="51" w:type="dxa"/>
                  </w:tcMar>
                  <w:vAlign w:val="center"/>
                </w:tcPr>
                <w:p w14:paraId="3B18B7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扩展指标</w:t>
                  </w:r>
                </w:p>
              </w:tc>
              <w:tc>
                <w:tcPr>
                  <w:tcW w:w="2977" w:type="pct"/>
                  <w:noWrap w:val="0"/>
                  <w:vAlign w:val="center"/>
                </w:tcPr>
                <w:p w14:paraId="1D1594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cs="Times New Roman"/>
                      <w:b w:val="0"/>
                      <w:bCs w:val="0"/>
                      <w:color w:val="auto"/>
                      <w:sz w:val="21"/>
                      <w:szCs w:val="21"/>
                      <w:highlight w:val="none"/>
                      <w:lang w:val="en-US" w:eastAsia="zh-CN"/>
                    </w:rPr>
                  </w:pPr>
                  <w:r>
                    <w:rPr>
                      <w:rFonts w:hint="default" w:cs="Times New Roman"/>
                      <w:b w:val="0"/>
                      <w:bCs w:val="0"/>
                      <w:color w:val="auto"/>
                      <w:sz w:val="21"/>
                      <w:szCs w:val="21"/>
                      <w:highlight w:val="none"/>
                      <w:lang w:val="en-US" w:eastAsia="zh-CN"/>
                    </w:rPr>
                    <w:t>贾第鞭毛虫</w:t>
                  </w:r>
                  <w:r>
                    <w:rPr>
                      <w:rFonts w:hint="eastAsia" w:cs="Times New Roman"/>
                      <w:b w:val="0"/>
                      <w:bCs w:val="0"/>
                      <w:color w:val="auto"/>
                      <w:sz w:val="21"/>
                      <w:szCs w:val="21"/>
                      <w:highlight w:val="none"/>
                      <w:lang w:val="en-US" w:eastAsia="zh-CN"/>
                    </w:rPr>
                    <w:t>、</w:t>
                  </w:r>
                  <w:r>
                    <w:rPr>
                      <w:rFonts w:hint="default" w:cs="Times New Roman"/>
                      <w:b/>
                      <w:bCs/>
                      <w:color w:val="auto"/>
                      <w:sz w:val="21"/>
                      <w:szCs w:val="21"/>
                      <w:highlight w:val="none"/>
                      <w:lang w:val="en-US" w:eastAsia="zh-CN"/>
                    </w:rPr>
                    <w:t>隐孢子虫</w:t>
                  </w:r>
                </w:p>
              </w:tc>
            </w:tr>
            <w:tr w14:paraId="35A5BC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67" w:type="pct"/>
                  <w:vMerge w:val="continue"/>
                  <w:noWrap w:val="0"/>
                  <w:vAlign w:val="center"/>
                </w:tcPr>
                <w:p w14:paraId="2C450E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rPr>
                  </w:pPr>
                </w:p>
              </w:tc>
              <w:tc>
                <w:tcPr>
                  <w:tcW w:w="405" w:type="pct"/>
                  <w:vMerge w:val="continue"/>
                  <w:noWrap w:val="0"/>
                  <w:vAlign w:val="center"/>
                </w:tcPr>
                <w:p w14:paraId="21CA4A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705" w:type="pct"/>
                  <w:vMerge w:val="restart"/>
                  <w:noWrap w:val="0"/>
                  <w:tcMar>
                    <w:top w:w="0" w:type="dxa"/>
                    <w:left w:w="51" w:type="dxa"/>
                    <w:bottom w:w="0" w:type="dxa"/>
                    <w:right w:w="51" w:type="dxa"/>
                  </w:tcMar>
                  <w:vAlign w:val="center"/>
                </w:tcPr>
                <w:p w14:paraId="5D573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color w:val="auto"/>
                      <w:highlight w:val="none"/>
                      <w:lang w:val="en-US" w:eastAsia="zh-CN"/>
                    </w:rPr>
                    <w:t>《城市供水水质标准》（CJ/T 206-2005）</w:t>
                  </w:r>
                </w:p>
              </w:tc>
              <w:tc>
                <w:tcPr>
                  <w:tcW w:w="643" w:type="pct"/>
                  <w:noWrap w:val="0"/>
                  <w:tcMar>
                    <w:top w:w="0" w:type="dxa"/>
                    <w:left w:w="51" w:type="dxa"/>
                    <w:bottom w:w="0" w:type="dxa"/>
                    <w:right w:w="51" w:type="dxa"/>
                  </w:tcMar>
                  <w:vAlign w:val="center"/>
                </w:tcPr>
                <w:p w14:paraId="3C1D78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eastAsia" w:cs="Times New Roman"/>
                      <w:b w:val="0"/>
                      <w:bCs w:val="0"/>
                      <w:color w:val="auto"/>
                      <w:sz w:val="21"/>
                      <w:szCs w:val="21"/>
                      <w:highlight w:val="none"/>
                      <w:lang w:val="en-US" w:eastAsia="zh-CN"/>
                    </w:rPr>
                    <w:t>常规指标</w:t>
                  </w:r>
                </w:p>
              </w:tc>
              <w:tc>
                <w:tcPr>
                  <w:tcW w:w="2977" w:type="pct"/>
                  <w:noWrap w:val="0"/>
                  <w:vAlign w:val="center"/>
                </w:tcPr>
                <w:p w14:paraId="56038F35">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细菌总数</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总大肠菌群</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耐热大肠菌群</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余氯</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加氯消毒时测定</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二氧化氯</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使用二氧化氯消毒时测定</w:t>
                  </w:r>
                  <w:r>
                    <w:rPr>
                      <w:rFonts w:hint="eastAsia" w:cs="Times New Roman"/>
                      <w:b/>
                      <w:bCs/>
                      <w:color w:val="auto"/>
                      <w:sz w:val="21"/>
                      <w:szCs w:val="21"/>
                      <w:highlight w:val="none"/>
                      <w:lang w:val="en-US" w:eastAsia="zh-CN"/>
                    </w:rPr>
                    <w:t>）</w:t>
                  </w:r>
                </w:p>
              </w:tc>
            </w:tr>
            <w:tr w14:paraId="2FD0D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67" w:type="pct"/>
                  <w:vMerge w:val="continue"/>
                  <w:noWrap w:val="0"/>
                  <w:vAlign w:val="center"/>
                </w:tcPr>
                <w:p w14:paraId="63B7B2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405" w:type="pct"/>
                  <w:vMerge w:val="continue"/>
                  <w:noWrap w:val="0"/>
                  <w:vAlign w:val="center"/>
                </w:tcPr>
                <w:p w14:paraId="190964F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705" w:type="pct"/>
                  <w:vMerge w:val="continue"/>
                  <w:noWrap w:val="0"/>
                  <w:tcMar>
                    <w:top w:w="0" w:type="dxa"/>
                    <w:left w:w="51" w:type="dxa"/>
                    <w:bottom w:w="0" w:type="dxa"/>
                    <w:right w:w="51" w:type="dxa"/>
                  </w:tcMar>
                  <w:vAlign w:val="center"/>
                </w:tcPr>
                <w:p w14:paraId="52BF45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643" w:type="pct"/>
                  <w:noWrap w:val="0"/>
                  <w:tcMar>
                    <w:top w:w="0" w:type="dxa"/>
                    <w:left w:w="51" w:type="dxa"/>
                    <w:bottom w:w="0" w:type="dxa"/>
                    <w:right w:w="51" w:type="dxa"/>
                  </w:tcMar>
                  <w:vAlign w:val="center"/>
                </w:tcPr>
                <w:p w14:paraId="193330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r>
                    <w:rPr>
                      <w:rFonts w:hint="eastAsia"/>
                      <w:color w:val="auto"/>
                      <w:highlight w:val="none"/>
                    </w:rPr>
                    <w:t>非常规</w:t>
                  </w:r>
                  <w:r>
                    <w:rPr>
                      <w:rFonts w:hint="default" w:ascii="Times New Roman" w:hAnsi="Times New Roman" w:cs="Times New Roman"/>
                      <w:b w:val="0"/>
                      <w:bCs w:val="0"/>
                      <w:color w:val="auto"/>
                      <w:sz w:val="21"/>
                      <w:szCs w:val="21"/>
                      <w:highlight w:val="none"/>
                      <w:lang w:val="en-US" w:eastAsia="zh-CN"/>
                    </w:rPr>
                    <w:t>指标</w:t>
                  </w:r>
                </w:p>
              </w:tc>
              <w:tc>
                <w:tcPr>
                  <w:tcW w:w="2977" w:type="pct"/>
                  <w:noWrap w:val="0"/>
                  <w:vAlign w:val="center"/>
                </w:tcPr>
                <w:p w14:paraId="790DF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color w:val="auto"/>
                      <w:highlight w:val="none"/>
                    </w:rPr>
                  </w:pPr>
                  <w:r>
                    <w:rPr>
                      <w:rFonts w:hint="eastAsia"/>
                      <w:color w:val="auto"/>
                      <w:highlight w:val="none"/>
                    </w:rPr>
                    <w:t>粪型链球菌群</w:t>
                  </w:r>
                  <w:r>
                    <w:rPr>
                      <w:rFonts w:hint="eastAsia"/>
                      <w:color w:val="auto"/>
                      <w:highlight w:val="none"/>
                      <w:lang w:eastAsia="zh-CN"/>
                    </w:rPr>
                    <w:t>、</w:t>
                  </w:r>
                  <w:r>
                    <w:rPr>
                      <w:rFonts w:hint="eastAsia"/>
                      <w:color w:val="auto"/>
                      <w:highlight w:val="none"/>
                    </w:rPr>
                    <w:t>蓝氏贾第鞭毛虫</w:t>
                  </w:r>
                  <w:r>
                    <w:rPr>
                      <w:rFonts w:hint="eastAsia"/>
                      <w:color w:val="auto"/>
                      <w:highlight w:val="none"/>
                      <w:lang w:eastAsia="zh-CN"/>
                    </w:rPr>
                    <w:t>、</w:t>
                  </w:r>
                  <w:r>
                    <w:rPr>
                      <w:rFonts w:hint="eastAsia"/>
                      <w:b/>
                      <w:bCs/>
                      <w:color w:val="auto"/>
                      <w:highlight w:val="none"/>
                    </w:rPr>
                    <w:t>隐孢子虫</w:t>
                  </w:r>
                </w:p>
              </w:tc>
            </w:tr>
            <w:tr w14:paraId="2F9DEC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7" w:hRule="atLeast"/>
              </w:trPr>
              <w:tc>
                <w:tcPr>
                  <w:tcW w:w="267" w:type="pct"/>
                  <w:vMerge w:val="restart"/>
                  <w:noWrap w:val="0"/>
                  <w:vAlign w:val="center"/>
                </w:tcPr>
                <w:p w14:paraId="20410D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2</w:t>
                  </w:r>
                </w:p>
              </w:tc>
              <w:tc>
                <w:tcPr>
                  <w:tcW w:w="405" w:type="pct"/>
                  <w:vMerge w:val="restart"/>
                  <w:noWrap w:val="0"/>
                  <w:vAlign w:val="center"/>
                </w:tcPr>
                <w:p w14:paraId="692C0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毒理指标</w:t>
                  </w:r>
                </w:p>
              </w:tc>
              <w:tc>
                <w:tcPr>
                  <w:tcW w:w="705" w:type="pct"/>
                  <w:vMerge w:val="restart"/>
                  <w:noWrap w:val="0"/>
                  <w:tcMar>
                    <w:top w:w="0" w:type="dxa"/>
                    <w:left w:w="51" w:type="dxa"/>
                    <w:bottom w:w="0" w:type="dxa"/>
                    <w:right w:w="51" w:type="dxa"/>
                  </w:tcMar>
                  <w:vAlign w:val="center"/>
                </w:tcPr>
                <w:p w14:paraId="082D01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b w:val="0"/>
                      <w:bCs w:val="0"/>
                      <w:color w:val="auto"/>
                      <w:sz w:val="21"/>
                      <w:szCs w:val="21"/>
                      <w:highlight w:val="none"/>
                      <w:lang w:val="en-US" w:eastAsia="zh-CN"/>
                    </w:rPr>
                    <w:t>《生活饮用水卫生标准》（GB 5749-2022）</w:t>
                  </w:r>
                </w:p>
              </w:tc>
              <w:tc>
                <w:tcPr>
                  <w:tcW w:w="643" w:type="pct"/>
                  <w:noWrap w:val="0"/>
                  <w:tcMar>
                    <w:top w:w="0" w:type="dxa"/>
                    <w:left w:w="51" w:type="dxa"/>
                    <w:bottom w:w="0" w:type="dxa"/>
                    <w:right w:w="51" w:type="dxa"/>
                  </w:tcMar>
                  <w:vAlign w:val="center"/>
                </w:tcPr>
                <w:p w14:paraId="298A0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常规指标</w:t>
                  </w:r>
                </w:p>
              </w:tc>
              <w:tc>
                <w:tcPr>
                  <w:tcW w:w="2977" w:type="pct"/>
                  <w:noWrap w:val="0"/>
                  <w:vAlign w:val="center"/>
                </w:tcPr>
                <w:p w14:paraId="52AF728C">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砷</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镉</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铬（六价）</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铅</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汞</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氰化物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氟化物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硝酸盐（以N计）</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三氯甲烷</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一氯二溴甲烷</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二氯一溴甲烷</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三溴甲烷</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三卤甲烷（三氯甲烷、一氯二溴甲烷、二氯一溴甲烷、三溴甲烷的总和）</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二氯乙酸</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三氯乙酸</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溴酸盐</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亚氯酸盐</w:t>
                  </w:r>
                  <w:r>
                    <w:rPr>
                      <w:rFonts w:hint="eastAsia" w:cs="Times New Roman"/>
                      <w:b/>
                      <w:bCs/>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氯酸盐</w:t>
                  </w:r>
                </w:p>
              </w:tc>
            </w:tr>
            <w:tr w14:paraId="1EB397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67" w:type="pct"/>
                  <w:vMerge w:val="continue"/>
                  <w:noWrap w:val="0"/>
                  <w:vAlign w:val="center"/>
                </w:tcPr>
                <w:p w14:paraId="6CA094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405" w:type="pct"/>
                  <w:vMerge w:val="continue"/>
                  <w:noWrap w:val="0"/>
                  <w:vAlign w:val="center"/>
                </w:tcPr>
                <w:p w14:paraId="140264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705" w:type="pct"/>
                  <w:vMerge w:val="continue"/>
                  <w:noWrap w:val="0"/>
                  <w:tcMar>
                    <w:top w:w="0" w:type="dxa"/>
                    <w:left w:w="51" w:type="dxa"/>
                    <w:bottom w:w="0" w:type="dxa"/>
                    <w:right w:w="51" w:type="dxa"/>
                  </w:tcMar>
                  <w:vAlign w:val="center"/>
                </w:tcPr>
                <w:p w14:paraId="27305F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643" w:type="pct"/>
                  <w:noWrap w:val="0"/>
                  <w:tcMar>
                    <w:top w:w="0" w:type="dxa"/>
                    <w:left w:w="51" w:type="dxa"/>
                    <w:bottom w:w="0" w:type="dxa"/>
                    <w:right w:w="51" w:type="dxa"/>
                  </w:tcMar>
                  <w:vAlign w:val="center"/>
                </w:tcPr>
                <w:p w14:paraId="74B8CD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r>
                    <w:rPr>
                      <w:rFonts w:hint="eastAsia" w:cs="Times New Roman"/>
                      <w:b w:val="0"/>
                      <w:bCs w:val="0"/>
                      <w:color w:val="auto"/>
                      <w:sz w:val="21"/>
                      <w:szCs w:val="21"/>
                      <w:highlight w:val="none"/>
                      <w:lang w:val="en-US" w:eastAsia="zh-CN"/>
                    </w:rPr>
                    <w:t>扩展指标</w:t>
                  </w:r>
                </w:p>
              </w:tc>
              <w:tc>
                <w:tcPr>
                  <w:tcW w:w="2977" w:type="pct"/>
                  <w:noWrap w:val="0"/>
                  <w:vAlign w:val="center"/>
                </w:tcPr>
                <w:p w14:paraId="19A9F1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highlight w:val="none"/>
                      <w:lang w:eastAsia="zh-CN"/>
                    </w:rPr>
                  </w:pPr>
                  <w:r>
                    <w:rPr>
                      <w:rFonts w:hint="eastAsia"/>
                      <w:b/>
                      <w:bCs/>
                      <w:color w:val="auto"/>
                      <w:highlight w:val="none"/>
                    </w:rPr>
                    <w:t>锑</w:t>
                  </w:r>
                  <w:r>
                    <w:rPr>
                      <w:rFonts w:hint="eastAsia"/>
                      <w:b/>
                      <w:bCs/>
                      <w:color w:val="auto"/>
                      <w:highlight w:val="none"/>
                      <w:lang w:eastAsia="zh-CN"/>
                    </w:rPr>
                    <w:t>、</w:t>
                  </w:r>
                  <w:r>
                    <w:rPr>
                      <w:rFonts w:hint="eastAsia"/>
                      <w:b/>
                      <w:bCs/>
                      <w:color w:val="auto"/>
                      <w:highlight w:val="none"/>
                    </w:rPr>
                    <w:t>钡</w:t>
                  </w:r>
                  <w:r>
                    <w:rPr>
                      <w:rFonts w:hint="eastAsia"/>
                      <w:b/>
                      <w:bCs/>
                      <w:color w:val="auto"/>
                      <w:highlight w:val="none"/>
                      <w:lang w:eastAsia="zh-CN"/>
                    </w:rPr>
                    <w:t>、</w:t>
                  </w:r>
                  <w:r>
                    <w:rPr>
                      <w:rFonts w:hint="eastAsia"/>
                      <w:b/>
                      <w:bCs/>
                      <w:color w:val="auto"/>
                      <w:highlight w:val="none"/>
                    </w:rPr>
                    <w:t>铍</w:t>
                  </w:r>
                  <w:r>
                    <w:rPr>
                      <w:rFonts w:hint="eastAsia"/>
                      <w:b/>
                      <w:bCs/>
                      <w:color w:val="auto"/>
                      <w:highlight w:val="none"/>
                      <w:lang w:eastAsia="zh-CN"/>
                    </w:rPr>
                    <w:t>、</w:t>
                  </w:r>
                  <w:r>
                    <w:rPr>
                      <w:rFonts w:hint="eastAsia"/>
                      <w:b/>
                      <w:bCs/>
                      <w:color w:val="auto"/>
                      <w:highlight w:val="none"/>
                    </w:rPr>
                    <w:t>硼</w:t>
                  </w:r>
                  <w:r>
                    <w:rPr>
                      <w:rFonts w:hint="eastAsia"/>
                      <w:b/>
                      <w:bCs/>
                      <w:color w:val="auto"/>
                      <w:highlight w:val="none"/>
                      <w:lang w:eastAsia="zh-CN"/>
                    </w:rPr>
                    <w:t>、</w:t>
                  </w:r>
                  <w:r>
                    <w:rPr>
                      <w:rFonts w:hint="eastAsia"/>
                      <w:b/>
                      <w:bCs/>
                      <w:color w:val="auto"/>
                      <w:highlight w:val="none"/>
                    </w:rPr>
                    <w:t>钼</w:t>
                  </w:r>
                  <w:r>
                    <w:rPr>
                      <w:rFonts w:hint="eastAsia"/>
                      <w:b/>
                      <w:bCs/>
                      <w:color w:val="auto"/>
                      <w:highlight w:val="none"/>
                      <w:lang w:eastAsia="zh-CN"/>
                    </w:rPr>
                    <w:t>、</w:t>
                  </w:r>
                  <w:r>
                    <w:rPr>
                      <w:rFonts w:hint="eastAsia"/>
                      <w:b/>
                      <w:bCs/>
                      <w:color w:val="auto"/>
                      <w:highlight w:val="none"/>
                    </w:rPr>
                    <w:t>镍</w:t>
                  </w:r>
                  <w:r>
                    <w:rPr>
                      <w:rFonts w:hint="eastAsia"/>
                      <w:b/>
                      <w:bCs/>
                      <w:color w:val="auto"/>
                      <w:highlight w:val="none"/>
                      <w:lang w:eastAsia="zh-CN"/>
                    </w:rPr>
                    <w:t>、</w:t>
                  </w:r>
                  <w:r>
                    <w:rPr>
                      <w:rFonts w:hint="eastAsia"/>
                      <w:b/>
                      <w:bCs/>
                      <w:color w:val="auto"/>
                      <w:highlight w:val="none"/>
                    </w:rPr>
                    <w:t>银</w:t>
                  </w:r>
                  <w:r>
                    <w:rPr>
                      <w:rFonts w:hint="eastAsia"/>
                      <w:b/>
                      <w:bCs/>
                      <w:color w:val="auto"/>
                      <w:highlight w:val="none"/>
                      <w:lang w:eastAsia="zh-CN"/>
                    </w:rPr>
                    <w:t>、</w:t>
                  </w:r>
                  <w:r>
                    <w:rPr>
                      <w:rFonts w:hint="eastAsia"/>
                      <w:b/>
                      <w:bCs/>
                      <w:color w:val="auto"/>
                      <w:highlight w:val="none"/>
                    </w:rPr>
                    <w:t>铊</w:t>
                  </w:r>
                  <w:r>
                    <w:rPr>
                      <w:rFonts w:hint="eastAsia"/>
                      <w:color w:val="auto"/>
                      <w:highlight w:val="none"/>
                      <w:lang w:eastAsia="zh-CN"/>
                    </w:rPr>
                    <w:t>、</w:t>
                  </w:r>
                  <w:r>
                    <w:rPr>
                      <w:rFonts w:hint="eastAsia"/>
                      <w:b/>
                      <w:bCs/>
                      <w:color w:val="auto"/>
                      <w:highlight w:val="none"/>
                    </w:rPr>
                    <w:t>硒</w:t>
                  </w:r>
                  <w:r>
                    <w:rPr>
                      <w:rFonts w:hint="eastAsia"/>
                      <w:color w:val="auto"/>
                      <w:highlight w:val="none"/>
                      <w:lang w:eastAsia="zh-CN"/>
                    </w:rPr>
                    <w:t>、</w:t>
                  </w:r>
                  <w:r>
                    <w:rPr>
                      <w:rFonts w:hint="eastAsia"/>
                      <w:color w:val="auto"/>
                      <w:highlight w:val="none"/>
                    </w:rPr>
                    <w:t>高氯酸盐</w:t>
                  </w:r>
                  <w:r>
                    <w:rPr>
                      <w:rFonts w:hint="eastAsia"/>
                      <w:color w:val="auto"/>
                      <w:highlight w:val="none"/>
                      <w:lang w:eastAsia="zh-CN"/>
                    </w:rPr>
                    <w:t>、</w:t>
                  </w:r>
                  <w:r>
                    <w:rPr>
                      <w:rFonts w:hint="eastAsia"/>
                      <w:b/>
                      <w:bCs/>
                      <w:color w:val="auto"/>
                      <w:highlight w:val="none"/>
                    </w:rPr>
                    <w:t>二氯甲烷</w:t>
                  </w:r>
                  <w:r>
                    <w:rPr>
                      <w:rFonts w:hint="eastAsia"/>
                      <w:b/>
                      <w:bCs/>
                      <w:color w:val="auto"/>
                      <w:highlight w:val="none"/>
                      <w:lang w:eastAsia="zh-CN"/>
                    </w:rPr>
                    <w:t>、</w:t>
                  </w:r>
                  <w:r>
                    <w:rPr>
                      <w:rFonts w:hint="eastAsia"/>
                      <w:b/>
                      <w:bCs/>
                      <w:color w:val="auto"/>
                      <w:highlight w:val="none"/>
                    </w:rPr>
                    <w:t>1,2-二氯乙烷</w:t>
                  </w:r>
                  <w:r>
                    <w:rPr>
                      <w:rFonts w:hint="eastAsia"/>
                      <w:b/>
                      <w:bCs/>
                      <w:color w:val="auto"/>
                      <w:highlight w:val="none"/>
                      <w:lang w:eastAsia="zh-CN"/>
                    </w:rPr>
                    <w:t>、</w:t>
                  </w:r>
                  <w:r>
                    <w:rPr>
                      <w:rFonts w:hint="eastAsia"/>
                      <w:color w:val="auto"/>
                      <w:highlight w:val="none"/>
                    </w:rPr>
                    <w:t>四氯化碳</w:t>
                  </w:r>
                  <w:r>
                    <w:rPr>
                      <w:rFonts w:hint="eastAsia"/>
                      <w:color w:val="auto"/>
                      <w:highlight w:val="none"/>
                      <w:lang w:eastAsia="zh-CN"/>
                    </w:rPr>
                    <w:t>、</w:t>
                  </w:r>
                  <w:r>
                    <w:rPr>
                      <w:rFonts w:hint="eastAsia"/>
                      <w:b/>
                      <w:bCs/>
                      <w:color w:val="auto"/>
                      <w:highlight w:val="none"/>
                    </w:rPr>
                    <w:t>氯乙烯</w:t>
                  </w:r>
                  <w:r>
                    <w:rPr>
                      <w:rFonts w:hint="eastAsia"/>
                      <w:b/>
                      <w:bCs/>
                      <w:color w:val="auto"/>
                      <w:highlight w:val="none"/>
                      <w:lang w:eastAsia="zh-CN"/>
                    </w:rPr>
                    <w:t>、</w:t>
                  </w:r>
                  <w:r>
                    <w:rPr>
                      <w:rFonts w:hint="eastAsia"/>
                      <w:b/>
                      <w:bCs/>
                      <w:color w:val="auto"/>
                      <w:highlight w:val="none"/>
                    </w:rPr>
                    <w:t>1,1-二氯乙烯</w:t>
                  </w:r>
                  <w:r>
                    <w:rPr>
                      <w:rFonts w:hint="eastAsia"/>
                      <w:b/>
                      <w:bCs/>
                      <w:color w:val="auto"/>
                      <w:highlight w:val="none"/>
                      <w:lang w:eastAsia="zh-CN"/>
                    </w:rPr>
                    <w:t>、</w:t>
                  </w:r>
                  <w:r>
                    <w:rPr>
                      <w:rFonts w:hint="eastAsia"/>
                      <w:b/>
                      <w:bCs/>
                      <w:color w:val="auto"/>
                      <w:highlight w:val="none"/>
                    </w:rPr>
                    <w:t>1,2-二氯乙烯（总量）</w:t>
                  </w:r>
                  <w:r>
                    <w:rPr>
                      <w:rFonts w:hint="eastAsia"/>
                      <w:b/>
                      <w:bCs/>
                      <w:color w:val="auto"/>
                      <w:highlight w:val="none"/>
                      <w:lang w:eastAsia="zh-CN"/>
                    </w:rPr>
                    <w:t>、</w:t>
                  </w:r>
                  <w:r>
                    <w:rPr>
                      <w:rFonts w:hint="eastAsia"/>
                      <w:b/>
                      <w:bCs/>
                      <w:color w:val="auto"/>
                      <w:highlight w:val="none"/>
                    </w:rPr>
                    <w:t>三氯乙烯</w:t>
                  </w:r>
                  <w:r>
                    <w:rPr>
                      <w:rFonts w:hint="eastAsia"/>
                      <w:b/>
                      <w:bCs/>
                      <w:color w:val="auto"/>
                      <w:highlight w:val="none"/>
                      <w:lang w:eastAsia="zh-CN"/>
                    </w:rPr>
                    <w:t>、</w:t>
                  </w:r>
                  <w:r>
                    <w:rPr>
                      <w:rFonts w:hint="eastAsia"/>
                      <w:b/>
                      <w:bCs/>
                      <w:color w:val="auto"/>
                      <w:highlight w:val="none"/>
                    </w:rPr>
                    <w:t>四氯乙烯</w:t>
                  </w:r>
                  <w:r>
                    <w:rPr>
                      <w:rFonts w:hint="eastAsia"/>
                      <w:b/>
                      <w:bCs/>
                      <w:color w:val="auto"/>
                      <w:highlight w:val="none"/>
                      <w:lang w:eastAsia="zh-CN"/>
                    </w:rPr>
                    <w:t>、</w:t>
                  </w:r>
                  <w:r>
                    <w:rPr>
                      <w:rFonts w:hint="eastAsia"/>
                      <w:color w:val="auto"/>
                      <w:highlight w:val="none"/>
                    </w:rPr>
                    <w:t>六氯丁二烯</w:t>
                  </w:r>
                  <w:r>
                    <w:rPr>
                      <w:rFonts w:hint="eastAsia"/>
                      <w:color w:val="auto"/>
                      <w:highlight w:val="none"/>
                      <w:lang w:eastAsia="zh-CN"/>
                    </w:rPr>
                    <w:t>、</w:t>
                  </w:r>
                  <w:r>
                    <w:rPr>
                      <w:rFonts w:hint="eastAsia"/>
                      <w:b/>
                      <w:bCs/>
                      <w:color w:val="auto"/>
                      <w:highlight w:val="none"/>
                    </w:rPr>
                    <w:t>苯</w:t>
                  </w:r>
                  <w:r>
                    <w:rPr>
                      <w:rFonts w:hint="eastAsia"/>
                      <w:b/>
                      <w:bCs/>
                      <w:color w:val="auto"/>
                      <w:highlight w:val="none"/>
                      <w:lang w:eastAsia="zh-CN"/>
                    </w:rPr>
                    <w:t>、</w:t>
                  </w:r>
                  <w:r>
                    <w:rPr>
                      <w:rFonts w:hint="eastAsia"/>
                      <w:b/>
                      <w:bCs/>
                      <w:color w:val="auto"/>
                      <w:highlight w:val="none"/>
                    </w:rPr>
                    <w:t>甲苯</w:t>
                  </w:r>
                  <w:r>
                    <w:rPr>
                      <w:rFonts w:hint="eastAsia"/>
                      <w:b/>
                      <w:bCs/>
                      <w:color w:val="auto"/>
                      <w:highlight w:val="none"/>
                      <w:lang w:eastAsia="zh-CN"/>
                    </w:rPr>
                    <w:t>、</w:t>
                  </w:r>
                  <w:r>
                    <w:rPr>
                      <w:rFonts w:hint="eastAsia"/>
                      <w:b/>
                      <w:bCs/>
                      <w:color w:val="auto"/>
                      <w:highlight w:val="none"/>
                    </w:rPr>
                    <w:t>二甲苯（总量）</w:t>
                  </w:r>
                  <w:r>
                    <w:rPr>
                      <w:rFonts w:hint="eastAsia"/>
                      <w:b/>
                      <w:bCs/>
                      <w:color w:val="auto"/>
                      <w:highlight w:val="none"/>
                      <w:lang w:eastAsia="zh-CN"/>
                    </w:rPr>
                    <w:t>、</w:t>
                  </w:r>
                  <w:r>
                    <w:rPr>
                      <w:rFonts w:hint="eastAsia"/>
                      <w:b/>
                      <w:bCs/>
                      <w:color w:val="auto"/>
                      <w:highlight w:val="none"/>
                    </w:rPr>
                    <w:t>苯乙烯</w:t>
                  </w:r>
                  <w:r>
                    <w:rPr>
                      <w:rFonts w:hint="eastAsia"/>
                      <w:b/>
                      <w:bCs/>
                      <w:color w:val="auto"/>
                      <w:highlight w:val="none"/>
                      <w:lang w:eastAsia="zh-CN"/>
                    </w:rPr>
                    <w:t>、</w:t>
                  </w:r>
                  <w:r>
                    <w:rPr>
                      <w:rFonts w:hint="eastAsia"/>
                      <w:b/>
                      <w:bCs/>
                      <w:color w:val="auto"/>
                      <w:highlight w:val="none"/>
                    </w:rPr>
                    <w:t>氯苯</w:t>
                  </w:r>
                  <w:r>
                    <w:rPr>
                      <w:rFonts w:hint="eastAsia"/>
                      <w:b/>
                      <w:bCs/>
                      <w:color w:val="auto"/>
                      <w:highlight w:val="none"/>
                      <w:lang w:eastAsia="zh-CN"/>
                    </w:rPr>
                    <w:t>、</w:t>
                  </w:r>
                  <w:r>
                    <w:rPr>
                      <w:rFonts w:hint="eastAsia"/>
                      <w:b/>
                      <w:bCs/>
                      <w:color w:val="auto"/>
                      <w:highlight w:val="none"/>
                    </w:rPr>
                    <w:t>1,4-二氯苯</w:t>
                  </w:r>
                  <w:r>
                    <w:rPr>
                      <w:rFonts w:hint="eastAsia"/>
                      <w:b/>
                      <w:bCs/>
                      <w:color w:val="auto"/>
                      <w:highlight w:val="none"/>
                      <w:lang w:eastAsia="zh-CN"/>
                    </w:rPr>
                    <w:t>、</w:t>
                  </w:r>
                  <w:r>
                    <w:rPr>
                      <w:rFonts w:hint="eastAsia"/>
                      <w:b/>
                      <w:bCs/>
                      <w:color w:val="auto"/>
                      <w:highlight w:val="none"/>
                    </w:rPr>
                    <w:t>三氯苯（总量）</w:t>
                  </w:r>
                  <w:r>
                    <w:rPr>
                      <w:rFonts w:hint="eastAsia"/>
                      <w:color w:val="auto"/>
                      <w:highlight w:val="none"/>
                      <w:lang w:eastAsia="zh-CN"/>
                    </w:rPr>
                    <w:t>、</w:t>
                  </w:r>
                  <w:r>
                    <w:rPr>
                      <w:rFonts w:hint="eastAsia"/>
                      <w:color w:val="auto"/>
                      <w:highlight w:val="none"/>
                    </w:rPr>
                    <w:t>六氯苯</w:t>
                  </w:r>
                  <w:r>
                    <w:rPr>
                      <w:rFonts w:hint="eastAsia"/>
                      <w:color w:val="auto"/>
                      <w:highlight w:val="none"/>
                      <w:lang w:eastAsia="zh-CN"/>
                    </w:rPr>
                    <w:t>、</w:t>
                  </w:r>
                  <w:r>
                    <w:rPr>
                      <w:rFonts w:hint="eastAsia"/>
                      <w:color w:val="auto"/>
                      <w:highlight w:val="none"/>
                    </w:rPr>
                    <w:t>七氯</w:t>
                  </w:r>
                  <w:r>
                    <w:rPr>
                      <w:rFonts w:hint="eastAsia"/>
                      <w:color w:val="auto"/>
                      <w:highlight w:val="none"/>
                      <w:lang w:eastAsia="zh-CN"/>
                    </w:rPr>
                    <w:t>、</w:t>
                  </w:r>
                  <w:r>
                    <w:rPr>
                      <w:rFonts w:hint="eastAsia"/>
                      <w:color w:val="auto"/>
                      <w:highlight w:val="none"/>
                    </w:rPr>
                    <w:t>马拉硫磷</w:t>
                  </w:r>
                  <w:r>
                    <w:rPr>
                      <w:rFonts w:hint="eastAsia"/>
                      <w:color w:val="auto"/>
                      <w:highlight w:val="none"/>
                      <w:lang w:eastAsia="zh-CN"/>
                    </w:rPr>
                    <w:t>、</w:t>
                  </w:r>
                  <w:r>
                    <w:rPr>
                      <w:rFonts w:hint="eastAsia"/>
                      <w:b/>
                      <w:bCs/>
                      <w:color w:val="auto"/>
                      <w:highlight w:val="none"/>
                    </w:rPr>
                    <w:t>乐果</w:t>
                  </w:r>
                  <w:r>
                    <w:rPr>
                      <w:rFonts w:hint="eastAsia"/>
                      <w:b/>
                      <w:bCs/>
                      <w:color w:val="auto"/>
                      <w:highlight w:val="none"/>
                      <w:lang w:eastAsia="zh-CN"/>
                    </w:rPr>
                    <w:t>、</w:t>
                  </w:r>
                  <w:r>
                    <w:rPr>
                      <w:rFonts w:hint="eastAsia"/>
                      <w:color w:val="auto"/>
                      <w:highlight w:val="none"/>
                    </w:rPr>
                    <w:t>灭草松</w:t>
                  </w:r>
                  <w:r>
                    <w:rPr>
                      <w:rFonts w:hint="eastAsia"/>
                      <w:color w:val="auto"/>
                      <w:highlight w:val="none"/>
                      <w:lang w:eastAsia="zh-CN"/>
                    </w:rPr>
                    <w:t>、</w:t>
                  </w:r>
                  <w:r>
                    <w:rPr>
                      <w:rFonts w:hint="eastAsia"/>
                      <w:color w:val="auto"/>
                      <w:highlight w:val="none"/>
                    </w:rPr>
                    <w:t>百菌清</w:t>
                  </w:r>
                  <w:r>
                    <w:rPr>
                      <w:rFonts w:hint="eastAsia"/>
                      <w:color w:val="auto"/>
                      <w:highlight w:val="none"/>
                      <w:lang w:eastAsia="zh-CN"/>
                    </w:rPr>
                    <w:t>、</w:t>
                  </w:r>
                  <w:r>
                    <w:rPr>
                      <w:rFonts w:hint="eastAsia"/>
                      <w:color w:val="auto"/>
                      <w:highlight w:val="none"/>
                    </w:rPr>
                    <w:t>呋喃丹</w:t>
                  </w:r>
                  <w:r>
                    <w:rPr>
                      <w:rFonts w:hint="eastAsia"/>
                      <w:color w:val="auto"/>
                      <w:highlight w:val="none"/>
                      <w:lang w:eastAsia="zh-CN"/>
                    </w:rPr>
                    <w:t>、</w:t>
                  </w:r>
                  <w:r>
                    <w:rPr>
                      <w:rFonts w:hint="eastAsia"/>
                      <w:color w:val="auto"/>
                      <w:highlight w:val="none"/>
                    </w:rPr>
                    <w:t>毒死蜱</w:t>
                  </w:r>
                  <w:r>
                    <w:rPr>
                      <w:rFonts w:hint="eastAsia"/>
                      <w:color w:val="auto"/>
                      <w:highlight w:val="none"/>
                      <w:lang w:eastAsia="zh-CN"/>
                    </w:rPr>
                    <w:t>、</w:t>
                  </w:r>
                  <w:r>
                    <w:rPr>
                      <w:rFonts w:hint="eastAsia"/>
                      <w:color w:val="auto"/>
                      <w:highlight w:val="none"/>
                    </w:rPr>
                    <w:t>草甘膦</w:t>
                  </w:r>
                  <w:r>
                    <w:rPr>
                      <w:rFonts w:hint="eastAsia"/>
                      <w:color w:val="auto"/>
                      <w:highlight w:val="none"/>
                      <w:lang w:eastAsia="zh-CN"/>
                    </w:rPr>
                    <w:t>、</w:t>
                  </w:r>
                  <w:r>
                    <w:rPr>
                      <w:rFonts w:hint="eastAsia"/>
                      <w:b/>
                      <w:bCs/>
                      <w:color w:val="auto"/>
                      <w:highlight w:val="none"/>
                    </w:rPr>
                    <w:t>敌敌畏</w:t>
                  </w:r>
                  <w:r>
                    <w:rPr>
                      <w:rFonts w:hint="eastAsia"/>
                      <w:color w:val="auto"/>
                      <w:highlight w:val="none"/>
                      <w:lang w:eastAsia="zh-CN"/>
                    </w:rPr>
                    <w:t>、</w:t>
                  </w:r>
                  <w:r>
                    <w:rPr>
                      <w:rFonts w:hint="eastAsia"/>
                      <w:color w:val="auto"/>
                      <w:highlight w:val="none"/>
                    </w:rPr>
                    <w:t>莠去津</w:t>
                  </w:r>
                  <w:r>
                    <w:rPr>
                      <w:rFonts w:hint="eastAsia"/>
                      <w:color w:val="auto"/>
                      <w:highlight w:val="none"/>
                      <w:lang w:eastAsia="zh-CN"/>
                    </w:rPr>
                    <w:t>、</w:t>
                  </w:r>
                  <w:r>
                    <w:rPr>
                      <w:rFonts w:hint="eastAsia"/>
                      <w:b/>
                      <w:bCs/>
                      <w:color w:val="auto"/>
                      <w:highlight w:val="none"/>
                    </w:rPr>
                    <w:t>溴氰菊酯</w:t>
                  </w:r>
                  <w:r>
                    <w:rPr>
                      <w:rFonts w:hint="eastAsia"/>
                      <w:b/>
                      <w:bCs/>
                      <w:color w:val="auto"/>
                      <w:highlight w:val="none"/>
                      <w:lang w:eastAsia="zh-CN"/>
                    </w:rPr>
                    <w:t>、</w:t>
                  </w:r>
                  <w:r>
                    <w:rPr>
                      <w:rFonts w:hint="eastAsia"/>
                      <w:b/>
                      <w:bCs/>
                      <w:color w:val="auto"/>
                      <w:highlight w:val="none"/>
                    </w:rPr>
                    <w:t>2,4</w:t>
                  </w:r>
                  <w:r>
                    <w:rPr>
                      <w:rFonts w:hint="eastAsia"/>
                      <w:b/>
                      <w:bCs/>
                      <w:color w:val="auto"/>
                      <w:highlight w:val="none"/>
                      <w:shd w:val="clear" w:fill="FFFFFF"/>
                    </w:rPr>
                    <w:t>-</w:t>
                  </w:r>
                  <w:r>
                    <w:rPr>
                      <w:rFonts w:hint="eastAsia"/>
                      <w:b/>
                      <w:bCs/>
                      <w:color w:val="auto"/>
                      <w:highlight w:val="none"/>
                    </w:rPr>
                    <w:t>滴</w:t>
                  </w:r>
                  <w:r>
                    <w:rPr>
                      <w:rFonts w:hint="eastAsia"/>
                      <w:b/>
                      <w:bCs/>
                      <w:color w:val="auto"/>
                      <w:highlight w:val="none"/>
                      <w:lang w:eastAsia="zh-CN"/>
                    </w:rPr>
                    <w:t>、</w:t>
                  </w:r>
                  <w:r>
                    <w:rPr>
                      <w:rFonts w:hint="eastAsia"/>
                      <w:color w:val="auto"/>
                      <w:highlight w:val="none"/>
                    </w:rPr>
                    <w:t>乙草胺</w:t>
                  </w:r>
                  <w:r>
                    <w:rPr>
                      <w:rFonts w:hint="eastAsia"/>
                      <w:color w:val="auto"/>
                      <w:highlight w:val="none"/>
                      <w:lang w:eastAsia="zh-CN"/>
                    </w:rPr>
                    <w:t>、</w:t>
                  </w:r>
                  <w:r>
                    <w:rPr>
                      <w:rFonts w:hint="eastAsia"/>
                      <w:b/>
                      <w:bCs/>
                      <w:color w:val="auto"/>
                      <w:highlight w:val="none"/>
                    </w:rPr>
                    <w:t>五氯酚</w:t>
                  </w:r>
                  <w:r>
                    <w:rPr>
                      <w:rFonts w:hint="eastAsia"/>
                      <w:b/>
                      <w:bCs/>
                      <w:color w:val="auto"/>
                      <w:highlight w:val="none"/>
                      <w:lang w:eastAsia="zh-CN"/>
                    </w:rPr>
                    <w:t>、</w:t>
                  </w:r>
                  <w:r>
                    <w:rPr>
                      <w:rFonts w:hint="eastAsia"/>
                      <w:b/>
                      <w:bCs/>
                      <w:color w:val="auto"/>
                      <w:highlight w:val="none"/>
                    </w:rPr>
                    <w:t>2,4,6-三氯酚</w:t>
                  </w:r>
                  <w:r>
                    <w:rPr>
                      <w:rFonts w:hint="eastAsia"/>
                      <w:color w:val="auto"/>
                      <w:highlight w:val="none"/>
                      <w:lang w:eastAsia="zh-CN"/>
                    </w:rPr>
                    <w:t>、</w:t>
                  </w:r>
                  <w:r>
                    <w:rPr>
                      <w:rFonts w:hint="eastAsia"/>
                      <w:b/>
                      <w:bCs/>
                      <w:color w:val="auto"/>
                      <w:highlight w:val="none"/>
                    </w:rPr>
                    <w:t>苯并</w:t>
                  </w:r>
                  <w:r>
                    <w:rPr>
                      <w:rFonts w:hint="eastAsia"/>
                      <w:b/>
                      <w:bCs/>
                      <w:color w:val="auto"/>
                      <w:highlight w:val="none"/>
                      <w:shd w:val="clear" w:fill="FFFFFF"/>
                    </w:rPr>
                    <w:t>(</w:t>
                  </w:r>
                  <w:r>
                    <w:rPr>
                      <w:rFonts w:hint="eastAsia"/>
                      <w:b/>
                      <w:bCs/>
                      <w:color w:val="auto"/>
                      <w:highlight w:val="none"/>
                    </w:rPr>
                    <w:t>a</w:t>
                  </w:r>
                  <w:r>
                    <w:rPr>
                      <w:rFonts w:hint="eastAsia"/>
                      <w:b/>
                      <w:bCs/>
                      <w:color w:val="auto"/>
                      <w:highlight w:val="none"/>
                      <w:shd w:val="clear" w:fill="FFFFFF"/>
                    </w:rPr>
                    <w:t>)</w:t>
                  </w:r>
                  <w:r>
                    <w:rPr>
                      <w:rFonts w:hint="eastAsia"/>
                      <w:b/>
                      <w:bCs/>
                      <w:color w:val="auto"/>
                      <w:highlight w:val="none"/>
                    </w:rPr>
                    <w:t>芘</w:t>
                  </w:r>
                  <w:r>
                    <w:rPr>
                      <w:rFonts w:hint="eastAsia"/>
                      <w:b/>
                      <w:bCs/>
                      <w:color w:val="auto"/>
                      <w:highlight w:val="none"/>
                      <w:lang w:eastAsia="zh-CN"/>
                    </w:rPr>
                    <w:t>、</w:t>
                  </w:r>
                  <w:r>
                    <w:rPr>
                      <w:rFonts w:hint="eastAsia"/>
                      <w:color w:val="auto"/>
                      <w:highlight w:val="none"/>
                    </w:rPr>
                    <w:t>邻苯二甲酸二</w:t>
                  </w:r>
                  <w:r>
                    <w:rPr>
                      <w:rFonts w:hint="eastAsia"/>
                      <w:color w:val="auto"/>
                      <w:highlight w:val="none"/>
                      <w:shd w:val="clear" w:fill="FFFFFF"/>
                    </w:rPr>
                    <w:t>(</w:t>
                  </w:r>
                  <w:r>
                    <w:rPr>
                      <w:rFonts w:hint="eastAsia"/>
                      <w:color w:val="auto"/>
                      <w:highlight w:val="none"/>
                    </w:rPr>
                    <w:t>2</w:t>
                  </w:r>
                  <w:r>
                    <w:rPr>
                      <w:rFonts w:hint="eastAsia"/>
                      <w:color w:val="auto"/>
                      <w:highlight w:val="none"/>
                      <w:shd w:val="clear" w:fill="FFFFFF"/>
                    </w:rPr>
                    <w:t>-</w:t>
                  </w:r>
                  <w:r>
                    <w:rPr>
                      <w:rFonts w:hint="eastAsia"/>
                      <w:color w:val="auto"/>
                      <w:highlight w:val="none"/>
                    </w:rPr>
                    <w:t>乙基己基）酯</w:t>
                  </w:r>
                  <w:r>
                    <w:rPr>
                      <w:rFonts w:hint="eastAsia"/>
                      <w:color w:val="auto"/>
                      <w:highlight w:val="none"/>
                      <w:lang w:eastAsia="zh-CN"/>
                    </w:rPr>
                    <w:t>、</w:t>
                  </w:r>
                  <w:r>
                    <w:rPr>
                      <w:rFonts w:hint="eastAsia"/>
                      <w:b/>
                      <w:bCs/>
                      <w:color w:val="auto"/>
                      <w:highlight w:val="none"/>
                    </w:rPr>
                    <w:t>丙烯酰胺</w:t>
                  </w:r>
                  <w:r>
                    <w:rPr>
                      <w:rFonts w:hint="eastAsia"/>
                      <w:color w:val="auto"/>
                      <w:highlight w:val="none"/>
                      <w:lang w:eastAsia="zh-CN"/>
                    </w:rPr>
                    <w:t>、</w:t>
                  </w:r>
                  <w:r>
                    <w:rPr>
                      <w:rFonts w:hint="eastAsia"/>
                      <w:b/>
                      <w:bCs/>
                      <w:color w:val="auto"/>
                      <w:highlight w:val="none"/>
                    </w:rPr>
                    <w:t>环氧氯丙烷</w:t>
                  </w:r>
                  <w:r>
                    <w:rPr>
                      <w:rFonts w:hint="eastAsia"/>
                      <w:b/>
                      <w:bCs/>
                      <w:color w:val="auto"/>
                      <w:highlight w:val="none"/>
                      <w:lang w:eastAsia="zh-CN"/>
                    </w:rPr>
                    <w:t>、</w:t>
                  </w:r>
                  <w:r>
                    <w:rPr>
                      <w:rFonts w:hint="eastAsia"/>
                      <w:b/>
                      <w:bCs/>
                      <w:color w:val="auto"/>
                      <w:highlight w:val="none"/>
                    </w:rPr>
                    <w:t>微囊藻毒素-LR（藻类暴发情况发生时）</w:t>
                  </w:r>
                </w:p>
              </w:tc>
            </w:tr>
            <w:tr w14:paraId="7A703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67" w:type="pct"/>
                  <w:vMerge w:val="continue"/>
                  <w:noWrap w:val="0"/>
                  <w:vAlign w:val="center"/>
                </w:tcPr>
                <w:p w14:paraId="75A205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rPr>
                  </w:pPr>
                </w:p>
              </w:tc>
              <w:tc>
                <w:tcPr>
                  <w:tcW w:w="405" w:type="pct"/>
                  <w:vMerge w:val="continue"/>
                  <w:noWrap w:val="0"/>
                  <w:vAlign w:val="center"/>
                </w:tcPr>
                <w:p w14:paraId="039973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705" w:type="pct"/>
                  <w:vMerge w:val="restart"/>
                  <w:noWrap w:val="0"/>
                  <w:vAlign w:val="center"/>
                </w:tcPr>
                <w:p w14:paraId="66E945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《城市供水水质标准》（CJ/T 206-2005）</w:t>
                  </w:r>
                </w:p>
              </w:tc>
              <w:tc>
                <w:tcPr>
                  <w:tcW w:w="643" w:type="pct"/>
                  <w:noWrap w:val="0"/>
                  <w:vAlign w:val="center"/>
                </w:tcPr>
                <w:p w14:paraId="438305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常规指标</w:t>
                  </w:r>
                </w:p>
              </w:tc>
              <w:tc>
                <w:tcPr>
                  <w:tcW w:w="2977" w:type="pct"/>
                  <w:noWrap w:val="0"/>
                  <w:vAlign w:val="center"/>
                </w:tcPr>
                <w:p w14:paraId="03E74589">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砷</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镉</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铬（六价）</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氰化物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氟化物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铅</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汞</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硝酸盐</w:t>
                  </w:r>
                  <w:r>
                    <w:rPr>
                      <w:rFonts w:hint="default" w:ascii="Times New Roman" w:hAnsi="Times New Roman" w:cs="Times New Roman"/>
                      <w:b/>
                      <w:bCs/>
                      <w:color w:val="auto"/>
                      <w:sz w:val="21"/>
                      <w:szCs w:val="21"/>
                      <w:highlight w:val="none"/>
                      <w:shd w:val="clear" w:fill="FFFFFF"/>
                      <w:lang w:val="en-US" w:eastAsia="zh-CN"/>
                    </w:rPr>
                    <w:t>(</w:t>
                  </w:r>
                  <w:r>
                    <w:rPr>
                      <w:rFonts w:hint="default" w:ascii="Times New Roman" w:hAnsi="Times New Roman" w:cs="Times New Roman"/>
                      <w:b/>
                      <w:bCs/>
                      <w:color w:val="auto"/>
                      <w:sz w:val="21"/>
                      <w:szCs w:val="21"/>
                      <w:highlight w:val="none"/>
                      <w:lang w:val="en-US" w:eastAsia="zh-CN"/>
                    </w:rPr>
                    <w:t>以N计</w:t>
                  </w:r>
                  <w:r>
                    <w:rPr>
                      <w:rFonts w:hint="default" w:ascii="Times New Roman" w:hAnsi="Times New Roman" w:cs="Times New Roman"/>
                      <w:b/>
                      <w:bCs/>
                      <w:color w:val="auto"/>
                      <w:sz w:val="21"/>
                      <w:szCs w:val="21"/>
                      <w:highlight w:val="none"/>
                      <w:shd w:val="clear" w:fill="FFFFFF"/>
                      <w:lang w:val="en-US" w:eastAsia="zh-CN"/>
                    </w:rPr>
                    <w:t>)</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硒</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四氧化碳</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三氯甲烷</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敌敌畏</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包括敌百虫</w:t>
                  </w:r>
                  <w:r>
                    <w:rPr>
                      <w:rFonts w:hint="eastAsia" w:cs="Times New Roman"/>
                      <w:b/>
                      <w:bCs/>
                      <w:color w:val="auto"/>
                      <w:sz w:val="21"/>
                      <w:szCs w:val="21"/>
                      <w:highlight w:val="none"/>
                      <w:lang w:val="en-US" w:eastAsia="zh-CN"/>
                    </w:rPr>
                    <w:t>）</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林丹</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滴滴涕</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丙烯酰胺</w:t>
                  </w:r>
                  <w:r>
                    <w:rPr>
                      <w:rFonts w:hint="default" w:ascii="Times New Roman" w:hAnsi="Times New Roman" w:cs="Times New Roman"/>
                      <w:b w:val="0"/>
                      <w:bCs w:val="0"/>
                      <w:color w:val="auto"/>
                      <w:sz w:val="21"/>
                      <w:szCs w:val="21"/>
                      <w:highlight w:val="none"/>
                      <w:shd w:val="clear" w:fill="FFFFFF"/>
                      <w:lang w:val="en-US" w:eastAsia="zh-CN"/>
                    </w:rPr>
                    <w:t>(</w:t>
                  </w:r>
                  <w:r>
                    <w:rPr>
                      <w:rFonts w:hint="default" w:ascii="Times New Roman" w:hAnsi="Times New Roman" w:cs="Times New Roman"/>
                      <w:b w:val="0"/>
                      <w:bCs w:val="0"/>
                      <w:color w:val="auto"/>
                      <w:sz w:val="21"/>
                      <w:szCs w:val="21"/>
                      <w:highlight w:val="none"/>
                      <w:lang w:val="en-US" w:eastAsia="zh-CN"/>
                    </w:rPr>
                    <w:t>使用聚丙烯酰胺时测定</w:t>
                  </w:r>
                  <w:r>
                    <w:rPr>
                      <w:rFonts w:hint="default" w:ascii="Times New Roman" w:hAnsi="Times New Roman" w:cs="Times New Roman"/>
                      <w:b w:val="0"/>
                      <w:bCs w:val="0"/>
                      <w:color w:val="auto"/>
                      <w:sz w:val="21"/>
                      <w:szCs w:val="21"/>
                      <w:highlight w:val="none"/>
                      <w:shd w:val="clear" w:fill="FFFFFF"/>
                      <w:lang w:val="en-US" w:eastAsia="zh-CN"/>
                    </w:rPr>
                    <w:t>)</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亚氯酸盐</w:t>
                  </w:r>
                  <w:r>
                    <w:rPr>
                      <w:rFonts w:hint="default" w:ascii="Times New Roman" w:hAnsi="Times New Roman" w:cs="Times New Roman"/>
                      <w:b w:val="0"/>
                      <w:bCs w:val="0"/>
                      <w:color w:val="auto"/>
                      <w:sz w:val="21"/>
                      <w:szCs w:val="21"/>
                      <w:highlight w:val="none"/>
                      <w:shd w:val="clear" w:fill="FFFFFF"/>
                      <w:lang w:val="en-US" w:eastAsia="zh-CN"/>
                    </w:rPr>
                    <w:t>(</w:t>
                  </w:r>
                  <w:r>
                    <w:rPr>
                      <w:rFonts w:hint="default" w:ascii="Times New Roman" w:hAnsi="Times New Roman" w:cs="Times New Roman"/>
                      <w:b w:val="0"/>
                      <w:bCs w:val="0"/>
                      <w:color w:val="auto"/>
                      <w:sz w:val="21"/>
                      <w:szCs w:val="21"/>
                      <w:highlight w:val="none"/>
                      <w:lang w:val="en-US" w:eastAsia="zh-CN"/>
                    </w:rPr>
                    <w:t>使用C</w:t>
                  </w:r>
                  <w:r>
                    <w:rPr>
                      <w:rFonts w:hint="eastAsia" w:cs="Times New Roman"/>
                      <w:b w:val="0"/>
                      <w:bCs w:val="0"/>
                      <w:color w:val="auto"/>
                      <w:sz w:val="21"/>
                      <w:szCs w:val="21"/>
                      <w:highlight w:val="none"/>
                      <w:lang w:val="en-US" w:eastAsia="zh-CN"/>
                    </w:rPr>
                    <w:t>l</w:t>
                  </w:r>
                  <w:r>
                    <w:rPr>
                      <w:rFonts w:hint="default" w:ascii="Times New Roman" w:hAnsi="Times New Roman" w:cs="Times New Roman"/>
                      <w:b w:val="0"/>
                      <w:bCs w:val="0"/>
                      <w:color w:val="auto"/>
                      <w:sz w:val="21"/>
                      <w:szCs w:val="21"/>
                      <w:highlight w:val="none"/>
                      <w:lang w:val="en-US" w:eastAsia="zh-CN"/>
                    </w:rPr>
                    <w:t>O₂时测定</w:t>
                  </w:r>
                  <w:r>
                    <w:rPr>
                      <w:rFonts w:hint="default" w:ascii="Times New Roman" w:hAnsi="Times New Roman" w:cs="Times New Roman"/>
                      <w:b w:val="0"/>
                      <w:bCs w:val="0"/>
                      <w:color w:val="auto"/>
                      <w:sz w:val="21"/>
                      <w:szCs w:val="21"/>
                      <w:highlight w:val="none"/>
                      <w:shd w:val="clear" w:fill="FFFFFF"/>
                      <w:lang w:val="en-US" w:eastAsia="zh-CN"/>
                    </w:rPr>
                    <w:t>)</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溴酸盐</w:t>
                  </w:r>
                  <w:r>
                    <w:rPr>
                      <w:rFonts w:hint="default" w:ascii="Times New Roman" w:hAnsi="Times New Roman" w:cs="Times New Roman"/>
                      <w:b w:val="0"/>
                      <w:bCs w:val="0"/>
                      <w:color w:val="auto"/>
                      <w:sz w:val="21"/>
                      <w:szCs w:val="21"/>
                      <w:highlight w:val="none"/>
                      <w:shd w:val="clear" w:fill="FFFFFF"/>
                      <w:lang w:val="en-US" w:eastAsia="zh-CN"/>
                    </w:rPr>
                    <w:t>(</w:t>
                  </w:r>
                  <w:r>
                    <w:rPr>
                      <w:rFonts w:hint="default" w:ascii="Times New Roman" w:hAnsi="Times New Roman" w:cs="Times New Roman"/>
                      <w:b w:val="0"/>
                      <w:bCs w:val="0"/>
                      <w:color w:val="auto"/>
                      <w:sz w:val="21"/>
                      <w:szCs w:val="21"/>
                      <w:highlight w:val="none"/>
                      <w:lang w:val="en-US" w:eastAsia="zh-CN"/>
                    </w:rPr>
                    <w:t>使用O₃时测定</w:t>
                  </w:r>
                  <w:r>
                    <w:rPr>
                      <w:rFonts w:hint="default" w:ascii="Times New Roman" w:hAnsi="Times New Roman" w:cs="Times New Roman"/>
                      <w:b w:val="0"/>
                      <w:bCs w:val="0"/>
                      <w:color w:val="auto"/>
                      <w:sz w:val="21"/>
                      <w:szCs w:val="21"/>
                      <w:highlight w:val="none"/>
                      <w:shd w:val="clear" w:fill="FFFFFF"/>
                      <w:lang w:val="en-US" w:eastAsia="zh-CN"/>
                    </w:rPr>
                    <w:t>)</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甲醛</w:t>
                  </w:r>
                  <w:r>
                    <w:rPr>
                      <w:rFonts w:hint="default" w:ascii="Times New Roman" w:hAnsi="Times New Roman" w:cs="Times New Roman"/>
                      <w:b w:val="0"/>
                      <w:bCs w:val="0"/>
                      <w:color w:val="auto"/>
                      <w:sz w:val="21"/>
                      <w:szCs w:val="21"/>
                      <w:highlight w:val="none"/>
                      <w:shd w:val="clear" w:fill="FFFFFF"/>
                      <w:lang w:val="en-US" w:eastAsia="zh-CN"/>
                    </w:rPr>
                    <w:t>(</w:t>
                  </w:r>
                  <w:r>
                    <w:rPr>
                      <w:rFonts w:hint="default" w:ascii="Times New Roman" w:hAnsi="Times New Roman" w:cs="Times New Roman"/>
                      <w:b w:val="0"/>
                      <w:bCs w:val="0"/>
                      <w:color w:val="auto"/>
                      <w:sz w:val="21"/>
                      <w:szCs w:val="21"/>
                      <w:highlight w:val="none"/>
                      <w:lang w:val="en-US" w:eastAsia="zh-CN"/>
                    </w:rPr>
                    <w:t>使用O₃时测定</w:t>
                  </w:r>
                  <w:r>
                    <w:rPr>
                      <w:rFonts w:hint="default" w:ascii="Times New Roman" w:hAnsi="Times New Roman" w:cs="Times New Roman"/>
                      <w:b w:val="0"/>
                      <w:bCs w:val="0"/>
                      <w:color w:val="auto"/>
                      <w:sz w:val="21"/>
                      <w:szCs w:val="21"/>
                      <w:highlight w:val="none"/>
                      <w:shd w:val="clear" w:fill="FFFFFF"/>
                      <w:lang w:val="en-US" w:eastAsia="zh-CN"/>
                    </w:rPr>
                    <w:t>)</w:t>
                  </w:r>
                </w:p>
              </w:tc>
            </w:tr>
            <w:tr w14:paraId="2C586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5" w:hRule="atLeast"/>
              </w:trPr>
              <w:tc>
                <w:tcPr>
                  <w:tcW w:w="267" w:type="pct"/>
                  <w:vMerge w:val="continue"/>
                  <w:noWrap w:val="0"/>
                  <w:vAlign w:val="center"/>
                </w:tcPr>
                <w:p w14:paraId="211553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405" w:type="pct"/>
                  <w:vMerge w:val="continue"/>
                  <w:noWrap w:val="0"/>
                  <w:vAlign w:val="center"/>
                </w:tcPr>
                <w:p w14:paraId="74D8D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color w:val="auto"/>
                      <w:highlight w:val="none"/>
                    </w:rPr>
                  </w:pPr>
                </w:p>
              </w:tc>
              <w:tc>
                <w:tcPr>
                  <w:tcW w:w="705" w:type="pct"/>
                  <w:vMerge w:val="continue"/>
                  <w:noWrap w:val="0"/>
                  <w:vAlign w:val="center"/>
                </w:tcPr>
                <w:p w14:paraId="07A94A2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p>
              </w:tc>
              <w:tc>
                <w:tcPr>
                  <w:tcW w:w="643" w:type="pct"/>
                  <w:noWrap w:val="0"/>
                  <w:vAlign w:val="center"/>
                </w:tcPr>
                <w:p w14:paraId="6F52FB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非常规</w:t>
                  </w:r>
                  <w:r>
                    <w:rPr>
                      <w:rFonts w:hint="default" w:ascii="Times New Roman" w:hAnsi="Times New Roman" w:cs="Times New Roman"/>
                      <w:color w:val="auto"/>
                      <w:highlight w:val="none"/>
                      <w:lang w:val="en-US" w:eastAsia="zh-CN"/>
                    </w:rPr>
                    <w:t>指标</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shd w:val="clear" w:fill="FFFFFF"/>
                      <w:lang w:val="en-US" w:eastAsia="zh-CN"/>
                    </w:rPr>
                    <w:t>赤理</w:t>
                  </w:r>
                  <w:r>
                    <w:rPr>
                      <w:rFonts w:hint="default" w:ascii="Times New Roman" w:hAnsi="Times New Roman" w:cs="Times New Roman"/>
                      <w:color w:val="auto"/>
                      <w:highlight w:val="none"/>
                      <w:lang w:val="en-US" w:eastAsia="zh-CN"/>
                    </w:rPr>
                    <w:t>学</w:t>
                  </w:r>
                  <w:r>
                    <w:rPr>
                      <w:rFonts w:hint="eastAsia" w:ascii="Times New Roman" w:hAnsi="Times New Roman" w:cs="Times New Roman"/>
                      <w:color w:val="auto"/>
                      <w:highlight w:val="none"/>
                      <w:lang w:val="en-US" w:eastAsia="zh-CN"/>
                    </w:rPr>
                    <w:t>）</w:t>
                  </w:r>
                </w:p>
              </w:tc>
              <w:tc>
                <w:tcPr>
                  <w:tcW w:w="2977" w:type="pct"/>
                  <w:noWrap w:val="0"/>
                  <w:vAlign w:val="center"/>
                </w:tcPr>
                <w:p w14:paraId="25434A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eastAsia="宋体"/>
                      <w:color w:val="auto"/>
                      <w:highlight w:val="none"/>
                      <w:lang w:eastAsia="zh-CN"/>
                    </w:rPr>
                  </w:pPr>
                  <w:r>
                    <w:rPr>
                      <w:rFonts w:hint="eastAsia"/>
                      <w:b/>
                      <w:bCs/>
                      <w:color w:val="auto"/>
                      <w:highlight w:val="none"/>
                    </w:rPr>
                    <w:t>锑</w:t>
                  </w:r>
                  <w:r>
                    <w:rPr>
                      <w:rFonts w:hint="eastAsia"/>
                      <w:b/>
                      <w:bCs/>
                      <w:color w:val="auto"/>
                      <w:highlight w:val="none"/>
                      <w:lang w:eastAsia="zh-CN"/>
                    </w:rPr>
                    <w:t>、</w:t>
                  </w:r>
                  <w:r>
                    <w:rPr>
                      <w:rFonts w:hint="eastAsia"/>
                      <w:b/>
                      <w:bCs/>
                      <w:color w:val="auto"/>
                      <w:highlight w:val="none"/>
                    </w:rPr>
                    <w:t>钡</w:t>
                  </w:r>
                  <w:r>
                    <w:rPr>
                      <w:rFonts w:hint="eastAsia"/>
                      <w:b/>
                      <w:bCs/>
                      <w:color w:val="auto"/>
                      <w:highlight w:val="none"/>
                      <w:lang w:eastAsia="zh-CN"/>
                    </w:rPr>
                    <w:t>、</w:t>
                  </w:r>
                  <w:r>
                    <w:rPr>
                      <w:rFonts w:hint="eastAsia"/>
                      <w:b/>
                      <w:bCs/>
                      <w:color w:val="auto"/>
                      <w:highlight w:val="none"/>
                    </w:rPr>
                    <w:t>铍</w:t>
                  </w:r>
                  <w:r>
                    <w:rPr>
                      <w:rFonts w:hint="eastAsia"/>
                      <w:b/>
                      <w:bCs/>
                      <w:color w:val="auto"/>
                      <w:highlight w:val="none"/>
                      <w:lang w:eastAsia="zh-CN"/>
                    </w:rPr>
                    <w:t>、</w:t>
                  </w:r>
                  <w:r>
                    <w:rPr>
                      <w:rFonts w:hint="eastAsia"/>
                      <w:b/>
                      <w:bCs/>
                      <w:color w:val="auto"/>
                      <w:highlight w:val="none"/>
                    </w:rPr>
                    <w:t>硼</w:t>
                  </w:r>
                  <w:r>
                    <w:rPr>
                      <w:rFonts w:hint="eastAsia"/>
                      <w:b/>
                      <w:bCs/>
                      <w:color w:val="auto"/>
                      <w:highlight w:val="none"/>
                      <w:lang w:eastAsia="zh-CN"/>
                    </w:rPr>
                    <w:t>、</w:t>
                  </w:r>
                  <w:r>
                    <w:rPr>
                      <w:rFonts w:hint="eastAsia"/>
                      <w:b/>
                      <w:bCs/>
                      <w:color w:val="auto"/>
                      <w:highlight w:val="none"/>
                    </w:rPr>
                    <w:t>镍</w:t>
                  </w:r>
                  <w:r>
                    <w:rPr>
                      <w:rFonts w:hint="eastAsia"/>
                      <w:b/>
                      <w:bCs/>
                      <w:color w:val="auto"/>
                      <w:highlight w:val="none"/>
                      <w:lang w:eastAsia="zh-CN"/>
                    </w:rPr>
                    <w:t>、</w:t>
                  </w:r>
                  <w:r>
                    <w:rPr>
                      <w:rFonts w:hint="eastAsia"/>
                      <w:b/>
                      <w:bCs/>
                      <w:color w:val="auto"/>
                      <w:highlight w:val="none"/>
                    </w:rPr>
                    <w:t>铝</w:t>
                  </w:r>
                  <w:r>
                    <w:rPr>
                      <w:rFonts w:hint="eastAsia"/>
                      <w:b/>
                      <w:bCs/>
                      <w:color w:val="auto"/>
                      <w:highlight w:val="none"/>
                      <w:lang w:eastAsia="zh-CN"/>
                    </w:rPr>
                    <w:t>、</w:t>
                  </w:r>
                  <w:r>
                    <w:rPr>
                      <w:rFonts w:hint="eastAsia"/>
                      <w:b/>
                      <w:bCs/>
                      <w:color w:val="auto"/>
                      <w:highlight w:val="none"/>
                    </w:rPr>
                    <w:t>铊</w:t>
                  </w:r>
                  <w:r>
                    <w:rPr>
                      <w:rFonts w:hint="eastAsia"/>
                      <w:b/>
                      <w:bCs/>
                      <w:color w:val="auto"/>
                      <w:highlight w:val="none"/>
                      <w:lang w:eastAsia="zh-CN"/>
                    </w:rPr>
                    <w:t>、</w:t>
                  </w:r>
                  <w:r>
                    <w:rPr>
                      <w:rFonts w:hint="eastAsia"/>
                      <w:b/>
                      <w:bCs/>
                      <w:color w:val="auto"/>
                      <w:highlight w:val="none"/>
                    </w:rPr>
                    <w:t>苯</w:t>
                  </w:r>
                  <w:r>
                    <w:rPr>
                      <w:rFonts w:hint="eastAsia"/>
                      <w:b/>
                      <w:bCs/>
                      <w:color w:val="auto"/>
                      <w:highlight w:val="none"/>
                      <w:lang w:eastAsia="zh-CN"/>
                    </w:rPr>
                    <w:t>、</w:t>
                  </w:r>
                  <w:r>
                    <w:rPr>
                      <w:rFonts w:hint="eastAsia"/>
                      <w:b/>
                      <w:bCs/>
                      <w:color w:val="auto"/>
                      <w:highlight w:val="none"/>
                    </w:rPr>
                    <w:t>甲苯</w:t>
                  </w:r>
                  <w:r>
                    <w:rPr>
                      <w:rFonts w:hint="eastAsia"/>
                      <w:b/>
                      <w:bCs/>
                      <w:color w:val="auto"/>
                      <w:highlight w:val="none"/>
                      <w:lang w:eastAsia="zh-CN"/>
                    </w:rPr>
                    <w:t>、</w:t>
                  </w:r>
                  <w:r>
                    <w:rPr>
                      <w:rFonts w:hint="eastAsia"/>
                      <w:b/>
                      <w:bCs/>
                      <w:color w:val="auto"/>
                      <w:highlight w:val="none"/>
                    </w:rPr>
                    <w:t>乙苯</w:t>
                  </w:r>
                  <w:r>
                    <w:rPr>
                      <w:rFonts w:hint="eastAsia"/>
                      <w:b/>
                      <w:bCs/>
                      <w:color w:val="auto"/>
                      <w:highlight w:val="none"/>
                      <w:lang w:eastAsia="zh-CN"/>
                    </w:rPr>
                    <w:t>、</w:t>
                  </w:r>
                  <w:r>
                    <w:rPr>
                      <w:rFonts w:hint="eastAsia"/>
                      <w:b/>
                      <w:bCs/>
                      <w:color w:val="auto"/>
                      <w:highlight w:val="none"/>
                    </w:rPr>
                    <w:t>二甲苯</w:t>
                  </w:r>
                  <w:r>
                    <w:rPr>
                      <w:rFonts w:hint="eastAsia"/>
                      <w:b/>
                      <w:bCs/>
                      <w:color w:val="auto"/>
                      <w:highlight w:val="none"/>
                      <w:lang w:eastAsia="zh-CN"/>
                    </w:rPr>
                    <w:t>、</w:t>
                  </w:r>
                  <w:r>
                    <w:rPr>
                      <w:rFonts w:hint="eastAsia"/>
                      <w:b/>
                      <w:bCs/>
                      <w:color w:val="auto"/>
                      <w:highlight w:val="none"/>
                    </w:rPr>
                    <w:t>苯乙烯</w:t>
                  </w:r>
                  <w:r>
                    <w:rPr>
                      <w:rFonts w:hint="eastAsia"/>
                      <w:b/>
                      <w:bCs/>
                      <w:color w:val="auto"/>
                      <w:highlight w:val="none"/>
                      <w:lang w:eastAsia="zh-CN"/>
                    </w:rPr>
                    <w:t>、</w:t>
                  </w:r>
                  <w:r>
                    <w:rPr>
                      <w:rFonts w:hint="eastAsia"/>
                      <w:b/>
                      <w:bCs/>
                      <w:color w:val="auto"/>
                      <w:highlight w:val="none"/>
                    </w:rPr>
                    <w:t>1、2-二氯乙烷</w:t>
                  </w:r>
                  <w:r>
                    <w:rPr>
                      <w:rFonts w:hint="eastAsia"/>
                      <w:color w:val="auto"/>
                      <w:highlight w:val="none"/>
                      <w:lang w:eastAsia="zh-CN"/>
                    </w:rPr>
                    <w:t>、</w:t>
                  </w:r>
                  <w:r>
                    <w:rPr>
                      <w:rFonts w:hint="eastAsia"/>
                      <w:b/>
                      <w:bCs/>
                      <w:color w:val="auto"/>
                      <w:highlight w:val="none"/>
                    </w:rPr>
                    <w:t>三氯乙烯</w:t>
                  </w:r>
                  <w:r>
                    <w:rPr>
                      <w:rFonts w:hint="eastAsia"/>
                      <w:b/>
                      <w:bCs/>
                      <w:color w:val="auto"/>
                      <w:highlight w:val="none"/>
                      <w:lang w:eastAsia="zh-CN"/>
                    </w:rPr>
                    <w:t>、</w:t>
                  </w:r>
                  <w:r>
                    <w:rPr>
                      <w:rFonts w:hint="eastAsia"/>
                      <w:b/>
                      <w:bCs/>
                      <w:color w:val="auto"/>
                      <w:highlight w:val="none"/>
                    </w:rPr>
                    <w:t>四氯乙烯</w:t>
                  </w:r>
                  <w:r>
                    <w:rPr>
                      <w:rFonts w:hint="eastAsia"/>
                      <w:b/>
                      <w:bCs/>
                      <w:color w:val="auto"/>
                      <w:highlight w:val="none"/>
                      <w:lang w:eastAsia="zh-CN"/>
                    </w:rPr>
                    <w:t>、</w:t>
                  </w:r>
                  <w:r>
                    <w:rPr>
                      <w:rFonts w:hint="eastAsia"/>
                      <w:b/>
                      <w:bCs/>
                      <w:color w:val="auto"/>
                      <w:highlight w:val="none"/>
                    </w:rPr>
                    <w:t>1,2-二氯乙烯</w:t>
                  </w:r>
                  <w:r>
                    <w:rPr>
                      <w:rFonts w:hint="eastAsia"/>
                      <w:b/>
                      <w:bCs/>
                      <w:color w:val="auto"/>
                      <w:highlight w:val="none"/>
                      <w:lang w:eastAsia="zh-CN"/>
                    </w:rPr>
                    <w:t>、</w:t>
                  </w:r>
                  <w:r>
                    <w:rPr>
                      <w:rFonts w:hint="eastAsia"/>
                      <w:b/>
                      <w:bCs/>
                      <w:color w:val="auto"/>
                      <w:highlight w:val="none"/>
                    </w:rPr>
                    <w:t>1.1-二氯乙烯</w:t>
                  </w:r>
                  <w:r>
                    <w:rPr>
                      <w:rFonts w:hint="eastAsia"/>
                      <w:color w:val="auto"/>
                      <w:highlight w:val="none"/>
                      <w:lang w:eastAsia="zh-CN"/>
                    </w:rPr>
                    <w:t>、</w:t>
                  </w:r>
                  <w:r>
                    <w:rPr>
                      <w:rFonts w:hint="eastAsia"/>
                      <w:color w:val="auto"/>
                      <w:highlight w:val="none"/>
                    </w:rPr>
                    <w:t>三卤甲烷</w:t>
                  </w:r>
                  <w:r>
                    <w:rPr>
                      <w:rFonts w:hint="eastAsia"/>
                      <w:color w:val="auto"/>
                      <w:highlight w:val="none"/>
                      <w:shd w:val="clear" w:fill="FFFFFF"/>
                    </w:rPr>
                    <w:t>(</w:t>
                  </w:r>
                  <w:r>
                    <w:rPr>
                      <w:rFonts w:hint="eastAsia"/>
                      <w:color w:val="auto"/>
                      <w:highlight w:val="none"/>
                      <w:lang w:eastAsia="zh-CN"/>
                    </w:rPr>
                    <w:t>总量</w:t>
                  </w:r>
                  <w:r>
                    <w:rPr>
                      <w:rFonts w:hint="eastAsia"/>
                      <w:color w:val="auto"/>
                      <w:highlight w:val="none"/>
                      <w:shd w:val="clear" w:fill="FFFFFF"/>
                    </w:rPr>
                    <w:t>)</w:t>
                  </w:r>
                  <w:r>
                    <w:rPr>
                      <w:rFonts w:hint="eastAsia"/>
                      <w:color w:val="auto"/>
                      <w:highlight w:val="none"/>
                      <w:lang w:eastAsia="zh-CN"/>
                    </w:rPr>
                    <w:t>、</w:t>
                  </w:r>
                  <w:r>
                    <w:rPr>
                      <w:rFonts w:hint="eastAsia"/>
                      <w:color w:val="auto"/>
                      <w:highlight w:val="none"/>
                    </w:rPr>
                    <w:t>氯酚</w:t>
                  </w:r>
                  <w:r>
                    <w:rPr>
                      <w:rFonts w:hint="eastAsia"/>
                      <w:color w:val="auto"/>
                      <w:highlight w:val="none"/>
                      <w:shd w:val="clear" w:fill="FFFFFF"/>
                    </w:rPr>
                    <w:t>(</w:t>
                  </w:r>
                  <w:r>
                    <w:rPr>
                      <w:rFonts w:hint="eastAsia"/>
                      <w:color w:val="auto"/>
                      <w:highlight w:val="none"/>
                    </w:rPr>
                    <w:t>总量</w:t>
                  </w:r>
                  <w:r>
                    <w:rPr>
                      <w:rFonts w:hint="eastAsia"/>
                      <w:color w:val="auto"/>
                      <w:highlight w:val="none"/>
                      <w:shd w:val="clear" w:fill="FFFFFF"/>
                    </w:rPr>
                    <w:t>)</w:t>
                  </w:r>
                  <w:r>
                    <w:rPr>
                      <w:rFonts w:hint="eastAsia"/>
                      <w:color w:val="auto"/>
                      <w:highlight w:val="none"/>
                      <w:lang w:eastAsia="zh-CN"/>
                    </w:rPr>
                    <w:t>、</w:t>
                  </w:r>
                  <w:r>
                    <w:rPr>
                      <w:rFonts w:hint="eastAsia"/>
                      <w:b/>
                      <w:bCs/>
                      <w:color w:val="auto"/>
                      <w:highlight w:val="none"/>
                    </w:rPr>
                    <w:t>2,4,6-三氯酚</w:t>
                  </w:r>
                  <w:r>
                    <w:rPr>
                      <w:rFonts w:hint="eastAsia"/>
                      <w:color w:val="auto"/>
                      <w:highlight w:val="none"/>
                      <w:lang w:eastAsia="zh-CN"/>
                    </w:rPr>
                    <w:t>、</w:t>
                  </w:r>
                  <w:r>
                    <w:rPr>
                      <w:rFonts w:hint="eastAsia"/>
                      <w:color w:val="auto"/>
                      <w:highlight w:val="none"/>
                    </w:rPr>
                    <w:t>TOC</w:t>
                  </w:r>
                  <w:r>
                    <w:rPr>
                      <w:rFonts w:hint="eastAsia"/>
                      <w:color w:val="auto"/>
                      <w:highlight w:val="none"/>
                      <w:lang w:eastAsia="zh-CN"/>
                    </w:rPr>
                    <w:t>、</w:t>
                  </w:r>
                  <w:r>
                    <w:rPr>
                      <w:rFonts w:hint="eastAsia"/>
                      <w:b/>
                      <w:bCs/>
                      <w:color w:val="auto"/>
                      <w:highlight w:val="none"/>
                    </w:rPr>
                    <w:t>五氯酚</w:t>
                  </w:r>
                  <w:r>
                    <w:rPr>
                      <w:rFonts w:hint="eastAsia"/>
                      <w:b/>
                      <w:bCs/>
                      <w:color w:val="auto"/>
                      <w:highlight w:val="none"/>
                      <w:lang w:eastAsia="zh-CN"/>
                    </w:rPr>
                    <w:t>、</w:t>
                  </w:r>
                  <w:r>
                    <w:rPr>
                      <w:rFonts w:hint="eastAsia"/>
                      <w:b/>
                      <w:bCs/>
                      <w:color w:val="auto"/>
                      <w:highlight w:val="none"/>
                    </w:rPr>
                    <w:t>乐果</w:t>
                  </w:r>
                  <w:r>
                    <w:rPr>
                      <w:rFonts w:hint="eastAsia"/>
                      <w:b/>
                      <w:bCs/>
                      <w:color w:val="auto"/>
                      <w:highlight w:val="none"/>
                      <w:lang w:eastAsia="zh-CN"/>
                    </w:rPr>
                    <w:t>、</w:t>
                  </w:r>
                  <w:r>
                    <w:rPr>
                      <w:rFonts w:hint="eastAsia"/>
                      <w:color w:val="auto"/>
                      <w:highlight w:val="none"/>
                    </w:rPr>
                    <w:t>甲基对硫磷</w:t>
                  </w:r>
                  <w:r>
                    <w:rPr>
                      <w:rFonts w:hint="eastAsia"/>
                      <w:color w:val="auto"/>
                      <w:highlight w:val="none"/>
                      <w:lang w:eastAsia="zh-CN"/>
                    </w:rPr>
                    <w:t>、</w:t>
                  </w:r>
                  <w:r>
                    <w:rPr>
                      <w:rFonts w:hint="eastAsia"/>
                      <w:color w:val="auto"/>
                      <w:highlight w:val="none"/>
                    </w:rPr>
                    <w:t>对硫磷</w:t>
                  </w:r>
                  <w:r>
                    <w:rPr>
                      <w:rFonts w:hint="eastAsia"/>
                      <w:color w:val="auto"/>
                      <w:highlight w:val="none"/>
                      <w:lang w:eastAsia="zh-CN"/>
                    </w:rPr>
                    <w:t>、</w:t>
                  </w:r>
                  <w:r>
                    <w:rPr>
                      <w:rFonts w:hint="eastAsia"/>
                      <w:color w:val="auto"/>
                      <w:highlight w:val="none"/>
                    </w:rPr>
                    <w:t>甲胺磷</w:t>
                  </w:r>
                  <w:r>
                    <w:rPr>
                      <w:rFonts w:hint="eastAsia"/>
                      <w:color w:val="auto"/>
                      <w:highlight w:val="none"/>
                      <w:lang w:eastAsia="zh-CN"/>
                    </w:rPr>
                    <w:t>、</w:t>
                  </w:r>
                  <w:r>
                    <w:rPr>
                      <w:rFonts w:hint="eastAsia"/>
                      <w:b/>
                      <w:bCs/>
                      <w:color w:val="auto"/>
                      <w:highlight w:val="none"/>
                    </w:rPr>
                    <w:t>2,4</w:t>
                  </w:r>
                  <w:r>
                    <w:rPr>
                      <w:rFonts w:hint="eastAsia"/>
                      <w:b/>
                      <w:bCs/>
                      <w:color w:val="auto"/>
                      <w:highlight w:val="none"/>
                      <w:shd w:val="clear" w:fill="FFFFFF"/>
                    </w:rPr>
                    <w:t>-</w:t>
                  </w:r>
                  <w:r>
                    <w:rPr>
                      <w:rFonts w:hint="eastAsia"/>
                      <w:b/>
                      <w:bCs/>
                      <w:color w:val="auto"/>
                      <w:highlight w:val="none"/>
                    </w:rPr>
                    <w:t>滴</w:t>
                  </w:r>
                  <w:r>
                    <w:rPr>
                      <w:rFonts w:hint="eastAsia"/>
                      <w:b/>
                      <w:bCs/>
                      <w:color w:val="auto"/>
                      <w:highlight w:val="none"/>
                      <w:lang w:eastAsia="zh-CN"/>
                    </w:rPr>
                    <w:t>、溴氰菊酯、</w:t>
                  </w:r>
                  <w:r>
                    <w:rPr>
                      <w:rFonts w:hint="eastAsia"/>
                      <w:color w:val="auto"/>
                      <w:highlight w:val="none"/>
                      <w:shd w:val="clear" w:fill="FFFFFF"/>
                      <w:lang w:eastAsia="zh-CN"/>
                    </w:rPr>
                    <w:t>二氧甲烷</w:t>
                  </w:r>
                  <w:r>
                    <w:rPr>
                      <w:rFonts w:hint="eastAsia"/>
                      <w:color w:val="auto"/>
                      <w:highlight w:val="none"/>
                      <w:lang w:eastAsia="zh-CN"/>
                    </w:rPr>
                    <w:t>、1,1,1-三氯乙烷、1,1,2-三氯乙烷、</w:t>
                  </w:r>
                  <w:r>
                    <w:rPr>
                      <w:rFonts w:hint="eastAsia"/>
                      <w:b/>
                      <w:bCs/>
                      <w:color w:val="auto"/>
                      <w:highlight w:val="none"/>
                      <w:lang w:eastAsia="zh-CN"/>
                    </w:rPr>
                    <w:t>氯乙烯</w:t>
                  </w:r>
                  <w:r>
                    <w:rPr>
                      <w:rFonts w:hint="eastAsia"/>
                      <w:color w:val="auto"/>
                      <w:highlight w:val="none"/>
                      <w:lang w:eastAsia="zh-CN"/>
                    </w:rPr>
                    <w:t>、</w:t>
                  </w:r>
                  <w:r>
                    <w:rPr>
                      <w:rFonts w:hint="eastAsia"/>
                      <w:b/>
                      <w:bCs/>
                      <w:color w:val="auto"/>
                      <w:highlight w:val="none"/>
                      <w:lang w:eastAsia="zh-CN"/>
                    </w:rPr>
                    <w:t>一氯苯、1</w:t>
                  </w:r>
                  <w:r>
                    <w:rPr>
                      <w:rFonts w:hint="eastAsia"/>
                      <w:color w:val="auto"/>
                      <w:highlight w:val="none"/>
                      <w:lang w:eastAsia="zh-CN"/>
                    </w:rPr>
                    <w:t>,</w:t>
                  </w:r>
                  <w:r>
                    <w:rPr>
                      <w:rFonts w:hint="eastAsia"/>
                      <w:b/>
                      <w:bCs/>
                      <w:color w:val="auto"/>
                      <w:highlight w:val="none"/>
                      <w:lang w:eastAsia="zh-CN"/>
                    </w:rPr>
                    <w:t>2-二氯苯、1,4-二氯苯、三氯苯</w:t>
                  </w:r>
                  <w:r>
                    <w:rPr>
                      <w:rFonts w:hint="eastAsia"/>
                      <w:b/>
                      <w:bCs/>
                      <w:color w:val="auto"/>
                      <w:highlight w:val="none"/>
                      <w:shd w:val="clear" w:fill="FFFFFF"/>
                      <w:lang w:eastAsia="zh-CN"/>
                    </w:rPr>
                    <w:t>(</w:t>
                  </w:r>
                  <w:r>
                    <w:rPr>
                      <w:rFonts w:hint="eastAsia"/>
                      <w:b/>
                      <w:bCs/>
                      <w:color w:val="auto"/>
                      <w:highlight w:val="none"/>
                      <w:lang w:eastAsia="zh-CN"/>
                    </w:rPr>
                    <w:t>总量</w:t>
                  </w:r>
                  <w:r>
                    <w:rPr>
                      <w:rFonts w:hint="eastAsia"/>
                      <w:b/>
                      <w:bCs/>
                      <w:color w:val="auto"/>
                      <w:highlight w:val="none"/>
                      <w:shd w:val="clear" w:fill="FFFFFF"/>
                      <w:lang w:eastAsia="zh-CN"/>
                    </w:rPr>
                    <w:t>)</w:t>
                  </w:r>
                  <w:r>
                    <w:rPr>
                      <w:rFonts w:hint="eastAsia"/>
                      <w:color w:val="auto"/>
                      <w:highlight w:val="none"/>
                      <w:lang w:eastAsia="zh-CN"/>
                    </w:rPr>
                    <w:t>、多环芳烃</w:t>
                  </w:r>
                  <w:r>
                    <w:rPr>
                      <w:rFonts w:hint="eastAsia"/>
                      <w:color w:val="auto"/>
                      <w:highlight w:val="none"/>
                      <w:shd w:val="clear" w:fill="FFFFFF"/>
                      <w:lang w:eastAsia="zh-CN"/>
                    </w:rPr>
                    <w:t>(</w:t>
                  </w:r>
                  <w:r>
                    <w:rPr>
                      <w:rFonts w:hint="eastAsia"/>
                      <w:color w:val="auto"/>
                      <w:highlight w:val="none"/>
                      <w:lang w:eastAsia="zh-CN"/>
                    </w:rPr>
                    <w:t>总量</w:t>
                  </w:r>
                  <w:r>
                    <w:rPr>
                      <w:rFonts w:hint="eastAsia"/>
                      <w:color w:val="auto"/>
                      <w:highlight w:val="none"/>
                      <w:shd w:val="clear" w:fill="FFFFFF"/>
                      <w:lang w:eastAsia="zh-CN"/>
                    </w:rPr>
                    <w:t>)</w:t>
                  </w:r>
                  <w:r>
                    <w:rPr>
                      <w:rFonts w:hint="eastAsia"/>
                      <w:color w:val="auto"/>
                      <w:highlight w:val="none"/>
                      <w:lang w:eastAsia="zh-CN"/>
                    </w:rPr>
                    <w:t>、</w:t>
                  </w:r>
                  <w:r>
                    <w:rPr>
                      <w:rFonts w:hint="eastAsia"/>
                      <w:b/>
                      <w:bCs/>
                      <w:color w:val="auto"/>
                      <w:highlight w:val="none"/>
                      <w:lang w:eastAsia="zh-CN"/>
                    </w:rPr>
                    <w:t>苯</w:t>
                  </w:r>
                  <w:r>
                    <w:rPr>
                      <w:rFonts w:hint="eastAsia"/>
                      <w:b/>
                      <w:bCs/>
                      <w:color w:val="auto"/>
                      <w:highlight w:val="none"/>
                      <w:lang w:val="en-US" w:eastAsia="zh-CN"/>
                    </w:rPr>
                    <w:t>并</w:t>
                  </w:r>
                  <w:r>
                    <w:rPr>
                      <w:rFonts w:hint="eastAsia"/>
                      <w:b/>
                      <w:bCs/>
                      <w:color w:val="auto"/>
                      <w:highlight w:val="none"/>
                      <w:lang w:eastAsia="zh-CN"/>
                    </w:rPr>
                    <w:t>[a]芘</w:t>
                  </w:r>
                  <w:r>
                    <w:rPr>
                      <w:rFonts w:hint="eastAsia"/>
                      <w:color w:val="auto"/>
                      <w:highlight w:val="none"/>
                      <w:lang w:eastAsia="zh-CN"/>
                    </w:rPr>
                    <w:t>、二</w:t>
                  </w:r>
                  <w:r>
                    <w:rPr>
                      <w:rFonts w:hint="eastAsia"/>
                      <w:color w:val="auto"/>
                      <w:highlight w:val="none"/>
                      <w:shd w:val="clear" w:fill="FFFFFF"/>
                      <w:lang w:eastAsia="zh-CN"/>
                    </w:rPr>
                    <w:t>(</w:t>
                  </w:r>
                  <w:r>
                    <w:rPr>
                      <w:rFonts w:hint="eastAsia"/>
                      <w:color w:val="auto"/>
                      <w:highlight w:val="none"/>
                      <w:lang w:eastAsia="zh-CN"/>
                    </w:rPr>
                    <w:t>2</w:t>
                  </w:r>
                  <w:r>
                    <w:rPr>
                      <w:rFonts w:hint="eastAsia"/>
                      <w:color w:val="auto"/>
                      <w:highlight w:val="none"/>
                      <w:shd w:val="clear" w:fill="FFFFFF"/>
                      <w:lang w:eastAsia="zh-CN"/>
                    </w:rPr>
                    <w:t>-乙基已基)</w:t>
                  </w:r>
                  <w:r>
                    <w:rPr>
                      <w:rFonts w:hint="eastAsia"/>
                      <w:color w:val="auto"/>
                      <w:highlight w:val="none"/>
                      <w:lang w:eastAsia="zh-CN"/>
                    </w:rPr>
                    <w:t>邻苯二甲酸酯、</w:t>
                  </w:r>
                  <w:r>
                    <w:rPr>
                      <w:rFonts w:hint="eastAsia"/>
                      <w:b/>
                      <w:bCs/>
                      <w:color w:val="auto"/>
                      <w:highlight w:val="none"/>
                      <w:lang w:eastAsia="zh-CN"/>
                    </w:rPr>
                    <w:t>环氧氯丙烷、微囊藻毒素-LR、</w:t>
                  </w:r>
                  <w:r>
                    <w:rPr>
                      <w:rFonts w:hint="eastAsia"/>
                      <w:color w:val="auto"/>
                      <w:highlight w:val="none"/>
                      <w:lang w:eastAsia="zh-CN"/>
                    </w:rPr>
                    <w:t>卤乙酸</w:t>
                  </w:r>
                  <w:r>
                    <w:rPr>
                      <w:rFonts w:hint="eastAsia"/>
                      <w:color w:val="auto"/>
                      <w:highlight w:val="none"/>
                      <w:shd w:val="clear" w:fill="FFFFFF"/>
                      <w:lang w:eastAsia="zh-CN"/>
                    </w:rPr>
                    <w:t>(</w:t>
                  </w:r>
                  <w:r>
                    <w:rPr>
                      <w:rFonts w:hint="eastAsia"/>
                      <w:color w:val="auto"/>
                      <w:highlight w:val="none"/>
                      <w:lang w:eastAsia="zh-CN"/>
                    </w:rPr>
                    <w:t>总量</w:t>
                  </w:r>
                  <w:r>
                    <w:rPr>
                      <w:rFonts w:hint="eastAsia"/>
                      <w:color w:val="auto"/>
                      <w:highlight w:val="none"/>
                      <w:shd w:val="clear" w:fill="FFFFFF"/>
                      <w:lang w:eastAsia="zh-CN"/>
                    </w:rPr>
                    <w:t>)</w:t>
                  </w:r>
                  <w:r>
                    <w:rPr>
                      <w:rFonts w:hint="eastAsia"/>
                      <w:color w:val="auto"/>
                      <w:highlight w:val="none"/>
                      <w:lang w:eastAsia="zh-CN"/>
                    </w:rPr>
                    <w:t>、芳去津</w:t>
                  </w:r>
                  <w:r>
                    <w:rPr>
                      <w:rFonts w:hint="eastAsia"/>
                      <w:color w:val="auto"/>
                      <w:highlight w:val="none"/>
                      <w:shd w:val="clear" w:fill="FFFFFF"/>
                      <w:lang w:eastAsia="zh-CN"/>
                    </w:rPr>
                    <w:t>(</w:t>
                  </w:r>
                  <w:r>
                    <w:rPr>
                      <w:rFonts w:hint="eastAsia"/>
                      <w:color w:val="auto"/>
                      <w:highlight w:val="none"/>
                      <w:lang w:eastAsia="zh-CN"/>
                    </w:rPr>
                    <w:t>阿特拉津</w:t>
                  </w:r>
                  <w:r>
                    <w:rPr>
                      <w:rFonts w:hint="eastAsia"/>
                      <w:color w:val="auto"/>
                      <w:highlight w:val="none"/>
                      <w:shd w:val="clear" w:fill="FFFFFF"/>
                      <w:lang w:eastAsia="zh-CN"/>
                    </w:rPr>
                    <w:t>)</w:t>
                  </w:r>
                  <w:r>
                    <w:rPr>
                      <w:rFonts w:hint="eastAsia"/>
                      <w:color w:val="auto"/>
                      <w:highlight w:val="none"/>
                      <w:lang w:eastAsia="zh-CN"/>
                    </w:rPr>
                    <w:t>、大氯苯</w:t>
                  </w:r>
                </w:p>
              </w:tc>
            </w:tr>
            <w:tr w14:paraId="44249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7" w:type="pct"/>
                  <w:vMerge w:val="restart"/>
                  <w:noWrap w:val="0"/>
                  <w:vAlign w:val="center"/>
                </w:tcPr>
                <w:p w14:paraId="47903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3</w:t>
                  </w:r>
                </w:p>
              </w:tc>
              <w:tc>
                <w:tcPr>
                  <w:tcW w:w="405" w:type="pct"/>
                  <w:vMerge w:val="restart"/>
                  <w:noWrap w:val="0"/>
                  <w:vAlign w:val="center"/>
                </w:tcPr>
                <w:p w14:paraId="58A7C8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感官性状和一般化学指标</w:t>
                  </w:r>
                </w:p>
              </w:tc>
              <w:tc>
                <w:tcPr>
                  <w:tcW w:w="705" w:type="pct"/>
                  <w:vMerge w:val="restart"/>
                  <w:noWrap w:val="0"/>
                  <w:vAlign w:val="center"/>
                </w:tcPr>
                <w:p w14:paraId="5153A2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《生活饮用水卫生标准》（GB 5749-2022）</w:t>
                  </w:r>
                </w:p>
              </w:tc>
              <w:tc>
                <w:tcPr>
                  <w:tcW w:w="643" w:type="pct"/>
                  <w:noWrap w:val="0"/>
                  <w:vAlign w:val="center"/>
                </w:tcPr>
                <w:p w14:paraId="305313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常规指标</w:t>
                  </w:r>
                </w:p>
              </w:tc>
              <w:tc>
                <w:tcPr>
                  <w:tcW w:w="2977" w:type="pct"/>
                  <w:noWrap w:val="0"/>
                  <w:vAlign w:val="center"/>
                </w:tcPr>
                <w:p w14:paraId="39484606">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色度（铂钴色度单位）</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浑浊度（散射浑浊度单位）</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臭和味</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肉眼可见物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pH</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铝</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铁</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锰</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铜</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锌</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氯化物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硫酸盐</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溶解性总固体</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总硬度（以CaCO</w:t>
                  </w:r>
                  <w:r>
                    <w:rPr>
                      <w:rFonts w:hint="default" w:ascii="Times New Roman" w:hAnsi="Times New Roman" w:cs="Times New Roman"/>
                      <w:b/>
                      <w:bCs/>
                      <w:color w:val="auto"/>
                      <w:sz w:val="21"/>
                      <w:szCs w:val="21"/>
                      <w:highlight w:val="none"/>
                      <w:vertAlign w:val="subscript"/>
                      <w:lang w:val="en-US" w:eastAsia="zh-CN"/>
                    </w:rPr>
                    <w:t>3</w:t>
                  </w:r>
                  <w:r>
                    <w:rPr>
                      <w:rFonts w:hint="default" w:ascii="Times New Roman" w:hAnsi="Times New Roman" w:cs="Times New Roman"/>
                      <w:b/>
                      <w:bCs/>
                      <w:color w:val="auto"/>
                      <w:sz w:val="21"/>
                      <w:szCs w:val="21"/>
                      <w:highlight w:val="none"/>
                      <w:lang w:val="en-US" w:eastAsia="zh-CN"/>
                    </w:rPr>
                    <w:t>计）</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高锰酸盐指数（以O</w:t>
                  </w:r>
                  <w:r>
                    <w:rPr>
                      <w:rFonts w:hint="default" w:ascii="Times New Roman" w:hAnsi="Times New Roman" w:cs="Times New Roman"/>
                      <w:b/>
                      <w:bCs/>
                      <w:color w:val="auto"/>
                      <w:sz w:val="21"/>
                      <w:szCs w:val="21"/>
                      <w:highlight w:val="none"/>
                      <w:vertAlign w:val="subscript"/>
                      <w:lang w:val="en-US" w:eastAsia="zh-CN"/>
                    </w:rPr>
                    <w:t>2</w:t>
                  </w:r>
                  <w:r>
                    <w:rPr>
                      <w:rFonts w:hint="default" w:ascii="Times New Roman" w:hAnsi="Times New Roman" w:cs="Times New Roman"/>
                      <w:b/>
                      <w:bCs/>
                      <w:color w:val="auto"/>
                      <w:sz w:val="21"/>
                      <w:szCs w:val="21"/>
                      <w:highlight w:val="none"/>
                      <w:lang w:val="en-US" w:eastAsia="zh-CN"/>
                    </w:rPr>
                    <w:t>计）</w:t>
                  </w:r>
                  <w:r>
                    <w:rPr>
                      <w:rFonts w:hint="eastAsia" w:cs="Times New Roman"/>
                      <w:b w:val="0"/>
                      <w:bCs w:val="0"/>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氨（以N计）</w:t>
                  </w:r>
                </w:p>
              </w:tc>
            </w:tr>
            <w:tr w14:paraId="16B6F7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267" w:type="pct"/>
                  <w:vMerge w:val="continue"/>
                  <w:noWrap w:val="0"/>
                  <w:vAlign w:val="center"/>
                </w:tcPr>
                <w:p w14:paraId="274688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highlight w:val="none"/>
                    </w:rPr>
                  </w:pPr>
                </w:p>
              </w:tc>
              <w:tc>
                <w:tcPr>
                  <w:tcW w:w="405" w:type="pct"/>
                  <w:vMerge w:val="continue"/>
                  <w:noWrap w:val="0"/>
                  <w:vAlign w:val="center"/>
                </w:tcPr>
                <w:p w14:paraId="0CF8593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highlight w:val="none"/>
                    </w:rPr>
                  </w:pPr>
                </w:p>
              </w:tc>
              <w:tc>
                <w:tcPr>
                  <w:tcW w:w="705" w:type="pct"/>
                  <w:vMerge w:val="continue"/>
                  <w:noWrap w:val="0"/>
                  <w:vAlign w:val="center"/>
                </w:tcPr>
                <w:p w14:paraId="2FB46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highlight w:val="none"/>
                    </w:rPr>
                  </w:pPr>
                </w:p>
              </w:tc>
              <w:tc>
                <w:tcPr>
                  <w:tcW w:w="643" w:type="pct"/>
                  <w:noWrap w:val="0"/>
                  <w:vAlign w:val="center"/>
                </w:tcPr>
                <w:p w14:paraId="2D57D9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highlight w:val="none"/>
                    </w:rPr>
                  </w:pPr>
                  <w:r>
                    <w:rPr>
                      <w:rFonts w:hint="eastAsia" w:cs="Times New Roman"/>
                      <w:b w:val="0"/>
                      <w:bCs w:val="0"/>
                      <w:color w:val="auto"/>
                      <w:sz w:val="21"/>
                      <w:szCs w:val="21"/>
                      <w:highlight w:val="none"/>
                      <w:lang w:val="en-US" w:eastAsia="zh-CN"/>
                    </w:rPr>
                    <w:t>扩展指标</w:t>
                  </w:r>
                </w:p>
              </w:tc>
              <w:tc>
                <w:tcPr>
                  <w:tcW w:w="2977" w:type="pct"/>
                  <w:noWrap w:val="0"/>
                  <w:vAlign w:val="center"/>
                </w:tcPr>
                <w:p w14:paraId="6C9EA0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highlight w:val="none"/>
                    </w:rPr>
                  </w:pPr>
                  <w:r>
                    <w:rPr>
                      <w:rFonts w:hint="eastAsia"/>
                      <w:b/>
                      <w:bCs/>
                      <w:color w:val="auto"/>
                      <w:highlight w:val="none"/>
                    </w:rPr>
                    <w:t>钠</w:t>
                  </w:r>
                  <w:r>
                    <w:rPr>
                      <w:rFonts w:hint="eastAsia"/>
                      <w:b/>
                      <w:bCs/>
                      <w:color w:val="auto"/>
                      <w:highlight w:val="none"/>
                      <w:lang w:eastAsia="zh-CN"/>
                    </w:rPr>
                    <w:t>、</w:t>
                  </w:r>
                  <w:r>
                    <w:rPr>
                      <w:rFonts w:hint="eastAsia"/>
                      <w:b/>
                      <w:bCs/>
                      <w:color w:val="auto"/>
                      <w:highlight w:val="none"/>
                    </w:rPr>
                    <w:t>挥发酚类（以苯酚计）</w:t>
                  </w:r>
                  <w:r>
                    <w:rPr>
                      <w:rFonts w:hint="eastAsia"/>
                      <w:b/>
                      <w:bCs/>
                      <w:color w:val="auto"/>
                      <w:highlight w:val="none"/>
                      <w:lang w:eastAsia="zh-CN"/>
                    </w:rPr>
                    <w:t>、</w:t>
                  </w:r>
                  <w:r>
                    <w:rPr>
                      <w:rFonts w:hint="eastAsia"/>
                      <w:b/>
                      <w:bCs/>
                      <w:color w:val="auto"/>
                      <w:highlight w:val="none"/>
                    </w:rPr>
                    <w:t>阴离子合成洗涤剂</w:t>
                  </w:r>
                  <w:r>
                    <w:rPr>
                      <w:rFonts w:hint="eastAsia"/>
                      <w:b/>
                      <w:bCs/>
                      <w:color w:val="auto"/>
                      <w:highlight w:val="none"/>
                      <w:lang w:eastAsia="zh-CN"/>
                    </w:rPr>
                    <w:t>、</w:t>
                  </w:r>
                  <w:r>
                    <w:rPr>
                      <w:rFonts w:hint="eastAsia"/>
                      <w:color w:val="auto"/>
                      <w:highlight w:val="none"/>
                    </w:rPr>
                    <w:t>2-甲基异莰醇</w:t>
                  </w:r>
                  <w:r>
                    <w:rPr>
                      <w:rFonts w:hint="eastAsia"/>
                      <w:color w:val="auto"/>
                      <w:highlight w:val="none"/>
                      <w:lang w:eastAsia="zh-CN"/>
                    </w:rPr>
                    <w:t>、</w:t>
                  </w:r>
                  <w:r>
                    <w:rPr>
                      <w:rFonts w:hint="eastAsia"/>
                      <w:color w:val="auto"/>
                      <w:highlight w:val="none"/>
                    </w:rPr>
                    <w:t>土臭素</w:t>
                  </w:r>
                </w:p>
              </w:tc>
            </w:tr>
            <w:tr w14:paraId="7D7846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67" w:type="pct"/>
                  <w:vMerge w:val="continue"/>
                  <w:noWrap w:val="0"/>
                  <w:vAlign w:val="center"/>
                </w:tcPr>
                <w:p w14:paraId="76118B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rPr>
                  </w:pPr>
                </w:p>
              </w:tc>
              <w:tc>
                <w:tcPr>
                  <w:tcW w:w="405" w:type="pct"/>
                  <w:vMerge w:val="continue"/>
                  <w:noWrap w:val="0"/>
                  <w:vAlign w:val="center"/>
                </w:tcPr>
                <w:p w14:paraId="0D090B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705" w:type="pct"/>
                  <w:vMerge w:val="restart"/>
                  <w:noWrap w:val="0"/>
                  <w:vAlign w:val="center"/>
                </w:tcPr>
                <w:p w14:paraId="0A0D47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color w:val="auto"/>
                      <w:highlight w:val="none"/>
                      <w:lang w:val="en-US" w:eastAsia="zh-CN"/>
                    </w:rPr>
                    <w:t>《城市供水水质标准》（CJ/T 206-2005）</w:t>
                  </w:r>
                </w:p>
              </w:tc>
              <w:tc>
                <w:tcPr>
                  <w:tcW w:w="643" w:type="pct"/>
                  <w:noWrap w:val="0"/>
                  <w:vAlign w:val="center"/>
                </w:tcPr>
                <w:p w14:paraId="20552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cs="Times New Roman"/>
                      <w:b w:val="0"/>
                      <w:bCs w:val="0"/>
                      <w:color w:val="auto"/>
                      <w:sz w:val="21"/>
                      <w:szCs w:val="21"/>
                      <w:highlight w:val="none"/>
                      <w:lang w:val="en-US" w:eastAsia="zh-CN"/>
                    </w:rPr>
                    <w:t>常规指标</w:t>
                  </w:r>
                </w:p>
              </w:tc>
              <w:tc>
                <w:tcPr>
                  <w:tcW w:w="2977" w:type="pct"/>
                  <w:noWrap w:val="0"/>
                  <w:vAlign w:val="center"/>
                </w:tcPr>
                <w:p w14:paraId="572773E8">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色度</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臭和味</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浑浊度</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肉眼可见物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氯化物</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铝</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铜</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总硬度</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以CaCO</w:t>
                  </w:r>
                  <w:r>
                    <w:rPr>
                      <w:rFonts w:hint="default" w:ascii="Times New Roman" w:hAnsi="Times New Roman" w:cs="Times New Roman"/>
                      <w:b/>
                      <w:bCs/>
                      <w:color w:val="auto"/>
                      <w:sz w:val="21"/>
                      <w:szCs w:val="21"/>
                      <w:highlight w:val="none"/>
                      <w:vertAlign w:val="subscript"/>
                      <w:lang w:val="en-US" w:eastAsia="zh-CN"/>
                    </w:rPr>
                    <w:t>3</w:t>
                  </w:r>
                  <w:r>
                    <w:rPr>
                      <w:rFonts w:hint="default" w:ascii="Times New Roman" w:hAnsi="Times New Roman" w:cs="Times New Roman"/>
                      <w:b/>
                      <w:bCs/>
                      <w:color w:val="auto"/>
                      <w:sz w:val="21"/>
                      <w:szCs w:val="21"/>
                      <w:highlight w:val="none"/>
                      <w:lang w:val="en-US" w:eastAsia="zh-CN"/>
                    </w:rPr>
                    <w:t>计</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铁</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锰</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pH</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硫酸盐</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溶解性总固体</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锌</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挥发酚</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以苯酚计</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阴离子合成洗涤剂</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耗氧量</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shd w:val="clear" w:fill="FFFFFF"/>
                      <w:lang w:val="en-US" w:eastAsia="zh-CN"/>
                    </w:rPr>
                    <w:t>COD</w:t>
                  </w:r>
                  <w:r>
                    <w:rPr>
                      <w:rFonts w:hint="default" w:ascii="Times New Roman" w:hAnsi="Times New Roman" w:cs="Times New Roman"/>
                      <w:b/>
                      <w:bCs/>
                      <w:color w:val="auto"/>
                      <w:sz w:val="21"/>
                      <w:szCs w:val="21"/>
                      <w:highlight w:val="none"/>
                      <w:shd w:val="clear" w:fill="FFFFFF"/>
                      <w:vertAlign w:val="subscript"/>
                      <w:lang w:val="en-US" w:eastAsia="zh-CN"/>
                    </w:rPr>
                    <w:t>M</w:t>
                  </w:r>
                  <w:r>
                    <w:rPr>
                      <w:rFonts w:hint="eastAsia" w:cs="Times New Roman"/>
                      <w:b/>
                      <w:bCs/>
                      <w:color w:val="auto"/>
                      <w:sz w:val="21"/>
                      <w:szCs w:val="21"/>
                      <w:highlight w:val="none"/>
                      <w:shd w:val="clear" w:fill="FFFFFF"/>
                      <w:vertAlign w:val="subscript"/>
                      <w:lang w:val="en-US" w:eastAsia="zh-CN"/>
                    </w:rPr>
                    <w:t>n</w:t>
                  </w:r>
                  <w:r>
                    <w:rPr>
                      <w:rFonts w:hint="default" w:ascii="Times New Roman" w:hAnsi="Times New Roman" w:cs="Times New Roman"/>
                      <w:b/>
                      <w:bCs/>
                      <w:color w:val="auto"/>
                      <w:sz w:val="21"/>
                      <w:szCs w:val="21"/>
                      <w:highlight w:val="none"/>
                      <w:lang w:val="en-US" w:eastAsia="zh-CN"/>
                    </w:rPr>
                    <w:t>以O₂计</w:t>
                  </w:r>
                  <w:r>
                    <w:rPr>
                      <w:rFonts w:hint="eastAsia" w:cs="Times New Roman"/>
                      <w:b/>
                      <w:bCs/>
                      <w:color w:val="auto"/>
                      <w:sz w:val="21"/>
                      <w:szCs w:val="21"/>
                      <w:highlight w:val="none"/>
                      <w:lang w:val="en-US" w:eastAsia="zh-CN"/>
                    </w:rPr>
                    <w:t>）</w:t>
                  </w:r>
                </w:p>
              </w:tc>
            </w:tr>
            <w:tr w14:paraId="214A08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67" w:type="pct"/>
                  <w:vMerge w:val="continue"/>
                  <w:noWrap w:val="0"/>
                  <w:vAlign w:val="center"/>
                </w:tcPr>
                <w:p w14:paraId="26805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rPr>
                  </w:pPr>
                </w:p>
              </w:tc>
              <w:tc>
                <w:tcPr>
                  <w:tcW w:w="405" w:type="pct"/>
                  <w:vMerge w:val="continue"/>
                  <w:noWrap w:val="0"/>
                  <w:vAlign w:val="center"/>
                </w:tcPr>
                <w:p w14:paraId="4F8F4D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705" w:type="pct"/>
                  <w:vMerge w:val="continue"/>
                  <w:noWrap w:val="0"/>
                  <w:vAlign w:val="center"/>
                </w:tcPr>
                <w:p w14:paraId="659BD2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highlight w:val="none"/>
                      <w:lang w:val="en-US" w:eastAsia="zh-CN"/>
                    </w:rPr>
                  </w:pPr>
                </w:p>
              </w:tc>
              <w:tc>
                <w:tcPr>
                  <w:tcW w:w="643" w:type="pct"/>
                  <w:noWrap w:val="0"/>
                  <w:vAlign w:val="center"/>
                </w:tcPr>
                <w:p w14:paraId="6814FE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highlight w:val="none"/>
                      <w:lang w:val="en-US" w:eastAsia="zh-CN"/>
                    </w:rPr>
                  </w:pPr>
                  <w:r>
                    <w:rPr>
                      <w:rFonts w:hint="eastAsia"/>
                      <w:color w:val="auto"/>
                      <w:highlight w:val="none"/>
                    </w:rPr>
                    <w:t>非常规</w:t>
                  </w:r>
                  <w:r>
                    <w:rPr>
                      <w:rFonts w:hint="default" w:ascii="Times New Roman" w:hAnsi="Times New Roman" w:cs="Times New Roman"/>
                      <w:b w:val="0"/>
                      <w:bCs w:val="0"/>
                      <w:color w:val="auto"/>
                      <w:sz w:val="21"/>
                      <w:szCs w:val="21"/>
                      <w:highlight w:val="none"/>
                      <w:lang w:val="en-US" w:eastAsia="zh-CN"/>
                    </w:rPr>
                    <w:t>指标</w:t>
                  </w:r>
                </w:p>
              </w:tc>
              <w:tc>
                <w:tcPr>
                  <w:tcW w:w="2977" w:type="pct"/>
                  <w:noWrap w:val="0"/>
                  <w:vAlign w:val="center"/>
                </w:tcPr>
                <w:p w14:paraId="408BC932">
                  <w:pPr>
                    <w:keepNext w:val="0"/>
                    <w:keepLines w:val="0"/>
                    <w:suppressLineNumbers w:val="0"/>
                    <w:spacing w:before="0" w:beforeAutospacing="0" w:after="0" w:afterAutospacing="0"/>
                    <w:ind w:left="0" w:right="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氨氮</w:t>
                  </w:r>
                  <w:r>
                    <w:rPr>
                      <w:rFonts w:hint="eastAsia" w:cs="Times New Roman"/>
                      <w:b/>
                      <w:bCs/>
                      <w:color w:val="auto"/>
                      <w:sz w:val="21"/>
                      <w:szCs w:val="21"/>
                      <w:highlight w:val="none"/>
                      <w:lang w:val="en-US" w:eastAsia="zh-CN"/>
                    </w:rPr>
                    <w:t>、</w:t>
                  </w:r>
                  <w:r>
                    <w:rPr>
                      <w:rFonts w:hint="default" w:ascii="Times New Roman" w:hAnsi="Times New Roman" w:cs="Times New Roman"/>
                      <w:b w:val="0"/>
                      <w:bCs w:val="0"/>
                      <w:color w:val="auto"/>
                      <w:sz w:val="21"/>
                      <w:szCs w:val="21"/>
                      <w:highlight w:val="none"/>
                      <w:lang w:val="en-US" w:eastAsia="zh-CN"/>
                    </w:rPr>
                    <w:t>硫化物</w:t>
                  </w:r>
                  <w:r>
                    <w:rPr>
                      <w:rFonts w:hint="eastAsia" w:cs="Times New Roman"/>
                      <w:b w:val="0"/>
                      <w:bCs w:val="0"/>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钠</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银</w:t>
                  </w:r>
                </w:p>
              </w:tc>
            </w:tr>
            <w:tr w14:paraId="3BC5AE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67" w:type="pct"/>
                  <w:noWrap w:val="0"/>
                  <w:vAlign w:val="center"/>
                </w:tcPr>
                <w:p w14:paraId="698C2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4</w:t>
                  </w:r>
                </w:p>
              </w:tc>
              <w:tc>
                <w:tcPr>
                  <w:tcW w:w="405" w:type="pct"/>
                  <w:noWrap w:val="0"/>
                  <w:vAlign w:val="center"/>
                </w:tcPr>
                <w:p w14:paraId="5D909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放射性指标</w:t>
                  </w:r>
                </w:p>
              </w:tc>
              <w:tc>
                <w:tcPr>
                  <w:tcW w:w="1348" w:type="pct"/>
                  <w:gridSpan w:val="2"/>
                  <w:noWrap w:val="0"/>
                  <w:vAlign w:val="center"/>
                </w:tcPr>
                <w:p w14:paraId="779CA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《生活饮用水卫生标准》（GB 5749-2022）</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《城市供水水质标准》（CJ/T 206-2005）</w:t>
                  </w:r>
                </w:p>
              </w:tc>
              <w:tc>
                <w:tcPr>
                  <w:tcW w:w="2977" w:type="pct"/>
                  <w:noWrap w:val="0"/>
                  <w:vAlign w:val="center"/>
                </w:tcPr>
                <w:p w14:paraId="595F17F3">
                  <w:pPr>
                    <w:keepNext w:val="0"/>
                    <w:keepLines w:val="0"/>
                    <w:suppressLineNumbers w:val="0"/>
                    <w:spacing w:before="0" w:beforeAutospacing="0" w:after="0" w:afterAutospacing="0"/>
                    <w:ind w:left="0" w:right="0"/>
                    <w:jc w:val="both"/>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总a放射性</w:t>
                  </w:r>
                  <w:r>
                    <w:rPr>
                      <w:rFonts w:hint="eastAsia" w:cs="Times New Roman"/>
                      <w:b/>
                      <w:bCs/>
                      <w:color w:val="auto"/>
                      <w:sz w:val="21"/>
                      <w:szCs w:val="21"/>
                      <w:highlight w:val="none"/>
                      <w:lang w:val="en-US" w:eastAsia="zh-CN"/>
                    </w:rPr>
                    <w:t>、</w:t>
                  </w:r>
                  <w:r>
                    <w:rPr>
                      <w:rFonts w:hint="default" w:ascii="Times New Roman" w:hAnsi="Times New Roman" w:cs="Times New Roman"/>
                      <w:b/>
                      <w:bCs/>
                      <w:color w:val="auto"/>
                      <w:sz w:val="21"/>
                      <w:szCs w:val="21"/>
                      <w:highlight w:val="none"/>
                      <w:lang w:val="en-US" w:eastAsia="zh-CN"/>
                    </w:rPr>
                    <w:t>总β放射性</w:t>
                  </w:r>
                </w:p>
              </w:tc>
            </w:tr>
            <w:tr w14:paraId="3E5B6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000" w:type="pct"/>
                  <w:gridSpan w:val="5"/>
                  <w:noWrap w:val="0"/>
                  <w:vAlign w:val="center"/>
                </w:tcPr>
                <w:p w14:paraId="74BB8ACD">
                  <w:pPr>
                    <w:keepNext w:val="0"/>
                    <w:keepLines w:val="0"/>
                    <w:suppressLineNumbers w:val="0"/>
                    <w:spacing w:before="0" w:beforeAutospacing="0" w:after="0" w:afterAutospacing="0"/>
                    <w:ind w:left="0" w:right="0"/>
                    <w:jc w:val="both"/>
                    <w:rPr>
                      <w:rFonts w:hint="default" w:ascii="Times New Roman" w:hAnsi="Times New Roman" w:cs="Times New Roman"/>
                      <w:b/>
                      <w:bCs/>
                      <w:color w:val="auto"/>
                      <w:sz w:val="21"/>
                      <w:szCs w:val="21"/>
                      <w:highlight w:val="none"/>
                      <w:lang w:val="en-US" w:eastAsia="zh-CN"/>
                    </w:rPr>
                  </w:pPr>
                  <w:r>
                    <w:rPr>
                      <w:rFonts w:hint="eastAsia" w:cs="Times New Roman"/>
                      <w:b/>
                      <w:bCs/>
                      <w:color w:val="auto"/>
                      <w:sz w:val="18"/>
                      <w:szCs w:val="18"/>
                      <w:highlight w:val="none"/>
                      <w:lang w:val="en-US" w:eastAsia="zh-CN"/>
                    </w:rPr>
                    <w:t>注：标准加粗因子为《生活饮用水卫生标准》（GB 5749-2022）、《城市供水水质标准》（CJ/T 206-2005）相同检测因子。</w:t>
                  </w:r>
                </w:p>
              </w:tc>
            </w:tr>
          </w:tbl>
          <w:p w14:paraId="35515AB2">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p w14:paraId="04F2FCAC">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157" w:afterLines="50" w:afterAutospacing="0"/>
              <w:ind w:left="0" w:leftChars="0" w:right="0" w:firstLine="0" w:firstLineChars="0"/>
              <w:jc w:val="center"/>
              <w:textAlignment w:val="auto"/>
              <w:rPr>
                <w:rFonts w:hint="default" w:ascii="Times New Roman" w:hAnsi="Times New Roman" w:cs="Times New Roman"/>
                <w:color w:val="auto"/>
                <w:sz w:val="28"/>
                <w:szCs w:val="28"/>
                <w:highlight w:val="none"/>
              </w:rPr>
            </w:pPr>
            <w:r>
              <w:rPr>
                <w:rFonts w:hint="default" w:ascii="Times New Roman" w:hAnsi="Times New Roman" w:cs="Times New Roman"/>
                <w:color w:val="auto"/>
                <w:sz w:val="28"/>
                <w:szCs w:val="28"/>
                <w:highlight w:val="none"/>
              </w:rPr>
              <w:object>
                <v:shape id="_x0000_i1026" o:spt="75" type="#_x0000_t75" style="height:225.35pt;width:368.3pt;" o:ole="t" filled="f" o:preferrelative="t" stroked="f" coordsize="21600,21600">
                  <v:path/>
                  <v:fill on="f" focussize="0,0"/>
                  <v:stroke on="f"/>
                  <v:imagedata r:id="rId22" o:title=""/>
                  <o:lock v:ext="edit" aspectratio="f"/>
                  <w10:wrap type="none"/>
                  <w10:anchorlock/>
                </v:shape>
                <o:OLEObject Type="Embed" ProgID="Visio.Drawing.15" ShapeID="_x0000_i1026" DrawAspect="Content" ObjectID="_1468075726" r:id="rId21">
                  <o:LockedField>false</o:LockedField>
                </o:OLEObject>
              </w:object>
            </w:r>
          </w:p>
          <w:p w14:paraId="137B6F14">
            <w:pPr>
              <w:pStyle w:val="38"/>
              <w:keepNext w:val="0"/>
              <w:keepLines w:val="0"/>
              <w:suppressLineNumbers w:val="0"/>
              <w:tabs>
                <w:tab w:val="left" w:pos="0"/>
                <w:tab w:val="clear" w:pos="420"/>
              </w:tabs>
              <w:bidi w:val="0"/>
              <w:spacing w:before="0" w:beforeAutospacing="0" w:after="0" w:afterAutospacing="0"/>
              <w:ind w:right="0"/>
              <w:rPr>
                <w:rFonts w:hint="default" w:ascii="Times New Roman" w:hAnsi="Times New Roman" w:eastAsia="宋体" w:cs="Times New Roman"/>
                <w:color w:val="auto"/>
                <w:kern w:val="2"/>
                <w:sz w:val="24"/>
                <w:szCs w:val="24"/>
                <w:highlight w:val="none"/>
                <w:lang w:val="en-US" w:eastAsia="zh-CN" w:bidi="ar"/>
              </w:rPr>
            </w:pPr>
            <w:bookmarkStart w:id="49" w:name="_Ref5897"/>
            <w:r>
              <w:rPr>
                <w:rFonts w:hint="default" w:ascii="Times New Roman" w:hAnsi="Times New Roman" w:cs="Times New Roman"/>
                <w:b/>
                <w:bCs/>
                <w:color w:val="auto"/>
                <w:highlight w:val="none"/>
                <w:lang w:val="en-US" w:eastAsia="zh-CN"/>
              </w:rPr>
              <w:t>实验检测</w:t>
            </w:r>
            <w:r>
              <w:rPr>
                <w:rFonts w:hint="default" w:ascii="Times New Roman" w:hAnsi="Times New Roman" w:eastAsia="宋体" w:cs="Times New Roman"/>
                <w:color w:val="auto"/>
                <w:highlight w:val="none"/>
                <w:lang w:val="en-US" w:eastAsia="zh-CN"/>
              </w:rPr>
              <w:t>工艺流程及产污环节示意图</w:t>
            </w:r>
            <w:bookmarkEnd w:id="49"/>
          </w:p>
          <w:p w14:paraId="440F16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
              </w:rPr>
            </w:pPr>
          </w:p>
          <w:p w14:paraId="3A9767BF">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ind w:left="0"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object>
                <v:shape id="_x0000_i1027" o:spt="75" type="#_x0000_t75" style="height:86pt;width:412.6pt;" o:ole="t" filled="f" o:preferrelative="t" stroked="f" coordsize="21600,21600">
                  <v:path/>
                  <v:fill on="f" focussize="0,0"/>
                  <v:stroke on="f"/>
                  <v:imagedata r:id="rId24" o:title=""/>
                  <o:lock v:ext="edit" aspectratio="f"/>
                  <w10:wrap type="none"/>
                  <w10:anchorlock/>
                </v:shape>
                <o:OLEObject Type="Embed" ProgID="Visio.Drawing.15" ShapeID="_x0000_i1027" DrawAspect="Content" ObjectID="_1468075727" r:id="rId23">
                  <o:LockedField>false</o:LockedField>
                </o:OLEObject>
              </w:object>
            </w:r>
          </w:p>
          <w:p w14:paraId="2D1514AB">
            <w:pPr>
              <w:pStyle w:val="38"/>
              <w:keepNext w:val="0"/>
              <w:keepLines w:val="0"/>
              <w:suppressLineNumbers w:val="0"/>
              <w:tabs>
                <w:tab w:val="left" w:pos="0"/>
                <w:tab w:val="clear" w:pos="420"/>
              </w:tabs>
              <w:bidi w:val="0"/>
              <w:spacing w:before="0" w:beforeAutospacing="0" w:after="0" w:afterAutospacing="0"/>
              <w:ind w:right="0"/>
              <w:rPr>
                <w:rFonts w:hint="default" w:ascii="Times New Roman" w:hAnsi="Times New Roman" w:eastAsia="宋体" w:cs="Times New Roman"/>
                <w:color w:val="auto"/>
                <w:highlight w:val="none"/>
                <w:lang w:val="en-US" w:eastAsia="zh-CN"/>
              </w:rPr>
            </w:pPr>
            <w:bookmarkStart w:id="50" w:name="_Ref3254"/>
            <w:r>
              <w:rPr>
                <w:rFonts w:hint="default" w:ascii="Times New Roman" w:hAnsi="Times New Roman" w:cs="Times New Roman"/>
                <w:color w:val="auto"/>
                <w:highlight w:val="none"/>
                <w:lang w:val="en-US" w:eastAsia="zh-CN"/>
              </w:rPr>
              <w:t>纯水制备</w:t>
            </w:r>
            <w:r>
              <w:rPr>
                <w:rFonts w:hint="default" w:ascii="Times New Roman" w:hAnsi="Times New Roman" w:eastAsia="宋体" w:cs="Times New Roman"/>
                <w:color w:val="auto"/>
                <w:highlight w:val="none"/>
                <w:lang w:val="en-US" w:eastAsia="zh-CN"/>
              </w:rPr>
              <w:t>流程及产污环节示意图</w:t>
            </w:r>
            <w:bookmarkEnd w:id="50"/>
          </w:p>
          <w:p w14:paraId="7292654A">
            <w:pPr>
              <w:pStyle w:val="36"/>
              <w:keepNext w:val="0"/>
              <w:keepLines w:val="0"/>
              <w:suppressLineNumbers w:val="0"/>
              <w:bidi w:val="0"/>
              <w:spacing w:before="0" w:beforeAutospacing="0" w:after="0" w:afterAutospacing="0"/>
              <w:ind w:left="0" w:right="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（1）实验检测主要工艺流程简述：</w:t>
            </w:r>
          </w:p>
          <w:p w14:paraId="009C6F16">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①送样：要求水厂根据检测、采样技术规范对送检的水样进行采样。收到送检样品对其密封存放在规范的容器内，贴标签区分，存放于实验室样品室内。</w:t>
            </w:r>
          </w:p>
          <w:p w14:paraId="14415693">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②试剂调配：根据检验标准使用相关药剂及纯水进行试剂调配。此过程产生实验废气、</w:t>
            </w:r>
            <w:r>
              <w:rPr>
                <w:rFonts w:hint="eastAsia" w:cs="Times New Roman"/>
                <w:color w:val="auto"/>
                <w:kern w:val="2"/>
                <w:sz w:val="24"/>
                <w:szCs w:val="24"/>
                <w:highlight w:val="none"/>
                <w:lang w:val="en-US" w:eastAsia="zh-CN" w:bidi="ar"/>
              </w:rPr>
              <w:t>废试剂包装物</w:t>
            </w:r>
            <w:r>
              <w:rPr>
                <w:rFonts w:hint="default" w:ascii="Times New Roman" w:hAnsi="Times New Roman" w:eastAsia="宋体" w:cs="Times New Roman"/>
                <w:color w:val="auto"/>
                <w:kern w:val="2"/>
                <w:sz w:val="24"/>
                <w:szCs w:val="24"/>
                <w:highlight w:val="none"/>
                <w:lang w:val="en-US" w:eastAsia="zh-CN" w:bidi="ar"/>
              </w:rPr>
              <w:t>。</w:t>
            </w:r>
          </w:p>
          <w:p w14:paraId="7D888300">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③样品前处理：根据检验标准对样品进行称量取样、浸泡、萃取、提纯、滴定、高温灭菌等前处理。该工序针对不同检验需使用水、有机、无机药剂进行前处理。此过程产生实验废气、实验废液。对样品取样处理还将产生样品</w:t>
            </w:r>
            <w:r>
              <w:rPr>
                <w:rFonts w:hint="eastAsia" w:cs="Times New Roman"/>
                <w:color w:val="auto"/>
                <w:kern w:val="2"/>
                <w:sz w:val="24"/>
                <w:szCs w:val="24"/>
                <w:highlight w:val="none"/>
                <w:lang w:val="en-US" w:eastAsia="zh-CN" w:bidi="ar"/>
              </w:rPr>
              <w:t>包</w:t>
            </w:r>
            <w:r>
              <w:rPr>
                <w:rFonts w:hint="eastAsia" w:cs="Times New Roman"/>
                <w:color w:val="auto"/>
                <w:kern w:val="2"/>
                <w:sz w:val="24"/>
                <w:szCs w:val="24"/>
                <w:highlight w:val="none"/>
                <w:shd w:val="clear" w:fill="FFFFFF"/>
                <w:lang w:val="en-US" w:eastAsia="zh-CN" w:bidi="ar"/>
              </w:rPr>
              <w:t>装物</w:t>
            </w:r>
            <w:r>
              <w:rPr>
                <w:rFonts w:hint="default" w:ascii="Times New Roman" w:hAnsi="Times New Roman" w:eastAsia="宋体" w:cs="Times New Roman"/>
                <w:color w:val="auto"/>
                <w:kern w:val="2"/>
                <w:sz w:val="24"/>
                <w:szCs w:val="24"/>
                <w:highlight w:val="none"/>
                <w:lang w:val="en-US" w:eastAsia="zh-CN" w:bidi="ar"/>
              </w:rPr>
              <w:t>。</w:t>
            </w:r>
          </w:p>
          <w:p w14:paraId="1CD13EFF">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④样品分析检测：根据检验标准对前处理后样品按要求定容，按照检测要求使用分光光度计等分别进行分析和实验，得到分析结果，对分析结果进行数据处理，得出实验结果。检验过程产生检测废液、废实验耗材、剩余水样、仪器排水、水样包装物</w:t>
            </w:r>
            <w:r>
              <w:rPr>
                <w:rFonts w:hint="eastAsia" w:cs="Times New Roman"/>
                <w:color w:val="auto"/>
                <w:kern w:val="2"/>
                <w:sz w:val="24"/>
                <w:szCs w:val="24"/>
                <w:highlight w:val="none"/>
                <w:lang w:val="en-US" w:eastAsia="zh-CN" w:bidi="ar"/>
              </w:rPr>
              <w:t>、</w:t>
            </w:r>
            <w:r>
              <w:rPr>
                <w:rFonts w:hint="eastAsia" w:ascii="Times New Roman" w:hAnsi="Times New Roman" w:eastAsia="宋体" w:cs="Times New Roman"/>
                <w:color w:val="auto"/>
                <w:kern w:val="2"/>
                <w:sz w:val="24"/>
                <w:szCs w:val="24"/>
                <w:highlight w:val="none"/>
                <w:lang w:val="en-US" w:eastAsia="zh-CN" w:bidi="ar"/>
              </w:rPr>
              <w:t>微生物废样品</w:t>
            </w:r>
            <w:r>
              <w:rPr>
                <w:rFonts w:hint="eastAsia" w:cs="Times New Roman"/>
                <w:color w:val="auto"/>
                <w:kern w:val="2"/>
                <w:sz w:val="24"/>
                <w:szCs w:val="24"/>
                <w:highlight w:val="none"/>
                <w:lang w:val="en-US" w:eastAsia="zh-CN" w:bidi="ar"/>
              </w:rPr>
              <w:t>等</w:t>
            </w:r>
            <w:r>
              <w:rPr>
                <w:rFonts w:hint="default" w:ascii="Times New Roman" w:hAnsi="Times New Roman" w:eastAsia="宋体" w:cs="Times New Roman"/>
                <w:color w:val="auto"/>
                <w:kern w:val="2"/>
                <w:sz w:val="24"/>
                <w:szCs w:val="24"/>
                <w:highlight w:val="none"/>
                <w:lang w:val="en-US" w:eastAsia="zh-CN" w:bidi="ar"/>
              </w:rPr>
              <w:t>。实验废液</w:t>
            </w:r>
            <w:r>
              <w:rPr>
                <w:rFonts w:hint="eastAsia" w:cs="Times New Roman"/>
                <w:color w:val="auto"/>
                <w:kern w:val="2"/>
                <w:sz w:val="24"/>
                <w:szCs w:val="24"/>
                <w:highlight w:val="none"/>
                <w:lang w:val="en-US" w:eastAsia="zh-CN" w:bidi="ar"/>
              </w:rPr>
              <w:t>、</w:t>
            </w:r>
            <w:r>
              <w:rPr>
                <w:rFonts w:hint="default" w:ascii="Times New Roman" w:hAnsi="Times New Roman" w:eastAsia="宋体" w:cs="Times New Roman"/>
                <w:color w:val="auto"/>
                <w:kern w:val="2"/>
                <w:sz w:val="24"/>
                <w:szCs w:val="24"/>
                <w:highlight w:val="none"/>
                <w:lang w:val="en-US" w:eastAsia="zh-CN" w:bidi="ar"/>
              </w:rPr>
              <w:t>废实验耗材作为危险废物委托资质单位清运处置。</w:t>
            </w:r>
          </w:p>
          <w:p w14:paraId="592B54B3">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⑤器具清洗：实验结束后对需要清洗的器具进行清洗，一般采用3道自来水冲洗后采用</w:t>
            </w:r>
            <w:r>
              <w:rPr>
                <w:rFonts w:hint="eastAsia" w:cs="Times New Roman"/>
                <w:color w:val="auto"/>
                <w:kern w:val="2"/>
                <w:sz w:val="24"/>
                <w:szCs w:val="24"/>
                <w:highlight w:val="none"/>
                <w:lang w:val="en-US" w:eastAsia="zh-CN" w:bidi="ar"/>
              </w:rPr>
              <w:t>1</w:t>
            </w:r>
            <w:r>
              <w:rPr>
                <w:rFonts w:hint="eastAsia" w:cs="Times New Roman"/>
                <w:color w:val="auto"/>
                <w:kern w:val="2"/>
                <w:sz w:val="24"/>
                <w:szCs w:val="24"/>
                <w:highlight w:val="none"/>
                <w:shd w:val="clear" w:fill="FFFFFF"/>
                <w:lang w:val="en-US" w:eastAsia="zh-CN" w:bidi="ar"/>
              </w:rPr>
              <w:t>-</w:t>
            </w:r>
            <w:r>
              <w:rPr>
                <w:rFonts w:hint="eastAsia" w:cs="Times New Roman"/>
                <w:color w:val="auto"/>
                <w:kern w:val="2"/>
                <w:sz w:val="24"/>
                <w:szCs w:val="24"/>
                <w:highlight w:val="none"/>
                <w:lang w:val="en-US" w:eastAsia="zh-CN" w:bidi="ar"/>
              </w:rPr>
              <w:t>2</w:t>
            </w:r>
            <w:r>
              <w:rPr>
                <w:rFonts w:hint="default" w:ascii="Times New Roman" w:hAnsi="Times New Roman" w:eastAsia="宋体" w:cs="Times New Roman"/>
                <w:color w:val="auto"/>
                <w:kern w:val="2"/>
                <w:sz w:val="24"/>
                <w:szCs w:val="24"/>
                <w:highlight w:val="none"/>
                <w:lang w:val="en-US" w:eastAsia="zh-CN" w:bidi="ar"/>
              </w:rPr>
              <w:t>道纯水冲洗，将产生实验器具清洗废水。项目对实验器具清洗废水使用废水处理设备处理后</w:t>
            </w:r>
            <w:r>
              <w:rPr>
                <w:rFonts w:hint="eastAsia" w:ascii="Times New Roman" w:hAnsi="Times New Roman" w:eastAsia="宋体" w:cs="Times New Roman"/>
                <w:color w:val="auto"/>
                <w:kern w:val="2"/>
                <w:sz w:val="24"/>
                <w:szCs w:val="24"/>
                <w:highlight w:val="none"/>
                <w:lang w:val="en-US" w:eastAsia="zh-CN" w:bidi="ar"/>
              </w:rPr>
              <w:t>与生活污水一并进入出租方厂区已建化粪池处理后排入市政污水管网，送往福清市融元污水处理厂集中处理</w:t>
            </w:r>
            <w:r>
              <w:rPr>
                <w:rFonts w:hint="eastAsia" w:cs="Times New Roman"/>
                <w:color w:val="auto"/>
                <w:kern w:val="2"/>
                <w:sz w:val="24"/>
                <w:szCs w:val="24"/>
                <w:highlight w:val="none"/>
                <w:lang w:val="en-US" w:eastAsia="zh-CN" w:bidi="ar"/>
              </w:rPr>
              <w:t>。</w:t>
            </w:r>
          </w:p>
          <w:p w14:paraId="6BB31ABA">
            <w:pPr>
              <w:pStyle w:val="36"/>
              <w:keepNext w:val="0"/>
              <w:keepLines w:val="0"/>
              <w:suppressLineNumbers w:val="0"/>
              <w:bidi w:val="0"/>
              <w:spacing w:before="0" w:beforeAutospacing="0" w:after="0" w:afterAutospacing="0"/>
              <w:ind w:left="0" w:right="0"/>
              <w:rPr>
                <w:rFonts w:hint="default" w:ascii="Times New Roman" w:hAnsi="Times New Roman" w:cs="Times New Roman"/>
                <w:b/>
                <w:bCs/>
                <w:color w:val="auto"/>
                <w:highlight w:val="none"/>
                <w:lang w:val="en-US" w:eastAsia="zh-CN"/>
              </w:rPr>
            </w:pPr>
            <w:r>
              <w:rPr>
                <w:rFonts w:hint="default" w:ascii="Times New Roman" w:hAnsi="Times New Roman" w:cs="Times New Roman"/>
                <w:b/>
                <w:bCs/>
                <w:color w:val="auto"/>
                <w:highlight w:val="none"/>
                <w:lang w:val="en-US" w:eastAsia="zh-CN"/>
              </w:rPr>
              <w:t>（2）纯水制备流程简述：</w:t>
            </w:r>
          </w:p>
          <w:p w14:paraId="2C2C612C">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新鲜水经过粗滤、离子交换、反渗透、消毒和末端过滤后生成纯水，供实验备用。</w:t>
            </w:r>
          </w:p>
          <w:p w14:paraId="1AE88A82">
            <w:pPr>
              <w:pStyle w:val="6"/>
              <w:suppressLineNumbers w:val="0"/>
              <w:bidi w:val="0"/>
              <w:spacing w:beforeAutospacing="0" w:afterAutospacing="0"/>
              <w:ind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产污环节</w:t>
            </w:r>
          </w:p>
          <w:p w14:paraId="558828E7">
            <w:pPr>
              <w:pStyle w:val="36"/>
              <w:keepNext w:val="0"/>
              <w:keepLines w:val="0"/>
              <w:numPr>
                <w:ilvl w:val="0"/>
                <w:numId w:val="5"/>
              </w:numPr>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废气：</w:t>
            </w:r>
            <w:r>
              <w:rPr>
                <w:rFonts w:hint="default"/>
                <w:color w:val="auto"/>
                <w:highlight w:val="none"/>
              </w:rPr>
              <w:t>项目废气主要</w:t>
            </w:r>
            <w:r>
              <w:rPr>
                <w:rFonts w:hint="default"/>
                <w:color w:val="auto"/>
                <w:highlight w:val="none"/>
                <w:shd w:val="clear" w:fill="FFFFFF"/>
              </w:rPr>
              <w:t>来自于</w:t>
            </w:r>
            <w:r>
              <w:rPr>
                <w:rFonts w:hint="default"/>
                <w:color w:val="auto"/>
                <w:highlight w:val="none"/>
              </w:rPr>
              <w:t>使用盐酸、硫酸、硝酸挥发产生的酸雾废气</w:t>
            </w:r>
            <w:r>
              <w:rPr>
                <w:rFonts w:hint="default" w:ascii="Times New Roman" w:hAnsi="Times New Roman" w:cs="Times New Roman"/>
                <w:color w:val="auto"/>
                <w:highlight w:val="none"/>
                <w:lang w:val="en-US" w:eastAsia="zh-CN"/>
              </w:rPr>
              <w:t>G1</w:t>
            </w:r>
            <w:r>
              <w:rPr>
                <w:rFonts w:hint="default"/>
                <w:color w:val="auto"/>
                <w:highlight w:val="none"/>
              </w:rPr>
              <w:t>（污染因子以氯化氢、NOx、硫酸雾表征），使用丙酮等有机试剂挥发产生的有机废气</w:t>
            </w:r>
            <w:r>
              <w:rPr>
                <w:rFonts w:hint="default" w:ascii="Times New Roman" w:hAnsi="Times New Roman" w:cs="Times New Roman"/>
                <w:color w:val="auto"/>
                <w:highlight w:val="none"/>
                <w:lang w:val="en-US" w:eastAsia="zh-CN"/>
              </w:rPr>
              <w:t>G2</w:t>
            </w:r>
            <w:r>
              <w:rPr>
                <w:rFonts w:hint="default"/>
                <w:color w:val="auto"/>
                <w:highlight w:val="none"/>
              </w:rPr>
              <w:t>（污染因子以非甲烷总烃表征）</w:t>
            </w:r>
            <w:r>
              <w:rPr>
                <w:rFonts w:hint="default" w:ascii="Times New Roman" w:hAnsi="Times New Roman" w:cs="Times New Roman"/>
                <w:color w:val="auto"/>
                <w:highlight w:val="none"/>
                <w:lang w:val="en-US" w:eastAsia="zh-CN"/>
              </w:rPr>
              <w:t>及少量刺激性（</w:t>
            </w:r>
            <w:r>
              <w:rPr>
                <w:rFonts w:hint="eastAsia" w:cs="Times New Roman"/>
                <w:color w:val="auto"/>
                <w:highlight w:val="none"/>
                <w:lang w:val="en-US" w:eastAsia="zh-CN"/>
              </w:rPr>
              <w:t>氨</w:t>
            </w:r>
            <w:r>
              <w:rPr>
                <w:rFonts w:hint="default" w:ascii="Times New Roman" w:hAnsi="Times New Roman" w:cs="Times New Roman"/>
                <w:color w:val="auto"/>
                <w:highlight w:val="none"/>
                <w:lang w:val="en-US" w:eastAsia="zh-CN"/>
              </w:rPr>
              <w:t>）气味</w:t>
            </w:r>
            <w:r>
              <w:rPr>
                <w:rFonts w:hint="eastAsia" w:cs="Times New Roman"/>
                <w:color w:val="auto"/>
                <w:highlight w:val="none"/>
                <w:lang w:val="en-US" w:eastAsia="zh-CN"/>
              </w:rPr>
              <w:t>等</w:t>
            </w:r>
            <w:r>
              <w:rPr>
                <w:rFonts w:hint="default" w:ascii="Times New Roman" w:hAnsi="Times New Roman" w:cs="Times New Roman"/>
                <w:color w:val="auto"/>
                <w:highlight w:val="none"/>
                <w:lang w:val="en-US" w:eastAsia="zh-CN"/>
              </w:rPr>
              <w:t>。</w:t>
            </w:r>
          </w:p>
          <w:p w14:paraId="111EADCD">
            <w:pPr>
              <w:pStyle w:val="36"/>
              <w:keepNext w:val="0"/>
              <w:keepLines w:val="0"/>
              <w:numPr>
                <w:ilvl w:val="0"/>
                <w:numId w:val="5"/>
              </w:numPr>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废水：实验器皿清洗过程产生的W1清洗废水、实验仪器运行产生的W2仪器排水、W3剩余水样、纯水制备过程产生的W4浓水、职工日常办公产生的W5生活污水。</w:t>
            </w:r>
          </w:p>
          <w:p w14:paraId="4358AE3F">
            <w:pPr>
              <w:pStyle w:val="36"/>
              <w:keepNext w:val="0"/>
              <w:keepLines w:val="0"/>
              <w:numPr>
                <w:ilvl w:val="0"/>
                <w:numId w:val="5"/>
              </w:numPr>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噪声：检测设备及风机等产生的N噪声。</w:t>
            </w:r>
          </w:p>
          <w:p w14:paraId="020D5918">
            <w:pPr>
              <w:pStyle w:val="36"/>
              <w:keepNext w:val="0"/>
              <w:keepLines w:val="0"/>
              <w:numPr>
                <w:ilvl w:val="0"/>
                <w:numId w:val="5"/>
              </w:numPr>
              <w:suppressLineNumbers w:val="0"/>
              <w:bidi w:val="0"/>
              <w:spacing w:before="0" w:beforeAutospacing="0" w:after="0" w:afterAutospacing="0"/>
              <w:ind w:left="0" w:leftChars="0" w:right="0" w:firstLine="480" w:firstLineChars="20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固体废物</w:t>
            </w:r>
            <w:r>
              <w:rPr>
                <w:rFonts w:hint="default" w:ascii="Times New Roman" w:hAnsi="Times New Roman" w:eastAsia="宋体" w:cs="Times New Roman"/>
                <w:color w:val="auto"/>
                <w:highlight w:val="none"/>
                <w:lang w:val="en-US" w:eastAsia="zh-CN"/>
              </w:rPr>
              <w:t>：包括S1废试剂</w:t>
            </w:r>
            <w:r>
              <w:rPr>
                <w:rFonts w:hint="eastAsia" w:ascii="Times New Roman" w:hAnsi="Times New Roman" w:eastAsia="宋体" w:cs="Times New Roman"/>
                <w:color w:val="auto"/>
                <w:highlight w:val="none"/>
                <w:lang w:val="en-US" w:eastAsia="zh-CN"/>
              </w:rPr>
              <w:t>包装物，</w:t>
            </w:r>
            <w:r>
              <w:rPr>
                <w:rFonts w:hint="default" w:ascii="Times New Roman" w:hAnsi="Times New Roman" w:eastAsia="宋体" w:cs="Times New Roman"/>
                <w:color w:val="auto"/>
                <w:highlight w:val="none"/>
                <w:lang w:val="en-US" w:eastAsia="zh-CN"/>
              </w:rPr>
              <w:t>S2水样</w:t>
            </w:r>
            <w:r>
              <w:rPr>
                <w:rFonts w:hint="eastAsia" w:ascii="Times New Roman" w:hAnsi="Times New Roman" w:eastAsia="宋体" w:cs="Times New Roman"/>
                <w:color w:val="auto"/>
                <w:highlight w:val="none"/>
                <w:lang w:val="en-US" w:eastAsia="zh-CN"/>
              </w:rPr>
              <w:t>包装物</w:t>
            </w:r>
            <w:r>
              <w:rPr>
                <w:rFonts w:hint="default" w:ascii="Times New Roman" w:hAnsi="Times New Roman" w:eastAsia="宋体" w:cs="Times New Roman"/>
                <w:color w:val="auto"/>
                <w:highlight w:val="none"/>
                <w:lang w:val="en-US" w:eastAsia="zh-CN"/>
              </w:rPr>
              <w:t>，纯水制备过程中产生的S3废树脂、S4废过滤材料，实验过程产生的S5高浓度废液，过期的S6废试剂</w:t>
            </w:r>
            <w:r>
              <w:rPr>
                <w:rFonts w:hint="eastAsia" w:cs="Times New Roman"/>
                <w:color w:val="auto"/>
                <w:highlight w:val="none"/>
                <w:lang w:val="en-US" w:eastAsia="zh-CN"/>
              </w:rPr>
              <w:t>，微生物检测产生</w:t>
            </w:r>
            <w:r>
              <w:rPr>
                <w:rFonts w:hint="default" w:ascii="Times New Roman" w:hAnsi="Times New Roman" w:eastAsia="宋体" w:cs="Times New Roman"/>
                <w:color w:val="auto"/>
                <w:highlight w:val="none"/>
                <w:lang w:val="en-US" w:eastAsia="zh-CN"/>
              </w:rPr>
              <w:t>的S</w:t>
            </w:r>
            <w:r>
              <w:rPr>
                <w:rFonts w:hint="eastAsia" w:cs="Times New Roman"/>
                <w:color w:val="auto"/>
                <w:highlight w:val="none"/>
                <w:lang w:val="en-US" w:eastAsia="zh-CN"/>
              </w:rPr>
              <w:t>7</w:t>
            </w:r>
            <w:r>
              <w:rPr>
                <w:rFonts w:hint="eastAsia" w:ascii="Times New Roman" w:hAnsi="Times New Roman" w:eastAsia="宋体" w:cs="Times New Roman"/>
                <w:color w:val="auto"/>
                <w:kern w:val="2"/>
                <w:sz w:val="24"/>
                <w:szCs w:val="24"/>
                <w:highlight w:val="none"/>
                <w:lang w:val="en-US" w:eastAsia="zh-CN" w:bidi="ar"/>
              </w:rPr>
              <w:t>微生物废样品</w:t>
            </w:r>
            <w:r>
              <w:rPr>
                <w:rFonts w:hint="default" w:ascii="Times New Roman" w:hAnsi="Times New Roman" w:eastAsia="宋体" w:cs="Times New Roman"/>
                <w:color w:val="auto"/>
                <w:highlight w:val="none"/>
                <w:lang w:val="en-US" w:eastAsia="zh-CN"/>
              </w:rPr>
              <w:t>，以及实验室日常产生的S</w:t>
            </w:r>
            <w:r>
              <w:rPr>
                <w:rFonts w:hint="eastAsia" w:cs="Times New Roman"/>
                <w:color w:val="auto"/>
                <w:highlight w:val="none"/>
                <w:lang w:val="en-US" w:eastAsia="zh-CN"/>
              </w:rPr>
              <w:t>8</w:t>
            </w:r>
            <w:r>
              <w:rPr>
                <w:rFonts w:hint="default" w:ascii="Times New Roman" w:hAnsi="Times New Roman" w:eastAsia="宋体" w:cs="Times New Roman"/>
                <w:color w:val="auto"/>
                <w:highlight w:val="none"/>
                <w:lang w:val="en-US" w:eastAsia="zh-CN"/>
              </w:rPr>
              <w:t>实验室废物（如滴管、吸管、乳胶手套、滤纸、破碎试管等），活性炭吸附装置更换的S</w:t>
            </w:r>
            <w:r>
              <w:rPr>
                <w:rFonts w:hint="eastAsia" w:cs="Times New Roman"/>
                <w:color w:val="auto"/>
                <w:highlight w:val="none"/>
                <w:lang w:val="en-US" w:eastAsia="zh-CN"/>
              </w:rPr>
              <w:t>9</w:t>
            </w:r>
            <w:r>
              <w:rPr>
                <w:rFonts w:hint="default" w:ascii="Times New Roman" w:hAnsi="Times New Roman" w:eastAsia="宋体" w:cs="Times New Roman"/>
                <w:color w:val="auto"/>
                <w:highlight w:val="none"/>
                <w:lang w:val="en-US" w:eastAsia="zh-CN"/>
              </w:rPr>
              <w:t>废活性炭，喷淋塔更换的S</w:t>
            </w:r>
            <w:r>
              <w:rPr>
                <w:rFonts w:hint="eastAsia"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喷淋废液，</w:t>
            </w:r>
            <w:r>
              <w:rPr>
                <w:rFonts w:hint="eastAsia" w:ascii="Times New Roman" w:hAnsi="Times New Roman" w:eastAsia="宋体" w:cs="Times New Roman"/>
                <w:color w:val="auto"/>
                <w:highlight w:val="none"/>
                <w:lang w:val="en-US" w:eastAsia="zh-CN"/>
              </w:rPr>
              <w:t>废水处理设施运行产生的</w:t>
            </w:r>
            <w:r>
              <w:rPr>
                <w:rFonts w:hint="default" w:ascii="Times New Roman" w:hAnsi="Times New Roman" w:eastAsia="宋体" w:cs="Times New Roman"/>
                <w:color w:val="auto"/>
                <w:highlight w:val="none"/>
                <w:lang w:val="en-US" w:eastAsia="zh-CN"/>
              </w:rPr>
              <w:t>S1</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污泥，废水处理设施</w:t>
            </w:r>
            <w:r>
              <w:rPr>
                <w:rFonts w:hint="default" w:ascii="Times New Roman" w:hAnsi="Times New Roman" w:eastAsia="宋体" w:cs="Times New Roman"/>
                <w:color w:val="auto"/>
                <w:highlight w:val="none"/>
                <w:lang w:val="en-US" w:eastAsia="zh-CN"/>
              </w:rPr>
              <w:t>更换的</w:t>
            </w:r>
            <w:r>
              <w:rPr>
                <w:rFonts w:hint="eastAsia" w:cs="Times New Roman"/>
                <w:color w:val="auto"/>
                <w:highlight w:val="none"/>
                <w:lang w:val="en-US" w:eastAsia="zh-CN"/>
              </w:rPr>
              <w:t>吸附</w:t>
            </w:r>
            <w:r>
              <w:rPr>
                <w:rFonts w:hint="eastAsia" w:ascii="Times New Roman" w:hAnsi="Times New Roman" w:eastAsia="宋体" w:cs="Times New Roman"/>
                <w:color w:val="auto"/>
                <w:highlight w:val="none"/>
                <w:lang w:val="en-US" w:eastAsia="zh-CN"/>
              </w:rPr>
              <w:t>过滤介质</w:t>
            </w:r>
            <w:r>
              <w:rPr>
                <w:rFonts w:hint="default" w:ascii="Times New Roman" w:hAnsi="Times New Roman" w:eastAsia="宋体" w:cs="Times New Roman"/>
                <w:color w:val="auto"/>
                <w:highlight w:val="none"/>
                <w:lang w:val="en-US" w:eastAsia="zh-CN"/>
              </w:rPr>
              <w:t>S1</w:t>
            </w:r>
            <w:r>
              <w:rPr>
                <w:rFonts w:hint="eastAsia" w:ascii="Times New Roman" w:hAnsi="Times New Roman" w:eastAsia="宋体" w:cs="Times New Roman"/>
                <w:color w:val="auto"/>
                <w:highlight w:val="none"/>
                <w:lang w:val="en-US" w:eastAsia="zh-CN"/>
              </w:rPr>
              <w:t>2废重金属捕捉器、</w:t>
            </w:r>
            <w:r>
              <w:rPr>
                <w:rFonts w:hint="default" w:ascii="Times New Roman" w:hAnsi="Times New Roman" w:eastAsia="宋体" w:cs="Times New Roman"/>
                <w:color w:val="auto"/>
                <w:highlight w:val="none"/>
                <w:lang w:val="en-US" w:eastAsia="zh-CN"/>
              </w:rPr>
              <w:t>S1</w:t>
            </w:r>
            <w:r>
              <w:rPr>
                <w:rFonts w:hint="eastAsia" w:cs="Times New Roman"/>
                <w:color w:val="auto"/>
                <w:highlight w:val="none"/>
                <w:lang w:val="en-US" w:eastAsia="zh-CN"/>
              </w:rPr>
              <w:t>3</w:t>
            </w:r>
            <w:r>
              <w:rPr>
                <w:rFonts w:hint="default" w:ascii="Times New Roman" w:hAnsi="Times New Roman" w:eastAsia="宋体" w:cs="Times New Roman"/>
                <w:color w:val="auto"/>
                <w:highlight w:val="none"/>
                <w:lang w:val="en-US" w:eastAsia="zh-CN"/>
              </w:rPr>
              <w:t>废活性炭</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S1</w:t>
            </w:r>
            <w:r>
              <w:rPr>
                <w:rFonts w:hint="eastAsia" w:cs="Times New Roman"/>
                <w:color w:val="auto"/>
                <w:highlight w:val="none"/>
                <w:lang w:val="en-US" w:eastAsia="zh-CN"/>
              </w:rPr>
              <w:t>4</w:t>
            </w:r>
            <w:r>
              <w:rPr>
                <w:rFonts w:hint="default" w:ascii="Times New Roman" w:hAnsi="Times New Roman" w:eastAsia="宋体" w:cs="Times New Roman"/>
                <w:color w:val="auto"/>
                <w:highlight w:val="none"/>
                <w:lang w:val="en-US" w:eastAsia="zh-CN"/>
              </w:rPr>
              <w:t>废</w:t>
            </w:r>
            <w:r>
              <w:rPr>
                <w:rFonts w:hint="eastAsia" w:ascii="Times New Roman" w:hAnsi="Times New Roman" w:eastAsia="宋体" w:cs="Times New Roman"/>
                <w:color w:val="auto"/>
                <w:highlight w:val="none"/>
                <w:lang w:val="en-US" w:eastAsia="zh-CN"/>
              </w:rPr>
              <w:t>石英砂，</w:t>
            </w:r>
            <w:r>
              <w:rPr>
                <w:rFonts w:hint="default" w:ascii="Times New Roman" w:hAnsi="Times New Roman" w:eastAsia="宋体" w:cs="Times New Roman"/>
                <w:color w:val="auto"/>
                <w:highlight w:val="none"/>
                <w:lang w:val="en-US" w:eastAsia="zh-CN"/>
              </w:rPr>
              <w:t>职工日常办公产生的S1</w:t>
            </w:r>
            <w:r>
              <w:rPr>
                <w:rFonts w:hint="eastAsia" w:cs="Times New Roman"/>
                <w:color w:val="auto"/>
                <w:highlight w:val="none"/>
                <w:lang w:val="en-US" w:eastAsia="zh-CN"/>
              </w:rPr>
              <w:t>5</w:t>
            </w:r>
            <w:r>
              <w:rPr>
                <w:rFonts w:hint="default" w:ascii="Times New Roman" w:hAnsi="Times New Roman" w:eastAsia="宋体" w:cs="Times New Roman"/>
                <w:color w:val="auto"/>
                <w:highlight w:val="none"/>
                <w:lang w:val="en-US" w:eastAsia="zh-CN"/>
              </w:rPr>
              <w:t>生活垃圾。</w:t>
            </w:r>
          </w:p>
          <w:p w14:paraId="75C22C59">
            <w:pPr>
              <w:keepNext w:val="0"/>
              <w:keepLines w:val="0"/>
              <w:widowControl/>
              <w:suppressLineNumbers w:val="0"/>
              <w:tabs>
                <w:tab w:val="left" w:pos="0"/>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lang w:val="en-US" w:eastAsia="zh-CN" w:bidi="ar"/>
              </w:rPr>
            </w:pPr>
            <w:r>
              <w:rPr>
                <w:rFonts w:hint="default" w:ascii="Times New Roman" w:hAnsi="Times New Roman" w:eastAsia="宋体" w:cs="Times New Roman"/>
                <w:color w:val="auto"/>
                <w:kern w:val="2"/>
                <w:sz w:val="24"/>
                <w:szCs w:val="24"/>
                <w:highlight w:val="none"/>
                <w:lang w:val="en-US" w:eastAsia="zh-CN" w:bidi="ar"/>
              </w:rPr>
              <w:t>本项目主要污染环节见下表。</w:t>
            </w:r>
          </w:p>
          <w:p w14:paraId="33F098CD">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rPr>
            </w:pPr>
            <w:r>
              <w:rPr>
                <w:rFonts w:hint="default" w:ascii="Times New Roman" w:hAnsi="Times New Roman" w:cs="Times New Roman"/>
                <w:color w:val="auto"/>
                <w:highlight w:val="none"/>
                <w:lang w:val="en-US" w:eastAsia="zh-CN"/>
              </w:rPr>
              <w:t>项目主要污染环节一览表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629"/>
              <w:gridCol w:w="1666"/>
              <w:gridCol w:w="1385"/>
              <w:gridCol w:w="3084"/>
            </w:tblGrid>
            <w:tr w14:paraId="386DB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4" w:hRule="atLeast"/>
              </w:trPr>
              <w:tc>
                <w:tcPr>
                  <w:tcW w:w="297" w:type="pct"/>
                  <w:noWrap w:val="0"/>
                  <w:vAlign w:val="center"/>
                </w:tcPr>
                <w:p w14:paraId="1FCCA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bookmarkStart w:id="51" w:name="_Hlk513125280"/>
                  <w:r>
                    <w:rPr>
                      <w:rFonts w:hint="default" w:ascii="Times New Roman" w:hAnsi="Times New Roman" w:cs="Times New Roman"/>
                      <w:b w:val="0"/>
                      <w:bCs w:val="0"/>
                      <w:color w:val="auto"/>
                      <w:sz w:val="21"/>
                      <w:szCs w:val="21"/>
                      <w:highlight w:val="none"/>
                    </w:rPr>
                    <w:t>类别</w:t>
                  </w:r>
                </w:p>
              </w:tc>
              <w:tc>
                <w:tcPr>
                  <w:tcW w:w="986" w:type="pct"/>
                  <w:noWrap w:val="0"/>
                  <w:vAlign w:val="center"/>
                </w:tcPr>
                <w:p w14:paraId="39FF3B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污染源</w:t>
                  </w:r>
                </w:p>
              </w:tc>
              <w:tc>
                <w:tcPr>
                  <w:tcW w:w="1009" w:type="pct"/>
                  <w:noWrap w:val="0"/>
                  <w:vAlign w:val="center"/>
                </w:tcPr>
                <w:p w14:paraId="7580CC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污染因子</w:t>
                  </w:r>
                </w:p>
              </w:tc>
              <w:tc>
                <w:tcPr>
                  <w:tcW w:w="838" w:type="pct"/>
                  <w:noWrap w:val="0"/>
                  <w:vAlign w:val="center"/>
                </w:tcPr>
                <w:p w14:paraId="7753A7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产污环节</w:t>
                  </w:r>
                </w:p>
              </w:tc>
              <w:tc>
                <w:tcPr>
                  <w:tcW w:w="1867" w:type="pct"/>
                  <w:noWrap w:val="0"/>
                  <w:vAlign w:val="center"/>
                </w:tcPr>
                <w:p w14:paraId="217A09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治理措施及排放去向</w:t>
                  </w:r>
                </w:p>
              </w:tc>
            </w:tr>
            <w:tr w14:paraId="2BF62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39" w:hRule="atLeast"/>
              </w:trPr>
              <w:tc>
                <w:tcPr>
                  <w:tcW w:w="297" w:type="pct"/>
                  <w:vMerge w:val="restart"/>
                  <w:noWrap w:val="0"/>
                  <w:vAlign w:val="center"/>
                </w:tcPr>
                <w:p w14:paraId="547826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废气</w:t>
                  </w:r>
                </w:p>
              </w:tc>
              <w:tc>
                <w:tcPr>
                  <w:tcW w:w="986" w:type="pct"/>
                  <w:noWrap w:val="0"/>
                  <w:vAlign w:val="center"/>
                </w:tcPr>
                <w:p w14:paraId="0B5CD1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G1酸性废气</w:t>
                  </w:r>
                </w:p>
              </w:tc>
              <w:tc>
                <w:tcPr>
                  <w:tcW w:w="1009" w:type="pct"/>
                  <w:noWrap w:val="0"/>
                  <w:vAlign w:val="center"/>
                </w:tcPr>
                <w:p w14:paraId="33C3F7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氯化氢、硫酸雾</w:t>
                  </w:r>
                  <w:r>
                    <w:rPr>
                      <w:rFonts w:hint="eastAsia" w:cs="Times New Roman"/>
                      <w:b w:val="0"/>
                      <w:bCs w:val="0"/>
                      <w:color w:val="auto"/>
                      <w:sz w:val="21"/>
                      <w:szCs w:val="21"/>
                      <w:highlight w:val="none"/>
                      <w:lang w:val="en-US" w:eastAsia="zh-CN"/>
                    </w:rPr>
                    <w:t>、氮氧化物</w:t>
                  </w:r>
                  <w:r>
                    <w:rPr>
                      <w:rFonts w:hint="default" w:ascii="Times New Roman" w:hAnsi="Times New Roman" w:cs="Times New Roman"/>
                      <w:b w:val="0"/>
                      <w:bCs w:val="0"/>
                      <w:color w:val="auto"/>
                      <w:sz w:val="21"/>
                      <w:szCs w:val="21"/>
                      <w:highlight w:val="none"/>
                      <w:lang w:val="en-US" w:eastAsia="zh-CN"/>
                    </w:rPr>
                    <w:t>等</w:t>
                  </w:r>
                </w:p>
              </w:tc>
              <w:tc>
                <w:tcPr>
                  <w:tcW w:w="838" w:type="pct"/>
                  <w:noWrap w:val="0"/>
                  <w:vAlign w:val="center"/>
                </w:tcPr>
                <w:p w14:paraId="5AD8CF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实验前处理</w:t>
                  </w:r>
                </w:p>
              </w:tc>
              <w:tc>
                <w:tcPr>
                  <w:tcW w:w="1867" w:type="pct"/>
                  <w:noWrap w:val="0"/>
                  <w:vAlign w:val="center"/>
                </w:tcPr>
                <w:p w14:paraId="3CFA45C9">
                  <w:pPr>
                    <w:keepNext w:val="0"/>
                    <w:keepLines w:val="0"/>
                    <w:suppressLineNumbers w:val="0"/>
                    <w:spacing w:before="0" w:beforeAutospacing="0" w:after="0" w:afterAutospacing="0"/>
                    <w:ind w:left="0" w:right="0"/>
                    <w:jc w:val="both"/>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分区检测，</w:t>
                  </w:r>
                  <w:r>
                    <w:rPr>
                      <w:rFonts w:hint="default" w:ascii="Times New Roman" w:hAnsi="Times New Roman" w:cs="Times New Roman"/>
                      <w:b w:val="0"/>
                      <w:bCs w:val="0"/>
                      <w:color w:val="auto"/>
                      <w:sz w:val="21"/>
                      <w:szCs w:val="21"/>
                      <w:highlight w:val="none"/>
                      <w:lang w:val="en-US" w:eastAsia="zh-CN"/>
                    </w:rPr>
                    <w:t>通风橱收集，经碱液喷淋塔处理后通过20m高排气筒达标排放</w:t>
                  </w:r>
                </w:p>
              </w:tc>
            </w:tr>
            <w:tr w14:paraId="684F6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6" w:hRule="atLeast"/>
              </w:trPr>
              <w:tc>
                <w:tcPr>
                  <w:tcW w:w="297" w:type="pct"/>
                  <w:vMerge w:val="continue"/>
                  <w:noWrap w:val="0"/>
                  <w:vAlign w:val="center"/>
                </w:tcPr>
                <w:p w14:paraId="09FA0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769581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G2有机、恶臭废气</w:t>
                  </w:r>
                </w:p>
              </w:tc>
              <w:tc>
                <w:tcPr>
                  <w:tcW w:w="1009" w:type="pct"/>
                  <w:noWrap w:val="0"/>
                  <w:vAlign w:val="center"/>
                </w:tcPr>
                <w:p w14:paraId="1E80D0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rPr>
                  </w:pPr>
                  <w:r>
                    <w:rPr>
                      <w:rFonts w:hint="default" w:ascii="Times New Roman" w:hAnsi="Times New Roman" w:cs="Times New Roman"/>
                      <w:b w:val="0"/>
                      <w:bCs w:val="0"/>
                      <w:color w:val="auto"/>
                      <w:sz w:val="21"/>
                      <w:szCs w:val="21"/>
                      <w:highlight w:val="none"/>
                      <w:lang w:val="en-US" w:eastAsia="zh-CN"/>
                    </w:rPr>
                    <w:t>非甲烷总烃、</w:t>
                  </w:r>
                  <w:r>
                    <w:rPr>
                      <w:rFonts w:hint="eastAsia" w:cs="Times New Roman"/>
                      <w:b w:val="0"/>
                      <w:bCs w:val="0"/>
                      <w:color w:val="auto"/>
                      <w:sz w:val="21"/>
                      <w:szCs w:val="21"/>
                      <w:highlight w:val="none"/>
                      <w:lang w:val="en-US" w:eastAsia="zh-CN"/>
                    </w:rPr>
                    <w:t>氨、</w:t>
                  </w:r>
                  <w:r>
                    <w:rPr>
                      <w:rFonts w:hint="eastAsia" w:cs="Times New Roman"/>
                      <w:b w:val="0"/>
                      <w:bCs w:val="0"/>
                      <w:color w:val="auto"/>
                      <w:sz w:val="21"/>
                      <w:szCs w:val="21"/>
                      <w:highlight w:val="none"/>
                      <w:shd w:val="clear" w:fill="FFFFFF"/>
                      <w:lang w:val="en-US" w:eastAsia="zh-CN"/>
                    </w:rPr>
                    <w:t>臭气浓度</w:t>
                  </w:r>
                </w:p>
              </w:tc>
              <w:tc>
                <w:tcPr>
                  <w:tcW w:w="838" w:type="pct"/>
                  <w:noWrap w:val="0"/>
                  <w:vAlign w:val="center"/>
                </w:tcPr>
                <w:p w14:paraId="08AAB4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实验前处理</w:t>
                  </w:r>
                </w:p>
              </w:tc>
              <w:tc>
                <w:tcPr>
                  <w:tcW w:w="1867" w:type="pct"/>
                  <w:noWrap w:val="0"/>
                  <w:vAlign w:val="center"/>
                </w:tcPr>
                <w:p w14:paraId="1C0ECB93">
                  <w:pPr>
                    <w:keepNext w:val="0"/>
                    <w:keepLines w:val="0"/>
                    <w:suppressLineNumbers w:val="0"/>
                    <w:spacing w:before="0" w:beforeAutospacing="0" w:after="0" w:afterAutospacing="0"/>
                    <w:ind w:left="0" w:right="0"/>
                    <w:jc w:val="both"/>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分区检测，</w:t>
                  </w:r>
                  <w:r>
                    <w:rPr>
                      <w:rFonts w:hint="default" w:ascii="Times New Roman" w:hAnsi="Times New Roman" w:cs="Times New Roman"/>
                      <w:b w:val="0"/>
                      <w:bCs w:val="0"/>
                      <w:color w:val="auto"/>
                      <w:sz w:val="21"/>
                      <w:szCs w:val="21"/>
                      <w:highlight w:val="none"/>
                      <w:lang w:val="en-US" w:eastAsia="zh-CN"/>
                    </w:rPr>
                    <w:t>通风橱收集，经活性炭吸附处理后通过20m高排气筒达标排放</w:t>
                  </w:r>
                </w:p>
              </w:tc>
            </w:tr>
            <w:tr w14:paraId="6C42B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297" w:type="pct"/>
                  <w:vMerge w:val="restart"/>
                  <w:noWrap w:val="0"/>
                  <w:vAlign w:val="center"/>
                </w:tcPr>
                <w:p w14:paraId="1A90E1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废水</w:t>
                  </w:r>
                </w:p>
              </w:tc>
              <w:tc>
                <w:tcPr>
                  <w:tcW w:w="986" w:type="pct"/>
                  <w:noWrap w:val="0"/>
                  <w:vAlign w:val="center"/>
                </w:tcPr>
                <w:p w14:paraId="346083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W1</w:t>
                  </w:r>
                  <w:r>
                    <w:rPr>
                      <w:rFonts w:hint="default" w:ascii="Times New Roman" w:hAnsi="Times New Roman" w:cs="Times New Roman"/>
                      <w:b w:val="0"/>
                      <w:bCs w:val="0"/>
                      <w:color w:val="auto"/>
                      <w:sz w:val="21"/>
                      <w:szCs w:val="21"/>
                      <w:highlight w:val="none"/>
                    </w:rPr>
                    <w:t>清洗废水</w:t>
                  </w:r>
                </w:p>
              </w:tc>
              <w:tc>
                <w:tcPr>
                  <w:tcW w:w="1009" w:type="pct"/>
                  <w:noWrap w:val="0"/>
                  <w:vAlign w:val="center"/>
                </w:tcPr>
                <w:p w14:paraId="72A292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pH、</w:t>
                  </w:r>
                  <w:r>
                    <w:rPr>
                      <w:rFonts w:hint="default" w:ascii="Times New Roman" w:hAnsi="Times New Roman" w:cs="Times New Roman"/>
                      <w:b w:val="0"/>
                      <w:bCs w:val="0"/>
                      <w:color w:val="auto"/>
                      <w:sz w:val="21"/>
                      <w:szCs w:val="21"/>
                      <w:highlight w:val="none"/>
                    </w:rPr>
                    <w:t>COD、</w:t>
                  </w:r>
                  <w:r>
                    <w:rPr>
                      <w:rFonts w:hint="default" w:ascii="Times New Roman" w:hAnsi="Times New Roman" w:cs="Times New Roman"/>
                      <w:b w:val="0"/>
                      <w:bCs w:val="0"/>
                      <w:color w:val="auto"/>
                      <w:sz w:val="21"/>
                      <w:szCs w:val="21"/>
                      <w:highlight w:val="none"/>
                      <w:lang w:val="en-US" w:eastAsia="zh-CN"/>
                    </w:rPr>
                    <w:t>氨氮、</w:t>
                  </w:r>
                  <w:r>
                    <w:rPr>
                      <w:rFonts w:hint="default" w:ascii="Times New Roman" w:hAnsi="Times New Roman" w:cs="Times New Roman"/>
                      <w:b w:val="0"/>
                      <w:bCs w:val="0"/>
                      <w:color w:val="auto"/>
                      <w:sz w:val="21"/>
                      <w:szCs w:val="21"/>
                      <w:highlight w:val="none"/>
                    </w:rPr>
                    <w:t>BOD</w:t>
                  </w:r>
                  <w:r>
                    <w:rPr>
                      <w:rFonts w:hint="default" w:ascii="Times New Roman" w:hAnsi="Times New Roman" w:cs="Times New Roman"/>
                      <w:b w:val="0"/>
                      <w:bCs w:val="0"/>
                      <w:color w:val="auto"/>
                      <w:sz w:val="21"/>
                      <w:szCs w:val="21"/>
                      <w:highlight w:val="none"/>
                      <w:vertAlign w:val="subscript"/>
                    </w:rPr>
                    <w:t>5</w:t>
                  </w:r>
                  <w:r>
                    <w:rPr>
                      <w:rFonts w:hint="default" w:ascii="Times New Roman" w:hAnsi="Times New Roman" w:cs="Times New Roman"/>
                      <w:b w:val="0"/>
                      <w:bCs w:val="0"/>
                      <w:color w:val="auto"/>
                      <w:sz w:val="21"/>
                      <w:szCs w:val="21"/>
                      <w:highlight w:val="none"/>
                    </w:rPr>
                    <w:t>、</w:t>
                  </w:r>
                  <w:r>
                    <w:rPr>
                      <w:rFonts w:hint="default" w:ascii="Times New Roman" w:hAnsi="Times New Roman" w:cs="Times New Roman"/>
                      <w:b w:val="0"/>
                      <w:bCs w:val="0"/>
                      <w:color w:val="auto"/>
                      <w:sz w:val="21"/>
                      <w:szCs w:val="21"/>
                      <w:highlight w:val="none"/>
                      <w:lang w:val="en-US" w:eastAsia="zh-CN"/>
                    </w:rPr>
                    <w:t>SS</w:t>
                  </w:r>
                  <w:r>
                    <w:rPr>
                      <w:rFonts w:hint="default" w:ascii="Times New Roman" w:hAnsi="Times New Roman" w:cs="Times New Roman"/>
                      <w:b w:val="0"/>
                      <w:bCs w:val="0"/>
                      <w:color w:val="auto"/>
                      <w:sz w:val="21"/>
                      <w:szCs w:val="21"/>
                      <w:highlight w:val="none"/>
                    </w:rPr>
                    <w:t>等</w:t>
                  </w:r>
                </w:p>
              </w:tc>
              <w:tc>
                <w:tcPr>
                  <w:tcW w:w="838" w:type="pct"/>
                  <w:noWrap w:val="0"/>
                  <w:vAlign w:val="center"/>
                </w:tcPr>
                <w:p w14:paraId="280927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器皿清洗</w:t>
                  </w:r>
                </w:p>
              </w:tc>
              <w:tc>
                <w:tcPr>
                  <w:tcW w:w="1867" w:type="pct"/>
                  <w:vMerge w:val="restart"/>
                  <w:noWrap w:val="0"/>
                  <w:vAlign w:val="center"/>
                </w:tcPr>
                <w:p w14:paraId="7E5FAD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cs="Times New Roman"/>
                      <w:b w:val="0"/>
                      <w:bCs w:val="0"/>
                      <w:color w:val="auto"/>
                      <w:sz w:val="21"/>
                      <w:szCs w:val="21"/>
                      <w:highlight w:val="none"/>
                    </w:rPr>
                    <w:t>经</w:t>
                  </w:r>
                  <w:r>
                    <w:rPr>
                      <w:rFonts w:hint="default" w:ascii="Times New Roman" w:hAnsi="Times New Roman" w:cs="Times New Roman"/>
                      <w:b w:val="0"/>
                      <w:bCs w:val="0"/>
                      <w:color w:val="auto"/>
                      <w:sz w:val="21"/>
                      <w:szCs w:val="21"/>
                      <w:highlight w:val="none"/>
                      <w:lang w:val="en-US" w:eastAsia="zh-CN"/>
                    </w:rPr>
                    <w:t>废水处理设备</w:t>
                  </w:r>
                  <w:r>
                    <w:rPr>
                      <w:rFonts w:hint="default" w:ascii="Times New Roman" w:hAnsi="Times New Roman" w:eastAsia="宋体" w:cs="Times New Roman"/>
                      <w:b w:val="0"/>
                      <w:bCs w:val="0"/>
                      <w:color w:val="auto"/>
                      <w:sz w:val="21"/>
                      <w:szCs w:val="21"/>
                      <w:highlight w:val="none"/>
                    </w:rPr>
                    <w:t>后进</w:t>
                  </w:r>
                  <w:r>
                    <w:rPr>
                      <w:rFonts w:hint="default" w:ascii="Times New Roman" w:hAnsi="Times New Roman" w:cs="Times New Roman"/>
                      <w:b w:val="0"/>
                      <w:bCs w:val="0"/>
                      <w:color w:val="auto"/>
                      <w:sz w:val="21"/>
                      <w:szCs w:val="21"/>
                      <w:highlight w:val="none"/>
                    </w:rPr>
                    <w:t>入化粪池处理，最后经市政管网进入</w:t>
                  </w:r>
                  <w:r>
                    <w:rPr>
                      <w:rFonts w:hint="eastAsia" w:cs="Times New Roman"/>
                      <w:b w:val="0"/>
                      <w:bCs w:val="0"/>
                      <w:color w:val="auto"/>
                      <w:sz w:val="21"/>
                      <w:szCs w:val="21"/>
                      <w:highlight w:val="none"/>
                      <w:lang w:eastAsia="zh-CN"/>
                    </w:rPr>
                    <w:t>福清市融元污水处理厂</w:t>
                  </w:r>
                </w:p>
              </w:tc>
            </w:tr>
            <w:tr w14:paraId="51824C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97" w:type="pct"/>
                  <w:vMerge w:val="continue"/>
                  <w:noWrap w:val="0"/>
                  <w:vAlign w:val="center"/>
                </w:tcPr>
                <w:p w14:paraId="0992A8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6670B04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W2</w:t>
                  </w:r>
                  <w:r>
                    <w:rPr>
                      <w:rFonts w:hint="default" w:ascii="Times New Roman" w:hAnsi="Times New Roman" w:cs="Times New Roman"/>
                      <w:color w:val="auto"/>
                      <w:highlight w:val="none"/>
                      <w:lang w:val="en-US" w:eastAsia="zh-CN"/>
                    </w:rPr>
                    <w:t>仪器排水</w:t>
                  </w:r>
                </w:p>
              </w:tc>
              <w:tc>
                <w:tcPr>
                  <w:tcW w:w="1009" w:type="pct"/>
                  <w:noWrap w:val="0"/>
                  <w:vAlign w:val="center"/>
                </w:tcPr>
                <w:p w14:paraId="5C6A46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COD、BOD</w:t>
                  </w:r>
                  <w:r>
                    <w:rPr>
                      <w:rFonts w:hint="default" w:ascii="Times New Roman" w:hAnsi="Times New Roman" w:cs="Times New Roman"/>
                      <w:b w:val="0"/>
                      <w:bCs w:val="0"/>
                      <w:color w:val="auto"/>
                      <w:sz w:val="21"/>
                      <w:szCs w:val="21"/>
                      <w:highlight w:val="none"/>
                      <w:vertAlign w:val="subscript"/>
                    </w:rPr>
                    <w:t>5</w:t>
                  </w:r>
                  <w:r>
                    <w:rPr>
                      <w:rFonts w:hint="default" w:ascii="Times New Roman" w:hAnsi="Times New Roman" w:cs="Times New Roman"/>
                      <w:b w:val="0"/>
                      <w:bCs w:val="0"/>
                      <w:color w:val="auto"/>
                      <w:sz w:val="21"/>
                      <w:szCs w:val="21"/>
                      <w:highlight w:val="none"/>
                    </w:rPr>
                    <w:t>等</w:t>
                  </w:r>
                </w:p>
              </w:tc>
              <w:tc>
                <w:tcPr>
                  <w:tcW w:w="838" w:type="pct"/>
                  <w:noWrap w:val="0"/>
                  <w:vAlign w:val="center"/>
                </w:tcPr>
                <w:p w14:paraId="013455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lang w:val="en-US" w:eastAsia="zh-CN"/>
                    </w:rPr>
                    <w:t>实验过程</w:t>
                  </w:r>
                </w:p>
              </w:tc>
              <w:tc>
                <w:tcPr>
                  <w:tcW w:w="1867" w:type="pct"/>
                  <w:vMerge w:val="continue"/>
                  <w:noWrap w:val="0"/>
                  <w:vAlign w:val="center"/>
                </w:tcPr>
                <w:p w14:paraId="51BD7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b w:val="0"/>
                      <w:bCs w:val="0"/>
                      <w:color w:val="auto"/>
                      <w:sz w:val="21"/>
                      <w:szCs w:val="21"/>
                      <w:highlight w:val="none"/>
                    </w:rPr>
                  </w:pPr>
                </w:p>
              </w:tc>
            </w:tr>
            <w:tr w14:paraId="5CD399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97" w:type="pct"/>
                  <w:vMerge w:val="continue"/>
                  <w:noWrap w:val="0"/>
                  <w:vAlign w:val="center"/>
                </w:tcPr>
                <w:p w14:paraId="7DCA37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4239E4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highlight w:val="none"/>
                      <w:lang w:val="en-US" w:eastAsia="zh-CN"/>
                    </w:rPr>
                    <w:t>W3剩余水样</w:t>
                  </w:r>
                </w:p>
              </w:tc>
              <w:tc>
                <w:tcPr>
                  <w:tcW w:w="1009" w:type="pct"/>
                  <w:noWrap w:val="0"/>
                  <w:vAlign w:val="center"/>
                </w:tcPr>
                <w:p w14:paraId="2EF33B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COD、BOD</w:t>
                  </w:r>
                  <w:r>
                    <w:rPr>
                      <w:rFonts w:hint="default" w:ascii="Times New Roman" w:hAnsi="Times New Roman" w:cs="Times New Roman"/>
                      <w:b w:val="0"/>
                      <w:bCs w:val="0"/>
                      <w:color w:val="auto"/>
                      <w:sz w:val="21"/>
                      <w:szCs w:val="21"/>
                      <w:highlight w:val="none"/>
                      <w:vertAlign w:val="subscript"/>
                    </w:rPr>
                    <w:t>5</w:t>
                  </w:r>
                  <w:r>
                    <w:rPr>
                      <w:rFonts w:hint="default" w:ascii="Times New Roman" w:hAnsi="Times New Roman" w:cs="Times New Roman"/>
                      <w:b w:val="0"/>
                      <w:bCs w:val="0"/>
                      <w:color w:val="auto"/>
                      <w:sz w:val="21"/>
                      <w:szCs w:val="21"/>
                      <w:highlight w:val="none"/>
                    </w:rPr>
                    <w:t>等</w:t>
                  </w:r>
                </w:p>
              </w:tc>
              <w:tc>
                <w:tcPr>
                  <w:tcW w:w="838" w:type="pct"/>
                  <w:noWrap w:val="0"/>
                  <w:vAlign w:val="center"/>
                </w:tcPr>
                <w:p w14:paraId="1B48139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vMerge w:val="continue"/>
                  <w:noWrap w:val="0"/>
                  <w:vAlign w:val="center"/>
                </w:tcPr>
                <w:p w14:paraId="556592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b w:val="0"/>
                      <w:bCs w:val="0"/>
                      <w:color w:val="auto"/>
                      <w:sz w:val="21"/>
                      <w:szCs w:val="21"/>
                      <w:highlight w:val="none"/>
                    </w:rPr>
                  </w:pPr>
                </w:p>
              </w:tc>
            </w:tr>
            <w:tr w14:paraId="5C4F64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297" w:type="pct"/>
                  <w:vMerge w:val="continue"/>
                  <w:noWrap w:val="0"/>
                  <w:vAlign w:val="center"/>
                </w:tcPr>
                <w:p w14:paraId="3A1F39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383ED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W4制纯浓水</w:t>
                  </w:r>
                </w:p>
              </w:tc>
              <w:tc>
                <w:tcPr>
                  <w:tcW w:w="1009" w:type="pct"/>
                  <w:noWrap w:val="0"/>
                  <w:vAlign w:val="center"/>
                </w:tcPr>
                <w:p w14:paraId="223135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SS、钙盐、镁盐</w:t>
                  </w:r>
                </w:p>
              </w:tc>
              <w:tc>
                <w:tcPr>
                  <w:tcW w:w="838" w:type="pct"/>
                  <w:noWrap w:val="0"/>
                  <w:vAlign w:val="center"/>
                </w:tcPr>
                <w:p w14:paraId="55AF75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纯水制备</w:t>
                  </w:r>
                </w:p>
              </w:tc>
              <w:tc>
                <w:tcPr>
                  <w:tcW w:w="1867" w:type="pct"/>
                  <w:vMerge w:val="continue"/>
                  <w:noWrap w:val="0"/>
                  <w:vAlign w:val="center"/>
                </w:tcPr>
                <w:p w14:paraId="176CD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b w:val="0"/>
                      <w:bCs w:val="0"/>
                      <w:color w:val="auto"/>
                      <w:sz w:val="21"/>
                      <w:szCs w:val="21"/>
                      <w:highlight w:val="none"/>
                    </w:rPr>
                  </w:pPr>
                </w:p>
              </w:tc>
            </w:tr>
            <w:tr w14:paraId="2763AD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297" w:type="pct"/>
                  <w:vMerge w:val="continue"/>
                  <w:noWrap w:val="0"/>
                  <w:vAlign w:val="center"/>
                </w:tcPr>
                <w:p w14:paraId="08952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78F972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W5</w:t>
                  </w:r>
                  <w:r>
                    <w:rPr>
                      <w:rFonts w:hint="default" w:ascii="Times New Roman" w:hAnsi="Times New Roman" w:cs="Times New Roman"/>
                      <w:b w:val="0"/>
                      <w:bCs w:val="0"/>
                      <w:color w:val="auto"/>
                      <w:sz w:val="21"/>
                      <w:szCs w:val="21"/>
                      <w:highlight w:val="none"/>
                    </w:rPr>
                    <w:t>生活污水</w:t>
                  </w:r>
                </w:p>
              </w:tc>
              <w:tc>
                <w:tcPr>
                  <w:tcW w:w="1009" w:type="pct"/>
                  <w:noWrap w:val="0"/>
                  <w:vAlign w:val="center"/>
                </w:tcPr>
                <w:p w14:paraId="595631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rPr>
                    <w:t>COD、</w:t>
                  </w:r>
                  <w:r>
                    <w:rPr>
                      <w:rFonts w:hint="default" w:ascii="Times New Roman" w:hAnsi="Times New Roman" w:cs="Times New Roman"/>
                      <w:b w:val="0"/>
                      <w:bCs w:val="0"/>
                      <w:color w:val="auto"/>
                      <w:sz w:val="21"/>
                      <w:szCs w:val="21"/>
                      <w:highlight w:val="none"/>
                      <w:lang w:val="en-US" w:eastAsia="zh-CN"/>
                    </w:rPr>
                    <w:t>氨氮、SS、</w:t>
                  </w:r>
                  <w:r>
                    <w:rPr>
                      <w:rFonts w:hint="default" w:ascii="Times New Roman" w:hAnsi="Times New Roman" w:cs="Times New Roman"/>
                      <w:b w:val="0"/>
                      <w:bCs w:val="0"/>
                      <w:color w:val="auto"/>
                      <w:sz w:val="21"/>
                      <w:szCs w:val="21"/>
                      <w:highlight w:val="none"/>
                    </w:rPr>
                    <w:t>BOD</w:t>
                  </w:r>
                  <w:r>
                    <w:rPr>
                      <w:rFonts w:hint="default" w:ascii="Times New Roman" w:hAnsi="Times New Roman" w:cs="Times New Roman"/>
                      <w:b w:val="0"/>
                      <w:bCs w:val="0"/>
                      <w:color w:val="auto"/>
                      <w:sz w:val="21"/>
                      <w:szCs w:val="21"/>
                      <w:highlight w:val="none"/>
                      <w:vertAlign w:val="subscript"/>
                    </w:rPr>
                    <w:t>5</w:t>
                  </w:r>
                  <w:r>
                    <w:rPr>
                      <w:rFonts w:hint="default" w:ascii="Times New Roman" w:hAnsi="Times New Roman" w:cs="Times New Roman"/>
                      <w:b w:val="0"/>
                      <w:bCs w:val="0"/>
                      <w:color w:val="auto"/>
                      <w:sz w:val="21"/>
                      <w:szCs w:val="21"/>
                      <w:highlight w:val="none"/>
                    </w:rPr>
                    <w:t>等</w:t>
                  </w:r>
                </w:p>
              </w:tc>
              <w:tc>
                <w:tcPr>
                  <w:tcW w:w="838" w:type="pct"/>
                  <w:noWrap w:val="0"/>
                  <w:vAlign w:val="center"/>
                </w:tcPr>
                <w:p w14:paraId="75D106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rPr>
                    <w:t>职工生活</w:t>
                  </w:r>
                </w:p>
              </w:tc>
              <w:tc>
                <w:tcPr>
                  <w:tcW w:w="1867" w:type="pct"/>
                  <w:noWrap w:val="0"/>
                  <w:vAlign w:val="center"/>
                </w:tcPr>
                <w:p w14:paraId="620EE0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default" w:ascii="Times New Roman" w:hAnsi="Times New Roman" w:cs="Times New Roman"/>
                      <w:b w:val="0"/>
                      <w:bCs w:val="0"/>
                      <w:color w:val="auto"/>
                      <w:sz w:val="21"/>
                      <w:szCs w:val="21"/>
                      <w:highlight w:val="none"/>
                    </w:rPr>
                  </w:pPr>
                  <w:r>
                    <w:rPr>
                      <w:rFonts w:hint="default" w:ascii="Times New Roman" w:hAnsi="Times New Roman" w:cs="Times New Roman"/>
                      <w:b w:val="0"/>
                      <w:bCs w:val="0"/>
                      <w:color w:val="auto"/>
                      <w:sz w:val="21"/>
                      <w:szCs w:val="21"/>
                      <w:highlight w:val="none"/>
                    </w:rPr>
                    <w:t>化粪池处理后，经市政管网进入</w:t>
                  </w:r>
                  <w:r>
                    <w:rPr>
                      <w:rFonts w:hint="eastAsia" w:cs="Times New Roman"/>
                      <w:b w:val="0"/>
                      <w:bCs w:val="0"/>
                      <w:color w:val="auto"/>
                      <w:sz w:val="21"/>
                      <w:szCs w:val="21"/>
                      <w:highlight w:val="none"/>
                      <w:lang w:eastAsia="zh-CN"/>
                    </w:rPr>
                    <w:t>福清市融元污水处理厂</w:t>
                  </w:r>
                </w:p>
              </w:tc>
            </w:tr>
            <w:tr w14:paraId="441EFD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297" w:type="pct"/>
                  <w:noWrap w:val="0"/>
                  <w:vAlign w:val="center"/>
                </w:tcPr>
                <w:p w14:paraId="75B5A8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噪声</w:t>
                  </w:r>
                </w:p>
              </w:tc>
              <w:tc>
                <w:tcPr>
                  <w:tcW w:w="986" w:type="pct"/>
                  <w:noWrap w:val="0"/>
                  <w:vAlign w:val="center"/>
                </w:tcPr>
                <w:p w14:paraId="1DE8FD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设备噪声</w:t>
                  </w:r>
                </w:p>
              </w:tc>
              <w:tc>
                <w:tcPr>
                  <w:tcW w:w="1009" w:type="pct"/>
                  <w:noWrap w:val="0"/>
                  <w:vAlign w:val="center"/>
                </w:tcPr>
                <w:p w14:paraId="4480D7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等效A声级</w:t>
                  </w:r>
                </w:p>
              </w:tc>
              <w:tc>
                <w:tcPr>
                  <w:tcW w:w="838" w:type="pct"/>
                  <w:noWrap w:val="0"/>
                  <w:vAlign w:val="center"/>
                </w:tcPr>
                <w:p w14:paraId="6AC57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实验室</w:t>
                  </w:r>
                </w:p>
              </w:tc>
              <w:tc>
                <w:tcPr>
                  <w:tcW w:w="1867" w:type="pct"/>
                  <w:noWrap w:val="0"/>
                  <w:vAlign w:val="center"/>
                </w:tcPr>
                <w:p w14:paraId="5999FB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cs="Times New Roman"/>
                      <w:b w:val="0"/>
                      <w:bCs w:val="0"/>
                      <w:color w:val="auto"/>
                      <w:sz w:val="21"/>
                      <w:szCs w:val="21"/>
                      <w:highlight w:val="none"/>
                    </w:rPr>
                  </w:pPr>
                  <w:r>
                    <w:rPr>
                      <w:rFonts w:hint="default" w:ascii="Times New Roman" w:hAnsi="Times New Roman" w:eastAsia="宋体" w:cs="Times New Roman"/>
                      <w:color w:val="auto"/>
                      <w:sz w:val="21"/>
                      <w:szCs w:val="24"/>
                      <w:highlight w:val="none"/>
                      <w:lang w:val="en-US" w:eastAsia="zh-CN"/>
                    </w:rPr>
                    <w:t>主要高噪声设备安装</w:t>
                  </w:r>
                  <w:r>
                    <w:rPr>
                      <w:rFonts w:hint="default" w:ascii="Times New Roman" w:hAnsi="Times New Roman" w:cs="Times New Roman"/>
                      <w:color w:val="auto"/>
                      <w:sz w:val="21"/>
                      <w:szCs w:val="24"/>
                      <w:highlight w:val="none"/>
                      <w:lang w:val="en-US" w:eastAsia="zh-CN"/>
                    </w:rPr>
                    <w:t>减振</w:t>
                  </w:r>
                  <w:r>
                    <w:rPr>
                      <w:rFonts w:hint="default" w:ascii="Times New Roman" w:hAnsi="Times New Roman" w:eastAsia="宋体" w:cs="Times New Roman"/>
                      <w:color w:val="auto"/>
                      <w:sz w:val="21"/>
                      <w:szCs w:val="24"/>
                      <w:highlight w:val="none"/>
                      <w:lang w:val="en-US" w:eastAsia="zh-CN"/>
                    </w:rPr>
                    <w:t>垫、消声设备；安装隔声门窗，合理布局，使高噪声设备尽可能远离噪声敏感点；加强设备的安装、调试、使用和维护管理。</w:t>
                  </w:r>
                </w:p>
              </w:tc>
            </w:tr>
            <w:tr w14:paraId="72EEAC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97" w:type="pct"/>
                  <w:vMerge w:val="restart"/>
                  <w:noWrap w:val="0"/>
                  <w:vAlign w:val="center"/>
                </w:tcPr>
                <w:p w14:paraId="59BBB1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rPr>
                    <w:t>固体废物</w:t>
                  </w:r>
                </w:p>
              </w:tc>
              <w:tc>
                <w:tcPr>
                  <w:tcW w:w="986" w:type="pct"/>
                  <w:noWrap w:val="0"/>
                  <w:vAlign w:val="center"/>
                </w:tcPr>
                <w:p w14:paraId="4DC623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S1废试剂包装物</w:t>
                  </w:r>
                </w:p>
              </w:tc>
              <w:tc>
                <w:tcPr>
                  <w:tcW w:w="1009" w:type="pct"/>
                  <w:noWrap w:val="0"/>
                  <w:vAlign w:val="center"/>
                </w:tcPr>
                <w:p w14:paraId="10B92C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4F9A69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noWrap w:val="0"/>
                  <w:vAlign w:val="center"/>
                </w:tcPr>
                <w:p w14:paraId="32C3FF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b w:val="0"/>
                      <w:bCs w:val="0"/>
                      <w:color w:val="auto"/>
                      <w:sz w:val="21"/>
                      <w:szCs w:val="21"/>
                      <w:highlight w:val="none"/>
                    </w:rPr>
                    <w:t>暂存于</w:t>
                  </w:r>
                  <w:r>
                    <w:rPr>
                      <w:rFonts w:hint="default" w:ascii="Times New Roman" w:hAnsi="Times New Roman" w:cs="Times New Roman"/>
                      <w:b w:val="0"/>
                      <w:bCs w:val="0"/>
                      <w:color w:val="auto"/>
                      <w:sz w:val="21"/>
                      <w:szCs w:val="21"/>
                      <w:highlight w:val="none"/>
                      <w:lang w:val="en-US" w:eastAsia="zh-CN"/>
                    </w:rPr>
                    <w:t>危险废物暂存间</w:t>
                  </w:r>
                  <w:r>
                    <w:rPr>
                      <w:rFonts w:hint="default" w:ascii="Times New Roman" w:hAnsi="Times New Roman" w:cs="Times New Roman"/>
                      <w:b w:val="0"/>
                      <w:bCs w:val="0"/>
                      <w:color w:val="auto"/>
                      <w:sz w:val="21"/>
                      <w:szCs w:val="21"/>
                      <w:highlight w:val="none"/>
                    </w:rPr>
                    <w:t>，定期委托有资质的单位处置</w:t>
                  </w:r>
                </w:p>
              </w:tc>
            </w:tr>
            <w:tr w14:paraId="671510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3EF488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5ECCCB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S2水样包装物</w:t>
                  </w:r>
                </w:p>
              </w:tc>
              <w:tc>
                <w:tcPr>
                  <w:tcW w:w="1009" w:type="pct"/>
                  <w:noWrap w:val="0"/>
                  <w:vAlign w:val="center"/>
                </w:tcPr>
                <w:p w14:paraId="658EAB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2B5A94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noWrap w:val="0"/>
                  <w:vAlign w:val="center"/>
                </w:tcPr>
                <w:p w14:paraId="48056D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eastAsia="zh-CN"/>
                    </w:rPr>
                  </w:pPr>
                  <w:r>
                    <w:rPr>
                      <w:rFonts w:hint="default" w:ascii="Times New Roman" w:hAnsi="Times New Roman" w:cs="Times New Roman"/>
                      <w:b w:val="0"/>
                      <w:bCs w:val="0"/>
                      <w:color w:val="auto"/>
                      <w:sz w:val="21"/>
                      <w:szCs w:val="21"/>
                      <w:highlight w:val="none"/>
                      <w:lang w:eastAsia="zh-CN"/>
                    </w:rPr>
                    <w:t>外售综合利用</w:t>
                  </w:r>
                </w:p>
              </w:tc>
            </w:tr>
            <w:tr w14:paraId="7CF975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77FB4D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2F1706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S3废树脂</w:t>
                  </w:r>
                </w:p>
              </w:tc>
              <w:tc>
                <w:tcPr>
                  <w:tcW w:w="1009" w:type="pct"/>
                  <w:noWrap w:val="0"/>
                  <w:vAlign w:val="center"/>
                </w:tcPr>
                <w:p w14:paraId="6F0E39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670BC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纯水制备</w:t>
                  </w:r>
                </w:p>
              </w:tc>
              <w:tc>
                <w:tcPr>
                  <w:tcW w:w="1867" w:type="pct"/>
                  <w:vMerge w:val="restart"/>
                  <w:noWrap w:val="0"/>
                  <w:vAlign w:val="center"/>
                </w:tcPr>
                <w:p w14:paraId="309BD8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eastAsia" w:cs="Times New Roman"/>
                      <w:b w:val="0"/>
                      <w:bCs w:val="0"/>
                      <w:color w:val="auto"/>
                      <w:sz w:val="21"/>
                      <w:szCs w:val="21"/>
                      <w:highlight w:val="none"/>
                      <w:lang w:val="en-US" w:eastAsia="zh-CN"/>
                    </w:rPr>
                    <w:t>有资质的</w:t>
                  </w:r>
                  <w:r>
                    <w:rPr>
                      <w:rFonts w:hint="default" w:ascii="Times New Roman" w:hAnsi="Times New Roman" w:cs="Times New Roman"/>
                      <w:b w:val="0"/>
                      <w:bCs w:val="0"/>
                      <w:color w:val="auto"/>
                      <w:sz w:val="21"/>
                      <w:szCs w:val="21"/>
                      <w:highlight w:val="none"/>
                      <w:lang w:val="en-US" w:eastAsia="zh-CN"/>
                    </w:rPr>
                    <w:t>厂家定期替换回收</w:t>
                  </w:r>
                </w:p>
              </w:tc>
            </w:tr>
            <w:tr w14:paraId="36433D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11C600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6C9F5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S4废过滤材料</w:t>
                  </w:r>
                </w:p>
              </w:tc>
              <w:tc>
                <w:tcPr>
                  <w:tcW w:w="1009" w:type="pct"/>
                  <w:noWrap w:val="0"/>
                  <w:vAlign w:val="center"/>
                </w:tcPr>
                <w:p w14:paraId="6FB95A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20A393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纯水制备</w:t>
                  </w:r>
                </w:p>
              </w:tc>
              <w:tc>
                <w:tcPr>
                  <w:tcW w:w="1867" w:type="pct"/>
                  <w:vMerge w:val="continue"/>
                  <w:noWrap w:val="0"/>
                  <w:vAlign w:val="center"/>
                </w:tcPr>
                <w:p w14:paraId="224B5B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5A922A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trPr>
              <w:tc>
                <w:tcPr>
                  <w:tcW w:w="297" w:type="pct"/>
                  <w:vMerge w:val="continue"/>
                  <w:noWrap w:val="0"/>
                  <w:vAlign w:val="center"/>
                </w:tcPr>
                <w:p w14:paraId="22F87A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739B36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S5高浓度废液</w:t>
                  </w:r>
                </w:p>
              </w:tc>
              <w:tc>
                <w:tcPr>
                  <w:tcW w:w="1009" w:type="pct"/>
                  <w:noWrap w:val="0"/>
                  <w:vAlign w:val="center"/>
                </w:tcPr>
                <w:p w14:paraId="728C2F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重金属（铬、镉、银等）、有机物</w:t>
                  </w:r>
                </w:p>
              </w:tc>
              <w:tc>
                <w:tcPr>
                  <w:tcW w:w="838" w:type="pct"/>
                  <w:noWrap w:val="0"/>
                  <w:vAlign w:val="center"/>
                </w:tcPr>
                <w:p w14:paraId="039C68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vMerge w:val="restart"/>
                  <w:noWrap w:val="0"/>
                  <w:vAlign w:val="center"/>
                </w:tcPr>
                <w:p w14:paraId="5B7F5D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b w:val="0"/>
                      <w:bCs w:val="0"/>
                      <w:color w:val="auto"/>
                      <w:sz w:val="21"/>
                      <w:szCs w:val="21"/>
                      <w:highlight w:val="none"/>
                    </w:rPr>
                    <w:t>暂存于</w:t>
                  </w:r>
                  <w:r>
                    <w:rPr>
                      <w:rFonts w:hint="default" w:ascii="Times New Roman" w:hAnsi="Times New Roman" w:cs="Times New Roman"/>
                      <w:b w:val="0"/>
                      <w:bCs w:val="0"/>
                      <w:color w:val="auto"/>
                      <w:sz w:val="21"/>
                      <w:szCs w:val="21"/>
                      <w:highlight w:val="none"/>
                      <w:lang w:val="en-US" w:eastAsia="zh-CN"/>
                    </w:rPr>
                    <w:t>危险废物暂存间</w:t>
                  </w:r>
                  <w:r>
                    <w:rPr>
                      <w:rFonts w:hint="default" w:ascii="Times New Roman" w:hAnsi="Times New Roman" w:cs="Times New Roman"/>
                      <w:b w:val="0"/>
                      <w:bCs w:val="0"/>
                      <w:color w:val="auto"/>
                      <w:sz w:val="21"/>
                      <w:szCs w:val="21"/>
                      <w:highlight w:val="none"/>
                    </w:rPr>
                    <w:t>，定期委托有资质的单位处置</w:t>
                  </w:r>
                </w:p>
              </w:tc>
            </w:tr>
            <w:tr w14:paraId="7593E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0688E2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211454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S6废试剂</w:t>
                  </w:r>
                </w:p>
              </w:tc>
              <w:tc>
                <w:tcPr>
                  <w:tcW w:w="1009" w:type="pct"/>
                  <w:noWrap w:val="0"/>
                  <w:vAlign w:val="center"/>
                </w:tcPr>
                <w:p w14:paraId="0DF253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368433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vMerge w:val="continue"/>
                  <w:noWrap w:val="0"/>
                  <w:vAlign w:val="center"/>
                </w:tcPr>
                <w:p w14:paraId="6CDDBE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1C9BAE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1F590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278DEA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S7</w:t>
                  </w:r>
                  <w:r>
                    <w:rPr>
                      <w:rFonts w:hint="eastAsia" w:ascii="Times New Roman" w:hAnsi="Times New Roman" w:cs="Times New Roman"/>
                      <w:color w:val="auto"/>
                      <w:sz w:val="21"/>
                      <w:szCs w:val="21"/>
                      <w:highlight w:val="none"/>
                      <w:lang w:val="en-US" w:eastAsia="zh-CN"/>
                    </w:rPr>
                    <w:t>微生物废样品</w:t>
                  </w:r>
                </w:p>
              </w:tc>
              <w:tc>
                <w:tcPr>
                  <w:tcW w:w="1009" w:type="pct"/>
                  <w:noWrap w:val="0"/>
                  <w:vAlign w:val="center"/>
                </w:tcPr>
                <w:p w14:paraId="251AA2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废培养基</w:t>
                  </w:r>
                </w:p>
              </w:tc>
              <w:tc>
                <w:tcPr>
                  <w:tcW w:w="838" w:type="pct"/>
                  <w:noWrap w:val="0"/>
                  <w:vAlign w:val="center"/>
                </w:tcPr>
                <w:p w14:paraId="4B647C6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noWrap w:val="0"/>
                  <w:vAlign w:val="center"/>
                </w:tcPr>
                <w:p w14:paraId="057206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eastAsia" w:cs="Times New Roman"/>
                      <w:color w:val="auto"/>
                      <w:sz w:val="21"/>
                      <w:szCs w:val="24"/>
                      <w:highlight w:val="none"/>
                      <w:lang w:val="en-US" w:eastAsia="zh-CN"/>
                    </w:rPr>
                    <w:t>高温灭菌后倒入废水处理设施进行处理</w:t>
                  </w:r>
                </w:p>
              </w:tc>
            </w:tr>
            <w:tr w14:paraId="28D4FD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3EA260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57EA57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t>
                  </w:r>
                  <w:r>
                    <w:rPr>
                      <w:rFonts w:hint="eastAsia" w:cs="Times New Roman"/>
                      <w:color w:val="auto"/>
                      <w:sz w:val="21"/>
                      <w:szCs w:val="21"/>
                      <w:highlight w:val="none"/>
                      <w:lang w:val="en-US" w:eastAsia="zh-CN"/>
                    </w:rPr>
                    <w:t>8</w:t>
                  </w:r>
                  <w:r>
                    <w:rPr>
                      <w:rFonts w:hint="default" w:ascii="Times New Roman" w:hAnsi="Times New Roman" w:cs="Times New Roman"/>
                      <w:color w:val="auto"/>
                      <w:sz w:val="21"/>
                      <w:szCs w:val="21"/>
                      <w:highlight w:val="none"/>
                      <w:lang w:val="en-US" w:eastAsia="zh-CN"/>
                    </w:rPr>
                    <w:t>实验室废物</w:t>
                  </w:r>
                </w:p>
              </w:tc>
              <w:tc>
                <w:tcPr>
                  <w:tcW w:w="1009" w:type="pct"/>
                  <w:noWrap w:val="0"/>
                  <w:vAlign w:val="center"/>
                </w:tcPr>
                <w:p w14:paraId="6E4F0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037163C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实验过程</w:t>
                  </w:r>
                </w:p>
              </w:tc>
              <w:tc>
                <w:tcPr>
                  <w:tcW w:w="1867" w:type="pct"/>
                  <w:vMerge w:val="restart"/>
                  <w:noWrap w:val="0"/>
                  <w:vAlign w:val="center"/>
                </w:tcPr>
                <w:p w14:paraId="72499F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b w:val="0"/>
                      <w:bCs w:val="0"/>
                      <w:color w:val="auto"/>
                      <w:sz w:val="21"/>
                      <w:szCs w:val="21"/>
                      <w:highlight w:val="none"/>
                    </w:rPr>
                    <w:t>暂存于</w:t>
                  </w:r>
                  <w:r>
                    <w:rPr>
                      <w:rFonts w:hint="default" w:ascii="Times New Roman" w:hAnsi="Times New Roman" w:cs="Times New Roman"/>
                      <w:b w:val="0"/>
                      <w:bCs w:val="0"/>
                      <w:color w:val="auto"/>
                      <w:sz w:val="21"/>
                      <w:szCs w:val="21"/>
                      <w:highlight w:val="none"/>
                      <w:lang w:val="en-US" w:eastAsia="zh-CN"/>
                    </w:rPr>
                    <w:t>危险废物暂存间</w:t>
                  </w:r>
                  <w:r>
                    <w:rPr>
                      <w:rFonts w:hint="default" w:ascii="Times New Roman" w:hAnsi="Times New Roman" w:cs="Times New Roman"/>
                      <w:b w:val="0"/>
                      <w:bCs w:val="0"/>
                      <w:color w:val="auto"/>
                      <w:sz w:val="21"/>
                      <w:szCs w:val="21"/>
                      <w:highlight w:val="none"/>
                    </w:rPr>
                    <w:t>，定期委托有资质的单位处置</w:t>
                  </w:r>
                </w:p>
              </w:tc>
            </w:tr>
            <w:tr w14:paraId="1C60A2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427E18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4DF41DA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t>
                  </w:r>
                  <w:r>
                    <w:rPr>
                      <w:rFonts w:hint="eastAsia" w:cs="Times New Roman"/>
                      <w:color w:val="auto"/>
                      <w:sz w:val="21"/>
                      <w:szCs w:val="21"/>
                      <w:highlight w:val="none"/>
                      <w:lang w:val="en-US" w:eastAsia="zh-CN"/>
                    </w:rPr>
                    <w:t>9</w:t>
                  </w:r>
                  <w:r>
                    <w:rPr>
                      <w:rFonts w:hint="default" w:ascii="Times New Roman" w:hAnsi="Times New Roman" w:cs="Times New Roman"/>
                      <w:color w:val="auto"/>
                      <w:sz w:val="21"/>
                      <w:szCs w:val="21"/>
                      <w:highlight w:val="none"/>
                      <w:lang w:val="en-US" w:eastAsia="zh-CN"/>
                    </w:rPr>
                    <w:t>废活性炭</w:t>
                  </w:r>
                </w:p>
              </w:tc>
              <w:tc>
                <w:tcPr>
                  <w:tcW w:w="1009" w:type="pct"/>
                  <w:noWrap w:val="0"/>
                  <w:vAlign w:val="center"/>
                </w:tcPr>
                <w:p w14:paraId="39D344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2E0A16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废气治理</w:t>
                  </w:r>
                </w:p>
              </w:tc>
              <w:tc>
                <w:tcPr>
                  <w:tcW w:w="1867" w:type="pct"/>
                  <w:vMerge w:val="continue"/>
                  <w:noWrap w:val="0"/>
                  <w:vAlign w:val="center"/>
                </w:tcPr>
                <w:p w14:paraId="5B2681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76FDA0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4D9428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3DBAB7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w:t>
                  </w:r>
                  <w:r>
                    <w:rPr>
                      <w:rFonts w:hint="eastAsia" w:cs="Times New Roman"/>
                      <w:color w:val="auto"/>
                      <w:sz w:val="21"/>
                      <w:szCs w:val="21"/>
                      <w:highlight w:val="none"/>
                      <w:lang w:val="en-US" w:eastAsia="zh-CN"/>
                    </w:rPr>
                    <w:t>10</w:t>
                  </w:r>
                  <w:r>
                    <w:rPr>
                      <w:rFonts w:hint="default" w:ascii="Times New Roman" w:hAnsi="Times New Roman" w:cs="Times New Roman"/>
                      <w:color w:val="auto"/>
                      <w:sz w:val="21"/>
                      <w:szCs w:val="21"/>
                      <w:highlight w:val="none"/>
                      <w:lang w:val="en-US" w:eastAsia="zh-CN"/>
                    </w:rPr>
                    <w:t>喷淋废液</w:t>
                  </w:r>
                </w:p>
              </w:tc>
              <w:tc>
                <w:tcPr>
                  <w:tcW w:w="1009" w:type="pct"/>
                  <w:noWrap w:val="0"/>
                  <w:vAlign w:val="center"/>
                </w:tcPr>
                <w:p w14:paraId="5E7ED4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2F430E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废气治理</w:t>
                  </w:r>
                </w:p>
              </w:tc>
              <w:tc>
                <w:tcPr>
                  <w:tcW w:w="1867" w:type="pct"/>
                  <w:vMerge w:val="continue"/>
                  <w:noWrap w:val="0"/>
                  <w:vAlign w:val="center"/>
                </w:tcPr>
                <w:p w14:paraId="5E295D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49E9CE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2F7F18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3C3FFE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S1</w:t>
                  </w:r>
                  <w:r>
                    <w:rPr>
                      <w:rFonts w:hint="eastAsia"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污泥</w:t>
                  </w:r>
                </w:p>
              </w:tc>
              <w:tc>
                <w:tcPr>
                  <w:tcW w:w="1009" w:type="pct"/>
                  <w:noWrap w:val="0"/>
                  <w:vAlign w:val="center"/>
                </w:tcPr>
                <w:p w14:paraId="0E2260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226955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w:t>
                  </w:r>
                  <w:r>
                    <w:rPr>
                      <w:rFonts w:hint="eastAsia" w:ascii="Times New Roman" w:hAnsi="Times New Roman" w:cs="Times New Roman"/>
                      <w:b w:val="0"/>
                      <w:bCs w:val="0"/>
                      <w:color w:val="auto"/>
                      <w:sz w:val="21"/>
                      <w:szCs w:val="21"/>
                      <w:highlight w:val="none"/>
                      <w:lang w:val="en-US" w:eastAsia="zh-CN"/>
                    </w:rPr>
                    <w:t>水</w:t>
                  </w:r>
                  <w:r>
                    <w:rPr>
                      <w:rFonts w:hint="default" w:ascii="Times New Roman" w:hAnsi="Times New Roman" w:cs="Times New Roman"/>
                      <w:b w:val="0"/>
                      <w:bCs w:val="0"/>
                      <w:color w:val="auto"/>
                      <w:sz w:val="21"/>
                      <w:szCs w:val="21"/>
                      <w:highlight w:val="none"/>
                      <w:lang w:val="en-US" w:eastAsia="zh-CN"/>
                    </w:rPr>
                    <w:t>治理</w:t>
                  </w:r>
                </w:p>
              </w:tc>
              <w:tc>
                <w:tcPr>
                  <w:tcW w:w="1867" w:type="pct"/>
                  <w:vMerge w:val="continue"/>
                  <w:noWrap w:val="0"/>
                  <w:vAlign w:val="center"/>
                </w:tcPr>
                <w:p w14:paraId="6823E5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77AA8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2AE8E0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28486D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S1</w:t>
                  </w:r>
                  <w:r>
                    <w:rPr>
                      <w:rFonts w:hint="eastAsia" w:cs="Times New Roman"/>
                      <w:color w:val="auto"/>
                      <w:sz w:val="21"/>
                      <w:szCs w:val="21"/>
                      <w:highlight w:val="none"/>
                      <w:lang w:val="en-US" w:eastAsia="zh-CN"/>
                    </w:rPr>
                    <w:t>2废重金属捕捉器</w:t>
                  </w:r>
                </w:p>
              </w:tc>
              <w:tc>
                <w:tcPr>
                  <w:tcW w:w="1009" w:type="pct"/>
                  <w:noWrap w:val="0"/>
                  <w:vAlign w:val="center"/>
                </w:tcPr>
                <w:p w14:paraId="616C5E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重金属（铬、镉、银等）</w:t>
                  </w:r>
                </w:p>
              </w:tc>
              <w:tc>
                <w:tcPr>
                  <w:tcW w:w="838" w:type="pct"/>
                  <w:noWrap w:val="0"/>
                  <w:vAlign w:val="center"/>
                </w:tcPr>
                <w:p w14:paraId="513918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w:t>
                  </w:r>
                  <w:r>
                    <w:rPr>
                      <w:rFonts w:hint="eastAsia" w:ascii="Times New Roman" w:hAnsi="Times New Roman" w:cs="Times New Roman"/>
                      <w:b w:val="0"/>
                      <w:bCs w:val="0"/>
                      <w:color w:val="auto"/>
                      <w:sz w:val="21"/>
                      <w:szCs w:val="21"/>
                      <w:highlight w:val="none"/>
                      <w:lang w:val="en-US" w:eastAsia="zh-CN"/>
                    </w:rPr>
                    <w:t>水</w:t>
                  </w:r>
                  <w:r>
                    <w:rPr>
                      <w:rFonts w:hint="default" w:ascii="Times New Roman" w:hAnsi="Times New Roman" w:cs="Times New Roman"/>
                      <w:b w:val="0"/>
                      <w:bCs w:val="0"/>
                      <w:color w:val="auto"/>
                      <w:sz w:val="21"/>
                      <w:szCs w:val="21"/>
                      <w:highlight w:val="none"/>
                      <w:lang w:val="en-US" w:eastAsia="zh-CN"/>
                    </w:rPr>
                    <w:t>治理</w:t>
                  </w:r>
                </w:p>
              </w:tc>
              <w:tc>
                <w:tcPr>
                  <w:tcW w:w="1867" w:type="pct"/>
                  <w:vMerge w:val="continue"/>
                  <w:noWrap w:val="0"/>
                  <w:vAlign w:val="center"/>
                </w:tcPr>
                <w:p w14:paraId="539E93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3221AD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7EA1EB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198AD9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S1</w:t>
                  </w:r>
                  <w:r>
                    <w:rPr>
                      <w:rFonts w:hint="eastAsia" w:cs="Times New Roman"/>
                      <w:color w:val="auto"/>
                      <w:sz w:val="21"/>
                      <w:szCs w:val="21"/>
                      <w:highlight w:val="none"/>
                      <w:lang w:val="en-US" w:eastAsia="zh-CN"/>
                    </w:rPr>
                    <w:t>3</w:t>
                  </w:r>
                  <w:r>
                    <w:rPr>
                      <w:rFonts w:hint="default" w:ascii="Times New Roman" w:hAnsi="Times New Roman" w:cs="Times New Roman"/>
                      <w:color w:val="auto"/>
                      <w:sz w:val="21"/>
                      <w:szCs w:val="21"/>
                      <w:highlight w:val="none"/>
                      <w:lang w:val="en-US" w:eastAsia="zh-CN"/>
                    </w:rPr>
                    <w:t>废活性炭</w:t>
                  </w:r>
                </w:p>
              </w:tc>
              <w:tc>
                <w:tcPr>
                  <w:tcW w:w="1009" w:type="pct"/>
                  <w:noWrap w:val="0"/>
                  <w:vAlign w:val="center"/>
                </w:tcPr>
                <w:p w14:paraId="45EF7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008922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w:t>
                  </w:r>
                  <w:r>
                    <w:rPr>
                      <w:rFonts w:hint="eastAsia" w:ascii="Times New Roman" w:hAnsi="Times New Roman" w:cs="Times New Roman"/>
                      <w:b w:val="0"/>
                      <w:bCs w:val="0"/>
                      <w:color w:val="auto"/>
                      <w:sz w:val="21"/>
                      <w:szCs w:val="21"/>
                      <w:highlight w:val="none"/>
                      <w:lang w:val="en-US" w:eastAsia="zh-CN"/>
                    </w:rPr>
                    <w:t>水</w:t>
                  </w:r>
                  <w:r>
                    <w:rPr>
                      <w:rFonts w:hint="default" w:ascii="Times New Roman" w:hAnsi="Times New Roman" w:cs="Times New Roman"/>
                      <w:b w:val="0"/>
                      <w:bCs w:val="0"/>
                      <w:color w:val="auto"/>
                      <w:sz w:val="21"/>
                      <w:szCs w:val="21"/>
                      <w:highlight w:val="none"/>
                      <w:lang w:val="en-US" w:eastAsia="zh-CN"/>
                    </w:rPr>
                    <w:t>治理</w:t>
                  </w:r>
                </w:p>
              </w:tc>
              <w:tc>
                <w:tcPr>
                  <w:tcW w:w="1867" w:type="pct"/>
                  <w:vMerge w:val="continue"/>
                  <w:noWrap w:val="0"/>
                  <w:vAlign w:val="center"/>
                </w:tcPr>
                <w:p w14:paraId="4AB498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490C0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7CF7DF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1FCE6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S1</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废</w:t>
                  </w:r>
                  <w:r>
                    <w:rPr>
                      <w:rFonts w:hint="eastAsia" w:ascii="Times New Roman" w:hAnsi="Times New Roman" w:cs="Times New Roman"/>
                      <w:color w:val="auto"/>
                      <w:sz w:val="21"/>
                      <w:szCs w:val="21"/>
                      <w:highlight w:val="none"/>
                      <w:lang w:val="en-US" w:eastAsia="zh-CN"/>
                    </w:rPr>
                    <w:t>石英砂</w:t>
                  </w:r>
                </w:p>
              </w:tc>
              <w:tc>
                <w:tcPr>
                  <w:tcW w:w="1009" w:type="pct"/>
                  <w:noWrap w:val="0"/>
                  <w:vAlign w:val="center"/>
                </w:tcPr>
                <w:p w14:paraId="3C2EE6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1FAE57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废</w:t>
                  </w:r>
                  <w:r>
                    <w:rPr>
                      <w:rFonts w:hint="eastAsia" w:ascii="Times New Roman" w:hAnsi="Times New Roman" w:cs="Times New Roman"/>
                      <w:b w:val="0"/>
                      <w:bCs w:val="0"/>
                      <w:color w:val="auto"/>
                      <w:sz w:val="21"/>
                      <w:szCs w:val="21"/>
                      <w:highlight w:val="none"/>
                      <w:lang w:val="en-US" w:eastAsia="zh-CN"/>
                    </w:rPr>
                    <w:t>水</w:t>
                  </w:r>
                  <w:r>
                    <w:rPr>
                      <w:rFonts w:hint="default" w:ascii="Times New Roman" w:hAnsi="Times New Roman" w:cs="Times New Roman"/>
                      <w:b w:val="0"/>
                      <w:bCs w:val="0"/>
                      <w:color w:val="auto"/>
                      <w:sz w:val="21"/>
                      <w:szCs w:val="21"/>
                      <w:highlight w:val="none"/>
                      <w:lang w:val="en-US" w:eastAsia="zh-CN"/>
                    </w:rPr>
                    <w:t>治理</w:t>
                  </w:r>
                </w:p>
              </w:tc>
              <w:tc>
                <w:tcPr>
                  <w:tcW w:w="1867" w:type="pct"/>
                  <w:vMerge w:val="continue"/>
                  <w:noWrap w:val="0"/>
                  <w:vAlign w:val="center"/>
                </w:tcPr>
                <w:p w14:paraId="700C4B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p>
              </w:tc>
            </w:tr>
            <w:tr w14:paraId="150A2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7" w:type="pct"/>
                  <w:vMerge w:val="continue"/>
                  <w:noWrap w:val="0"/>
                  <w:vAlign w:val="center"/>
                </w:tcPr>
                <w:p w14:paraId="05A6B0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rPr>
                  </w:pPr>
                </w:p>
              </w:tc>
              <w:tc>
                <w:tcPr>
                  <w:tcW w:w="986" w:type="pct"/>
                  <w:noWrap w:val="0"/>
                  <w:vAlign w:val="center"/>
                </w:tcPr>
                <w:p w14:paraId="6FBE00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S1</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lang w:val="en-US" w:eastAsia="zh-CN"/>
                    </w:rPr>
                    <w:t>生活垃圾</w:t>
                  </w:r>
                </w:p>
              </w:tc>
              <w:tc>
                <w:tcPr>
                  <w:tcW w:w="1009" w:type="pct"/>
                  <w:noWrap w:val="0"/>
                  <w:vAlign w:val="center"/>
                </w:tcPr>
                <w:p w14:paraId="545B02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w:t>
                  </w:r>
                </w:p>
              </w:tc>
              <w:tc>
                <w:tcPr>
                  <w:tcW w:w="838" w:type="pct"/>
                  <w:noWrap w:val="0"/>
                  <w:vAlign w:val="center"/>
                </w:tcPr>
                <w:p w14:paraId="5DA7E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highlight w:val="none"/>
                      <w:lang w:val="en-US" w:eastAsia="zh-CN"/>
                    </w:rPr>
                  </w:pPr>
                  <w:r>
                    <w:rPr>
                      <w:rFonts w:hint="default" w:ascii="Times New Roman" w:hAnsi="Times New Roman" w:cs="Times New Roman"/>
                      <w:b w:val="0"/>
                      <w:bCs w:val="0"/>
                      <w:color w:val="auto"/>
                      <w:sz w:val="21"/>
                      <w:szCs w:val="21"/>
                      <w:highlight w:val="none"/>
                      <w:lang w:val="en-US" w:eastAsia="zh-CN"/>
                    </w:rPr>
                    <w:t>日常办公</w:t>
                  </w:r>
                </w:p>
              </w:tc>
              <w:tc>
                <w:tcPr>
                  <w:tcW w:w="1867" w:type="pct"/>
                  <w:noWrap w:val="0"/>
                  <w:vAlign w:val="center"/>
                </w:tcPr>
                <w:p w14:paraId="3280C1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4"/>
                      <w:highlight w:val="none"/>
                      <w:lang w:val="en-US" w:eastAsia="zh-CN"/>
                    </w:rPr>
                  </w:pPr>
                  <w:r>
                    <w:rPr>
                      <w:rFonts w:hint="default" w:ascii="Times New Roman" w:hAnsi="Times New Roman" w:cs="Times New Roman"/>
                      <w:b w:val="0"/>
                      <w:bCs w:val="0"/>
                      <w:color w:val="auto"/>
                      <w:sz w:val="21"/>
                      <w:szCs w:val="21"/>
                      <w:highlight w:val="none"/>
                      <w:lang w:val="en-US" w:eastAsia="zh-CN"/>
                    </w:rPr>
                    <w:t>垃圾桶收集，每日由</w:t>
                  </w:r>
                  <w:r>
                    <w:rPr>
                      <w:rFonts w:hint="default" w:ascii="Times New Roman" w:hAnsi="Times New Roman" w:cs="Times New Roman"/>
                      <w:b w:val="0"/>
                      <w:bCs w:val="0"/>
                      <w:color w:val="auto"/>
                      <w:sz w:val="21"/>
                      <w:szCs w:val="21"/>
                      <w:highlight w:val="none"/>
                    </w:rPr>
                    <w:t>环卫部门</w:t>
                  </w:r>
                  <w:r>
                    <w:rPr>
                      <w:rFonts w:hint="default" w:ascii="Times New Roman" w:hAnsi="Times New Roman" w:cs="Times New Roman"/>
                      <w:b w:val="0"/>
                      <w:bCs w:val="0"/>
                      <w:color w:val="auto"/>
                      <w:sz w:val="21"/>
                      <w:szCs w:val="21"/>
                      <w:highlight w:val="none"/>
                      <w:lang w:val="en-US" w:eastAsia="zh-CN"/>
                    </w:rPr>
                    <w:t>统一清运</w:t>
                  </w:r>
                </w:p>
              </w:tc>
            </w:tr>
            <w:bookmarkEnd w:id="51"/>
          </w:tbl>
          <w:p w14:paraId="71980E33">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zCs w:val="21"/>
                <w:highlight w:val="none"/>
              </w:rPr>
            </w:pPr>
          </w:p>
        </w:tc>
      </w:tr>
      <w:tr w14:paraId="7D982B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79" w:hRule="atLeast"/>
          <w:jc w:val="center"/>
        </w:trPr>
        <w:tc>
          <w:tcPr>
            <w:tcW w:w="589" w:type="dxa"/>
            <w:vAlign w:val="center"/>
          </w:tcPr>
          <w:p w14:paraId="2EE803A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bCs/>
                <w:color w:val="auto"/>
                <w:kern w:val="2"/>
                <w:sz w:val="24"/>
                <w:szCs w:val="24"/>
                <w:highlight w:val="none"/>
              </w:rPr>
              <w:t>与项目有关的原有环境污染问题</w:t>
            </w:r>
          </w:p>
        </w:tc>
        <w:tc>
          <w:tcPr>
            <w:tcW w:w="8471" w:type="dxa"/>
            <w:vAlign w:val="center"/>
          </w:tcPr>
          <w:p w14:paraId="0AB4610E">
            <w:pPr>
              <w:pStyle w:val="36"/>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szCs w:val="21"/>
                <w:highlight w:val="none"/>
                <w:lang w:val="en-US" w:eastAsia="zh-CN"/>
              </w:rPr>
            </w:pPr>
            <w:r>
              <w:rPr>
                <w:rFonts w:hint="default" w:ascii="Times New Roman" w:hAnsi="Times New Roman" w:cs="Times New Roman"/>
                <w:color w:val="auto"/>
                <w:highlight w:val="none"/>
                <w:lang w:val="en-US" w:eastAsia="zh-CN"/>
              </w:rPr>
              <w:t>无</w:t>
            </w:r>
            <w:r>
              <w:rPr>
                <w:rFonts w:hint="eastAsia" w:ascii="Times New Roman" w:hAnsi="Times New Roman" w:cs="Times New Roman"/>
                <w:color w:val="auto"/>
                <w:highlight w:val="none"/>
                <w:lang w:val="en-US" w:eastAsia="zh-CN"/>
              </w:rPr>
              <w:t>，</w:t>
            </w:r>
            <w:r>
              <w:rPr>
                <w:rFonts w:hint="eastAsia" w:cs="Times New Roman"/>
                <w:color w:val="auto"/>
                <w:highlight w:val="none"/>
                <w:lang w:val="en-US" w:eastAsia="zh-CN"/>
              </w:rPr>
              <w:t>本项目</w:t>
            </w:r>
            <w:r>
              <w:rPr>
                <w:rFonts w:hint="eastAsia" w:ascii="Times New Roman" w:hAnsi="Times New Roman" w:cs="Times New Roman"/>
                <w:color w:val="auto"/>
                <w:highlight w:val="none"/>
                <w:lang w:val="en-US" w:eastAsia="zh-CN"/>
              </w:rPr>
              <w:t>租赁福清洪金机械有限</w:t>
            </w:r>
            <w:r>
              <w:rPr>
                <w:rFonts w:hint="eastAsia" w:cs="Times New Roman"/>
                <w:color w:val="auto"/>
                <w:highlight w:val="none"/>
                <w:lang w:val="en-US" w:eastAsia="zh-CN"/>
              </w:rPr>
              <w:t>公司办公科研楼</w:t>
            </w:r>
            <w:r>
              <w:rPr>
                <w:rFonts w:hint="eastAsia" w:ascii="Times New Roman" w:hAnsi="Times New Roman" w:cs="Times New Roman"/>
                <w:color w:val="auto"/>
                <w:highlight w:val="none"/>
                <w:lang w:val="en-US" w:eastAsia="zh-CN"/>
              </w:rPr>
              <w:t>4层、5层</w:t>
            </w:r>
            <w:r>
              <w:rPr>
                <w:rFonts w:hint="eastAsia" w:cs="Times New Roman"/>
                <w:color w:val="auto"/>
                <w:highlight w:val="none"/>
                <w:lang w:val="en-US" w:eastAsia="zh-CN"/>
              </w:rPr>
              <w:t>，该栋办公楼共6层。根据现场踏勘，目前其余楼层均处于空置状态，与</w:t>
            </w:r>
            <w:r>
              <w:rPr>
                <w:rFonts w:hint="eastAsia" w:ascii="Times New Roman" w:hAnsi="Times New Roman" w:cs="Times New Roman"/>
                <w:color w:val="auto"/>
                <w:highlight w:val="none"/>
                <w:lang w:val="en-US" w:eastAsia="zh-CN"/>
              </w:rPr>
              <w:t>福清洪金机械有限公司</w:t>
            </w:r>
            <w:r>
              <w:rPr>
                <w:rFonts w:hint="eastAsia" w:cs="Times New Roman"/>
                <w:color w:val="auto"/>
                <w:highlight w:val="none"/>
                <w:lang w:val="en-US" w:eastAsia="zh-CN"/>
              </w:rPr>
              <w:t>联系得知剩余楼层均租赁于企业办公使用。</w:t>
            </w:r>
          </w:p>
        </w:tc>
      </w:tr>
    </w:tbl>
    <w:p w14:paraId="13D3DBB4">
      <w:pPr>
        <w:jc w:val="center"/>
        <w:rPr>
          <w:rFonts w:hint="default" w:ascii="Times New Roman" w:hAnsi="Times New Roman" w:eastAsia="黑体" w:cs="Times New Roman"/>
          <w:snapToGrid w:val="0"/>
          <w:color w:val="auto"/>
          <w:sz w:val="36"/>
          <w:szCs w:val="36"/>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027C835E">
      <w:pPr>
        <w:pStyle w:val="4"/>
        <w:bidi w:val="0"/>
        <w:rPr>
          <w:rFonts w:hint="default"/>
          <w:color w:val="auto"/>
        </w:rPr>
      </w:pPr>
      <w:bookmarkStart w:id="52" w:name="_Toc22221"/>
      <w:bookmarkStart w:id="53" w:name="_Toc12930"/>
      <w:r>
        <w:rPr>
          <w:rFonts w:hint="default"/>
          <w:color w:val="auto"/>
        </w:rPr>
        <w:t>区域环境质量现状、环境保护目标及评价标准</w:t>
      </w:r>
      <w:bookmarkEnd w:id="52"/>
      <w:bookmarkEnd w:id="53"/>
    </w:p>
    <w:tbl>
      <w:tblPr>
        <w:tblStyle w:val="28"/>
        <w:tblW w:w="906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05"/>
        <w:gridCol w:w="8456"/>
      </w:tblGrid>
      <w:tr w14:paraId="4EF1C0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605" w:type="dxa"/>
            <w:vAlign w:val="center"/>
          </w:tcPr>
          <w:p w14:paraId="60ED221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区域</w:t>
            </w:r>
          </w:p>
          <w:p w14:paraId="5A4E6E0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环境</w:t>
            </w:r>
          </w:p>
          <w:p w14:paraId="697A2C7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质量</w:t>
            </w:r>
          </w:p>
          <w:p w14:paraId="1AD8D0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Cs w:val="21"/>
                <w:highlight w:val="none"/>
              </w:rPr>
              <w:t>现状</w:t>
            </w:r>
          </w:p>
        </w:tc>
        <w:tc>
          <w:tcPr>
            <w:tcW w:w="8456" w:type="dxa"/>
            <w:vAlign w:val="center"/>
          </w:tcPr>
          <w:p w14:paraId="7DE7F836">
            <w:pPr>
              <w:pStyle w:val="5"/>
              <w:suppressLineNumbers w:val="0"/>
              <w:bidi w:val="0"/>
              <w:spacing w:beforeAutospacing="0" w:afterAutospacing="0"/>
              <w:ind w:right="0"/>
              <w:rPr>
                <w:rFonts w:hint="default"/>
                <w:color w:val="auto"/>
                <w:lang w:val="en-US" w:eastAsia="zh-CN"/>
              </w:rPr>
            </w:pPr>
            <w:bookmarkStart w:id="54" w:name="_Toc20034"/>
            <w:r>
              <w:rPr>
                <w:rFonts w:hint="eastAsia"/>
                <w:color w:val="auto"/>
                <w:lang w:val="en-US" w:eastAsia="zh-CN"/>
              </w:rPr>
              <w:t>大气环境质量现状</w:t>
            </w:r>
            <w:bookmarkEnd w:id="54"/>
          </w:p>
          <w:p w14:paraId="160F5CFE">
            <w:pPr>
              <w:pStyle w:val="6"/>
              <w:suppressLineNumbers w:val="0"/>
              <w:bidi w:val="0"/>
              <w:spacing w:beforeAutospacing="0" w:afterAutospacing="0"/>
              <w:ind w:right="0"/>
              <w:rPr>
                <w:rFonts w:hint="default"/>
                <w:color w:val="auto"/>
                <w:lang w:val="en-US" w:eastAsia="zh-CN"/>
              </w:rPr>
            </w:pPr>
            <w:r>
              <w:rPr>
                <w:rFonts w:hint="eastAsia"/>
                <w:color w:val="auto"/>
                <w:lang w:eastAsia="zh-CN"/>
              </w:rPr>
              <w:t>环境空气质量功能区划</w:t>
            </w:r>
          </w:p>
          <w:p w14:paraId="6DF539CA">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val="en-US" w:eastAsia="zh-CN"/>
              </w:rPr>
            </w:pPr>
            <w:r>
              <w:rPr>
                <w:rFonts w:hint="eastAsia"/>
                <w:color w:val="auto"/>
                <w:lang w:val="en-US" w:eastAsia="zh-CN"/>
              </w:rPr>
              <w:t>项目位于福清市融侨经济技术开发洪宽工业村，</w:t>
            </w:r>
            <w:r>
              <w:rPr>
                <w:rFonts w:hint="default"/>
                <w:color w:val="auto"/>
              </w:rPr>
              <w:t>根据福州市人民政府榕政综</w:t>
            </w:r>
            <w:r>
              <w:rPr>
                <w:rFonts w:hint="eastAsia"/>
                <w:color w:val="auto"/>
                <w:lang w:eastAsia="zh-CN"/>
              </w:rPr>
              <w:t>〔</w:t>
            </w:r>
            <w:r>
              <w:rPr>
                <w:rFonts w:hint="default"/>
                <w:color w:val="auto"/>
              </w:rPr>
              <w:t>2014</w:t>
            </w:r>
            <w:r>
              <w:rPr>
                <w:rFonts w:hint="eastAsia"/>
                <w:color w:val="auto"/>
                <w:lang w:eastAsia="zh-CN"/>
              </w:rPr>
              <w:t>〕</w:t>
            </w:r>
            <w:r>
              <w:rPr>
                <w:rFonts w:hint="default"/>
                <w:color w:val="auto"/>
              </w:rPr>
              <w:t>30号文件正式批准实施《福州市环境空气质量功能区划</w:t>
            </w:r>
            <w:r>
              <w:rPr>
                <w:rFonts w:hint="eastAsia"/>
                <w:color w:val="auto"/>
                <w:lang w:eastAsia="zh-CN"/>
              </w:rPr>
              <w:t>（</w:t>
            </w:r>
            <w:r>
              <w:rPr>
                <w:rFonts w:hint="default"/>
                <w:color w:val="auto"/>
              </w:rPr>
              <w:t>报批稿</w:t>
            </w:r>
            <w:r>
              <w:rPr>
                <w:rFonts w:hint="eastAsia"/>
                <w:color w:val="auto"/>
                <w:lang w:eastAsia="zh-CN"/>
              </w:rPr>
              <w:t>）</w:t>
            </w:r>
            <w:r>
              <w:rPr>
                <w:rFonts w:hint="default"/>
                <w:color w:val="auto"/>
              </w:rPr>
              <w:t>》的规定，项目所在区域环境空气功能规划为二类区，环境空气质量执行《环境空气质量标准》</w:t>
            </w:r>
            <w:r>
              <w:rPr>
                <w:rFonts w:hint="eastAsia"/>
                <w:color w:val="auto"/>
                <w:lang w:eastAsia="zh-CN"/>
              </w:rPr>
              <w:t>（</w:t>
            </w:r>
            <w:r>
              <w:rPr>
                <w:rFonts w:hint="default"/>
                <w:color w:val="auto"/>
              </w:rPr>
              <w:t>GB3095-2012</w:t>
            </w:r>
            <w:r>
              <w:rPr>
                <w:rFonts w:hint="eastAsia"/>
                <w:color w:val="auto"/>
                <w:lang w:eastAsia="zh-CN"/>
              </w:rPr>
              <w:t>）</w:t>
            </w:r>
            <w:r>
              <w:rPr>
                <w:rFonts w:hint="default"/>
                <w:color w:val="auto"/>
              </w:rPr>
              <w:t>及其修改单中的二级标准。非甲烷总烃参照执行《大气污染物综合排放标准详解》</w:t>
            </w:r>
            <w:r>
              <w:rPr>
                <w:rFonts w:hint="eastAsia"/>
                <w:color w:val="auto"/>
                <w:lang w:eastAsia="zh-CN"/>
              </w:rPr>
              <w:t>（</w:t>
            </w:r>
            <w:r>
              <w:rPr>
                <w:rFonts w:hint="default"/>
                <w:color w:val="auto"/>
              </w:rPr>
              <w:t>国家环境保护局科技标准司</w:t>
            </w:r>
            <w:r>
              <w:rPr>
                <w:rFonts w:hint="eastAsia"/>
                <w:color w:val="auto"/>
                <w:lang w:eastAsia="zh-CN"/>
              </w:rPr>
              <w:t>）</w:t>
            </w:r>
            <w:r>
              <w:rPr>
                <w:rFonts w:hint="default"/>
                <w:color w:val="auto"/>
              </w:rPr>
              <w:t>中规定的标准限值，具体详见</w:t>
            </w:r>
            <w:r>
              <w:rPr>
                <w:rFonts w:hint="default" w:ascii="Times New Roman" w:hAnsi="Times New Roman" w:cs="Times New Roman"/>
                <w:color w:val="auto"/>
                <w:highlight w:val="none"/>
              </w:rPr>
              <w:fldChar w:fldCharType="begin"/>
            </w:r>
            <w:r>
              <w:rPr>
                <w:rFonts w:hint="default" w:ascii="Times New Roman" w:hAnsi="Times New Roman" w:cs="Times New Roman"/>
                <w:color w:val="auto"/>
                <w:highlight w:val="none"/>
              </w:rPr>
              <w:instrText xml:space="preserve"> REF _Ref18834 \n \h </w:instrText>
            </w:r>
            <w:r>
              <w:rPr>
                <w:rFonts w:hint="default" w:ascii="Times New Roman" w:hAnsi="Times New Roman" w:cs="Times New Roman"/>
                <w:color w:val="auto"/>
                <w:highlight w:val="none"/>
              </w:rPr>
              <w:fldChar w:fldCharType="separate"/>
            </w:r>
            <w:r>
              <w:rPr>
                <w:rFonts w:hint="default" w:ascii="Times New Roman" w:hAnsi="Times New Roman" w:cs="Times New Roman"/>
                <w:color w:val="auto"/>
                <w:highlight w:val="none"/>
              </w:rPr>
              <w:t>表3.1-1</w:t>
            </w:r>
            <w:r>
              <w:rPr>
                <w:rFonts w:hint="default" w:ascii="Times New Roman" w:hAnsi="Times New Roman" w:cs="Times New Roman"/>
                <w:color w:val="auto"/>
                <w:highlight w:val="none"/>
              </w:rPr>
              <w:fldChar w:fldCharType="end"/>
            </w:r>
            <w:r>
              <w:rPr>
                <w:rFonts w:hint="default" w:ascii="Times New Roman" w:hAnsi="Times New Roman" w:cs="Times New Roman"/>
                <w:color w:val="auto"/>
                <w:highlight w:val="none"/>
                <w:lang w:val="en-US" w:eastAsia="zh-CN"/>
              </w:rPr>
              <w:t>。</w:t>
            </w:r>
          </w:p>
          <w:p w14:paraId="5AF12F77">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eastAsia" w:ascii="Times New Roman" w:hAnsi="Times New Roman" w:cs="Times New Roman"/>
                <w:color w:val="auto"/>
                <w:highlight w:val="none"/>
                <w:lang w:val="en-US" w:eastAsia="zh-CN"/>
              </w:rPr>
            </w:pPr>
            <w:bookmarkStart w:id="55" w:name="_Ref18834"/>
            <w:r>
              <w:rPr>
                <w:rFonts w:hint="default" w:ascii="Times New Roman" w:hAnsi="Times New Roman" w:cs="Times New Roman"/>
                <w:color w:val="auto"/>
                <w:highlight w:val="none"/>
                <w:lang w:val="en-US" w:eastAsia="zh-CN"/>
              </w:rPr>
              <w:t>福鼎市区域空气质量现状评价</w:t>
            </w:r>
            <w:bookmarkEnd w:id="55"/>
            <w:r>
              <w:rPr>
                <w:rFonts w:hint="eastAsia" w:ascii="Times New Roman" w:hAnsi="Times New Roman" w:cs="Times New Roman"/>
                <w:color w:val="auto"/>
                <w:highlight w:val="none"/>
                <w:lang w:val="en-US" w:eastAsia="zh-CN"/>
              </w:rPr>
              <w:t>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1405"/>
              <w:gridCol w:w="1928"/>
              <w:gridCol w:w="1383"/>
              <w:gridCol w:w="3521"/>
            </w:tblGrid>
            <w:tr w14:paraId="03FED7A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noWrap w:val="0"/>
                  <w:vAlign w:val="center"/>
                </w:tcPr>
                <w:p w14:paraId="7F27434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污染物名称</w:t>
                  </w:r>
                </w:p>
              </w:tc>
              <w:tc>
                <w:tcPr>
                  <w:tcW w:w="1170" w:type="pct"/>
                  <w:noWrap w:val="0"/>
                  <w:vAlign w:val="center"/>
                </w:tcPr>
                <w:p w14:paraId="5A4972D5">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取值时间</w:t>
                  </w:r>
                </w:p>
              </w:tc>
              <w:tc>
                <w:tcPr>
                  <w:tcW w:w="839" w:type="pct"/>
                  <w:noWrap w:val="0"/>
                  <w:vAlign w:val="center"/>
                </w:tcPr>
                <w:p w14:paraId="3E2BFC8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浓度限值</w:t>
                  </w:r>
                </w:p>
              </w:tc>
              <w:tc>
                <w:tcPr>
                  <w:tcW w:w="2137" w:type="pct"/>
                  <w:noWrap w:val="0"/>
                  <w:vAlign w:val="center"/>
                </w:tcPr>
                <w:p w14:paraId="693A6E17">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标准来源</w:t>
                  </w:r>
                </w:p>
              </w:tc>
            </w:tr>
            <w:tr w14:paraId="4266B5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75F1095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PM</w:t>
                  </w:r>
                  <w:r>
                    <w:rPr>
                      <w:rFonts w:hint="default"/>
                      <w:color w:val="auto"/>
                      <w:vertAlign w:val="subscript"/>
                    </w:rPr>
                    <w:t>10</w:t>
                  </w:r>
                </w:p>
              </w:tc>
              <w:tc>
                <w:tcPr>
                  <w:tcW w:w="1170" w:type="pct"/>
                  <w:noWrap w:val="0"/>
                  <w:vAlign w:val="center"/>
                </w:tcPr>
                <w:p w14:paraId="4B5194B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年平均</w:t>
                  </w:r>
                </w:p>
              </w:tc>
              <w:tc>
                <w:tcPr>
                  <w:tcW w:w="839" w:type="pct"/>
                  <w:noWrap w:val="0"/>
                  <w:vAlign w:val="center"/>
                </w:tcPr>
                <w:p w14:paraId="550CEBAF">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70μg/m</w:t>
                  </w:r>
                  <w:r>
                    <w:rPr>
                      <w:rFonts w:hint="default"/>
                      <w:color w:val="auto"/>
                      <w:vertAlign w:val="superscript"/>
                    </w:rPr>
                    <w:t>3</w:t>
                  </w:r>
                </w:p>
              </w:tc>
              <w:tc>
                <w:tcPr>
                  <w:tcW w:w="2137" w:type="pct"/>
                  <w:vMerge w:val="restart"/>
                  <w:noWrap w:val="0"/>
                  <w:vAlign w:val="center"/>
                </w:tcPr>
                <w:p w14:paraId="6670E619">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《环境空气质量标准》</w:t>
                  </w:r>
                  <w:r>
                    <w:rPr>
                      <w:rFonts w:hint="eastAsia"/>
                      <w:color w:val="auto"/>
                      <w:lang w:eastAsia="zh-CN"/>
                    </w:rPr>
                    <w:t>（</w:t>
                  </w:r>
                  <w:r>
                    <w:rPr>
                      <w:rFonts w:hint="default"/>
                      <w:color w:val="auto"/>
                    </w:rPr>
                    <w:t>GB3095-2012</w:t>
                  </w:r>
                  <w:r>
                    <w:rPr>
                      <w:rFonts w:hint="eastAsia"/>
                      <w:color w:val="auto"/>
                      <w:lang w:eastAsia="zh-CN"/>
                    </w:rPr>
                    <w:t>）</w:t>
                  </w:r>
                  <w:r>
                    <w:rPr>
                      <w:rFonts w:hint="default"/>
                      <w:color w:val="auto"/>
                    </w:rPr>
                    <w:t>及其修改</w:t>
                  </w:r>
                </w:p>
                <w:p w14:paraId="4F220631">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单中的二级标准</w:t>
                  </w:r>
                </w:p>
              </w:tc>
            </w:tr>
            <w:tr w14:paraId="06C59E2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18FCF786">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5317B97D">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24小时平均</w:t>
                  </w:r>
                </w:p>
              </w:tc>
              <w:tc>
                <w:tcPr>
                  <w:tcW w:w="839" w:type="pct"/>
                  <w:noWrap w:val="0"/>
                  <w:vAlign w:val="center"/>
                </w:tcPr>
                <w:p w14:paraId="1417FEB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150μg/m</w:t>
                  </w:r>
                  <w:r>
                    <w:rPr>
                      <w:rFonts w:hint="default"/>
                      <w:color w:val="auto"/>
                      <w:vertAlign w:val="superscript"/>
                    </w:rPr>
                    <w:t>3</w:t>
                  </w:r>
                </w:p>
              </w:tc>
              <w:tc>
                <w:tcPr>
                  <w:tcW w:w="2137" w:type="pct"/>
                  <w:vMerge w:val="continue"/>
                  <w:noWrap w:val="0"/>
                  <w:vAlign w:val="center"/>
                </w:tcPr>
                <w:p w14:paraId="179CAD17">
                  <w:pPr>
                    <w:pStyle w:val="78"/>
                    <w:keepNext w:val="0"/>
                    <w:keepLines w:val="0"/>
                    <w:suppressLineNumbers w:val="0"/>
                    <w:bidi w:val="0"/>
                    <w:spacing w:before="0" w:beforeAutospacing="0" w:after="0" w:afterAutospacing="0"/>
                    <w:ind w:left="0" w:right="0"/>
                    <w:rPr>
                      <w:rFonts w:hint="default"/>
                      <w:color w:val="auto"/>
                    </w:rPr>
                  </w:pPr>
                </w:p>
              </w:tc>
            </w:tr>
            <w:tr w14:paraId="04254D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23A7D86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PM</w:t>
                  </w:r>
                  <w:r>
                    <w:rPr>
                      <w:rFonts w:hint="default"/>
                      <w:color w:val="auto"/>
                      <w:vertAlign w:val="subscript"/>
                    </w:rPr>
                    <w:t>2.5</w:t>
                  </w:r>
                </w:p>
              </w:tc>
              <w:tc>
                <w:tcPr>
                  <w:tcW w:w="1170" w:type="pct"/>
                  <w:noWrap w:val="0"/>
                  <w:vAlign w:val="center"/>
                </w:tcPr>
                <w:p w14:paraId="26A90F9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年平均</w:t>
                  </w:r>
                </w:p>
              </w:tc>
              <w:tc>
                <w:tcPr>
                  <w:tcW w:w="839" w:type="pct"/>
                  <w:noWrap w:val="0"/>
                  <w:vAlign w:val="center"/>
                </w:tcPr>
                <w:p w14:paraId="2E65D0DB">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35μg/m</w:t>
                  </w:r>
                  <w:r>
                    <w:rPr>
                      <w:rFonts w:hint="default"/>
                      <w:color w:val="auto"/>
                      <w:vertAlign w:val="superscript"/>
                    </w:rPr>
                    <w:t>3</w:t>
                  </w:r>
                </w:p>
              </w:tc>
              <w:tc>
                <w:tcPr>
                  <w:tcW w:w="2137" w:type="pct"/>
                  <w:vMerge w:val="continue"/>
                  <w:noWrap w:val="0"/>
                  <w:vAlign w:val="center"/>
                </w:tcPr>
                <w:p w14:paraId="411E42B5">
                  <w:pPr>
                    <w:pStyle w:val="78"/>
                    <w:keepNext w:val="0"/>
                    <w:keepLines w:val="0"/>
                    <w:suppressLineNumbers w:val="0"/>
                    <w:bidi w:val="0"/>
                    <w:spacing w:before="0" w:beforeAutospacing="0" w:after="0" w:afterAutospacing="0"/>
                    <w:ind w:left="0" w:right="0"/>
                    <w:rPr>
                      <w:rFonts w:hint="default"/>
                      <w:color w:val="auto"/>
                    </w:rPr>
                  </w:pPr>
                </w:p>
              </w:tc>
            </w:tr>
            <w:tr w14:paraId="146E74D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7C44E4E9">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43E89CC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24小时平均</w:t>
                  </w:r>
                </w:p>
              </w:tc>
              <w:tc>
                <w:tcPr>
                  <w:tcW w:w="839" w:type="pct"/>
                  <w:noWrap w:val="0"/>
                  <w:vAlign w:val="center"/>
                </w:tcPr>
                <w:p w14:paraId="32CC616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75μg/m</w:t>
                  </w:r>
                  <w:r>
                    <w:rPr>
                      <w:rFonts w:hint="default"/>
                      <w:color w:val="auto"/>
                      <w:vertAlign w:val="superscript"/>
                    </w:rPr>
                    <w:t>3</w:t>
                  </w:r>
                </w:p>
              </w:tc>
              <w:tc>
                <w:tcPr>
                  <w:tcW w:w="2137" w:type="pct"/>
                  <w:vMerge w:val="continue"/>
                  <w:noWrap w:val="0"/>
                  <w:vAlign w:val="center"/>
                </w:tcPr>
                <w:p w14:paraId="6AE53D89">
                  <w:pPr>
                    <w:pStyle w:val="78"/>
                    <w:keepNext w:val="0"/>
                    <w:keepLines w:val="0"/>
                    <w:suppressLineNumbers w:val="0"/>
                    <w:bidi w:val="0"/>
                    <w:spacing w:before="0" w:beforeAutospacing="0" w:after="0" w:afterAutospacing="0"/>
                    <w:ind w:left="0" w:right="0"/>
                    <w:rPr>
                      <w:rFonts w:hint="default"/>
                      <w:color w:val="auto"/>
                    </w:rPr>
                  </w:pPr>
                </w:p>
              </w:tc>
            </w:tr>
            <w:tr w14:paraId="6291623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019DA831">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SO</w:t>
                  </w:r>
                  <w:r>
                    <w:rPr>
                      <w:rFonts w:hint="default"/>
                      <w:color w:val="auto"/>
                      <w:vertAlign w:val="subscript"/>
                    </w:rPr>
                    <w:t>2</w:t>
                  </w:r>
                </w:p>
              </w:tc>
              <w:tc>
                <w:tcPr>
                  <w:tcW w:w="1170" w:type="pct"/>
                  <w:noWrap w:val="0"/>
                  <w:vAlign w:val="center"/>
                </w:tcPr>
                <w:p w14:paraId="53511C4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年平均</w:t>
                  </w:r>
                </w:p>
              </w:tc>
              <w:tc>
                <w:tcPr>
                  <w:tcW w:w="839" w:type="pct"/>
                  <w:noWrap w:val="0"/>
                  <w:vAlign w:val="center"/>
                </w:tcPr>
                <w:p w14:paraId="6B7881A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60μg/m</w:t>
                  </w:r>
                  <w:r>
                    <w:rPr>
                      <w:rFonts w:hint="default"/>
                      <w:color w:val="auto"/>
                      <w:vertAlign w:val="superscript"/>
                    </w:rPr>
                    <w:t>3</w:t>
                  </w:r>
                </w:p>
              </w:tc>
              <w:tc>
                <w:tcPr>
                  <w:tcW w:w="2137" w:type="pct"/>
                  <w:vMerge w:val="continue"/>
                  <w:noWrap w:val="0"/>
                  <w:vAlign w:val="center"/>
                </w:tcPr>
                <w:p w14:paraId="6D186664">
                  <w:pPr>
                    <w:pStyle w:val="78"/>
                    <w:keepNext w:val="0"/>
                    <w:keepLines w:val="0"/>
                    <w:suppressLineNumbers w:val="0"/>
                    <w:bidi w:val="0"/>
                    <w:spacing w:before="0" w:beforeAutospacing="0" w:after="0" w:afterAutospacing="0"/>
                    <w:ind w:left="0" w:right="0"/>
                    <w:rPr>
                      <w:rFonts w:hint="default"/>
                      <w:color w:val="auto"/>
                    </w:rPr>
                  </w:pPr>
                </w:p>
              </w:tc>
            </w:tr>
            <w:tr w14:paraId="0BC7C13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16D99DC8">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3681F71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24小时平均</w:t>
                  </w:r>
                </w:p>
              </w:tc>
              <w:tc>
                <w:tcPr>
                  <w:tcW w:w="839" w:type="pct"/>
                  <w:noWrap w:val="0"/>
                  <w:vAlign w:val="center"/>
                </w:tcPr>
                <w:p w14:paraId="7A7392A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150μg/m</w:t>
                  </w:r>
                  <w:r>
                    <w:rPr>
                      <w:rFonts w:hint="default"/>
                      <w:color w:val="auto"/>
                      <w:vertAlign w:val="superscript"/>
                    </w:rPr>
                    <w:t>3</w:t>
                  </w:r>
                </w:p>
              </w:tc>
              <w:tc>
                <w:tcPr>
                  <w:tcW w:w="2137" w:type="pct"/>
                  <w:vMerge w:val="continue"/>
                  <w:noWrap w:val="0"/>
                  <w:vAlign w:val="center"/>
                </w:tcPr>
                <w:p w14:paraId="455D9DF3">
                  <w:pPr>
                    <w:pStyle w:val="78"/>
                    <w:keepNext w:val="0"/>
                    <w:keepLines w:val="0"/>
                    <w:suppressLineNumbers w:val="0"/>
                    <w:bidi w:val="0"/>
                    <w:spacing w:before="0" w:beforeAutospacing="0" w:after="0" w:afterAutospacing="0"/>
                    <w:ind w:left="0" w:right="0"/>
                    <w:rPr>
                      <w:rFonts w:hint="default"/>
                      <w:color w:val="auto"/>
                    </w:rPr>
                  </w:pPr>
                </w:p>
              </w:tc>
            </w:tr>
            <w:tr w14:paraId="4CEA724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2752B2B6">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16D8AB80">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1小时平均</w:t>
                  </w:r>
                </w:p>
              </w:tc>
              <w:tc>
                <w:tcPr>
                  <w:tcW w:w="839" w:type="pct"/>
                  <w:noWrap w:val="0"/>
                  <w:vAlign w:val="center"/>
                </w:tcPr>
                <w:p w14:paraId="4CD1391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500μg/m</w:t>
                  </w:r>
                  <w:r>
                    <w:rPr>
                      <w:rFonts w:hint="default"/>
                      <w:color w:val="auto"/>
                      <w:vertAlign w:val="superscript"/>
                    </w:rPr>
                    <w:t>3</w:t>
                  </w:r>
                </w:p>
              </w:tc>
              <w:tc>
                <w:tcPr>
                  <w:tcW w:w="2137" w:type="pct"/>
                  <w:vMerge w:val="continue"/>
                  <w:noWrap w:val="0"/>
                  <w:vAlign w:val="center"/>
                </w:tcPr>
                <w:p w14:paraId="5B162A5B">
                  <w:pPr>
                    <w:pStyle w:val="78"/>
                    <w:keepNext w:val="0"/>
                    <w:keepLines w:val="0"/>
                    <w:suppressLineNumbers w:val="0"/>
                    <w:bidi w:val="0"/>
                    <w:spacing w:before="0" w:beforeAutospacing="0" w:after="0" w:afterAutospacing="0"/>
                    <w:ind w:left="0" w:right="0"/>
                    <w:rPr>
                      <w:rFonts w:hint="default"/>
                      <w:color w:val="auto"/>
                    </w:rPr>
                  </w:pPr>
                </w:p>
              </w:tc>
            </w:tr>
            <w:tr w14:paraId="3B8BC2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67044FBD">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NO</w:t>
                  </w:r>
                  <w:r>
                    <w:rPr>
                      <w:rFonts w:hint="default"/>
                      <w:color w:val="auto"/>
                      <w:vertAlign w:val="subscript"/>
                    </w:rPr>
                    <w:t>2</w:t>
                  </w:r>
                </w:p>
              </w:tc>
              <w:tc>
                <w:tcPr>
                  <w:tcW w:w="1170" w:type="pct"/>
                  <w:noWrap w:val="0"/>
                  <w:vAlign w:val="center"/>
                </w:tcPr>
                <w:p w14:paraId="25B5573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年平均</w:t>
                  </w:r>
                </w:p>
              </w:tc>
              <w:tc>
                <w:tcPr>
                  <w:tcW w:w="839" w:type="pct"/>
                  <w:noWrap w:val="0"/>
                  <w:vAlign w:val="center"/>
                </w:tcPr>
                <w:p w14:paraId="2D654114">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40μg/m</w:t>
                  </w:r>
                  <w:r>
                    <w:rPr>
                      <w:rFonts w:hint="default"/>
                      <w:color w:val="auto"/>
                      <w:vertAlign w:val="superscript"/>
                    </w:rPr>
                    <w:t>3</w:t>
                  </w:r>
                </w:p>
              </w:tc>
              <w:tc>
                <w:tcPr>
                  <w:tcW w:w="2137" w:type="pct"/>
                  <w:vMerge w:val="continue"/>
                  <w:noWrap w:val="0"/>
                  <w:vAlign w:val="center"/>
                </w:tcPr>
                <w:p w14:paraId="4010689A">
                  <w:pPr>
                    <w:pStyle w:val="78"/>
                    <w:keepNext w:val="0"/>
                    <w:keepLines w:val="0"/>
                    <w:suppressLineNumbers w:val="0"/>
                    <w:bidi w:val="0"/>
                    <w:spacing w:before="0" w:beforeAutospacing="0" w:after="0" w:afterAutospacing="0"/>
                    <w:ind w:left="0" w:right="0"/>
                    <w:rPr>
                      <w:rFonts w:hint="default"/>
                      <w:color w:val="auto"/>
                    </w:rPr>
                  </w:pPr>
                </w:p>
              </w:tc>
            </w:tr>
            <w:tr w14:paraId="4D2348F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13B0FFD5">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21282864">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24小时平均</w:t>
                  </w:r>
                </w:p>
              </w:tc>
              <w:tc>
                <w:tcPr>
                  <w:tcW w:w="839" w:type="pct"/>
                  <w:noWrap w:val="0"/>
                  <w:vAlign w:val="center"/>
                </w:tcPr>
                <w:p w14:paraId="15383610">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80μg/m</w:t>
                  </w:r>
                  <w:r>
                    <w:rPr>
                      <w:rFonts w:hint="default"/>
                      <w:color w:val="auto"/>
                      <w:vertAlign w:val="superscript"/>
                    </w:rPr>
                    <w:t>3</w:t>
                  </w:r>
                </w:p>
              </w:tc>
              <w:tc>
                <w:tcPr>
                  <w:tcW w:w="2137" w:type="pct"/>
                  <w:vMerge w:val="continue"/>
                  <w:noWrap w:val="0"/>
                  <w:vAlign w:val="center"/>
                </w:tcPr>
                <w:p w14:paraId="4F2488D9">
                  <w:pPr>
                    <w:pStyle w:val="78"/>
                    <w:keepNext w:val="0"/>
                    <w:keepLines w:val="0"/>
                    <w:suppressLineNumbers w:val="0"/>
                    <w:bidi w:val="0"/>
                    <w:spacing w:before="0" w:beforeAutospacing="0" w:after="0" w:afterAutospacing="0"/>
                    <w:ind w:left="0" w:right="0"/>
                    <w:rPr>
                      <w:rFonts w:hint="default"/>
                      <w:color w:val="auto"/>
                    </w:rPr>
                  </w:pPr>
                </w:p>
              </w:tc>
            </w:tr>
            <w:tr w14:paraId="5954401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39E93D7B">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7742F804">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1小时平均</w:t>
                  </w:r>
                </w:p>
              </w:tc>
              <w:tc>
                <w:tcPr>
                  <w:tcW w:w="839" w:type="pct"/>
                  <w:noWrap w:val="0"/>
                  <w:vAlign w:val="center"/>
                </w:tcPr>
                <w:p w14:paraId="7EBA7595">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200μg/m</w:t>
                  </w:r>
                  <w:r>
                    <w:rPr>
                      <w:rFonts w:hint="default"/>
                      <w:color w:val="auto"/>
                      <w:vertAlign w:val="superscript"/>
                    </w:rPr>
                    <w:t>3</w:t>
                  </w:r>
                </w:p>
              </w:tc>
              <w:tc>
                <w:tcPr>
                  <w:tcW w:w="2137" w:type="pct"/>
                  <w:vMerge w:val="continue"/>
                  <w:noWrap w:val="0"/>
                  <w:vAlign w:val="center"/>
                </w:tcPr>
                <w:p w14:paraId="000273B8">
                  <w:pPr>
                    <w:pStyle w:val="78"/>
                    <w:keepNext w:val="0"/>
                    <w:keepLines w:val="0"/>
                    <w:suppressLineNumbers w:val="0"/>
                    <w:bidi w:val="0"/>
                    <w:spacing w:before="0" w:beforeAutospacing="0" w:after="0" w:afterAutospacing="0"/>
                    <w:ind w:left="0" w:right="0"/>
                    <w:rPr>
                      <w:rFonts w:hint="default"/>
                      <w:color w:val="auto"/>
                    </w:rPr>
                  </w:pPr>
                </w:p>
              </w:tc>
            </w:tr>
            <w:tr w14:paraId="69BA7AE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71D4695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CO</w:t>
                  </w:r>
                </w:p>
              </w:tc>
              <w:tc>
                <w:tcPr>
                  <w:tcW w:w="1170" w:type="pct"/>
                  <w:noWrap w:val="0"/>
                  <w:vAlign w:val="center"/>
                </w:tcPr>
                <w:p w14:paraId="23420A7F">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24小时平均</w:t>
                  </w:r>
                </w:p>
              </w:tc>
              <w:tc>
                <w:tcPr>
                  <w:tcW w:w="839" w:type="pct"/>
                  <w:noWrap w:val="0"/>
                  <w:vAlign w:val="center"/>
                </w:tcPr>
                <w:p w14:paraId="76723674">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4mg/m</w:t>
                  </w:r>
                  <w:r>
                    <w:rPr>
                      <w:rFonts w:hint="default"/>
                      <w:color w:val="auto"/>
                      <w:vertAlign w:val="superscript"/>
                    </w:rPr>
                    <w:t>3</w:t>
                  </w:r>
                </w:p>
              </w:tc>
              <w:tc>
                <w:tcPr>
                  <w:tcW w:w="2137" w:type="pct"/>
                  <w:vMerge w:val="continue"/>
                  <w:noWrap w:val="0"/>
                  <w:vAlign w:val="center"/>
                </w:tcPr>
                <w:p w14:paraId="0E3F5624">
                  <w:pPr>
                    <w:pStyle w:val="78"/>
                    <w:keepNext w:val="0"/>
                    <w:keepLines w:val="0"/>
                    <w:suppressLineNumbers w:val="0"/>
                    <w:bidi w:val="0"/>
                    <w:spacing w:before="0" w:beforeAutospacing="0" w:after="0" w:afterAutospacing="0"/>
                    <w:ind w:left="0" w:right="0"/>
                    <w:rPr>
                      <w:rFonts w:hint="default"/>
                      <w:color w:val="auto"/>
                    </w:rPr>
                  </w:pPr>
                </w:p>
              </w:tc>
            </w:tr>
            <w:tr w14:paraId="6535503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75D9B386">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65AC5C5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1小时平均</w:t>
                  </w:r>
                </w:p>
              </w:tc>
              <w:tc>
                <w:tcPr>
                  <w:tcW w:w="839" w:type="pct"/>
                  <w:noWrap w:val="0"/>
                  <w:vAlign w:val="center"/>
                </w:tcPr>
                <w:p w14:paraId="32E5246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10mg/m</w:t>
                  </w:r>
                  <w:r>
                    <w:rPr>
                      <w:rFonts w:hint="default"/>
                      <w:color w:val="auto"/>
                      <w:vertAlign w:val="superscript"/>
                    </w:rPr>
                    <w:t>3</w:t>
                  </w:r>
                </w:p>
              </w:tc>
              <w:tc>
                <w:tcPr>
                  <w:tcW w:w="2137" w:type="pct"/>
                  <w:vMerge w:val="continue"/>
                  <w:noWrap w:val="0"/>
                  <w:vAlign w:val="center"/>
                </w:tcPr>
                <w:p w14:paraId="06975A1F">
                  <w:pPr>
                    <w:pStyle w:val="78"/>
                    <w:keepNext w:val="0"/>
                    <w:keepLines w:val="0"/>
                    <w:suppressLineNumbers w:val="0"/>
                    <w:bidi w:val="0"/>
                    <w:spacing w:before="0" w:beforeAutospacing="0" w:after="0" w:afterAutospacing="0"/>
                    <w:ind w:left="0" w:right="0"/>
                    <w:rPr>
                      <w:rFonts w:hint="default"/>
                      <w:color w:val="auto"/>
                    </w:rPr>
                  </w:pPr>
                </w:p>
              </w:tc>
            </w:tr>
            <w:tr w14:paraId="49EA833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restart"/>
                  <w:noWrap w:val="0"/>
                  <w:vAlign w:val="center"/>
                </w:tcPr>
                <w:p w14:paraId="31B4EFAB">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O</w:t>
                  </w:r>
                  <w:r>
                    <w:rPr>
                      <w:rFonts w:hint="default"/>
                      <w:color w:val="auto"/>
                      <w:vertAlign w:val="subscript"/>
                    </w:rPr>
                    <w:t>3</w:t>
                  </w:r>
                </w:p>
              </w:tc>
              <w:tc>
                <w:tcPr>
                  <w:tcW w:w="1170" w:type="pct"/>
                  <w:noWrap w:val="0"/>
                  <w:vAlign w:val="center"/>
                </w:tcPr>
                <w:p w14:paraId="65FFB88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日最大8小时平均</w:t>
                  </w:r>
                </w:p>
              </w:tc>
              <w:tc>
                <w:tcPr>
                  <w:tcW w:w="839" w:type="pct"/>
                  <w:noWrap w:val="0"/>
                  <w:vAlign w:val="center"/>
                </w:tcPr>
                <w:p w14:paraId="42A26398">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160μg/m</w:t>
                  </w:r>
                  <w:r>
                    <w:rPr>
                      <w:rFonts w:hint="default"/>
                      <w:color w:val="auto"/>
                      <w:vertAlign w:val="superscript"/>
                    </w:rPr>
                    <w:t>3</w:t>
                  </w:r>
                </w:p>
              </w:tc>
              <w:tc>
                <w:tcPr>
                  <w:tcW w:w="2137" w:type="pct"/>
                  <w:vMerge w:val="continue"/>
                  <w:noWrap w:val="0"/>
                  <w:vAlign w:val="center"/>
                </w:tcPr>
                <w:p w14:paraId="3049C311">
                  <w:pPr>
                    <w:pStyle w:val="78"/>
                    <w:keepNext w:val="0"/>
                    <w:keepLines w:val="0"/>
                    <w:suppressLineNumbers w:val="0"/>
                    <w:bidi w:val="0"/>
                    <w:spacing w:before="0" w:beforeAutospacing="0" w:after="0" w:afterAutospacing="0"/>
                    <w:ind w:left="0" w:right="0"/>
                    <w:rPr>
                      <w:rFonts w:hint="default"/>
                      <w:color w:val="auto"/>
                    </w:rPr>
                  </w:pPr>
                </w:p>
              </w:tc>
            </w:tr>
            <w:tr w14:paraId="46FDE25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vMerge w:val="continue"/>
                  <w:noWrap w:val="0"/>
                  <w:vAlign w:val="center"/>
                </w:tcPr>
                <w:p w14:paraId="404848B4">
                  <w:pPr>
                    <w:pStyle w:val="78"/>
                    <w:keepNext w:val="0"/>
                    <w:keepLines w:val="0"/>
                    <w:suppressLineNumbers w:val="0"/>
                    <w:bidi w:val="0"/>
                    <w:spacing w:before="0" w:beforeAutospacing="0" w:after="0" w:afterAutospacing="0"/>
                    <w:ind w:left="0" w:right="0"/>
                    <w:rPr>
                      <w:rFonts w:hint="default"/>
                      <w:color w:val="auto"/>
                    </w:rPr>
                  </w:pPr>
                </w:p>
              </w:tc>
              <w:tc>
                <w:tcPr>
                  <w:tcW w:w="1170" w:type="pct"/>
                  <w:noWrap w:val="0"/>
                  <w:vAlign w:val="center"/>
                </w:tcPr>
                <w:p w14:paraId="11BD821D">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1小时平均</w:t>
                  </w:r>
                </w:p>
              </w:tc>
              <w:tc>
                <w:tcPr>
                  <w:tcW w:w="839" w:type="pct"/>
                  <w:noWrap w:val="0"/>
                  <w:vAlign w:val="center"/>
                </w:tcPr>
                <w:p w14:paraId="31AA96E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200μg/m</w:t>
                  </w:r>
                  <w:r>
                    <w:rPr>
                      <w:rFonts w:hint="default"/>
                      <w:color w:val="auto"/>
                      <w:vertAlign w:val="superscript"/>
                    </w:rPr>
                    <w:t>3</w:t>
                  </w:r>
                </w:p>
              </w:tc>
              <w:tc>
                <w:tcPr>
                  <w:tcW w:w="2137" w:type="pct"/>
                  <w:vMerge w:val="continue"/>
                  <w:noWrap w:val="0"/>
                  <w:vAlign w:val="center"/>
                </w:tcPr>
                <w:p w14:paraId="25C2621B">
                  <w:pPr>
                    <w:pStyle w:val="78"/>
                    <w:keepNext w:val="0"/>
                    <w:keepLines w:val="0"/>
                    <w:suppressLineNumbers w:val="0"/>
                    <w:bidi w:val="0"/>
                    <w:spacing w:before="0" w:beforeAutospacing="0" w:after="0" w:afterAutospacing="0"/>
                    <w:ind w:left="0" w:right="0"/>
                    <w:rPr>
                      <w:rFonts w:hint="default"/>
                      <w:color w:val="auto"/>
                    </w:rPr>
                  </w:pPr>
                </w:p>
              </w:tc>
            </w:tr>
            <w:tr w14:paraId="558AE8C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cantSplit/>
                <w:trHeight w:val="369" w:hRule="atLeast"/>
                <w:jc w:val="center"/>
              </w:trPr>
              <w:tc>
                <w:tcPr>
                  <w:tcW w:w="853" w:type="pct"/>
                  <w:noWrap w:val="0"/>
                  <w:vAlign w:val="center"/>
                </w:tcPr>
                <w:p w14:paraId="6FAC472B">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非甲烷总烃</w:t>
                  </w:r>
                </w:p>
              </w:tc>
              <w:tc>
                <w:tcPr>
                  <w:tcW w:w="1170" w:type="pct"/>
                  <w:noWrap w:val="0"/>
                  <w:vAlign w:val="center"/>
                </w:tcPr>
                <w:p w14:paraId="0E1175A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1小时均值</w:t>
                  </w:r>
                </w:p>
              </w:tc>
              <w:tc>
                <w:tcPr>
                  <w:tcW w:w="839" w:type="pct"/>
                  <w:noWrap w:val="0"/>
                  <w:vAlign w:val="center"/>
                </w:tcPr>
                <w:p w14:paraId="29752E90">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2.0mg/m</w:t>
                  </w:r>
                  <w:r>
                    <w:rPr>
                      <w:rFonts w:hint="default"/>
                      <w:color w:val="auto"/>
                      <w:vertAlign w:val="superscript"/>
                    </w:rPr>
                    <w:t>3</w:t>
                  </w:r>
                </w:p>
              </w:tc>
              <w:tc>
                <w:tcPr>
                  <w:tcW w:w="2137" w:type="pct"/>
                  <w:noWrap w:val="0"/>
                  <w:vAlign w:val="center"/>
                </w:tcPr>
                <w:p w14:paraId="34F72976">
                  <w:pPr>
                    <w:pStyle w:val="78"/>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《大气污染物综合排放标准详解》</w:t>
                  </w:r>
                  <w:r>
                    <w:rPr>
                      <w:rFonts w:hint="eastAsia"/>
                      <w:color w:val="auto"/>
                      <w:lang w:eastAsia="zh-CN"/>
                    </w:rPr>
                    <w:t>（</w:t>
                  </w:r>
                  <w:r>
                    <w:rPr>
                      <w:rFonts w:hint="default"/>
                      <w:color w:val="auto"/>
                    </w:rPr>
                    <w:t>GB16297-1996</w:t>
                  </w:r>
                  <w:r>
                    <w:rPr>
                      <w:rFonts w:hint="eastAsia"/>
                      <w:color w:val="auto"/>
                      <w:lang w:eastAsia="zh-CN"/>
                    </w:rPr>
                    <w:t>）</w:t>
                  </w:r>
                </w:p>
              </w:tc>
            </w:tr>
          </w:tbl>
          <w:p w14:paraId="3CEF0D54">
            <w:pPr>
              <w:pStyle w:val="6"/>
              <w:suppressLineNumbers w:val="0"/>
              <w:bidi w:val="0"/>
              <w:spacing w:beforeAutospacing="0" w:afterAutospacing="0"/>
              <w:ind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区域大气环境质量现状</w:t>
            </w:r>
          </w:p>
          <w:p w14:paraId="2CC56071">
            <w:pPr>
              <w:pStyle w:val="20"/>
              <w:keepNext w:val="0"/>
              <w:keepLines w:val="0"/>
              <w:suppressLineNumbers w:val="0"/>
              <w:bidi w:val="0"/>
              <w:spacing w:before="0" w:beforeAutospacing="0" w:after="0" w:afterAutospacing="0"/>
              <w:ind w:left="0" w:right="0" w:firstLine="480" w:firstLineChars="200"/>
              <w:rPr>
                <w:rFonts w:hint="eastAsia"/>
                <w:color w:val="auto"/>
              </w:rPr>
            </w:pPr>
            <w:r>
              <w:rPr>
                <w:rFonts w:hint="eastAsia"/>
                <w:color w:val="auto"/>
                <w:lang w:eastAsia="zh-CN"/>
              </w:rPr>
              <w:t>（</w:t>
            </w:r>
            <w:r>
              <w:rPr>
                <w:rFonts w:hint="default"/>
                <w:color w:val="auto"/>
              </w:rPr>
              <w:t>1</w:t>
            </w:r>
            <w:r>
              <w:rPr>
                <w:rFonts w:hint="eastAsia"/>
                <w:color w:val="auto"/>
                <w:lang w:eastAsia="zh-CN"/>
              </w:rPr>
              <w:t>）</w:t>
            </w:r>
            <w:r>
              <w:rPr>
                <w:rFonts w:hint="default"/>
                <w:color w:val="auto"/>
              </w:rPr>
              <w:t>项目所在区域</w:t>
            </w:r>
            <w:r>
              <w:rPr>
                <w:rFonts w:hint="eastAsia"/>
                <w:color w:val="auto"/>
              </w:rPr>
              <w:t>环境质量现状</w:t>
            </w:r>
          </w:p>
          <w:p w14:paraId="01DDF2BB">
            <w:pPr>
              <w:pStyle w:val="20"/>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①</w:t>
            </w:r>
            <w:r>
              <w:rPr>
                <w:rFonts w:hint="eastAsia" w:cs="Times New Roman"/>
                <w:color w:val="auto"/>
                <w:lang w:val="en-US" w:eastAsia="zh-CN"/>
              </w:rPr>
              <w:t>达标区判定</w:t>
            </w:r>
          </w:p>
          <w:p w14:paraId="0F8FFCDF">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本次评价收集福清市人民政府发布的202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年1月至202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年12月空气质量月报数据（http://www.fuqing.gov.cn/xjwz/zwgk/ztzl/sdgjz/dhwrfzgjz/hjzl/）</w:t>
            </w:r>
            <w:r>
              <w:rPr>
                <w:rFonts w:hint="eastAsia" w:cs="Times New Roman"/>
                <w:color w:val="auto"/>
                <w:sz w:val="24"/>
                <w:lang w:eastAsia="zh-CN"/>
              </w:rPr>
              <w:t>。</w:t>
            </w:r>
            <w:r>
              <w:rPr>
                <w:rFonts w:hint="default" w:ascii="Times New Roman" w:hAnsi="Times New Roman" w:cs="Times New Roman"/>
                <w:color w:val="auto"/>
                <w:sz w:val="24"/>
              </w:rPr>
              <w:t>福清市区202</w:t>
            </w:r>
            <w:r>
              <w:rPr>
                <w:rFonts w:hint="eastAsia" w:ascii="Times New Roman" w:hAnsi="Times New Roman" w:cs="Times New Roman"/>
                <w:color w:val="auto"/>
                <w:sz w:val="24"/>
                <w:lang w:val="en-US" w:eastAsia="zh-CN"/>
              </w:rPr>
              <w:t>4</w:t>
            </w:r>
            <w:r>
              <w:rPr>
                <w:rFonts w:hint="default" w:ascii="Times New Roman" w:hAnsi="Times New Roman" w:cs="Times New Roman"/>
                <w:color w:val="auto"/>
                <w:sz w:val="24"/>
              </w:rPr>
              <w:t>年空气环境中SO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、NO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、PM</w:t>
            </w:r>
            <w:r>
              <w:rPr>
                <w:rFonts w:hint="default" w:ascii="Times New Roman" w:hAnsi="Times New Roman" w:cs="Times New Roman"/>
                <w:color w:val="auto"/>
                <w:sz w:val="24"/>
                <w:vertAlign w:val="subscript"/>
              </w:rPr>
              <w:t>10</w:t>
            </w:r>
            <w:r>
              <w:rPr>
                <w:rFonts w:hint="default" w:ascii="Times New Roman" w:hAnsi="Times New Roman" w:cs="Times New Roman"/>
                <w:color w:val="auto"/>
                <w:sz w:val="24"/>
              </w:rPr>
              <w:t>和PM</w:t>
            </w:r>
            <w:r>
              <w:rPr>
                <w:rFonts w:hint="default" w:ascii="Times New Roman" w:hAnsi="Times New Roman" w:cs="Times New Roman"/>
                <w:color w:val="auto"/>
                <w:sz w:val="24"/>
                <w:vertAlign w:val="subscript"/>
              </w:rPr>
              <w:t>2.5</w:t>
            </w:r>
            <w:r>
              <w:rPr>
                <w:rFonts w:hint="default" w:ascii="Times New Roman" w:hAnsi="Times New Roman" w:cs="Times New Roman"/>
                <w:color w:val="auto"/>
                <w:sz w:val="24"/>
              </w:rPr>
              <w:t>均未超过国家二级标准，CO日均值第95百分位数和O</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日最大8h值第90百分位数未超过国家二级标准。因此，项目所在区域为</w:t>
            </w:r>
            <w:r>
              <w:rPr>
                <w:rFonts w:hint="eastAsia" w:cs="Times New Roman"/>
                <w:color w:val="auto"/>
                <w:sz w:val="24"/>
                <w:lang w:val="en-US" w:eastAsia="zh-CN"/>
              </w:rPr>
              <w:t>达标区</w:t>
            </w:r>
            <w:r>
              <w:rPr>
                <w:rFonts w:hint="default" w:ascii="Times New Roman" w:hAnsi="Times New Roman" w:cs="Times New Roman"/>
                <w:color w:val="auto"/>
                <w:sz w:val="24"/>
              </w:rPr>
              <w:t>。</w:t>
            </w:r>
          </w:p>
          <w:p w14:paraId="7B206A41">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福清市202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年1月</w:t>
            </w:r>
            <w:r>
              <w:rPr>
                <w:rFonts w:hint="default"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202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lang w:val="en-US" w:eastAsia="zh-CN"/>
              </w:rPr>
              <w:t>年12月空气质量月报数据</w:t>
            </w:r>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8"/>
              <w:gridCol w:w="1140"/>
              <w:gridCol w:w="1138"/>
              <w:gridCol w:w="1140"/>
              <w:gridCol w:w="1140"/>
              <w:gridCol w:w="965"/>
              <w:gridCol w:w="1144"/>
            </w:tblGrid>
            <w:tr w14:paraId="507A1A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52" w:type="pct"/>
                  <w:tcBorders>
                    <w:tl2br w:val="nil"/>
                    <w:tr2bl w:val="nil"/>
                  </w:tcBorders>
                  <w:noWrap w:val="0"/>
                  <w:vAlign w:val="center"/>
                </w:tcPr>
                <w:p w14:paraId="54ED675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时间</w:t>
                  </w:r>
                </w:p>
              </w:tc>
              <w:tc>
                <w:tcPr>
                  <w:tcW w:w="692" w:type="pct"/>
                  <w:tcBorders>
                    <w:tl2br w:val="nil"/>
                    <w:tr2bl w:val="nil"/>
                  </w:tcBorders>
                  <w:noWrap w:val="0"/>
                  <w:vAlign w:val="center"/>
                </w:tcPr>
                <w:p w14:paraId="1F0663B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SO</w:t>
                  </w:r>
                  <w:r>
                    <w:rPr>
                      <w:rFonts w:hint="default" w:ascii="Times New Roman" w:hAnsi="Times New Roman" w:cs="Times New Roman"/>
                      <w:color w:val="auto"/>
                      <w:kern w:val="0"/>
                      <w:szCs w:val="20"/>
                      <w:vertAlign w:val="subscript"/>
                    </w:rPr>
                    <w:t>2</w:t>
                  </w:r>
                </w:p>
              </w:tc>
              <w:tc>
                <w:tcPr>
                  <w:tcW w:w="691" w:type="pct"/>
                  <w:tcBorders>
                    <w:tl2br w:val="nil"/>
                    <w:tr2bl w:val="nil"/>
                  </w:tcBorders>
                  <w:noWrap w:val="0"/>
                  <w:vAlign w:val="center"/>
                </w:tcPr>
                <w:p w14:paraId="43912B86">
                  <w:pPr>
                    <w:keepNext w:val="0"/>
                    <w:keepLines w:val="0"/>
                    <w:suppressLineNumbers w:val="0"/>
                    <w:adjustRightInd w:val="0"/>
                    <w:snapToGrid w:val="0"/>
                    <w:spacing w:before="24" w:beforeLines="10" w:beforeAutospacing="0" w:after="24" w:afterLines="10" w:afterAutospacing="0"/>
                    <w:ind w:left="0" w:right="0"/>
                    <w:jc w:val="center"/>
                    <w:rPr>
                      <w:rFonts w:hint="eastAsia" w:ascii="Times New Roman" w:hAnsi="Times New Roman" w:eastAsia="宋体" w:cs="Times New Roman"/>
                      <w:color w:val="auto"/>
                      <w:kern w:val="0"/>
                      <w:szCs w:val="20"/>
                      <w:lang w:eastAsia="zh-CN"/>
                    </w:rPr>
                  </w:pPr>
                  <w:r>
                    <w:rPr>
                      <w:rFonts w:hint="default" w:ascii="Times New Roman" w:hAnsi="Times New Roman" w:cs="Times New Roman"/>
                      <w:color w:val="auto"/>
                      <w:kern w:val="0"/>
                      <w:szCs w:val="20"/>
                    </w:rPr>
                    <w:t>NO</w:t>
                  </w:r>
                  <w:r>
                    <w:rPr>
                      <w:rFonts w:hint="eastAsia" w:cs="Times New Roman"/>
                      <w:color w:val="auto"/>
                      <w:kern w:val="0"/>
                      <w:szCs w:val="20"/>
                      <w:vertAlign w:val="subscript"/>
                      <w:lang w:val="en-US" w:eastAsia="zh-CN"/>
                    </w:rPr>
                    <w:t>2</w:t>
                  </w:r>
                </w:p>
              </w:tc>
              <w:tc>
                <w:tcPr>
                  <w:tcW w:w="692" w:type="pct"/>
                  <w:tcBorders>
                    <w:tl2br w:val="nil"/>
                    <w:tr2bl w:val="nil"/>
                  </w:tcBorders>
                  <w:noWrap w:val="0"/>
                  <w:vAlign w:val="center"/>
                </w:tcPr>
                <w:p w14:paraId="1180316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PM</w:t>
                  </w:r>
                  <w:r>
                    <w:rPr>
                      <w:rFonts w:hint="default" w:ascii="Times New Roman" w:hAnsi="Times New Roman" w:cs="Times New Roman"/>
                      <w:color w:val="auto"/>
                      <w:kern w:val="0"/>
                      <w:szCs w:val="20"/>
                      <w:vertAlign w:val="subscript"/>
                    </w:rPr>
                    <w:t>10</w:t>
                  </w:r>
                </w:p>
              </w:tc>
              <w:tc>
                <w:tcPr>
                  <w:tcW w:w="692" w:type="pct"/>
                  <w:tcBorders>
                    <w:tl2br w:val="nil"/>
                    <w:tr2bl w:val="nil"/>
                  </w:tcBorders>
                  <w:noWrap w:val="0"/>
                  <w:vAlign w:val="center"/>
                </w:tcPr>
                <w:p w14:paraId="47ED0A5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PM</w:t>
                  </w:r>
                  <w:r>
                    <w:rPr>
                      <w:rFonts w:hint="default" w:ascii="Times New Roman" w:hAnsi="Times New Roman" w:cs="Times New Roman"/>
                      <w:color w:val="auto"/>
                      <w:kern w:val="0"/>
                      <w:szCs w:val="20"/>
                      <w:vertAlign w:val="subscript"/>
                    </w:rPr>
                    <w:t>2.5</w:t>
                  </w:r>
                </w:p>
              </w:tc>
              <w:tc>
                <w:tcPr>
                  <w:tcW w:w="586" w:type="pct"/>
                  <w:tcBorders>
                    <w:tl2br w:val="nil"/>
                    <w:tr2bl w:val="nil"/>
                  </w:tcBorders>
                  <w:noWrap w:val="0"/>
                  <w:vAlign w:val="center"/>
                </w:tcPr>
                <w:p w14:paraId="3D12258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CO</w:t>
                  </w:r>
                </w:p>
              </w:tc>
              <w:tc>
                <w:tcPr>
                  <w:tcW w:w="692" w:type="pct"/>
                  <w:tcBorders>
                    <w:tl2br w:val="nil"/>
                    <w:tr2bl w:val="nil"/>
                  </w:tcBorders>
                  <w:noWrap w:val="0"/>
                  <w:vAlign w:val="center"/>
                </w:tcPr>
                <w:p w14:paraId="0D56B2AD">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O</w:t>
                  </w:r>
                  <w:r>
                    <w:rPr>
                      <w:rFonts w:hint="default" w:ascii="Times New Roman" w:hAnsi="Times New Roman" w:cs="Times New Roman"/>
                      <w:color w:val="auto"/>
                      <w:kern w:val="0"/>
                      <w:szCs w:val="20"/>
                      <w:vertAlign w:val="subscript"/>
                    </w:rPr>
                    <w:t>3</w:t>
                  </w:r>
                </w:p>
              </w:tc>
            </w:tr>
            <w:tr w14:paraId="3D317D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52" w:type="pct"/>
                  <w:tcBorders>
                    <w:tl2br w:val="nil"/>
                    <w:tr2bl w:val="nil"/>
                  </w:tcBorders>
                  <w:noWrap w:val="0"/>
                  <w:vAlign w:val="center"/>
                </w:tcPr>
                <w:p w14:paraId="080B7C5B">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202</w:t>
                  </w:r>
                  <w:r>
                    <w:rPr>
                      <w:rFonts w:hint="eastAsia" w:ascii="Times New Roman" w:hAnsi="Times New Roman" w:cs="Times New Roman"/>
                      <w:color w:val="auto"/>
                      <w:kern w:val="0"/>
                      <w:szCs w:val="20"/>
                      <w:lang w:val="en-US" w:eastAsia="zh-CN"/>
                    </w:rPr>
                    <w:t>4</w:t>
                  </w:r>
                  <w:r>
                    <w:rPr>
                      <w:rFonts w:hint="default" w:ascii="Times New Roman" w:hAnsi="Times New Roman" w:cs="Times New Roman"/>
                      <w:color w:val="auto"/>
                      <w:kern w:val="0"/>
                      <w:szCs w:val="20"/>
                    </w:rPr>
                    <w:t>年1月</w:t>
                  </w:r>
                </w:p>
              </w:tc>
              <w:tc>
                <w:tcPr>
                  <w:tcW w:w="1140" w:type="dxa"/>
                  <w:tcBorders>
                    <w:tl2br w:val="nil"/>
                    <w:tr2bl w:val="nil"/>
                  </w:tcBorders>
                  <w:noWrap w:val="0"/>
                  <w:vAlign w:val="center"/>
                </w:tcPr>
                <w:p w14:paraId="6E4F0CA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0.003</w:t>
                  </w:r>
                </w:p>
              </w:tc>
              <w:tc>
                <w:tcPr>
                  <w:tcW w:w="1138" w:type="dxa"/>
                  <w:tcBorders>
                    <w:tl2br w:val="nil"/>
                    <w:tr2bl w:val="nil"/>
                  </w:tcBorders>
                  <w:noWrap w:val="0"/>
                  <w:vAlign w:val="center"/>
                </w:tcPr>
                <w:p w14:paraId="10C462D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0.022</w:t>
                  </w:r>
                </w:p>
              </w:tc>
              <w:tc>
                <w:tcPr>
                  <w:tcW w:w="1140" w:type="dxa"/>
                  <w:tcBorders>
                    <w:tl2br w:val="nil"/>
                    <w:tr2bl w:val="nil"/>
                  </w:tcBorders>
                  <w:noWrap w:val="0"/>
                  <w:vAlign w:val="center"/>
                </w:tcPr>
                <w:p w14:paraId="727C27D1">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0.048</w:t>
                  </w:r>
                </w:p>
              </w:tc>
              <w:tc>
                <w:tcPr>
                  <w:tcW w:w="1140" w:type="dxa"/>
                  <w:tcBorders>
                    <w:tl2br w:val="nil"/>
                    <w:tr2bl w:val="nil"/>
                  </w:tcBorders>
                  <w:noWrap w:val="0"/>
                  <w:vAlign w:val="center"/>
                </w:tcPr>
                <w:p w14:paraId="1540D5F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0.03</w:t>
                  </w:r>
                </w:p>
              </w:tc>
              <w:tc>
                <w:tcPr>
                  <w:tcW w:w="965" w:type="dxa"/>
                  <w:tcBorders>
                    <w:tl2br w:val="nil"/>
                    <w:tr2bl w:val="nil"/>
                  </w:tcBorders>
                  <w:noWrap w:val="0"/>
                  <w:vAlign w:val="center"/>
                </w:tcPr>
                <w:p w14:paraId="3133AB4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0.9</w:t>
                  </w:r>
                </w:p>
              </w:tc>
              <w:tc>
                <w:tcPr>
                  <w:tcW w:w="1144" w:type="dxa"/>
                  <w:tcBorders>
                    <w:tl2br w:val="nil"/>
                    <w:tr2bl w:val="nil"/>
                  </w:tcBorders>
                  <w:noWrap w:val="0"/>
                  <w:vAlign w:val="center"/>
                </w:tcPr>
                <w:p w14:paraId="187256C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0.11</w:t>
                  </w:r>
                </w:p>
              </w:tc>
            </w:tr>
            <w:tr w14:paraId="0EBCDE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62FC869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年2月</w:t>
                  </w:r>
                </w:p>
              </w:tc>
              <w:tc>
                <w:tcPr>
                  <w:tcW w:w="1140" w:type="dxa"/>
                  <w:tcBorders>
                    <w:tl2br w:val="nil"/>
                    <w:tr2bl w:val="nil"/>
                  </w:tcBorders>
                  <w:noWrap w:val="0"/>
                  <w:vAlign w:val="center"/>
                </w:tcPr>
                <w:p w14:paraId="680C203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0.003</w:t>
                  </w:r>
                </w:p>
              </w:tc>
              <w:tc>
                <w:tcPr>
                  <w:tcW w:w="1138" w:type="dxa"/>
                  <w:tcBorders>
                    <w:tl2br w:val="nil"/>
                    <w:tr2bl w:val="nil"/>
                  </w:tcBorders>
                  <w:noWrap w:val="0"/>
                  <w:vAlign w:val="center"/>
                </w:tcPr>
                <w:p w14:paraId="3F5D1DA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0.009</w:t>
                  </w:r>
                </w:p>
              </w:tc>
              <w:tc>
                <w:tcPr>
                  <w:tcW w:w="1140" w:type="dxa"/>
                  <w:tcBorders>
                    <w:tl2br w:val="nil"/>
                    <w:tr2bl w:val="nil"/>
                  </w:tcBorders>
                  <w:noWrap w:val="0"/>
                  <w:vAlign w:val="center"/>
                </w:tcPr>
                <w:p w14:paraId="094CD96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0.038</w:t>
                  </w:r>
                </w:p>
              </w:tc>
              <w:tc>
                <w:tcPr>
                  <w:tcW w:w="1140" w:type="dxa"/>
                  <w:tcBorders>
                    <w:tl2br w:val="nil"/>
                    <w:tr2bl w:val="nil"/>
                  </w:tcBorders>
                  <w:noWrap w:val="0"/>
                  <w:vAlign w:val="center"/>
                </w:tcPr>
                <w:p w14:paraId="1E71CAD8">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0.023</w:t>
                  </w:r>
                </w:p>
              </w:tc>
              <w:tc>
                <w:tcPr>
                  <w:tcW w:w="965" w:type="dxa"/>
                  <w:tcBorders>
                    <w:tl2br w:val="nil"/>
                    <w:tr2bl w:val="nil"/>
                  </w:tcBorders>
                  <w:noWrap w:val="0"/>
                  <w:vAlign w:val="center"/>
                </w:tcPr>
                <w:p w14:paraId="04E36BF5">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1.2</w:t>
                  </w:r>
                </w:p>
              </w:tc>
              <w:tc>
                <w:tcPr>
                  <w:tcW w:w="1144" w:type="dxa"/>
                  <w:tcBorders>
                    <w:tl2br w:val="nil"/>
                    <w:tr2bl w:val="nil"/>
                  </w:tcBorders>
                  <w:noWrap w:val="0"/>
                  <w:vAlign w:val="center"/>
                </w:tcPr>
                <w:p w14:paraId="095BD94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0.112</w:t>
                  </w:r>
                </w:p>
              </w:tc>
            </w:tr>
            <w:tr w14:paraId="31CBA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5D2C08F2">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年3月</w:t>
                  </w:r>
                </w:p>
              </w:tc>
              <w:tc>
                <w:tcPr>
                  <w:tcW w:w="1140" w:type="dxa"/>
                  <w:tcBorders>
                    <w:tl2br w:val="nil"/>
                    <w:tr2bl w:val="nil"/>
                  </w:tcBorders>
                  <w:noWrap w:val="0"/>
                  <w:vAlign w:val="center"/>
                </w:tcPr>
                <w:p w14:paraId="3777343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39B7CD4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0.018</w:t>
                  </w:r>
                </w:p>
              </w:tc>
              <w:tc>
                <w:tcPr>
                  <w:tcW w:w="1140" w:type="dxa"/>
                  <w:tcBorders>
                    <w:tl2br w:val="nil"/>
                    <w:tr2bl w:val="nil"/>
                  </w:tcBorders>
                  <w:noWrap w:val="0"/>
                  <w:vAlign w:val="center"/>
                </w:tcPr>
                <w:p w14:paraId="1E20A38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0.05</w:t>
                  </w:r>
                </w:p>
              </w:tc>
              <w:tc>
                <w:tcPr>
                  <w:tcW w:w="1140" w:type="dxa"/>
                  <w:tcBorders>
                    <w:tl2br w:val="nil"/>
                    <w:tr2bl w:val="nil"/>
                  </w:tcBorders>
                  <w:noWrap w:val="0"/>
                  <w:vAlign w:val="center"/>
                </w:tcPr>
                <w:p w14:paraId="1A8E0431">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0.023</w:t>
                  </w:r>
                </w:p>
              </w:tc>
              <w:tc>
                <w:tcPr>
                  <w:tcW w:w="965" w:type="dxa"/>
                  <w:tcBorders>
                    <w:tl2br w:val="nil"/>
                    <w:tr2bl w:val="nil"/>
                  </w:tcBorders>
                  <w:noWrap w:val="0"/>
                  <w:vAlign w:val="center"/>
                </w:tcPr>
                <w:p w14:paraId="11FE5CBA">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1</w:t>
                  </w:r>
                </w:p>
              </w:tc>
              <w:tc>
                <w:tcPr>
                  <w:tcW w:w="1144" w:type="dxa"/>
                  <w:tcBorders>
                    <w:tl2br w:val="nil"/>
                    <w:tr2bl w:val="nil"/>
                  </w:tcBorders>
                  <w:noWrap w:val="0"/>
                  <w:vAlign w:val="center"/>
                </w:tcPr>
                <w:p w14:paraId="698CCF9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0.121</w:t>
                  </w:r>
                </w:p>
              </w:tc>
            </w:tr>
            <w:tr w14:paraId="54DBAE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2E59C625">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年4月</w:t>
                  </w:r>
                </w:p>
              </w:tc>
              <w:tc>
                <w:tcPr>
                  <w:tcW w:w="1140" w:type="dxa"/>
                  <w:tcBorders>
                    <w:tl2br w:val="nil"/>
                    <w:tr2bl w:val="nil"/>
                  </w:tcBorders>
                  <w:noWrap w:val="0"/>
                  <w:vAlign w:val="center"/>
                </w:tcPr>
                <w:p w14:paraId="52DDF52D">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0.003</w:t>
                  </w:r>
                </w:p>
              </w:tc>
              <w:tc>
                <w:tcPr>
                  <w:tcW w:w="1138" w:type="dxa"/>
                  <w:tcBorders>
                    <w:tl2br w:val="nil"/>
                    <w:tr2bl w:val="nil"/>
                  </w:tcBorders>
                  <w:noWrap w:val="0"/>
                  <w:vAlign w:val="center"/>
                </w:tcPr>
                <w:p w14:paraId="0CF6E29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0.016</w:t>
                  </w:r>
                </w:p>
              </w:tc>
              <w:tc>
                <w:tcPr>
                  <w:tcW w:w="1140" w:type="dxa"/>
                  <w:tcBorders>
                    <w:tl2br w:val="nil"/>
                    <w:tr2bl w:val="nil"/>
                  </w:tcBorders>
                  <w:noWrap w:val="0"/>
                  <w:vAlign w:val="center"/>
                </w:tcPr>
                <w:p w14:paraId="7F0F441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0.041</w:t>
                  </w:r>
                </w:p>
              </w:tc>
              <w:tc>
                <w:tcPr>
                  <w:tcW w:w="1140" w:type="dxa"/>
                  <w:tcBorders>
                    <w:tl2br w:val="nil"/>
                    <w:tr2bl w:val="nil"/>
                  </w:tcBorders>
                  <w:noWrap w:val="0"/>
                  <w:vAlign w:val="center"/>
                </w:tcPr>
                <w:p w14:paraId="1AA6582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w:t>
                  </w:r>
                </w:p>
              </w:tc>
              <w:tc>
                <w:tcPr>
                  <w:tcW w:w="965" w:type="dxa"/>
                  <w:tcBorders>
                    <w:tl2br w:val="nil"/>
                    <w:tr2bl w:val="nil"/>
                  </w:tcBorders>
                  <w:noWrap w:val="0"/>
                  <w:vAlign w:val="center"/>
                </w:tcPr>
                <w:p w14:paraId="14CAD43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0.8</w:t>
                  </w:r>
                </w:p>
              </w:tc>
              <w:tc>
                <w:tcPr>
                  <w:tcW w:w="1144" w:type="dxa"/>
                  <w:tcBorders>
                    <w:tl2br w:val="nil"/>
                    <w:tr2bl w:val="nil"/>
                  </w:tcBorders>
                  <w:noWrap w:val="0"/>
                  <w:vAlign w:val="center"/>
                </w:tcPr>
                <w:p w14:paraId="5537F655">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0.122</w:t>
                  </w:r>
                </w:p>
              </w:tc>
            </w:tr>
            <w:tr w14:paraId="45A707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0A032683">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年5月</w:t>
                  </w:r>
                </w:p>
              </w:tc>
              <w:tc>
                <w:tcPr>
                  <w:tcW w:w="1140" w:type="dxa"/>
                  <w:tcBorders>
                    <w:tl2br w:val="nil"/>
                    <w:tr2bl w:val="nil"/>
                  </w:tcBorders>
                  <w:noWrap w:val="0"/>
                  <w:vAlign w:val="center"/>
                </w:tcPr>
                <w:p w14:paraId="734B312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46189EEC">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0.011</w:t>
                  </w:r>
                </w:p>
              </w:tc>
              <w:tc>
                <w:tcPr>
                  <w:tcW w:w="1140" w:type="dxa"/>
                  <w:tcBorders>
                    <w:tl2br w:val="nil"/>
                    <w:tr2bl w:val="nil"/>
                  </w:tcBorders>
                  <w:noWrap w:val="0"/>
                  <w:vAlign w:val="center"/>
                </w:tcPr>
                <w:p w14:paraId="041D6F4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0.028</w:t>
                  </w:r>
                </w:p>
              </w:tc>
              <w:tc>
                <w:tcPr>
                  <w:tcW w:w="1140" w:type="dxa"/>
                  <w:tcBorders>
                    <w:tl2br w:val="nil"/>
                    <w:tr2bl w:val="nil"/>
                  </w:tcBorders>
                  <w:noWrap w:val="0"/>
                  <w:vAlign w:val="center"/>
                </w:tcPr>
                <w:p w14:paraId="2698A62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0.013</w:t>
                  </w:r>
                </w:p>
              </w:tc>
              <w:tc>
                <w:tcPr>
                  <w:tcW w:w="965" w:type="dxa"/>
                  <w:tcBorders>
                    <w:tl2br w:val="nil"/>
                    <w:tr2bl w:val="nil"/>
                  </w:tcBorders>
                  <w:noWrap w:val="0"/>
                  <w:vAlign w:val="center"/>
                </w:tcPr>
                <w:p w14:paraId="43877ACB">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0.6</w:t>
                  </w:r>
                </w:p>
              </w:tc>
              <w:tc>
                <w:tcPr>
                  <w:tcW w:w="1144" w:type="dxa"/>
                  <w:tcBorders>
                    <w:tl2br w:val="nil"/>
                    <w:tr2bl w:val="nil"/>
                  </w:tcBorders>
                  <w:noWrap w:val="0"/>
                  <w:vAlign w:val="center"/>
                </w:tcPr>
                <w:p w14:paraId="42E1733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0.13</w:t>
                  </w:r>
                </w:p>
              </w:tc>
            </w:tr>
            <w:tr w14:paraId="5F316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553BF37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年6月</w:t>
                  </w:r>
                </w:p>
              </w:tc>
              <w:tc>
                <w:tcPr>
                  <w:tcW w:w="1140" w:type="dxa"/>
                  <w:tcBorders>
                    <w:tl2br w:val="nil"/>
                    <w:tr2bl w:val="nil"/>
                  </w:tcBorders>
                  <w:noWrap w:val="0"/>
                  <w:vAlign w:val="center"/>
                </w:tcPr>
                <w:p w14:paraId="0F91C23A">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0F9D535B">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w:t>
                  </w:r>
                </w:p>
              </w:tc>
              <w:tc>
                <w:tcPr>
                  <w:tcW w:w="1140" w:type="dxa"/>
                  <w:tcBorders>
                    <w:tl2br w:val="nil"/>
                    <w:tr2bl w:val="nil"/>
                  </w:tcBorders>
                  <w:noWrap w:val="0"/>
                  <w:vAlign w:val="center"/>
                </w:tcPr>
                <w:p w14:paraId="71640D1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0.022</w:t>
                  </w:r>
                </w:p>
              </w:tc>
              <w:tc>
                <w:tcPr>
                  <w:tcW w:w="1140" w:type="dxa"/>
                  <w:tcBorders>
                    <w:tl2br w:val="nil"/>
                    <w:tr2bl w:val="nil"/>
                  </w:tcBorders>
                  <w:noWrap w:val="0"/>
                  <w:vAlign w:val="center"/>
                </w:tcPr>
                <w:p w14:paraId="202C8F1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w:t>
                  </w:r>
                </w:p>
              </w:tc>
              <w:tc>
                <w:tcPr>
                  <w:tcW w:w="965" w:type="dxa"/>
                  <w:tcBorders>
                    <w:tl2br w:val="nil"/>
                    <w:tr2bl w:val="nil"/>
                  </w:tcBorders>
                  <w:noWrap w:val="0"/>
                  <w:vAlign w:val="center"/>
                </w:tcPr>
                <w:p w14:paraId="765ED575">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0.6</w:t>
                  </w:r>
                </w:p>
              </w:tc>
              <w:tc>
                <w:tcPr>
                  <w:tcW w:w="1144" w:type="dxa"/>
                  <w:tcBorders>
                    <w:tl2br w:val="nil"/>
                    <w:tr2bl w:val="nil"/>
                  </w:tcBorders>
                  <w:noWrap w:val="0"/>
                  <w:vAlign w:val="center"/>
                </w:tcPr>
                <w:p w14:paraId="14D21E1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0.112</w:t>
                  </w:r>
                </w:p>
              </w:tc>
            </w:tr>
            <w:tr w14:paraId="053AB2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72CCA94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年7月</w:t>
                  </w:r>
                </w:p>
              </w:tc>
              <w:tc>
                <w:tcPr>
                  <w:tcW w:w="1140" w:type="dxa"/>
                  <w:tcBorders>
                    <w:tl2br w:val="nil"/>
                    <w:tr2bl w:val="nil"/>
                  </w:tcBorders>
                  <w:noWrap w:val="0"/>
                  <w:vAlign w:val="center"/>
                </w:tcPr>
                <w:p w14:paraId="03A938F1">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4216459C">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0.008</w:t>
                  </w:r>
                </w:p>
              </w:tc>
              <w:tc>
                <w:tcPr>
                  <w:tcW w:w="1140" w:type="dxa"/>
                  <w:tcBorders>
                    <w:tl2br w:val="nil"/>
                    <w:tr2bl w:val="nil"/>
                  </w:tcBorders>
                  <w:noWrap w:val="0"/>
                  <w:vAlign w:val="center"/>
                </w:tcPr>
                <w:p w14:paraId="554A817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w:t>
                  </w:r>
                </w:p>
              </w:tc>
              <w:tc>
                <w:tcPr>
                  <w:tcW w:w="1140" w:type="dxa"/>
                  <w:tcBorders>
                    <w:tl2br w:val="nil"/>
                    <w:tr2bl w:val="nil"/>
                  </w:tcBorders>
                  <w:noWrap w:val="0"/>
                  <w:vAlign w:val="center"/>
                </w:tcPr>
                <w:p w14:paraId="7575934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0.009</w:t>
                  </w:r>
                </w:p>
              </w:tc>
              <w:tc>
                <w:tcPr>
                  <w:tcW w:w="965" w:type="dxa"/>
                  <w:tcBorders>
                    <w:tl2br w:val="nil"/>
                    <w:tr2bl w:val="nil"/>
                  </w:tcBorders>
                  <w:noWrap w:val="0"/>
                  <w:vAlign w:val="center"/>
                </w:tcPr>
                <w:p w14:paraId="761ECC9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0.4</w:t>
                  </w:r>
                </w:p>
              </w:tc>
              <w:tc>
                <w:tcPr>
                  <w:tcW w:w="1144" w:type="dxa"/>
                  <w:tcBorders>
                    <w:tl2br w:val="nil"/>
                    <w:tr2bl w:val="nil"/>
                  </w:tcBorders>
                  <w:noWrap w:val="0"/>
                  <w:vAlign w:val="center"/>
                </w:tcPr>
                <w:p w14:paraId="7D938F7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0.108</w:t>
                  </w:r>
                </w:p>
              </w:tc>
            </w:tr>
            <w:tr w14:paraId="2C1F4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2ACBCC57">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年8月</w:t>
                  </w:r>
                </w:p>
              </w:tc>
              <w:tc>
                <w:tcPr>
                  <w:tcW w:w="1140" w:type="dxa"/>
                  <w:tcBorders>
                    <w:tl2br w:val="nil"/>
                    <w:tr2bl w:val="nil"/>
                  </w:tcBorders>
                  <w:noWrap w:val="0"/>
                  <w:vAlign w:val="center"/>
                </w:tcPr>
                <w:p w14:paraId="4D15D71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0.004</w:t>
                  </w:r>
                </w:p>
              </w:tc>
              <w:tc>
                <w:tcPr>
                  <w:tcW w:w="1138" w:type="dxa"/>
                  <w:tcBorders>
                    <w:tl2br w:val="nil"/>
                    <w:tr2bl w:val="nil"/>
                  </w:tcBorders>
                  <w:noWrap w:val="0"/>
                  <w:vAlign w:val="center"/>
                </w:tcPr>
                <w:p w14:paraId="4B936015">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0.009</w:t>
                  </w:r>
                </w:p>
              </w:tc>
              <w:tc>
                <w:tcPr>
                  <w:tcW w:w="1140" w:type="dxa"/>
                  <w:tcBorders>
                    <w:tl2br w:val="nil"/>
                    <w:tr2bl w:val="nil"/>
                  </w:tcBorders>
                  <w:noWrap w:val="0"/>
                  <w:vAlign w:val="center"/>
                </w:tcPr>
                <w:p w14:paraId="7FCF364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0.032</w:t>
                  </w:r>
                </w:p>
              </w:tc>
              <w:tc>
                <w:tcPr>
                  <w:tcW w:w="1140" w:type="dxa"/>
                  <w:tcBorders>
                    <w:tl2br w:val="nil"/>
                    <w:tr2bl w:val="nil"/>
                  </w:tcBorders>
                  <w:noWrap w:val="0"/>
                  <w:vAlign w:val="center"/>
                </w:tcPr>
                <w:p w14:paraId="3B7857B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0.017</w:t>
                  </w:r>
                </w:p>
              </w:tc>
              <w:tc>
                <w:tcPr>
                  <w:tcW w:w="965" w:type="dxa"/>
                  <w:tcBorders>
                    <w:tl2br w:val="nil"/>
                    <w:tr2bl w:val="nil"/>
                  </w:tcBorders>
                  <w:noWrap w:val="0"/>
                  <w:vAlign w:val="center"/>
                </w:tcPr>
                <w:p w14:paraId="320E59A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0.5</w:t>
                  </w:r>
                </w:p>
              </w:tc>
              <w:tc>
                <w:tcPr>
                  <w:tcW w:w="1144" w:type="dxa"/>
                  <w:tcBorders>
                    <w:tl2br w:val="nil"/>
                    <w:tr2bl w:val="nil"/>
                  </w:tcBorders>
                  <w:noWrap w:val="0"/>
                  <w:vAlign w:val="center"/>
                </w:tcPr>
                <w:p w14:paraId="64D8953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0.144</w:t>
                  </w:r>
                </w:p>
              </w:tc>
            </w:tr>
            <w:tr w14:paraId="2AF90D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1081B674">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年9月</w:t>
                  </w:r>
                </w:p>
              </w:tc>
              <w:tc>
                <w:tcPr>
                  <w:tcW w:w="1140" w:type="dxa"/>
                  <w:tcBorders>
                    <w:tl2br w:val="nil"/>
                    <w:tr2bl w:val="nil"/>
                  </w:tcBorders>
                  <w:noWrap w:val="0"/>
                  <w:vAlign w:val="center"/>
                </w:tcPr>
                <w:p w14:paraId="4996F8ED">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58C9D1F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0.007</w:t>
                  </w:r>
                </w:p>
              </w:tc>
              <w:tc>
                <w:tcPr>
                  <w:tcW w:w="1140" w:type="dxa"/>
                  <w:tcBorders>
                    <w:tl2br w:val="nil"/>
                    <w:tr2bl w:val="nil"/>
                  </w:tcBorders>
                  <w:noWrap w:val="0"/>
                  <w:vAlign w:val="center"/>
                </w:tcPr>
                <w:p w14:paraId="5127A30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w:t>
                  </w:r>
                </w:p>
              </w:tc>
              <w:tc>
                <w:tcPr>
                  <w:tcW w:w="1140" w:type="dxa"/>
                  <w:tcBorders>
                    <w:tl2br w:val="nil"/>
                    <w:tr2bl w:val="nil"/>
                  </w:tcBorders>
                  <w:noWrap w:val="0"/>
                  <w:vAlign w:val="center"/>
                </w:tcPr>
                <w:p w14:paraId="3E79DBFC">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w:t>
                  </w:r>
                </w:p>
              </w:tc>
              <w:tc>
                <w:tcPr>
                  <w:tcW w:w="965" w:type="dxa"/>
                  <w:tcBorders>
                    <w:tl2br w:val="nil"/>
                    <w:tr2bl w:val="nil"/>
                  </w:tcBorders>
                  <w:noWrap w:val="0"/>
                  <w:vAlign w:val="center"/>
                </w:tcPr>
                <w:p w14:paraId="59521C35">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0.4</w:t>
                  </w:r>
                </w:p>
              </w:tc>
              <w:tc>
                <w:tcPr>
                  <w:tcW w:w="1144" w:type="dxa"/>
                  <w:tcBorders>
                    <w:tl2br w:val="nil"/>
                    <w:tr2bl w:val="nil"/>
                  </w:tcBorders>
                  <w:noWrap w:val="0"/>
                  <w:vAlign w:val="center"/>
                </w:tcPr>
                <w:p w14:paraId="14B6A62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0.09</w:t>
                  </w:r>
                </w:p>
              </w:tc>
            </w:tr>
            <w:tr w14:paraId="23E8E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62A21FE8">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年10月</w:t>
                  </w:r>
                </w:p>
              </w:tc>
              <w:tc>
                <w:tcPr>
                  <w:tcW w:w="1140" w:type="dxa"/>
                  <w:tcBorders>
                    <w:tl2br w:val="nil"/>
                    <w:tr2bl w:val="nil"/>
                  </w:tcBorders>
                  <w:noWrap w:val="0"/>
                  <w:vAlign w:val="center"/>
                </w:tcPr>
                <w:p w14:paraId="2456C8A7">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3A58FA6D">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0.005</w:t>
                  </w:r>
                </w:p>
              </w:tc>
              <w:tc>
                <w:tcPr>
                  <w:tcW w:w="1140" w:type="dxa"/>
                  <w:tcBorders>
                    <w:tl2br w:val="nil"/>
                    <w:tr2bl w:val="nil"/>
                  </w:tcBorders>
                  <w:noWrap w:val="0"/>
                  <w:vAlign w:val="center"/>
                </w:tcPr>
                <w:p w14:paraId="7F72B4FB">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0.022</w:t>
                  </w:r>
                </w:p>
              </w:tc>
              <w:tc>
                <w:tcPr>
                  <w:tcW w:w="1140" w:type="dxa"/>
                  <w:tcBorders>
                    <w:tl2br w:val="nil"/>
                    <w:tr2bl w:val="nil"/>
                  </w:tcBorders>
                  <w:noWrap w:val="0"/>
                  <w:vAlign w:val="center"/>
                </w:tcPr>
                <w:p w14:paraId="195AC7E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0.013</w:t>
                  </w:r>
                </w:p>
              </w:tc>
              <w:tc>
                <w:tcPr>
                  <w:tcW w:w="965" w:type="dxa"/>
                  <w:tcBorders>
                    <w:tl2br w:val="nil"/>
                    <w:tr2bl w:val="nil"/>
                  </w:tcBorders>
                  <w:noWrap w:val="0"/>
                  <w:vAlign w:val="center"/>
                </w:tcPr>
                <w:p w14:paraId="0E4EA86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0.4</w:t>
                  </w:r>
                </w:p>
              </w:tc>
              <w:tc>
                <w:tcPr>
                  <w:tcW w:w="1144" w:type="dxa"/>
                  <w:tcBorders>
                    <w:tl2br w:val="nil"/>
                    <w:tr2bl w:val="nil"/>
                  </w:tcBorders>
                  <w:noWrap w:val="0"/>
                  <w:vAlign w:val="center"/>
                </w:tcPr>
                <w:p w14:paraId="2EDA2F4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0.106</w:t>
                  </w:r>
                </w:p>
              </w:tc>
            </w:tr>
            <w:tr w14:paraId="34E23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01756F13">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年11月</w:t>
                  </w:r>
                </w:p>
              </w:tc>
              <w:tc>
                <w:tcPr>
                  <w:tcW w:w="1140" w:type="dxa"/>
                  <w:tcBorders>
                    <w:tl2br w:val="nil"/>
                    <w:tr2bl w:val="nil"/>
                  </w:tcBorders>
                  <w:noWrap w:val="0"/>
                  <w:vAlign w:val="center"/>
                </w:tcPr>
                <w:p w14:paraId="6E7B1E7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511829E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0.008</w:t>
                  </w:r>
                </w:p>
              </w:tc>
              <w:tc>
                <w:tcPr>
                  <w:tcW w:w="1140" w:type="dxa"/>
                  <w:tcBorders>
                    <w:tl2br w:val="nil"/>
                    <w:tr2bl w:val="nil"/>
                  </w:tcBorders>
                  <w:noWrap w:val="0"/>
                  <w:vAlign w:val="center"/>
                </w:tcPr>
                <w:p w14:paraId="313A2F8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0.023</w:t>
                  </w:r>
                </w:p>
              </w:tc>
              <w:tc>
                <w:tcPr>
                  <w:tcW w:w="1140" w:type="dxa"/>
                  <w:tcBorders>
                    <w:tl2br w:val="nil"/>
                    <w:tr2bl w:val="nil"/>
                  </w:tcBorders>
                  <w:noWrap w:val="0"/>
                  <w:vAlign w:val="center"/>
                </w:tcPr>
                <w:p w14:paraId="6685EC2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0.012</w:t>
                  </w:r>
                </w:p>
              </w:tc>
              <w:tc>
                <w:tcPr>
                  <w:tcW w:w="965" w:type="dxa"/>
                  <w:tcBorders>
                    <w:tl2br w:val="nil"/>
                    <w:tr2bl w:val="nil"/>
                  </w:tcBorders>
                  <w:noWrap w:val="0"/>
                  <w:vAlign w:val="center"/>
                </w:tcPr>
                <w:p w14:paraId="2117D9C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0.4</w:t>
                  </w:r>
                </w:p>
              </w:tc>
              <w:tc>
                <w:tcPr>
                  <w:tcW w:w="1144" w:type="dxa"/>
                  <w:tcBorders>
                    <w:tl2br w:val="nil"/>
                    <w:tr2bl w:val="nil"/>
                  </w:tcBorders>
                  <w:noWrap w:val="0"/>
                  <w:vAlign w:val="center"/>
                </w:tcPr>
                <w:p w14:paraId="71C1FB4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w:t>
                  </w:r>
                </w:p>
              </w:tc>
            </w:tr>
            <w:tr w14:paraId="7A2D6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6714344F">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202</w:t>
                  </w:r>
                  <w:r>
                    <w:rPr>
                      <w:rFonts w:hint="eastAsia" w:ascii="Times New Roman" w:hAnsi="Times New Roman" w:cs="Times New Roman"/>
                      <w:color w:val="auto"/>
                      <w:lang w:val="en-US" w:eastAsia="zh-CN"/>
                    </w:rPr>
                    <w:t>4</w:t>
                  </w:r>
                  <w:r>
                    <w:rPr>
                      <w:rFonts w:hint="default" w:ascii="Times New Roman" w:hAnsi="Times New Roman" w:cs="Times New Roman"/>
                      <w:color w:val="auto"/>
                    </w:rPr>
                    <w:t>年12月</w:t>
                  </w:r>
                </w:p>
              </w:tc>
              <w:tc>
                <w:tcPr>
                  <w:tcW w:w="1140" w:type="dxa"/>
                  <w:tcBorders>
                    <w:tl2br w:val="nil"/>
                    <w:tr2bl w:val="nil"/>
                  </w:tcBorders>
                  <w:noWrap w:val="0"/>
                  <w:vAlign w:val="center"/>
                </w:tcPr>
                <w:p w14:paraId="100B10F9">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0.002</w:t>
                  </w:r>
                </w:p>
              </w:tc>
              <w:tc>
                <w:tcPr>
                  <w:tcW w:w="1138" w:type="dxa"/>
                  <w:tcBorders>
                    <w:tl2br w:val="nil"/>
                    <w:tr2bl w:val="nil"/>
                  </w:tcBorders>
                  <w:noWrap w:val="0"/>
                  <w:vAlign w:val="center"/>
                </w:tcPr>
                <w:p w14:paraId="41215B6F">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0.014</w:t>
                  </w:r>
                </w:p>
              </w:tc>
              <w:tc>
                <w:tcPr>
                  <w:tcW w:w="1140" w:type="dxa"/>
                  <w:tcBorders>
                    <w:tl2br w:val="nil"/>
                    <w:tr2bl w:val="nil"/>
                  </w:tcBorders>
                  <w:noWrap w:val="0"/>
                  <w:vAlign w:val="center"/>
                </w:tcPr>
                <w:p w14:paraId="517E1288">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0.036</w:t>
                  </w:r>
                </w:p>
              </w:tc>
              <w:tc>
                <w:tcPr>
                  <w:tcW w:w="1140" w:type="dxa"/>
                  <w:tcBorders>
                    <w:tl2br w:val="nil"/>
                    <w:tr2bl w:val="nil"/>
                  </w:tcBorders>
                  <w:noWrap w:val="0"/>
                  <w:vAlign w:val="center"/>
                </w:tcPr>
                <w:p w14:paraId="1C40506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0.019</w:t>
                  </w:r>
                </w:p>
              </w:tc>
              <w:tc>
                <w:tcPr>
                  <w:tcW w:w="965" w:type="dxa"/>
                  <w:tcBorders>
                    <w:tl2br w:val="nil"/>
                    <w:tr2bl w:val="nil"/>
                  </w:tcBorders>
                  <w:noWrap w:val="0"/>
                  <w:vAlign w:val="center"/>
                </w:tcPr>
                <w:p w14:paraId="6C2A47F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0.6</w:t>
                  </w:r>
                </w:p>
              </w:tc>
              <w:tc>
                <w:tcPr>
                  <w:tcW w:w="1144" w:type="dxa"/>
                  <w:tcBorders>
                    <w:tl2br w:val="nil"/>
                    <w:tr2bl w:val="nil"/>
                  </w:tcBorders>
                  <w:noWrap w:val="0"/>
                  <w:vAlign w:val="center"/>
                </w:tcPr>
                <w:p w14:paraId="2761B2D3">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eastAsia" w:ascii="Times New Roman" w:hAnsi="Times New Roman" w:cs="Times New Roman"/>
                      <w:color w:val="auto"/>
                      <w:kern w:val="0"/>
                      <w:szCs w:val="20"/>
                      <w:lang w:val="en-US" w:eastAsia="zh-CN"/>
                    </w:rPr>
                    <w:t>0.104</w:t>
                  </w:r>
                </w:p>
              </w:tc>
            </w:tr>
            <w:tr w14:paraId="089DE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952" w:type="pct"/>
                  <w:tcBorders>
                    <w:tl2br w:val="nil"/>
                    <w:tr2bl w:val="nil"/>
                  </w:tcBorders>
                  <w:noWrap w:val="0"/>
                  <w:vAlign w:val="center"/>
                </w:tcPr>
                <w:p w14:paraId="7B7767E1">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国家二级标准</w:t>
                  </w:r>
                </w:p>
              </w:tc>
              <w:tc>
                <w:tcPr>
                  <w:tcW w:w="692" w:type="pct"/>
                  <w:tcBorders>
                    <w:tl2br w:val="nil"/>
                    <w:tr2bl w:val="nil"/>
                  </w:tcBorders>
                  <w:noWrap w:val="0"/>
                  <w:vAlign w:val="center"/>
                </w:tcPr>
                <w:p w14:paraId="3F7027EE">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0.06</w:t>
                  </w:r>
                </w:p>
              </w:tc>
              <w:tc>
                <w:tcPr>
                  <w:tcW w:w="691" w:type="pct"/>
                  <w:tcBorders>
                    <w:tl2br w:val="nil"/>
                    <w:tr2bl w:val="nil"/>
                  </w:tcBorders>
                  <w:noWrap w:val="0"/>
                  <w:vAlign w:val="center"/>
                </w:tcPr>
                <w:p w14:paraId="2E91E77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0.04</w:t>
                  </w:r>
                </w:p>
              </w:tc>
              <w:tc>
                <w:tcPr>
                  <w:tcW w:w="692" w:type="pct"/>
                  <w:tcBorders>
                    <w:tl2br w:val="nil"/>
                    <w:tr2bl w:val="nil"/>
                  </w:tcBorders>
                  <w:noWrap w:val="0"/>
                  <w:vAlign w:val="center"/>
                </w:tcPr>
                <w:p w14:paraId="1F511D2A">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0.07</w:t>
                  </w:r>
                </w:p>
              </w:tc>
              <w:tc>
                <w:tcPr>
                  <w:tcW w:w="692" w:type="pct"/>
                  <w:tcBorders>
                    <w:tl2br w:val="nil"/>
                    <w:tr2bl w:val="nil"/>
                  </w:tcBorders>
                  <w:noWrap w:val="0"/>
                  <w:vAlign w:val="center"/>
                </w:tcPr>
                <w:p w14:paraId="638B6486">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0.035</w:t>
                  </w:r>
                </w:p>
              </w:tc>
              <w:tc>
                <w:tcPr>
                  <w:tcW w:w="586" w:type="pct"/>
                  <w:tcBorders>
                    <w:tl2br w:val="nil"/>
                    <w:tr2bl w:val="nil"/>
                  </w:tcBorders>
                  <w:noWrap w:val="0"/>
                  <w:vAlign w:val="center"/>
                </w:tcPr>
                <w:p w14:paraId="330D44B2">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4</w:t>
                  </w:r>
                </w:p>
              </w:tc>
              <w:tc>
                <w:tcPr>
                  <w:tcW w:w="692" w:type="pct"/>
                  <w:tcBorders>
                    <w:tl2br w:val="nil"/>
                    <w:tr2bl w:val="nil"/>
                  </w:tcBorders>
                  <w:noWrap w:val="0"/>
                  <w:vAlign w:val="center"/>
                </w:tcPr>
                <w:p w14:paraId="73E76F90">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0.16</w:t>
                  </w:r>
                </w:p>
              </w:tc>
            </w:tr>
            <w:tr w14:paraId="00D597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952" w:type="pct"/>
                  <w:tcBorders>
                    <w:tl2br w:val="nil"/>
                    <w:tr2bl w:val="nil"/>
                  </w:tcBorders>
                  <w:noWrap w:val="0"/>
                  <w:vAlign w:val="center"/>
                </w:tcPr>
                <w:p w14:paraId="3E985FAC">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达标情况</w:t>
                  </w:r>
                </w:p>
              </w:tc>
              <w:tc>
                <w:tcPr>
                  <w:tcW w:w="4047" w:type="pct"/>
                  <w:gridSpan w:val="6"/>
                  <w:tcBorders>
                    <w:tl2br w:val="nil"/>
                    <w:tr2bl w:val="nil"/>
                  </w:tcBorders>
                  <w:noWrap w:val="0"/>
                  <w:vAlign w:val="center"/>
                </w:tcPr>
                <w:p w14:paraId="4AC1A81F">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达标</w:t>
                  </w:r>
                </w:p>
              </w:tc>
            </w:tr>
            <w:tr w14:paraId="599F34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952" w:type="pct"/>
                  <w:tcBorders>
                    <w:tl2br w:val="nil"/>
                    <w:tr2bl w:val="nil"/>
                  </w:tcBorders>
                  <w:noWrap w:val="0"/>
                  <w:vAlign w:val="center"/>
                </w:tcPr>
                <w:p w14:paraId="644BC3A4">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备注</w:t>
                  </w:r>
                </w:p>
              </w:tc>
              <w:tc>
                <w:tcPr>
                  <w:tcW w:w="4047" w:type="pct"/>
                  <w:gridSpan w:val="6"/>
                  <w:tcBorders>
                    <w:tl2br w:val="nil"/>
                    <w:tr2bl w:val="nil"/>
                  </w:tcBorders>
                  <w:noWrap w:val="0"/>
                  <w:vAlign w:val="center"/>
                </w:tcPr>
                <w:p w14:paraId="773E99DC">
                  <w:pPr>
                    <w:keepNext w:val="0"/>
                    <w:keepLines w:val="0"/>
                    <w:suppressLineNumbers w:val="0"/>
                    <w:adjustRightInd w:val="0"/>
                    <w:snapToGrid w:val="0"/>
                    <w:spacing w:before="24" w:beforeLines="10" w:beforeAutospacing="0" w:after="24" w:afterLines="10" w:afterAutospacing="0"/>
                    <w:ind w:left="0" w:right="0"/>
                    <w:jc w:val="center"/>
                    <w:rPr>
                      <w:rFonts w:hint="default" w:ascii="Times New Roman" w:hAnsi="Times New Roman" w:cs="Times New Roman"/>
                      <w:color w:val="auto"/>
                      <w:kern w:val="0"/>
                      <w:szCs w:val="20"/>
                    </w:rPr>
                  </w:pPr>
                  <w:r>
                    <w:rPr>
                      <w:rFonts w:hint="default" w:ascii="Times New Roman" w:hAnsi="Times New Roman" w:cs="Times New Roman"/>
                      <w:color w:val="auto"/>
                      <w:kern w:val="0"/>
                      <w:szCs w:val="20"/>
                    </w:rPr>
                    <w:t>CO为日均值第95百分位数，O</w:t>
                  </w:r>
                  <w:r>
                    <w:rPr>
                      <w:rFonts w:hint="default" w:ascii="Times New Roman" w:hAnsi="Times New Roman" w:cs="Times New Roman"/>
                      <w:color w:val="auto"/>
                      <w:kern w:val="0"/>
                      <w:szCs w:val="20"/>
                      <w:vertAlign w:val="subscript"/>
                    </w:rPr>
                    <w:t>3</w:t>
                  </w:r>
                  <w:r>
                    <w:rPr>
                      <w:rFonts w:hint="default" w:ascii="Times New Roman" w:hAnsi="Times New Roman" w:cs="Times New Roman"/>
                      <w:color w:val="auto"/>
                      <w:kern w:val="0"/>
                      <w:szCs w:val="20"/>
                    </w:rPr>
                    <w:t>为日最大8小时值第90百分位数</w:t>
                  </w:r>
                </w:p>
              </w:tc>
            </w:tr>
          </w:tbl>
          <w:p w14:paraId="107F2101">
            <w:pPr>
              <w:pStyle w:val="20"/>
              <w:keepNext w:val="0"/>
              <w:keepLines w:val="0"/>
              <w:suppressLineNumbers w:val="0"/>
              <w:bidi w:val="0"/>
              <w:spacing w:before="0" w:beforeAutospacing="0" w:after="0" w:afterAutospacing="0"/>
              <w:ind w:left="0" w:right="0" w:firstLine="480" w:firstLineChars="200"/>
              <w:rPr>
                <w:rFonts w:hint="default"/>
                <w:color w:val="auto"/>
                <w:lang w:val="en-US" w:eastAsia="zh-CN"/>
              </w:rPr>
            </w:pPr>
            <w:r>
              <w:rPr>
                <w:rFonts w:hint="eastAsia"/>
                <w:color w:val="auto"/>
                <w:lang w:val="en-US" w:eastAsia="zh-CN"/>
              </w:rPr>
              <w:t>②其他污染因子现状调查</w:t>
            </w:r>
          </w:p>
          <w:p w14:paraId="3353C3C2">
            <w:pPr>
              <w:keepNext w:val="0"/>
              <w:keepLines w:val="0"/>
              <w:suppressLineNumbers w:val="0"/>
              <w:adjustRightInd w:val="0"/>
              <w:spacing w:before="0" w:beforeAutospacing="0" w:after="0" w:afterAutospacing="0" w:line="360" w:lineRule="auto"/>
              <w:ind w:left="0" w:right="0" w:firstLine="480" w:firstLineChars="200"/>
              <w:contextualSpacing/>
              <w:rPr>
                <w:rFonts w:hint="default"/>
                <w:color w:val="auto"/>
                <w:sz w:val="24"/>
              </w:rPr>
            </w:pPr>
            <w:r>
              <w:rPr>
                <w:rFonts w:hint="default"/>
                <w:bCs/>
                <w:color w:val="auto"/>
                <w:sz w:val="24"/>
              </w:rPr>
              <w:t>根据《关于&lt;建设项目环境影响报告表&gt;内容、格式及编制技术指南常见问题解答》（生态环境部环境工程评估中心）</w:t>
            </w:r>
            <w:r>
              <w:rPr>
                <w:rFonts w:hint="eastAsia"/>
                <w:bCs/>
                <w:color w:val="auto"/>
                <w:sz w:val="24"/>
              </w:rPr>
              <w:t>：</w:t>
            </w:r>
            <w:r>
              <w:rPr>
                <w:rFonts w:hint="eastAsia"/>
                <w:color w:val="auto"/>
                <w:sz w:val="24"/>
                <w:lang w:eastAsia="zh-CN"/>
              </w:rPr>
              <w:t>“</w:t>
            </w:r>
            <w:r>
              <w:rPr>
                <w:rFonts w:hint="default"/>
                <w:color w:val="auto"/>
                <w:sz w:val="24"/>
              </w:rPr>
              <w:t>技术指南中提到</w:t>
            </w:r>
            <w:r>
              <w:rPr>
                <w:rFonts w:hint="eastAsia"/>
                <w:color w:val="auto"/>
                <w:sz w:val="24"/>
              </w:rPr>
              <w:t>‘</w:t>
            </w:r>
            <w:r>
              <w:rPr>
                <w:rFonts w:hint="default"/>
                <w:color w:val="auto"/>
                <w:sz w:val="24"/>
              </w:rPr>
              <w:t>排放国家、地方环境空气质量标准中有标准限值要求的特征污染物</w:t>
            </w:r>
            <w:r>
              <w:rPr>
                <w:rFonts w:hint="eastAsia"/>
                <w:color w:val="auto"/>
                <w:sz w:val="24"/>
              </w:rPr>
              <w:t>’</w:t>
            </w:r>
            <w:r>
              <w:rPr>
                <w:rFonts w:hint="default"/>
                <w:color w:val="auto"/>
                <w:sz w:val="24"/>
              </w:rPr>
              <w:t>，其中环境空气质量标准指《环境空气质量标准》(GB3095</w:t>
            </w:r>
            <w:r>
              <w:rPr>
                <w:rFonts w:hint="default"/>
                <w:color w:val="auto"/>
                <w:sz w:val="24"/>
                <w:shd w:val="clear" w:fill="FFFFFF"/>
              </w:rPr>
              <w:t>)</w:t>
            </w:r>
            <w:r>
              <w:rPr>
                <w:rFonts w:hint="default"/>
                <w:color w:val="auto"/>
                <w:sz w:val="24"/>
              </w:rPr>
              <w:t>和地方的环境空气质量标准，不包括《环境影响评价技术导则 大气环境》(HJ2.2-2018</w:t>
            </w:r>
            <w:r>
              <w:rPr>
                <w:rFonts w:hint="default"/>
                <w:color w:val="auto"/>
                <w:sz w:val="24"/>
                <w:shd w:val="clear" w:fill="FFFFFF"/>
              </w:rPr>
              <w:t>)</w:t>
            </w:r>
            <w:r>
              <w:rPr>
                <w:rFonts w:hint="default"/>
                <w:color w:val="auto"/>
                <w:sz w:val="24"/>
              </w:rPr>
              <w:t>附录D、《工业企业设计卫生标准》(TJ36-97)、《</w:t>
            </w:r>
            <w:r>
              <w:rPr>
                <w:rFonts w:hint="default"/>
                <w:color w:val="auto"/>
                <w:sz w:val="24"/>
                <w:shd w:val="clear" w:fill="FFFFFF"/>
              </w:rPr>
              <w:t>前苏联</w:t>
            </w:r>
            <w:r>
              <w:rPr>
                <w:rFonts w:hint="default"/>
                <w:color w:val="auto"/>
                <w:sz w:val="24"/>
              </w:rPr>
              <w:t>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r>
              <w:rPr>
                <w:rFonts w:hint="eastAsia"/>
                <w:color w:val="auto"/>
                <w:sz w:val="24"/>
                <w:lang w:eastAsia="zh-CN"/>
              </w:rPr>
              <w:t>”</w:t>
            </w:r>
            <w:r>
              <w:rPr>
                <w:rFonts w:hint="default"/>
                <w:color w:val="auto"/>
                <w:sz w:val="24"/>
              </w:rPr>
              <w:t>。</w:t>
            </w:r>
          </w:p>
          <w:p w14:paraId="174BBF01">
            <w:pPr>
              <w:keepNext w:val="0"/>
              <w:keepLines w:val="0"/>
              <w:suppressLineNumbers w:val="0"/>
              <w:adjustRightInd w:val="0"/>
              <w:spacing w:before="0" w:beforeAutospacing="0" w:after="0" w:afterAutospacing="0" w:line="360" w:lineRule="auto"/>
              <w:ind w:left="0" w:right="0" w:firstLine="480" w:firstLineChars="200"/>
              <w:contextualSpacing/>
              <w:rPr>
                <w:rFonts w:hint="default"/>
                <w:bCs/>
                <w:color w:val="auto"/>
                <w:sz w:val="24"/>
              </w:rPr>
            </w:pPr>
            <w:r>
              <w:rPr>
                <w:rFonts w:hint="eastAsia"/>
                <w:bCs/>
                <w:color w:val="auto"/>
                <w:sz w:val="24"/>
              </w:rPr>
              <w:t>本评价常规污染因子选取福清市人民政府发布的环境空气质量现状信息，且未排放国家、地方环境空气质量标准中有标准限值要求的特征污染物，无需补充监测数据，符合《建设项目环境影响报告表编制技术指南</w:t>
            </w:r>
            <w:r>
              <w:rPr>
                <w:rFonts w:hint="eastAsia"/>
                <w:bCs/>
                <w:color w:val="auto"/>
                <w:sz w:val="24"/>
                <w:shd w:val="clear" w:fill="FFFFFF"/>
              </w:rPr>
              <w:t>(</w:t>
            </w:r>
            <w:r>
              <w:rPr>
                <w:rFonts w:hint="eastAsia"/>
                <w:bCs/>
                <w:color w:val="auto"/>
                <w:sz w:val="24"/>
              </w:rPr>
              <w:t>污染影响类</w:t>
            </w:r>
            <w:r>
              <w:rPr>
                <w:rFonts w:hint="eastAsia"/>
                <w:bCs/>
                <w:color w:val="auto"/>
                <w:sz w:val="24"/>
                <w:shd w:val="clear" w:fill="FFFFFF"/>
              </w:rPr>
              <w:t>)(</w:t>
            </w:r>
            <w:r>
              <w:rPr>
                <w:rFonts w:hint="eastAsia"/>
                <w:bCs/>
                <w:color w:val="auto"/>
                <w:sz w:val="24"/>
              </w:rPr>
              <w:t>试行</w:t>
            </w:r>
            <w:r>
              <w:rPr>
                <w:rFonts w:hint="eastAsia"/>
                <w:bCs/>
                <w:color w:val="auto"/>
                <w:sz w:val="24"/>
                <w:shd w:val="clear" w:fill="FFFFFF"/>
              </w:rPr>
              <w:t>)</w:t>
            </w:r>
            <w:r>
              <w:rPr>
                <w:rFonts w:hint="eastAsia"/>
                <w:bCs/>
                <w:color w:val="auto"/>
                <w:sz w:val="24"/>
              </w:rPr>
              <w:t>》</w:t>
            </w:r>
            <w:r>
              <w:rPr>
                <w:rFonts w:hint="eastAsia"/>
                <w:bCs/>
                <w:color w:val="auto"/>
                <w:sz w:val="24"/>
                <w:shd w:val="clear" w:fill="FFFFFF"/>
              </w:rPr>
              <w:t>(</w:t>
            </w:r>
            <w:r>
              <w:rPr>
                <w:rFonts w:hint="eastAsia"/>
                <w:bCs/>
                <w:color w:val="auto"/>
                <w:sz w:val="24"/>
              </w:rPr>
              <w:t>环办环评〔2020〕33号</w:t>
            </w:r>
            <w:r>
              <w:rPr>
                <w:rFonts w:hint="eastAsia"/>
                <w:bCs/>
                <w:color w:val="auto"/>
                <w:sz w:val="24"/>
                <w:shd w:val="clear" w:fill="FFFFFF"/>
              </w:rPr>
              <w:t>)</w:t>
            </w:r>
            <w:r>
              <w:rPr>
                <w:rFonts w:hint="eastAsia"/>
                <w:bCs/>
                <w:color w:val="auto"/>
                <w:sz w:val="24"/>
              </w:rPr>
              <w:t>的要求</w:t>
            </w:r>
            <w:r>
              <w:rPr>
                <w:rFonts w:hint="default"/>
                <w:bCs/>
                <w:color w:val="auto"/>
                <w:sz w:val="24"/>
              </w:rPr>
              <w:t>。</w:t>
            </w:r>
          </w:p>
          <w:p w14:paraId="43E42748">
            <w:pPr>
              <w:pStyle w:val="5"/>
              <w:suppressLineNumbers w:val="0"/>
              <w:bidi w:val="0"/>
              <w:spacing w:beforeAutospacing="0" w:afterAutospacing="0"/>
              <w:ind w:right="0"/>
              <w:rPr>
                <w:rFonts w:hint="eastAsia" w:ascii="Times New Roman" w:hAnsi="Times New Roman" w:cs="Times New Roman"/>
                <w:color w:val="auto"/>
                <w:lang w:val="en-US" w:eastAsia="zh-CN"/>
              </w:rPr>
            </w:pPr>
            <w:bookmarkStart w:id="56" w:name="_Toc32248"/>
            <w:r>
              <w:rPr>
                <w:rFonts w:hint="eastAsia" w:ascii="Times New Roman" w:hAnsi="Times New Roman" w:cs="Times New Roman"/>
                <w:color w:val="auto"/>
                <w:lang w:val="en-US" w:eastAsia="zh-CN"/>
              </w:rPr>
              <w:t>地表水环境质量现状</w:t>
            </w:r>
            <w:bookmarkEnd w:id="56"/>
          </w:p>
          <w:p w14:paraId="718BBC7C">
            <w:pPr>
              <w:pStyle w:val="6"/>
              <w:suppressLineNumbers w:val="0"/>
              <w:bidi w:val="0"/>
              <w:spacing w:beforeAutospacing="0" w:afterAutospacing="0"/>
              <w:ind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地表水功能区划</w:t>
            </w:r>
          </w:p>
          <w:p w14:paraId="61AF945D">
            <w:pPr>
              <w:pStyle w:val="20"/>
              <w:keepNext w:val="0"/>
              <w:keepLines w:val="0"/>
              <w:suppressLineNumbers w:val="0"/>
              <w:bidi w:val="0"/>
              <w:spacing w:before="0" w:beforeAutospacing="0" w:after="0" w:afterAutospacing="0"/>
              <w:ind w:left="0" w:right="0"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本项目器皿清洗废水经废水处理设施处理后排入市政污水管网，</w:t>
            </w:r>
            <w:r>
              <w:rPr>
                <w:rFonts w:hint="eastAsia" w:cs="Times New Roman"/>
                <w:color w:val="auto"/>
                <w:lang w:val="en-US" w:eastAsia="zh-CN"/>
              </w:rPr>
              <w:t>进入福清市融元污水处理厂</w:t>
            </w:r>
            <w:r>
              <w:rPr>
                <w:rFonts w:hint="eastAsia" w:ascii="Times New Roman" w:hAnsi="Times New Roman" w:cs="Times New Roman"/>
                <w:color w:val="auto"/>
                <w:lang w:val="en-US" w:eastAsia="zh-CN"/>
              </w:rPr>
              <w:t>进行处理，</w:t>
            </w:r>
            <w:r>
              <w:rPr>
                <w:rFonts w:hint="eastAsia" w:cs="Times New Roman"/>
                <w:color w:val="auto"/>
                <w:lang w:val="en-US" w:eastAsia="zh-CN"/>
              </w:rPr>
              <w:t>污水处理厂</w:t>
            </w:r>
            <w:r>
              <w:rPr>
                <w:rFonts w:hint="eastAsia" w:ascii="Times New Roman" w:hAnsi="Times New Roman" w:cs="Times New Roman"/>
                <w:color w:val="auto"/>
                <w:lang w:val="en-US" w:eastAsia="zh-CN"/>
              </w:rPr>
              <w:t>尾水排入大北溪（龙江）。</w:t>
            </w:r>
          </w:p>
          <w:p w14:paraId="74170620">
            <w:pPr>
              <w:pStyle w:val="20"/>
              <w:keepNext w:val="0"/>
              <w:keepLines w:val="0"/>
              <w:suppressLineNumbers w:val="0"/>
              <w:bidi w:val="0"/>
              <w:spacing w:before="0" w:beforeAutospacing="0" w:after="0" w:afterAutospacing="0"/>
              <w:ind w:left="0" w:right="0" w:firstLine="480" w:firstLineChars="200"/>
              <w:rPr>
                <w:rFonts w:hint="default"/>
                <w:color w:val="auto"/>
                <w:szCs w:val="21"/>
              </w:rPr>
            </w:pPr>
            <w:r>
              <w:rPr>
                <w:rFonts w:hint="eastAsia" w:ascii="Times New Roman" w:hAnsi="Times New Roman" w:cs="Times New Roman"/>
                <w:color w:val="auto"/>
                <w:lang w:val="en-US" w:eastAsia="zh-CN"/>
              </w:rPr>
              <w:t>根据福州市水功能区划批复（榕政综</w:t>
            </w:r>
            <w:r>
              <w:rPr>
                <w:rFonts w:hint="eastAsia" w:cs="Times New Roman"/>
                <w:color w:val="auto"/>
                <w:lang w:val="en-US" w:eastAsia="zh-CN"/>
              </w:rPr>
              <w:t>〔2019〕316号</w:t>
            </w:r>
            <w:r>
              <w:rPr>
                <w:rFonts w:hint="eastAsia" w:ascii="Times New Roman" w:hAnsi="Times New Roman" w:cs="Times New Roman"/>
                <w:color w:val="auto"/>
                <w:lang w:val="en-US" w:eastAsia="zh-CN"/>
              </w:rPr>
              <w:t>）批准的《福州市水功能区划》，项目纳污水域主要功能为农业、工业、景观用水，环境功能类别为Ⅳ类，详见表3.2-1。</w:t>
            </w:r>
          </w:p>
          <w:p w14:paraId="4FE19DC7">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地表水环境质量标准</w:t>
            </w:r>
            <w:r>
              <w:rPr>
                <w:rFonts w:hint="default"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GB3838-2002</w:t>
            </w:r>
            <w:r>
              <w:rPr>
                <w:rFonts w:hint="default"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摘录</w:t>
            </w:r>
            <w:r>
              <w:rPr>
                <w:rFonts w:hint="default"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 xml:space="preserve">  单位：mg/L(pH除外</w:t>
            </w:r>
            <w:r>
              <w:rPr>
                <w:rFonts w:hint="default" w:ascii="Times New Roman" w:hAnsi="Times New Roman" w:cs="Times New Roman"/>
                <w:color w:val="auto"/>
                <w:highlight w:val="none"/>
                <w:shd w:val="clear" w:fill="FFFFFF"/>
                <w:lang w:val="en-US" w:eastAsia="zh-CN"/>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956"/>
              <w:gridCol w:w="2446"/>
              <w:gridCol w:w="1259"/>
              <w:gridCol w:w="1220"/>
              <w:gridCol w:w="1179"/>
              <w:gridCol w:w="1180"/>
            </w:tblGrid>
            <w:tr w14:paraId="79DBA1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58B80CC3">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序号</w:t>
                  </w:r>
                </w:p>
              </w:tc>
              <w:tc>
                <w:tcPr>
                  <w:tcW w:w="1484" w:type="pct"/>
                  <w:shd w:val="clear" w:color="auto" w:fill="auto"/>
                  <w:noWrap w:val="0"/>
                  <w:vAlign w:val="center"/>
                </w:tcPr>
                <w:p w14:paraId="13408675">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项目</w:t>
                  </w:r>
                </w:p>
              </w:tc>
              <w:tc>
                <w:tcPr>
                  <w:tcW w:w="764" w:type="pct"/>
                  <w:shd w:val="clear" w:color="auto" w:fill="auto"/>
                  <w:noWrap w:val="0"/>
                  <w:vAlign w:val="center"/>
                </w:tcPr>
                <w:p w14:paraId="01749C80">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Ⅱ类</w:t>
                  </w:r>
                </w:p>
              </w:tc>
              <w:tc>
                <w:tcPr>
                  <w:tcW w:w="740" w:type="pct"/>
                  <w:shd w:val="clear" w:color="auto" w:fill="auto"/>
                  <w:noWrap w:val="0"/>
                  <w:vAlign w:val="center"/>
                </w:tcPr>
                <w:p w14:paraId="44B493B9">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Ⅲ类</w:t>
                  </w:r>
                </w:p>
              </w:tc>
              <w:tc>
                <w:tcPr>
                  <w:tcW w:w="715" w:type="pct"/>
                  <w:shd w:val="clear" w:color="auto" w:fill="D7D7D7" w:themeFill="background1" w:themeFillShade="D8"/>
                  <w:noWrap w:val="0"/>
                  <w:vAlign w:val="center"/>
                </w:tcPr>
                <w:p w14:paraId="32FD7B84">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Ⅳ类</w:t>
                  </w:r>
                </w:p>
              </w:tc>
              <w:tc>
                <w:tcPr>
                  <w:tcW w:w="715" w:type="pct"/>
                  <w:shd w:val="clear" w:color="auto" w:fill="auto"/>
                  <w:noWrap w:val="0"/>
                  <w:vAlign w:val="center"/>
                </w:tcPr>
                <w:p w14:paraId="3E0E83C0">
                  <w:pPr>
                    <w:keepNext w:val="0"/>
                    <w:keepLines w:val="0"/>
                    <w:suppressLineNumbers w:val="0"/>
                    <w:spacing w:before="0" w:beforeAutospacing="0" w:after="0" w:afterAutospacing="0"/>
                    <w:ind w:left="0" w:right="0"/>
                    <w:jc w:val="center"/>
                    <w:rPr>
                      <w:rFonts w:hint="default"/>
                      <w:b/>
                      <w:bCs/>
                      <w:color w:val="auto"/>
                      <w:szCs w:val="21"/>
                    </w:rPr>
                  </w:pPr>
                  <w:r>
                    <w:rPr>
                      <w:rFonts w:hint="default"/>
                      <w:b/>
                      <w:bCs/>
                      <w:color w:val="auto"/>
                      <w:szCs w:val="21"/>
                    </w:rPr>
                    <w:t>Ⅴ类</w:t>
                  </w:r>
                </w:p>
              </w:tc>
            </w:tr>
            <w:tr w14:paraId="1C66469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05AD1A54">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p>
              </w:tc>
              <w:tc>
                <w:tcPr>
                  <w:tcW w:w="1484" w:type="pct"/>
                  <w:shd w:val="clear" w:color="auto" w:fill="auto"/>
                  <w:noWrap w:val="0"/>
                  <w:vAlign w:val="center"/>
                </w:tcPr>
                <w:p w14:paraId="740FB8D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pH</w:t>
                  </w:r>
                  <w:r>
                    <w:rPr>
                      <w:rFonts w:hint="default"/>
                      <w:color w:val="auto"/>
                      <w:szCs w:val="21"/>
                      <w:shd w:val="clear" w:fill="FFFFFF"/>
                    </w:rPr>
                    <w:t>(</w:t>
                  </w:r>
                  <w:r>
                    <w:rPr>
                      <w:rFonts w:hint="default"/>
                      <w:color w:val="auto"/>
                      <w:szCs w:val="21"/>
                    </w:rPr>
                    <w:t>无量纲</w:t>
                  </w:r>
                  <w:r>
                    <w:rPr>
                      <w:rFonts w:hint="default"/>
                      <w:color w:val="auto"/>
                      <w:szCs w:val="21"/>
                      <w:shd w:val="clear" w:fill="FFFFFF"/>
                    </w:rPr>
                    <w:t>)</w:t>
                  </w:r>
                </w:p>
              </w:tc>
              <w:tc>
                <w:tcPr>
                  <w:tcW w:w="2935" w:type="pct"/>
                  <w:gridSpan w:val="4"/>
                  <w:shd w:val="clear" w:color="auto" w:fill="D7D7D7" w:themeFill="background1" w:themeFillShade="D8"/>
                  <w:noWrap w:val="0"/>
                  <w:vAlign w:val="center"/>
                </w:tcPr>
                <w:p w14:paraId="0112CC2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w:t>
                  </w:r>
                  <w:r>
                    <w:rPr>
                      <w:rFonts w:hint="eastAsia"/>
                      <w:color w:val="auto"/>
                      <w:szCs w:val="21"/>
                      <w:lang w:eastAsia="zh-CN"/>
                    </w:rPr>
                    <w:t>~</w:t>
                  </w:r>
                  <w:r>
                    <w:rPr>
                      <w:rFonts w:hint="default"/>
                      <w:color w:val="auto"/>
                      <w:szCs w:val="21"/>
                    </w:rPr>
                    <w:t>9</w:t>
                  </w:r>
                </w:p>
              </w:tc>
            </w:tr>
            <w:tr w14:paraId="2B16B8E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63CE4E6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c>
                <w:tcPr>
                  <w:tcW w:w="1484" w:type="pct"/>
                  <w:shd w:val="clear" w:color="auto" w:fill="auto"/>
                  <w:noWrap w:val="0"/>
                  <w:vAlign w:val="center"/>
                </w:tcPr>
                <w:p w14:paraId="460DDA1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shd w:val="clear" w:fill="FFFFFF"/>
                    </w:rPr>
                    <w:t>COD</w:t>
                  </w:r>
                  <w:r>
                    <w:rPr>
                      <w:rFonts w:hint="default"/>
                      <w:color w:val="auto"/>
                      <w:szCs w:val="21"/>
                      <w:shd w:val="clear" w:fill="FFFFFF"/>
                      <w:vertAlign w:val="subscript"/>
                    </w:rPr>
                    <w:t>Mn</w:t>
                  </w:r>
                </w:p>
              </w:tc>
              <w:tc>
                <w:tcPr>
                  <w:tcW w:w="764" w:type="pct"/>
                  <w:tcBorders>
                    <w:right w:val="single" w:color="auto" w:sz="4" w:space="0"/>
                  </w:tcBorders>
                  <w:shd w:val="clear" w:color="auto" w:fill="auto"/>
                  <w:noWrap w:val="0"/>
                  <w:vAlign w:val="center"/>
                </w:tcPr>
                <w:p w14:paraId="1B66A82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740" w:type="pct"/>
                  <w:tcBorders>
                    <w:left w:val="single" w:color="auto" w:sz="4" w:space="0"/>
                    <w:right w:val="single" w:color="auto" w:sz="4" w:space="0"/>
                  </w:tcBorders>
                  <w:shd w:val="clear" w:color="auto" w:fill="auto"/>
                  <w:noWrap w:val="0"/>
                  <w:vAlign w:val="center"/>
                </w:tcPr>
                <w:p w14:paraId="484847E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w:t>
                  </w:r>
                </w:p>
              </w:tc>
              <w:tc>
                <w:tcPr>
                  <w:tcW w:w="715" w:type="pct"/>
                  <w:tcBorders>
                    <w:left w:val="single" w:color="auto" w:sz="4" w:space="0"/>
                    <w:right w:val="single" w:color="auto" w:sz="4" w:space="0"/>
                  </w:tcBorders>
                  <w:shd w:val="clear" w:color="auto" w:fill="D7D7D7" w:themeFill="background1" w:themeFillShade="D8"/>
                  <w:noWrap w:val="0"/>
                  <w:vAlign w:val="center"/>
                </w:tcPr>
                <w:p w14:paraId="51AC12B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w:t>
                  </w:r>
                </w:p>
              </w:tc>
              <w:tc>
                <w:tcPr>
                  <w:tcW w:w="715" w:type="pct"/>
                  <w:tcBorders>
                    <w:left w:val="single" w:color="auto" w:sz="4" w:space="0"/>
                  </w:tcBorders>
                  <w:shd w:val="clear" w:color="auto" w:fill="auto"/>
                  <w:noWrap w:val="0"/>
                  <w:vAlign w:val="center"/>
                </w:tcPr>
                <w:p w14:paraId="00BDB1A5">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w:t>
                  </w:r>
                  <w:r>
                    <w:rPr>
                      <w:rFonts w:hint="default"/>
                      <w:color w:val="auto"/>
                      <w:szCs w:val="21"/>
                    </w:rPr>
                    <w:cr/>
                  </w:r>
                </w:p>
              </w:tc>
            </w:tr>
            <w:tr w14:paraId="14FB99B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66C99F9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1484" w:type="pct"/>
                  <w:shd w:val="clear" w:color="auto" w:fill="auto"/>
                  <w:noWrap w:val="0"/>
                  <w:vAlign w:val="center"/>
                </w:tcPr>
                <w:p w14:paraId="541E94DF">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DO</w:t>
                  </w:r>
                </w:p>
              </w:tc>
              <w:tc>
                <w:tcPr>
                  <w:tcW w:w="764" w:type="pct"/>
                  <w:shd w:val="clear" w:color="auto" w:fill="auto"/>
                  <w:noWrap w:val="0"/>
                  <w:vAlign w:val="center"/>
                </w:tcPr>
                <w:p w14:paraId="7331DAB1">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w:t>
                  </w:r>
                </w:p>
              </w:tc>
              <w:tc>
                <w:tcPr>
                  <w:tcW w:w="740" w:type="pct"/>
                  <w:shd w:val="clear" w:color="auto" w:fill="auto"/>
                  <w:noWrap w:val="0"/>
                  <w:vAlign w:val="center"/>
                </w:tcPr>
                <w:p w14:paraId="692ECBC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715" w:type="pct"/>
                  <w:shd w:val="clear" w:color="auto" w:fill="D7D7D7" w:themeFill="background1" w:themeFillShade="D8"/>
                  <w:noWrap w:val="0"/>
                  <w:vAlign w:val="center"/>
                </w:tcPr>
                <w:p w14:paraId="6942C5D3">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715" w:type="pct"/>
                  <w:shd w:val="clear" w:color="auto" w:fill="auto"/>
                  <w:noWrap w:val="0"/>
                  <w:vAlign w:val="center"/>
                </w:tcPr>
                <w:p w14:paraId="1B5C3E2D">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w:t>
                  </w:r>
                </w:p>
              </w:tc>
            </w:tr>
            <w:tr w14:paraId="0085D5D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310EA31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1484" w:type="pct"/>
                  <w:shd w:val="clear" w:color="auto" w:fill="auto"/>
                  <w:noWrap w:val="0"/>
                  <w:vAlign w:val="center"/>
                </w:tcPr>
                <w:p w14:paraId="7677C43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NH</w:t>
                  </w:r>
                  <w:r>
                    <w:rPr>
                      <w:rFonts w:hint="default"/>
                      <w:color w:val="auto"/>
                      <w:szCs w:val="21"/>
                      <w:vertAlign w:val="subscript"/>
                    </w:rPr>
                    <w:t>3</w:t>
                  </w:r>
                  <w:r>
                    <w:rPr>
                      <w:rFonts w:hint="default"/>
                      <w:color w:val="auto"/>
                      <w:szCs w:val="21"/>
                    </w:rPr>
                    <w:t>-N</w:t>
                  </w:r>
                </w:p>
              </w:tc>
              <w:tc>
                <w:tcPr>
                  <w:tcW w:w="764" w:type="pct"/>
                  <w:shd w:val="clear" w:color="auto" w:fill="auto"/>
                  <w:noWrap w:val="0"/>
                  <w:vAlign w:val="center"/>
                </w:tcPr>
                <w:p w14:paraId="5E71ECBB">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0.5</w:t>
                  </w:r>
                </w:p>
              </w:tc>
              <w:tc>
                <w:tcPr>
                  <w:tcW w:w="740" w:type="pct"/>
                  <w:shd w:val="clear" w:color="auto" w:fill="auto"/>
                  <w:noWrap w:val="0"/>
                  <w:vAlign w:val="center"/>
                </w:tcPr>
                <w:p w14:paraId="53BCB9A6">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w:t>
                  </w:r>
                </w:p>
              </w:tc>
              <w:tc>
                <w:tcPr>
                  <w:tcW w:w="715" w:type="pct"/>
                  <w:shd w:val="clear" w:color="auto" w:fill="D7D7D7" w:themeFill="background1" w:themeFillShade="D8"/>
                  <w:noWrap w:val="0"/>
                  <w:vAlign w:val="center"/>
                </w:tcPr>
                <w:p w14:paraId="0B8BFAF8">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1.5</w:t>
                  </w:r>
                </w:p>
              </w:tc>
              <w:tc>
                <w:tcPr>
                  <w:tcW w:w="715" w:type="pct"/>
                  <w:shd w:val="clear" w:color="auto" w:fill="auto"/>
                  <w:noWrap w:val="0"/>
                  <w:vAlign w:val="center"/>
                </w:tcPr>
                <w:p w14:paraId="45F89B7A">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2.0</w:t>
                  </w:r>
                </w:p>
              </w:tc>
            </w:tr>
            <w:tr w14:paraId="0394702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363" w:hRule="exact"/>
                <w:jc w:val="center"/>
              </w:trPr>
              <w:tc>
                <w:tcPr>
                  <w:tcW w:w="580" w:type="pct"/>
                  <w:shd w:val="clear" w:color="auto" w:fill="auto"/>
                  <w:noWrap w:val="0"/>
                  <w:vAlign w:val="center"/>
                </w:tcPr>
                <w:p w14:paraId="09AE475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5</w:t>
                  </w:r>
                </w:p>
              </w:tc>
              <w:tc>
                <w:tcPr>
                  <w:tcW w:w="1484" w:type="pct"/>
                  <w:shd w:val="clear" w:color="auto" w:fill="auto"/>
                  <w:noWrap w:val="0"/>
                  <w:vAlign w:val="center"/>
                </w:tcPr>
                <w:p w14:paraId="2E7CF47C">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BOD</w:t>
                  </w:r>
                  <w:r>
                    <w:rPr>
                      <w:rFonts w:hint="default"/>
                      <w:color w:val="auto"/>
                      <w:szCs w:val="21"/>
                      <w:vertAlign w:val="subscript"/>
                    </w:rPr>
                    <w:t>5</w:t>
                  </w:r>
                </w:p>
              </w:tc>
              <w:tc>
                <w:tcPr>
                  <w:tcW w:w="764" w:type="pct"/>
                  <w:shd w:val="clear" w:color="auto" w:fill="auto"/>
                  <w:noWrap w:val="0"/>
                  <w:vAlign w:val="center"/>
                </w:tcPr>
                <w:p w14:paraId="4EEFFCD2">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3</w:t>
                  </w:r>
                </w:p>
              </w:tc>
              <w:tc>
                <w:tcPr>
                  <w:tcW w:w="740" w:type="pct"/>
                  <w:shd w:val="clear" w:color="auto" w:fill="auto"/>
                  <w:noWrap w:val="0"/>
                  <w:vAlign w:val="center"/>
                </w:tcPr>
                <w:p w14:paraId="0944D54E">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4</w:t>
                  </w:r>
                </w:p>
              </w:tc>
              <w:tc>
                <w:tcPr>
                  <w:tcW w:w="715" w:type="pct"/>
                  <w:shd w:val="clear" w:color="auto" w:fill="D7D7D7" w:themeFill="background1" w:themeFillShade="D8"/>
                  <w:noWrap w:val="0"/>
                  <w:vAlign w:val="center"/>
                </w:tcPr>
                <w:p w14:paraId="0B5550B0">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6</w:t>
                  </w:r>
                </w:p>
              </w:tc>
              <w:tc>
                <w:tcPr>
                  <w:tcW w:w="715" w:type="pct"/>
                  <w:shd w:val="clear" w:color="auto" w:fill="auto"/>
                  <w:noWrap w:val="0"/>
                  <w:vAlign w:val="center"/>
                </w:tcPr>
                <w:p w14:paraId="59E3CDE7">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10</w:t>
                  </w:r>
                </w:p>
              </w:tc>
            </w:tr>
          </w:tbl>
          <w:p w14:paraId="4706B293">
            <w:pPr>
              <w:pStyle w:val="6"/>
              <w:suppressLineNumbers w:val="0"/>
              <w:bidi w:val="0"/>
              <w:spacing w:beforeAutospacing="0" w:afterAutospacing="0"/>
              <w:ind w:right="0"/>
              <w:rPr>
                <w:rFonts w:hint="eastAsia" w:ascii="Times New Roman" w:hAnsi="Times New Roman" w:cs="Times New Roman"/>
                <w:color w:val="auto"/>
                <w:lang w:eastAsia="zh-CN"/>
              </w:rPr>
            </w:pPr>
            <w:r>
              <w:rPr>
                <w:rFonts w:hint="eastAsia" w:ascii="Times New Roman" w:hAnsi="Times New Roman" w:cs="Times New Roman"/>
                <w:color w:val="auto"/>
                <w:lang w:eastAsia="zh-CN"/>
              </w:rPr>
              <w:t>地表水环境质量现状</w:t>
            </w:r>
          </w:p>
          <w:p w14:paraId="4F8D65B7">
            <w:pPr>
              <w:pStyle w:val="20"/>
              <w:keepNext w:val="0"/>
              <w:keepLines w:val="0"/>
              <w:suppressLineNumbers w:val="0"/>
              <w:bidi w:val="0"/>
              <w:spacing w:before="0" w:beforeAutospacing="0" w:after="0" w:afterAutospacing="0"/>
              <w:ind w:left="0" w:right="0" w:firstLine="480" w:firstLineChars="200"/>
              <w:rPr>
                <w:rFonts w:hint="default"/>
                <w:color w:val="auto"/>
              </w:rPr>
            </w:pPr>
            <w:r>
              <w:rPr>
                <w:rFonts w:hint="eastAsia"/>
                <w:color w:val="auto"/>
                <w:lang w:eastAsia="zh-CN"/>
              </w:rPr>
              <w:t>（</w:t>
            </w:r>
            <w:r>
              <w:rPr>
                <w:rFonts w:hint="default"/>
                <w:color w:val="auto"/>
              </w:rPr>
              <w:t>1</w:t>
            </w:r>
            <w:r>
              <w:rPr>
                <w:rFonts w:hint="eastAsia"/>
                <w:color w:val="auto"/>
                <w:lang w:eastAsia="zh-CN"/>
              </w:rPr>
              <w:t>）</w:t>
            </w:r>
            <w:r>
              <w:rPr>
                <w:rFonts w:hint="default"/>
                <w:color w:val="auto"/>
              </w:rPr>
              <w:t>地表水水质现状调查</w:t>
            </w:r>
          </w:p>
          <w:p w14:paraId="17F76D33">
            <w:pPr>
              <w:pStyle w:val="20"/>
              <w:keepNext w:val="0"/>
              <w:keepLines w:val="0"/>
              <w:suppressLineNumbers w:val="0"/>
              <w:bidi w:val="0"/>
              <w:spacing w:before="0" w:beforeAutospacing="0" w:after="0" w:afterAutospacing="0"/>
              <w:ind w:left="0" w:right="0" w:firstLine="480" w:firstLineChars="200"/>
              <w:rPr>
                <w:rFonts w:hint="default" w:ascii="Times New Roman" w:hAnsi="Times New Roman" w:eastAsia="宋体" w:cs="Times New Roman"/>
                <w:color w:val="auto"/>
              </w:rPr>
            </w:pPr>
            <w:r>
              <w:rPr>
                <w:rFonts w:hint="default" w:ascii="Times New Roman" w:hAnsi="Times New Roman" w:eastAsia="宋体" w:cs="Times New Roman"/>
                <w:color w:val="auto"/>
              </w:rPr>
              <w:t>为了解</w:t>
            </w:r>
            <w:r>
              <w:rPr>
                <w:rFonts w:hint="eastAsia" w:ascii="Times New Roman" w:hAnsi="Times New Roman" w:eastAsia="宋体" w:cs="Times New Roman"/>
                <w:color w:val="auto"/>
                <w:lang w:val="en-US" w:eastAsia="zh-CN"/>
              </w:rPr>
              <w:t>项目</w:t>
            </w:r>
            <w:r>
              <w:rPr>
                <w:rFonts w:hint="default" w:ascii="Times New Roman" w:hAnsi="Times New Roman" w:eastAsia="宋体" w:cs="Times New Roman"/>
                <w:color w:val="auto"/>
              </w:rPr>
              <w:t>所在地表水水质情况，评价引用福建省地表水水质状况公告，2024年1―11月，全省主要流域总体水质为优，国控断面Ⅰ～Ⅲ类水质比例100％,Ⅰ～Ⅱ类水质比例77.1％；国控及省控断面Ⅰ～Ⅲ类水质比例99.7％，其中Ⅰ～Ⅱ类水质比例78.9％，各类水质比例如下：Ⅰ类占2.4％，Ⅱ类占76.5％，Ⅲ类占20.8％，Ⅳ类占0.3％，无Ⅴ类和劣Ⅴ类水。全省主要流域总体水质从相对较好开始排名，具体为：闽江、交溪、霍童溪、萩芦溪、汀江（韩江）、九龙江、晋江、木兰溪、敖江、东西溪、诏安东溪、龙江、漳江、鹿溪。由此可知龙江水质可达到《地表水环境质量标准》(GB3838-2002)Ⅴ类水标准，详见图</w:t>
            </w:r>
            <w:r>
              <w:rPr>
                <w:rFonts w:hint="default" w:ascii="Times New Roman" w:hAnsi="Times New Roman" w:eastAsia="宋体" w:cs="Times New Roman"/>
                <w:color w:val="auto"/>
                <w:lang w:val="en-US" w:eastAsia="zh-CN"/>
              </w:rPr>
              <w:t>3.2-1</w:t>
            </w:r>
            <w:r>
              <w:rPr>
                <w:rFonts w:hint="default" w:ascii="Times New Roman" w:hAnsi="Times New Roman" w:eastAsia="宋体" w:cs="Times New Roman"/>
                <w:color w:val="auto"/>
              </w:rPr>
              <w:t>。</w:t>
            </w:r>
          </w:p>
          <w:p w14:paraId="0CA30E47">
            <w:pPr>
              <w:keepNext w:val="0"/>
              <w:keepLines w:val="0"/>
              <w:suppressLineNumbers w:val="0"/>
              <w:autoSpaceDE w:val="0"/>
              <w:autoSpaceDN w:val="0"/>
              <w:spacing w:before="0" w:beforeAutospacing="0" w:after="0" w:afterAutospacing="0" w:line="360" w:lineRule="auto"/>
              <w:ind w:left="0" w:right="0"/>
              <w:jc w:val="center"/>
              <w:textAlignment w:val="bottom"/>
              <w:rPr>
                <w:rFonts w:hint="default" w:ascii="Times New Roman" w:hAnsi="Times New Roman" w:cs="Times New Roman"/>
                <w:color w:val="auto"/>
                <w:sz w:val="24"/>
                <w:highlight w:val="none"/>
              </w:rPr>
            </w:pPr>
            <w:r>
              <w:rPr>
                <w:rFonts w:hint="default"/>
                <w:color w:val="auto"/>
              </w:rPr>
              <w:drawing>
                <wp:inline distT="0" distB="0" distL="114300" distR="114300">
                  <wp:extent cx="3837940" cy="2127250"/>
                  <wp:effectExtent l="0" t="0" r="10160" b="63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5"/>
                          <a:srcRect t="6479" b="5955"/>
                          <a:stretch>
                            <a:fillRect/>
                          </a:stretch>
                        </pic:blipFill>
                        <pic:spPr>
                          <a:xfrm>
                            <a:off x="0" y="0"/>
                            <a:ext cx="3837940" cy="2127250"/>
                          </a:xfrm>
                          <a:prstGeom prst="rect">
                            <a:avLst/>
                          </a:prstGeom>
                          <a:noFill/>
                          <a:ln>
                            <a:noFill/>
                          </a:ln>
                        </pic:spPr>
                      </pic:pic>
                    </a:graphicData>
                  </a:graphic>
                </wp:inline>
              </w:drawing>
            </w:r>
          </w:p>
          <w:p w14:paraId="740D146A">
            <w:pPr>
              <w:pStyle w:val="88"/>
              <w:keepNext w:val="0"/>
              <w:keepLines w:val="0"/>
              <w:pageBreakBefore w:val="0"/>
              <w:widowControl w:val="0"/>
              <w:suppressLineNumbers w:val="0"/>
              <w:kinsoku/>
              <w:wordWrap/>
              <w:overflowPunct/>
              <w:topLinePunct w:val="0"/>
              <w:autoSpaceDE/>
              <w:autoSpaceDN/>
              <w:bidi w:val="0"/>
              <w:adjustRightInd/>
              <w:snapToGrid/>
              <w:spacing w:before="0" w:beforeAutospacing="0" w:after="157" w:afterLines="50" w:afterAutospacing="0"/>
              <w:ind w:left="0" w:right="0"/>
              <w:textAlignment w:val="auto"/>
              <w:rPr>
                <w:rFonts w:hint="eastAsia"/>
                <w:color w:val="auto"/>
                <w:sz w:val="24"/>
                <w:szCs w:val="24"/>
                <w:lang w:val="en-US" w:eastAsia="zh-CN"/>
              </w:rPr>
            </w:pPr>
            <w:r>
              <w:rPr>
                <w:rFonts w:hint="default" w:ascii="Times New Roman" w:hAnsi="Times New Roman" w:eastAsia="宋体" w:cs="Times New Roman"/>
                <w:b/>
                <w:bCs/>
                <w:color w:val="auto"/>
                <w:sz w:val="24"/>
                <w:szCs w:val="24"/>
                <w:lang w:eastAsia="zh-CN"/>
              </w:rPr>
              <w:t>图</w:t>
            </w:r>
            <w:r>
              <w:rPr>
                <w:rFonts w:hint="default" w:ascii="Times New Roman" w:hAnsi="Times New Roman" w:eastAsia="宋体" w:cs="Times New Roman"/>
                <w:b/>
                <w:bCs/>
                <w:color w:val="auto"/>
                <w:sz w:val="24"/>
                <w:szCs w:val="24"/>
                <w:lang w:val="en-US" w:eastAsia="zh-CN"/>
              </w:rPr>
              <w:t>3.2-1福建省流域水环境质量状况（202</w:t>
            </w:r>
            <w:r>
              <w:rPr>
                <w:rFonts w:hint="eastAsia" w:eastAsia="宋体" w:cs="Times New Roman"/>
                <w:b/>
                <w:bCs/>
                <w:color w:val="auto"/>
                <w:sz w:val="24"/>
                <w:szCs w:val="24"/>
                <w:lang w:val="en-US" w:eastAsia="zh-CN"/>
              </w:rPr>
              <w:t>4</w:t>
            </w:r>
            <w:r>
              <w:rPr>
                <w:rFonts w:hint="default" w:ascii="Times New Roman" w:hAnsi="Times New Roman" w:eastAsia="宋体" w:cs="Times New Roman"/>
                <w:b/>
                <w:bCs/>
                <w:color w:val="auto"/>
                <w:sz w:val="24"/>
                <w:szCs w:val="24"/>
                <w:lang w:val="en-US" w:eastAsia="zh-CN"/>
              </w:rPr>
              <w:t>年1-1</w:t>
            </w:r>
            <w:r>
              <w:rPr>
                <w:rFonts w:hint="eastAsia"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en-US" w:eastAsia="zh-CN"/>
              </w:rPr>
              <w:t>月）截图</w:t>
            </w:r>
          </w:p>
          <w:p w14:paraId="13650519">
            <w:pPr>
              <w:pStyle w:val="20"/>
              <w:keepNext w:val="0"/>
              <w:keepLines w:val="0"/>
              <w:suppressLineNumbers w:val="0"/>
              <w:bidi w:val="0"/>
              <w:spacing w:before="0" w:beforeAutospacing="0" w:after="0" w:afterAutospacing="0"/>
              <w:ind w:left="0" w:right="0" w:firstLine="480" w:firstLineChars="200"/>
              <w:rPr>
                <w:rFonts w:hint="eastAsia" w:ascii="Times New Roman" w:hAnsi="Times New Roman" w:cs="Times New Roman"/>
                <w:color w:val="auto"/>
                <w:lang w:eastAsia="zh-CN"/>
              </w:rPr>
            </w:pPr>
            <w:r>
              <w:rPr>
                <w:rFonts w:hint="eastAsia" w:ascii="Times New Roman" w:hAnsi="Times New Roman" w:cs="Times New Roman"/>
                <w:color w:val="auto"/>
                <w:lang w:val="en-US" w:eastAsia="zh-CN"/>
              </w:rPr>
              <w:t>（2</w:t>
            </w:r>
            <w:r>
              <w:rPr>
                <w:rFonts w:hint="eastAsia" w:ascii="Times New Roman" w:hAnsi="Times New Roman" w:cs="Times New Roman"/>
                <w:color w:val="auto"/>
                <w:lang w:eastAsia="zh-CN"/>
              </w:rPr>
              <w:t>）引用资料的有效性分析</w:t>
            </w:r>
          </w:p>
          <w:p w14:paraId="3A771647">
            <w:pPr>
              <w:pStyle w:val="20"/>
              <w:keepNext w:val="0"/>
              <w:keepLines w:val="0"/>
              <w:suppressLineNumbers w:val="0"/>
              <w:bidi w:val="0"/>
              <w:spacing w:before="0" w:beforeAutospacing="0" w:after="0" w:afterAutospacing="0"/>
              <w:ind w:left="0" w:right="0" w:firstLine="480" w:firstLineChars="200"/>
              <w:rPr>
                <w:rFonts w:hint="eastAsia" w:ascii="Times New Roman" w:hAnsi="Times New Roman" w:cs="Times New Roman"/>
                <w:color w:val="auto"/>
                <w:lang w:eastAsia="zh-CN"/>
              </w:rPr>
            </w:pPr>
            <w:r>
              <w:rPr>
                <w:rFonts w:hint="eastAsia" w:ascii="Times New Roman" w:hAnsi="Times New Roman" w:cs="Times New Roman"/>
                <w:color w:val="auto"/>
                <w:lang w:eastAsia="zh-CN"/>
              </w:rPr>
              <w:t>根据《建设项目环境影响报告表编制技术指南</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污染影响类</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试行</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环办环评〔2020〕33号</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的要求：“地表水环境区域环境质量现状引用与建设项目距离近的有效数据，包括近3年的规划环境影响评价的监测数据，所在流域控制单元内国家、地方控制断面监测数据，生态环境主管部门发布的水环境质量数据或地表水达标情况的结论”，本</w:t>
            </w:r>
            <w:r>
              <w:rPr>
                <w:rFonts w:hint="eastAsia" w:ascii="Times New Roman" w:hAnsi="Times New Roman" w:cs="Times New Roman"/>
                <w:color w:val="auto"/>
                <w:lang w:val="en-US" w:eastAsia="zh-CN"/>
              </w:rPr>
              <w:t>次</w:t>
            </w:r>
            <w:r>
              <w:rPr>
                <w:rFonts w:hint="eastAsia" w:ascii="Times New Roman" w:hAnsi="Times New Roman" w:cs="Times New Roman"/>
                <w:color w:val="auto"/>
                <w:lang w:eastAsia="zh-CN"/>
              </w:rPr>
              <w:t>评价选取福建省生态环境厅网站发</w:t>
            </w:r>
            <w:r>
              <w:rPr>
                <w:rFonts w:hint="eastAsia" w:cs="Times New Roman"/>
                <w:color w:val="auto"/>
                <w:lang w:eastAsia="zh-CN"/>
              </w:rPr>
              <w:t>布的</w:t>
            </w:r>
            <w:r>
              <w:rPr>
                <w:rFonts w:hint="eastAsia" w:ascii="Times New Roman" w:hAnsi="Times New Roman" w:cs="Times New Roman"/>
                <w:color w:val="auto"/>
                <w:lang w:eastAsia="zh-CN"/>
              </w:rPr>
              <w:t>水环境状况信息，符合《建设项目环境影响报告表编制技术指南</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污染影响类</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试行</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环办环评〔2020〕33号</w:t>
            </w:r>
            <w:r>
              <w:rPr>
                <w:rFonts w:hint="eastAsia" w:ascii="Times New Roman" w:hAnsi="Times New Roman" w:cs="Times New Roman"/>
                <w:color w:val="auto"/>
                <w:shd w:val="clear" w:fill="FFFFFF"/>
                <w:lang w:eastAsia="zh-CN"/>
              </w:rPr>
              <w:t>)</w:t>
            </w:r>
            <w:r>
              <w:rPr>
                <w:rFonts w:hint="eastAsia" w:ascii="Times New Roman" w:hAnsi="Times New Roman" w:cs="Times New Roman"/>
                <w:color w:val="auto"/>
                <w:lang w:eastAsia="zh-CN"/>
              </w:rPr>
              <w:t>的要求。</w:t>
            </w:r>
          </w:p>
          <w:p w14:paraId="4E93EC06">
            <w:pPr>
              <w:pStyle w:val="5"/>
              <w:suppressLineNumbers w:val="0"/>
              <w:bidi w:val="0"/>
              <w:spacing w:beforeAutospacing="0" w:afterAutospacing="0"/>
              <w:ind w:right="0"/>
              <w:rPr>
                <w:rFonts w:hint="eastAsia" w:ascii="Times New Roman" w:hAnsi="Times New Roman" w:cs="Times New Roman"/>
                <w:color w:val="auto"/>
                <w:lang w:val="en-US" w:eastAsia="zh-CN"/>
              </w:rPr>
            </w:pPr>
            <w:bookmarkStart w:id="57" w:name="_Toc9187"/>
            <w:r>
              <w:rPr>
                <w:rFonts w:hint="eastAsia" w:ascii="Times New Roman" w:hAnsi="Times New Roman" w:cs="Times New Roman"/>
                <w:color w:val="auto"/>
                <w:lang w:val="en-US" w:eastAsia="zh-CN"/>
              </w:rPr>
              <w:t>声环境质量现状</w:t>
            </w:r>
            <w:bookmarkEnd w:id="57"/>
          </w:p>
          <w:p w14:paraId="5F5D2914">
            <w:pPr>
              <w:pStyle w:val="6"/>
              <w:suppressLineNumbers w:val="0"/>
              <w:bidi w:val="0"/>
              <w:spacing w:beforeAutospacing="0" w:afterAutospacing="0"/>
              <w:ind w:right="0"/>
              <w:rPr>
                <w:rFonts w:hint="default"/>
                <w:color w:val="auto"/>
              </w:rPr>
            </w:pPr>
            <w:r>
              <w:rPr>
                <w:rFonts w:hint="default"/>
                <w:color w:val="auto"/>
              </w:rPr>
              <w:t>声环境功能区</w:t>
            </w:r>
          </w:p>
          <w:p w14:paraId="2B43C3F2">
            <w:pPr>
              <w:pStyle w:val="20"/>
              <w:keepNext w:val="0"/>
              <w:keepLines w:val="0"/>
              <w:suppressLineNumbers w:val="0"/>
              <w:bidi w:val="0"/>
              <w:spacing w:before="0" w:beforeAutospacing="0" w:after="0" w:afterAutospacing="0"/>
              <w:ind w:left="0" w:right="0" w:firstLine="480" w:firstLineChars="200"/>
              <w:rPr>
                <w:rFonts w:hint="default"/>
                <w:color w:val="auto"/>
              </w:rPr>
            </w:pPr>
            <w:r>
              <w:rPr>
                <w:rFonts w:hint="default"/>
                <w:color w:val="auto"/>
              </w:rPr>
              <w:t>本项目位于</w:t>
            </w:r>
            <w:r>
              <w:rPr>
                <w:rFonts w:hint="eastAsia"/>
                <w:color w:val="auto"/>
                <w:lang w:val="en-US" w:eastAsia="zh-CN"/>
              </w:rPr>
              <w:t>福清市融侨经济技术开发洪宽工业村</w:t>
            </w:r>
            <w:r>
              <w:rPr>
                <w:rFonts w:hint="default"/>
                <w:color w:val="auto"/>
              </w:rPr>
              <w:t>，项目周边以工业生产、仓储物流为主要功能的区域，项目所在区域声环境为3类功能区，声环境功能执行《声环境质量标准》</w:t>
            </w:r>
            <w:r>
              <w:rPr>
                <w:rFonts w:hint="eastAsia"/>
                <w:color w:val="auto"/>
                <w:lang w:eastAsia="zh-CN"/>
              </w:rPr>
              <w:t>（</w:t>
            </w:r>
            <w:r>
              <w:rPr>
                <w:rFonts w:hint="default"/>
                <w:color w:val="auto"/>
              </w:rPr>
              <w:t>GB3096-2008</w:t>
            </w:r>
            <w:r>
              <w:rPr>
                <w:rFonts w:hint="eastAsia"/>
                <w:color w:val="auto"/>
                <w:lang w:eastAsia="zh-CN"/>
              </w:rPr>
              <w:t>）</w:t>
            </w:r>
            <w:r>
              <w:rPr>
                <w:rFonts w:hint="default"/>
                <w:color w:val="auto"/>
              </w:rPr>
              <w:t>表1中3类标准。</w:t>
            </w:r>
          </w:p>
          <w:p w14:paraId="515031B2">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eastAsia"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《声环境质量</w:t>
            </w:r>
            <w:r>
              <w:rPr>
                <w:rFonts w:hint="default" w:ascii="Times New Roman" w:hAnsi="Times New Roman" w:cs="Times New Roman"/>
                <w:color w:val="auto"/>
                <w:highlight w:val="none"/>
                <w:lang w:val="en-US" w:eastAsia="zh-CN"/>
              </w:rPr>
              <w:tab/>
            </w:r>
            <w:r>
              <w:rPr>
                <w:rFonts w:hint="default" w:ascii="Times New Roman" w:hAnsi="Times New Roman" w:cs="Times New Roman"/>
                <w:color w:val="auto"/>
                <w:highlight w:val="none"/>
                <w:lang w:val="en-US" w:eastAsia="zh-CN"/>
              </w:rPr>
              <w:t>标准》</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GB3096-2008</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摘录</w:t>
            </w:r>
            <w:r>
              <w:rPr>
                <w:rFonts w:hint="eastAsia" w:ascii="Times New Roman" w:hAnsi="Times New Roman" w:cs="Times New Roman"/>
                <w:color w:val="auto"/>
                <w:highlight w:val="none"/>
                <w:lang w:val="en-US" w:eastAsia="zh-CN"/>
              </w:rPr>
              <w:t>）</w:t>
            </w:r>
          </w:p>
          <w:tbl>
            <w:tblPr>
              <w:tblStyle w:val="28"/>
              <w:tblW w:w="4998" w:type="pct"/>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114"/>
              <w:gridCol w:w="4385"/>
              <w:gridCol w:w="1209"/>
              <w:gridCol w:w="1529"/>
            </w:tblGrid>
            <w:tr w14:paraId="6C26EC7D">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6" w:type="pct"/>
                  <w:vMerge w:val="restart"/>
                  <w:tcBorders>
                    <w:top w:val="single" w:color="000000" w:sz="12" w:space="0"/>
                    <w:left w:val="nil"/>
                    <w:bottom w:val="single" w:color="000000" w:sz="6" w:space="0"/>
                    <w:right w:val="single" w:color="000000" w:sz="4" w:space="0"/>
                  </w:tcBorders>
                  <w:noWrap w:val="0"/>
                  <w:vAlign w:val="center"/>
                </w:tcPr>
                <w:p w14:paraId="4D186AE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标准类别</w:t>
                  </w:r>
                </w:p>
              </w:tc>
              <w:tc>
                <w:tcPr>
                  <w:tcW w:w="2661" w:type="pct"/>
                  <w:vMerge w:val="restart"/>
                  <w:tcBorders>
                    <w:top w:val="single" w:color="000000" w:sz="12" w:space="0"/>
                    <w:left w:val="single" w:color="000000" w:sz="4" w:space="0"/>
                    <w:bottom w:val="single" w:color="000000" w:sz="6" w:space="0"/>
                    <w:right w:val="single" w:color="000000" w:sz="4" w:space="0"/>
                  </w:tcBorders>
                  <w:noWrap w:val="0"/>
                  <w:vAlign w:val="center"/>
                </w:tcPr>
                <w:p w14:paraId="2AAABFF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适用区域</w:t>
                  </w:r>
                </w:p>
              </w:tc>
              <w:tc>
                <w:tcPr>
                  <w:tcW w:w="1662" w:type="pct"/>
                  <w:gridSpan w:val="2"/>
                  <w:tcBorders>
                    <w:top w:val="single" w:color="000000" w:sz="12" w:space="0"/>
                    <w:left w:val="single" w:color="000000" w:sz="4" w:space="0"/>
                    <w:bottom w:val="single" w:color="000000" w:sz="6" w:space="0"/>
                    <w:right w:val="nil"/>
                  </w:tcBorders>
                  <w:noWrap w:val="0"/>
                  <w:vAlign w:val="center"/>
                </w:tcPr>
                <w:p w14:paraId="4E73992F">
                  <w:pPr>
                    <w:pStyle w:val="78"/>
                    <w:keepNext w:val="0"/>
                    <w:keepLines w:val="0"/>
                    <w:suppressLineNumbers w:val="0"/>
                    <w:bidi w:val="0"/>
                    <w:spacing w:before="0" w:beforeAutospacing="0" w:after="0" w:afterAutospacing="0"/>
                    <w:ind w:left="0" w:right="0"/>
                    <w:rPr>
                      <w:rFonts w:hint="eastAsia" w:eastAsia="宋体"/>
                      <w:color w:val="auto"/>
                      <w:lang w:eastAsia="zh-CN"/>
                    </w:rPr>
                  </w:pPr>
                  <w:r>
                    <w:rPr>
                      <w:rFonts w:hint="default"/>
                      <w:color w:val="auto"/>
                    </w:rPr>
                    <w:t>等效声级</w:t>
                  </w:r>
                  <w:r>
                    <w:rPr>
                      <w:rFonts w:hint="default"/>
                      <w:color w:val="auto"/>
                      <w:shd w:val="clear" w:fill="FFFFFF"/>
                    </w:rPr>
                    <w:t>Leq</w:t>
                  </w:r>
                  <w:r>
                    <w:rPr>
                      <w:rFonts w:hint="eastAsia"/>
                      <w:color w:val="auto"/>
                      <w:lang w:eastAsia="zh-CN"/>
                    </w:rPr>
                    <w:t>（</w:t>
                  </w:r>
                  <w:r>
                    <w:rPr>
                      <w:rFonts w:hint="default"/>
                      <w:color w:val="auto"/>
                    </w:rPr>
                    <w:t>dB</w:t>
                  </w:r>
                  <w:r>
                    <w:rPr>
                      <w:rFonts w:hint="eastAsia"/>
                      <w:color w:val="auto"/>
                      <w:shd w:val="clear" w:fill="FFFFFF"/>
                      <w:lang w:eastAsia="zh-CN"/>
                    </w:rPr>
                    <w:t>（</w:t>
                  </w:r>
                  <w:r>
                    <w:rPr>
                      <w:rFonts w:hint="default"/>
                      <w:color w:val="auto"/>
                    </w:rPr>
                    <w:t>A</w:t>
                  </w:r>
                  <w:r>
                    <w:rPr>
                      <w:rFonts w:hint="eastAsia"/>
                      <w:color w:val="auto"/>
                      <w:lang w:eastAsia="zh-CN"/>
                    </w:rPr>
                    <w:t>））</w:t>
                  </w:r>
                </w:p>
              </w:tc>
            </w:tr>
            <w:tr w14:paraId="45A0C0B8">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jc w:val="center"/>
              </w:trPr>
              <w:tc>
                <w:tcPr>
                  <w:tcW w:w="676" w:type="pct"/>
                  <w:vMerge w:val="continue"/>
                  <w:tcBorders>
                    <w:top w:val="single" w:color="000000" w:sz="6" w:space="0"/>
                    <w:left w:val="nil"/>
                    <w:bottom w:val="single" w:color="000000" w:sz="6" w:space="0"/>
                    <w:right w:val="single" w:color="000000" w:sz="4" w:space="0"/>
                  </w:tcBorders>
                  <w:noWrap w:val="0"/>
                  <w:vAlign w:val="center"/>
                </w:tcPr>
                <w:p w14:paraId="38A79EA5">
                  <w:pPr>
                    <w:pStyle w:val="78"/>
                    <w:keepNext w:val="0"/>
                    <w:keepLines w:val="0"/>
                    <w:suppressLineNumbers w:val="0"/>
                    <w:bidi w:val="0"/>
                    <w:spacing w:before="0" w:beforeAutospacing="0" w:after="0" w:afterAutospacing="0"/>
                    <w:ind w:left="0" w:right="0"/>
                    <w:rPr>
                      <w:rFonts w:hint="default"/>
                      <w:color w:val="auto"/>
                    </w:rPr>
                  </w:pPr>
                </w:p>
              </w:tc>
              <w:tc>
                <w:tcPr>
                  <w:tcW w:w="2661" w:type="pct"/>
                  <w:vMerge w:val="continue"/>
                  <w:tcBorders>
                    <w:top w:val="single" w:color="000000" w:sz="6" w:space="0"/>
                    <w:left w:val="single" w:color="000000" w:sz="4" w:space="0"/>
                    <w:bottom w:val="single" w:color="000000" w:sz="6" w:space="0"/>
                    <w:right w:val="single" w:color="000000" w:sz="4" w:space="0"/>
                  </w:tcBorders>
                  <w:noWrap w:val="0"/>
                  <w:vAlign w:val="center"/>
                </w:tcPr>
                <w:p w14:paraId="20AF8E3A">
                  <w:pPr>
                    <w:pStyle w:val="78"/>
                    <w:keepNext w:val="0"/>
                    <w:keepLines w:val="0"/>
                    <w:suppressLineNumbers w:val="0"/>
                    <w:bidi w:val="0"/>
                    <w:spacing w:before="0" w:beforeAutospacing="0" w:after="0" w:afterAutospacing="0"/>
                    <w:ind w:left="0" w:right="0"/>
                    <w:rPr>
                      <w:rFonts w:hint="default"/>
                      <w:color w:val="auto"/>
                    </w:rPr>
                  </w:pPr>
                </w:p>
              </w:tc>
              <w:tc>
                <w:tcPr>
                  <w:tcW w:w="733" w:type="pct"/>
                  <w:tcBorders>
                    <w:top w:val="single" w:color="000000" w:sz="6" w:space="0"/>
                    <w:left w:val="single" w:color="000000" w:sz="4" w:space="0"/>
                    <w:bottom w:val="single" w:color="000000" w:sz="6" w:space="0"/>
                    <w:right w:val="nil"/>
                  </w:tcBorders>
                  <w:noWrap w:val="0"/>
                  <w:vAlign w:val="center"/>
                </w:tcPr>
                <w:p w14:paraId="7A83694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昼间</w:t>
                  </w:r>
                </w:p>
              </w:tc>
              <w:tc>
                <w:tcPr>
                  <w:tcW w:w="928" w:type="pct"/>
                  <w:tcBorders>
                    <w:top w:val="single" w:color="000000" w:sz="6" w:space="0"/>
                    <w:left w:val="single" w:color="000000" w:sz="4" w:space="0"/>
                    <w:bottom w:val="single" w:color="000000" w:sz="6" w:space="0"/>
                    <w:right w:val="nil"/>
                  </w:tcBorders>
                  <w:noWrap w:val="0"/>
                  <w:vAlign w:val="center"/>
                </w:tcPr>
                <w:p w14:paraId="2A895A1A">
                  <w:pPr>
                    <w:pStyle w:val="7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eastAsia="zh-CN"/>
                    </w:rPr>
                    <w:t>夜间</w:t>
                  </w:r>
                </w:p>
              </w:tc>
            </w:tr>
            <w:tr w14:paraId="4E8E4B2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676" w:type="pct"/>
                  <w:tcBorders>
                    <w:top w:val="single" w:color="000000" w:sz="6" w:space="0"/>
                    <w:left w:val="nil"/>
                    <w:bottom w:val="single" w:color="000000" w:sz="12" w:space="0"/>
                    <w:right w:val="single" w:color="000000" w:sz="4" w:space="0"/>
                  </w:tcBorders>
                  <w:noWrap w:val="0"/>
                  <w:vAlign w:val="center"/>
                </w:tcPr>
                <w:p w14:paraId="750DE3D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3</w:t>
                  </w:r>
                </w:p>
              </w:tc>
              <w:tc>
                <w:tcPr>
                  <w:tcW w:w="2661" w:type="pct"/>
                  <w:tcBorders>
                    <w:top w:val="single" w:color="000000" w:sz="6" w:space="0"/>
                    <w:left w:val="single" w:color="000000" w:sz="4" w:space="0"/>
                    <w:bottom w:val="single" w:color="000000" w:sz="12" w:space="0"/>
                    <w:right w:val="single" w:color="000000" w:sz="4" w:space="0"/>
                  </w:tcBorders>
                  <w:noWrap w:val="0"/>
                  <w:vAlign w:val="center"/>
                </w:tcPr>
                <w:p w14:paraId="620E99D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指以工业生产、仓储物流为主要功能，需要防止工业噪声对周围环境产生严重影响的区域。</w:t>
                  </w:r>
                </w:p>
              </w:tc>
              <w:tc>
                <w:tcPr>
                  <w:tcW w:w="733" w:type="pct"/>
                  <w:tcBorders>
                    <w:top w:val="single" w:color="000000" w:sz="6" w:space="0"/>
                    <w:left w:val="single" w:color="000000" w:sz="4" w:space="0"/>
                    <w:bottom w:val="single" w:color="000000" w:sz="12" w:space="0"/>
                    <w:right w:val="nil"/>
                  </w:tcBorders>
                  <w:noWrap w:val="0"/>
                  <w:vAlign w:val="center"/>
                </w:tcPr>
                <w:p w14:paraId="5C6A27D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≤65</w:t>
                  </w:r>
                </w:p>
              </w:tc>
              <w:tc>
                <w:tcPr>
                  <w:tcW w:w="928" w:type="pct"/>
                  <w:tcBorders>
                    <w:top w:val="single" w:color="000000" w:sz="6" w:space="0"/>
                    <w:left w:val="single" w:color="000000" w:sz="4" w:space="0"/>
                    <w:bottom w:val="single" w:color="000000" w:sz="12" w:space="0"/>
                    <w:right w:val="nil"/>
                  </w:tcBorders>
                  <w:noWrap w:val="0"/>
                  <w:vAlign w:val="center"/>
                </w:tcPr>
                <w:p w14:paraId="7D609BC3">
                  <w:pPr>
                    <w:pStyle w:val="78"/>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rPr>
                    <w:t>≤</w:t>
                  </w:r>
                  <w:r>
                    <w:rPr>
                      <w:rFonts w:hint="eastAsia"/>
                      <w:color w:val="auto"/>
                      <w:lang w:val="en-US" w:eastAsia="zh-CN"/>
                    </w:rPr>
                    <w:t>55</w:t>
                  </w:r>
                </w:p>
              </w:tc>
            </w:tr>
          </w:tbl>
          <w:p w14:paraId="41544E99">
            <w:pPr>
              <w:pStyle w:val="6"/>
              <w:suppressLineNumbers w:val="0"/>
              <w:bidi w:val="0"/>
              <w:spacing w:beforeAutospacing="0" w:afterAutospacing="0"/>
              <w:ind w:right="0"/>
              <w:rPr>
                <w:rFonts w:hint="default"/>
                <w:color w:val="auto"/>
              </w:rPr>
            </w:pPr>
            <w:r>
              <w:rPr>
                <w:rFonts w:hint="default"/>
                <w:color w:val="auto"/>
              </w:rPr>
              <w:t>声环境质量现状</w:t>
            </w:r>
          </w:p>
          <w:p w14:paraId="5C668E10">
            <w:pPr>
              <w:pStyle w:val="20"/>
              <w:keepNext w:val="0"/>
              <w:keepLines w:val="0"/>
              <w:suppressLineNumbers w:val="0"/>
              <w:bidi w:val="0"/>
              <w:spacing w:before="0" w:beforeAutospacing="0" w:after="0" w:afterAutospacing="0"/>
              <w:ind w:left="0" w:right="0" w:firstLine="480" w:firstLineChars="200"/>
              <w:rPr>
                <w:rFonts w:hint="default"/>
                <w:color w:val="auto"/>
              </w:rPr>
            </w:pPr>
            <w:r>
              <w:rPr>
                <w:rFonts w:hint="default"/>
                <w:color w:val="auto"/>
              </w:rPr>
              <w:t>根据生态环境部环境工程评估中心《建设项目环境影响报告表》内容、格式及编制技术指南常见问题解答厂界外周边50米范围内存在声环境保护目标的建设项目，应监测声环境质量现状，监测点位为声环境保护目标处。厂界外周边50米范围内无声环境保护目标的建设项目，不再要求提供声环境质量现状监测数据。</w:t>
            </w:r>
          </w:p>
          <w:p w14:paraId="66E0D95A">
            <w:pPr>
              <w:pStyle w:val="20"/>
              <w:keepNext w:val="0"/>
              <w:keepLines w:val="0"/>
              <w:suppressLineNumbers w:val="0"/>
              <w:bidi w:val="0"/>
              <w:spacing w:before="0" w:beforeAutospacing="0" w:after="0" w:afterAutospacing="0"/>
              <w:ind w:left="0" w:right="0" w:firstLine="480" w:firstLineChars="200"/>
              <w:rPr>
                <w:rFonts w:hint="default"/>
                <w:color w:val="auto"/>
              </w:rPr>
            </w:pPr>
            <w:r>
              <w:rPr>
                <w:rFonts w:hint="default"/>
                <w:color w:val="auto"/>
              </w:rPr>
              <w:t>根据现场踏勘可知，项目周边50米范围内无声环境保护目标，可不进行声环境质量现状的监测。</w:t>
            </w:r>
          </w:p>
          <w:p w14:paraId="0965BE59">
            <w:pPr>
              <w:pStyle w:val="5"/>
              <w:suppressLineNumbers w:val="0"/>
              <w:bidi w:val="0"/>
              <w:spacing w:beforeAutospacing="0" w:afterAutospacing="0"/>
              <w:ind w:right="0"/>
              <w:rPr>
                <w:rFonts w:hint="default" w:ascii="Times New Roman" w:hAnsi="Times New Roman" w:cs="Times New Roman"/>
                <w:color w:val="auto"/>
                <w:lang w:val="en-US" w:eastAsia="zh-CN"/>
              </w:rPr>
            </w:pPr>
            <w:bookmarkStart w:id="58" w:name="_Toc6445"/>
            <w:r>
              <w:rPr>
                <w:rFonts w:hint="default" w:ascii="Times New Roman" w:hAnsi="Times New Roman" w:cs="Times New Roman"/>
                <w:color w:val="auto"/>
                <w:lang w:val="en-US" w:eastAsia="zh-CN"/>
              </w:rPr>
              <w:t>生态环境</w:t>
            </w:r>
            <w:bookmarkEnd w:id="58"/>
          </w:p>
          <w:p w14:paraId="7E591E82">
            <w:pPr>
              <w:pStyle w:val="36"/>
              <w:keepNext w:val="0"/>
              <w:keepLines w:val="0"/>
              <w:suppressLineNumbers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本项目位于工业园区内，租赁现有办公楼作为运营场所，不新增用地，且不含有生态环境保护目标，根据《建设项目环境影响报告表编制技术指南（污染影响类）（试行）》，本项目无需</w:t>
            </w:r>
            <w:r>
              <w:rPr>
                <w:rFonts w:hint="eastAsia" w:cs="Times New Roman"/>
                <w:color w:val="auto"/>
                <w:highlight w:val="none"/>
                <w:lang w:val="en-US" w:eastAsia="zh-CN"/>
              </w:rPr>
              <w:t>进行</w:t>
            </w:r>
            <w:r>
              <w:rPr>
                <w:rFonts w:hint="default" w:ascii="Times New Roman" w:hAnsi="Times New Roman" w:cs="Times New Roman"/>
                <w:color w:val="auto"/>
                <w:highlight w:val="none"/>
                <w:lang w:val="en-US" w:eastAsia="zh-CN"/>
              </w:rPr>
              <w:t>生态环境现状调查。</w:t>
            </w:r>
          </w:p>
          <w:p w14:paraId="3BD633A2">
            <w:pPr>
              <w:pStyle w:val="5"/>
              <w:suppressLineNumbers w:val="0"/>
              <w:bidi w:val="0"/>
              <w:spacing w:beforeAutospacing="0" w:afterAutospacing="0"/>
              <w:ind w:right="0"/>
              <w:rPr>
                <w:rFonts w:hint="default" w:ascii="Times New Roman" w:hAnsi="Times New Roman" w:cs="Times New Roman"/>
                <w:color w:val="auto"/>
                <w:lang w:val="en-US" w:eastAsia="zh-CN"/>
              </w:rPr>
            </w:pPr>
            <w:bookmarkStart w:id="59" w:name="_Toc12699"/>
            <w:r>
              <w:rPr>
                <w:rFonts w:hint="default" w:ascii="Times New Roman" w:hAnsi="Times New Roman" w:cs="Times New Roman"/>
                <w:color w:val="auto"/>
                <w:lang w:val="en-US" w:eastAsia="zh-CN"/>
              </w:rPr>
              <w:t>地下水、土壤</w:t>
            </w:r>
            <w:bookmarkEnd w:id="59"/>
          </w:p>
          <w:p w14:paraId="603624CB">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根据《建设项目环境影响报告表编制技术指南（污染影响类）（试行）》中表明：原则上不开展地下水、土壤环境质量现状调查</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本项目位于</w:t>
            </w:r>
            <w:r>
              <w:rPr>
                <w:rFonts w:hint="eastAsia" w:cs="Times New Roman"/>
                <w:color w:val="auto"/>
                <w:highlight w:val="none"/>
                <w:lang w:val="en-US" w:eastAsia="zh-CN"/>
              </w:rPr>
              <w:t>现有厂房已建</w:t>
            </w:r>
            <w:r>
              <w:rPr>
                <w:rFonts w:hint="default" w:ascii="Times New Roman" w:hAnsi="Times New Roman" w:cs="Times New Roman"/>
                <w:color w:val="auto"/>
                <w:highlight w:val="none"/>
                <w:lang w:val="en-US" w:eastAsia="zh-CN"/>
              </w:rPr>
              <w:t>地上二层构筑物内，在采取必要防渗措施后，项目基本不会对土壤、地下水产生影响</w:t>
            </w:r>
            <w:r>
              <w:rPr>
                <w:rFonts w:hint="eastAsia" w:cs="Times New Roman"/>
                <w:color w:val="auto"/>
                <w:highlight w:val="none"/>
                <w:lang w:val="en-US" w:eastAsia="zh-CN"/>
              </w:rPr>
              <w:t>；项目场地已完成全面硬化，现状不存在土壤和地下水污染情况。</w:t>
            </w:r>
            <w:r>
              <w:rPr>
                <w:rFonts w:hint="default" w:ascii="Times New Roman" w:hAnsi="Times New Roman" w:cs="Times New Roman"/>
                <w:color w:val="auto"/>
                <w:highlight w:val="none"/>
                <w:lang w:val="en-US" w:eastAsia="zh-CN"/>
              </w:rPr>
              <w:t>而且项目</w:t>
            </w:r>
            <w:r>
              <w:rPr>
                <w:rFonts w:hint="default" w:ascii="Times New Roman" w:hAnsi="Times New Roman" w:cs="Times New Roman"/>
                <w:color w:val="auto"/>
                <w:highlight w:val="none"/>
              </w:rPr>
              <w:t>厂界外500</w:t>
            </w:r>
            <w:r>
              <w:rPr>
                <w:rFonts w:hint="default" w:ascii="Times New Roman" w:hAnsi="Times New Roman" w:cs="Times New Roman"/>
                <w:color w:val="auto"/>
                <w:highlight w:val="none"/>
                <w:lang w:val="en-US" w:eastAsia="zh-CN"/>
              </w:rPr>
              <w:t>m</w:t>
            </w:r>
            <w:r>
              <w:rPr>
                <w:rFonts w:hint="default" w:ascii="Times New Roman" w:hAnsi="Times New Roman" w:cs="Times New Roman"/>
                <w:color w:val="auto"/>
                <w:highlight w:val="none"/>
              </w:rPr>
              <w:t>范围内无地下水集中式饮用水水源和热水、矿泉水、泉水等特殊地下水资源。因此，本项目不</w:t>
            </w:r>
            <w:r>
              <w:rPr>
                <w:rFonts w:hint="default" w:ascii="Times New Roman" w:hAnsi="Times New Roman" w:cs="Times New Roman"/>
                <w:color w:val="auto"/>
                <w:highlight w:val="none"/>
                <w:lang w:val="en-US" w:eastAsia="zh-CN"/>
              </w:rPr>
              <w:t>开展</w:t>
            </w:r>
            <w:r>
              <w:rPr>
                <w:rFonts w:hint="default" w:ascii="Times New Roman" w:hAnsi="Times New Roman" w:cs="Times New Roman"/>
                <w:color w:val="auto"/>
                <w:highlight w:val="none"/>
              </w:rPr>
              <w:t>地下水、土壤环境质量现状</w:t>
            </w:r>
            <w:r>
              <w:rPr>
                <w:rFonts w:hint="default" w:ascii="Times New Roman" w:hAnsi="Times New Roman" w:cs="Times New Roman"/>
                <w:color w:val="auto"/>
                <w:highlight w:val="none"/>
                <w:lang w:val="en-US" w:eastAsia="zh-CN"/>
              </w:rPr>
              <w:t>调查</w:t>
            </w:r>
            <w:r>
              <w:rPr>
                <w:rFonts w:hint="default" w:ascii="Times New Roman" w:hAnsi="Times New Roman" w:cs="Times New Roman"/>
                <w:color w:val="auto"/>
                <w:highlight w:val="none"/>
              </w:rPr>
              <w:t>。</w:t>
            </w:r>
          </w:p>
        </w:tc>
      </w:tr>
      <w:tr w14:paraId="4DCD96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1" w:hRule="atLeast"/>
          <w:jc w:val="center"/>
        </w:trPr>
        <w:tc>
          <w:tcPr>
            <w:tcW w:w="605" w:type="dxa"/>
            <w:vAlign w:val="center"/>
          </w:tcPr>
          <w:p w14:paraId="6A80186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default" w:ascii="Times New Roman" w:hAnsi="Times New Roman" w:cs="Times New Roman"/>
                <w:color w:val="auto"/>
                <w:kern w:val="0"/>
                <w:sz w:val="24"/>
                <w:szCs w:val="24"/>
                <w:highlight w:val="none"/>
              </w:rPr>
              <w:t>环境保护目标</w:t>
            </w:r>
          </w:p>
        </w:tc>
        <w:tc>
          <w:tcPr>
            <w:tcW w:w="8456" w:type="dxa"/>
            <w:vAlign w:val="center"/>
          </w:tcPr>
          <w:p w14:paraId="0D6F1A0E">
            <w:pPr>
              <w:pStyle w:val="5"/>
              <w:suppressLineNumbers w:val="0"/>
              <w:bidi w:val="0"/>
              <w:spacing w:beforeAutospacing="0" w:afterAutospacing="0"/>
              <w:ind w:right="0"/>
              <w:rPr>
                <w:rFonts w:hint="default"/>
                <w:color w:val="auto"/>
                <w:lang w:val="en-US" w:eastAsia="zh-CN"/>
              </w:rPr>
            </w:pPr>
            <w:bookmarkStart w:id="60" w:name="_Toc14114"/>
            <w:r>
              <w:rPr>
                <w:rFonts w:hint="eastAsia"/>
                <w:color w:val="auto"/>
                <w:lang w:val="en-US" w:eastAsia="zh-CN"/>
              </w:rPr>
              <w:t>环境保护目标</w:t>
            </w:r>
            <w:bookmarkEnd w:id="60"/>
          </w:p>
          <w:p w14:paraId="25437AB2">
            <w:pPr>
              <w:pStyle w:val="6"/>
              <w:suppressLineNumbers w:val="0"/>
              <w:bidi w:val="0"/>
              <w:spacing w:beforeAutospacing="0" w:afterAutospacing="0"/>
              <w:ind w:right="0"/>
              <w:rPr>
                <w:rFonts w:hint="default"/>
                <w:color w:val="auto"/>
              </w:rPr>
            </w:pPr>
            <w:r>
              <w:rPr>
                <w:rFonts w:hint="default"/>
                <w:color w:val="auto"/>
              </w:rPr>
              <w:t>大气环境、地表水环境、声环境</w:t>
            </w:r>
          </w:p>
          <w:p w14:paraId="3D63C03B">
            <w:pPr>
              <w:pStyle w:val="20"/>
              <w:keepNext w:val="0"/>
              <w:keepLines w:val="0"/>
              <w:suppressLineNumbers w:val="0"/>
              <w:bidi w:val="0"/>
              <w:spacing w:before="0" w:beforeAutospacing="0" w:after="0" w:afterAutospacing="0"/>
              <w:ind w:left="0" w:right="0" w:firstLine="480" w:firstLineChars="200"/>
              <w:rPr>
                <w:rFonts w:hint="default"/>
                <w:color w:val="auto"/>
              </w:rPr>
            </w:pPr>
            <w:r>
              <w:rPr>
                <w:rFonts w:hint="default"/>
                <w:color w:val="auto"/>
              </w:rPr>
              <w:t>根据《建设项目环境影响报告表编制技术指南</w:t>
            </w:r>
            <w:r>
              <w:rPr>
                <w:rFonts w:hint="eastAsia"/>
                <w:color w:val="auto"/>
                <w:lang w:eastAsia="zh-CN"/>
              </w:rPr>
              <w:t>（</w:t>
            </w:r>
            <w:r>
              <w:rPr>
                <w:rFonts w:hint="default"/>
                <w:color w:val="auto"/>
              </w:rPr>
              <w:t>污染影响类</w:t>
            </w:r>
            <w:r>
              <w:rPr>
                <w:rFonts w:hint="eastAsia"/>
                <w:color w:val="auto"/>
                <w:lang w:eastAsia="zh-CN"/>
              </w:rPr>
              <w:t>）（</w:t>
            </w:r>
            <w:r>
              <w:rPr>
                <w:rFonts w:hint="default"/>
                <w:color w:val="auto"/>
              </w:rPr>
              <w:t>试行</w:t>
            </w:r>
            <w:r>
              <w:rPr>
                <w:rFonts w:hint="eastAsia"/>
                <w:color w:val="auto"/>
                <w:lang w:eastAsia="zh-CN"/>
              </w:rPr>
              <w:t>）</w:t>
            </w:r>
            <w:r>
              <w:rPr>
                <w:rFonts w:hint="default"/>
                <w:color w:val="auto"/>
              </w:rPr>
              <w:t>》</w:t>
            </w:r>
            <w:r>
              <w:rPr>
                <w:rFonts w:hint="eastAsia"/>
                <w:color w:val="auto"/>
                <w:lang w:eastAsia="zh-CN"/>
              </w:rPr>
              <w:t>（</w:t>
            </w:r>
            <w:r>
              <w:rPr>
                <w:rFonts w:hint="default"/>
                <w:color w:val="auto"/>
              </w:rPr>
              <w:t>环办环评〔2020〕33号</w:t>
            </w:r>
            <w:r>
              <w:rPr>
                <w:rFonts w:hint="eastAsia"/>
                <w:color w:val="auto"/>
                <w:lang w:eastAsia="zh-CN"/>
              </w:rPr>
              <w:t>）</w:t>
            </w:r>
            <w:r>
              <w:rPr>
                <w:rFonts w:hint="default"/>
                <w:color w:val="auto"/>
              </w:rPr>
              <w:t>要求以及对项目周边环境的调查，本项目大气环境</w:t>
            </w:r>
            <w:r>
              <w:rPr>
                <w:rFonts w:hint="eastAsia"/>
                <w:color w:val="auto"/>
                <w:lang w:eastAsia="zh-CN"/>
              </w:rPr>
              <w:t>（</w:t>
            </w:r>
            <w:r>
              <w:rPr>
                <w:rFonts w:hint="eastAsia"/>
                <w:color w:val="auto"/>
              </w:rPr>
              <w:t>厂界外500m范围内</w:t>
            </w:r>
            <w:r>
              <w:rPr>
                <w:rFonts w:hint="eastAsia"/>
                <w:color w:val="auto"/>
                <w:lang w:eastAsia="zh-CN"/>
              </w:rPr>
              <w:t>）</w:t>
            </w:r>
            <w:r>
              <w:rPr>
                <w:rFonts w:hint="default"/>
                <w:color w:val="auto"/>
              </w:rPr>
              <w:t>、地表水环境、声环境</w:t>
            </w:r>
            <w:r>
              <w:rPr>
                <w:rFonts w:hint="eastAsia"/>
                <w:color w:val="auto"/>
                <w:lang w:eastAsia="zh-CN"/>
              </w:rPr>
              <w:t>（</w:t>
            </w:r>
            <w:r>
              <w:rPr>
                <w:rFonts w:hint="eastAsia"/>
                <w:color w:val="auto"/>
              </w:rPr>
              <w:t>厂界外50m范围内</w:t>
            </w:r>
            <w:r>
              <w:rPr>
                <w:rFonts w:hint="eastAsia"/>
                <w:color w:val="auto"/>
                <w:lang w:eastAsia="zh-CN"/>
              </w:rPr>
              <w:t>）</w:t>
            </w:r>
            <w:r>
              <w:rPr>
                <w:rFonts w:hint="eastAsia"/>
                <w:color w:val="auto"/>
              </w:rPr>
              <w:t>保护目标</w:t>
            </w:r>
            <w:r>
              <w:rPr>
                <w:rFonts w:hint="default"/>
                <w:color w:val="auto"/>
              </w:rPr>
              <w:t>见表3.</w:t>
            </w:r>
            <w:r>
              <w:rPr>
                <w:rFonts w:hint="eastAsia"/>
                <w:color w:val="auto"/>
              </w:rPr>
              <w:t>6-1</w:t>
            </w:r>
            <w:r>
              <w:rPr>
                <w:rFonts w:hint="default"/>
                <w:color w:val="auto"/>
              </w:rPr>
              <w:t>和</w:t>
            </w:r>
            <w:r>
              <w:rPr>
                <w:rFonts w:hint="default"/>
                <w:color w:val="auto"/>
                <w:highlight w:val="none"/>
              </w:rPr>
              <w:t>附图</w:t>
            </w:r>
            <w:r>
              <w:rPr>
                <w:rFonts w:hint="eastAsia"/>
                <w:color w:val="auto"/>
                <w:highlight w:val="none"/>
                <w:lang w:val="en-US" w:eastAsia="zh-CN"/>
              </w:rPr>
              <w:t>2</w:t>
            </w:r>
            <w:r>
              <w:rPr>
                <w:rFonts w:hint="default"/>
                <w:color w:val="auto"/>
                <w:highlight w:val="none"/>
              </w:rPr>
              <w:t>。</w:t>
            </w:r>
          </w:p>
          <w:p w14:paraId="5B838D8B">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环境保护目标一览表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89"/>
              <w:gridCol w:w="1264"/>
              <w:gridCol w:w="1783"/>
              <w:gridCol w:w="1567"/>
              <w:gridCol w:w="2734"/>
            </w:tblGrid>
            <w:tr w14:paraId="5AED74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39" w:type="pct"/>
                  <w:noWrap w:val="0"/>
                  <w:vAlign w:val="center"/>
                </w:tcPr>
                <w:p w14:paraId="0EACBE19">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w:t>
                  </w:r>
                </w:p>
                <w:p w14:paraId="76B3CD6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要素</w:t>
                  </w:r>
                </w:p>
              </w:tc>
              <w:tc>
                <w:tcPr>
                  <w:tcW w:w="767" w:type="pct"/>
                  <w:noWrap w:val="0"/>
                  <w:vAlign w:val="center"/>
                </w:tcPr>
                <w:p w14:paraId="258A4385">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环境保护</w:t>
                  </w:r>
                </w:p>
                <w:p w14:paraId="6DCCEAC6">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对象名称</w:t>
                  </w:r>
                </w:p>
              </w:tc>
              <w:tc>
                <w:tcPr>
                  <w:tcW w:w="1082" w:type="pct"/>
                  <w:noWrap w:val="0"/>
                  <w:vAlign w:val="center"/>
                </w:tcPr>
                <w:p w14:paraId="1D2E136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与项目厂界的方位和最近距离</w:t>
                  </w:r>
                </w:p>
              </w:tc>
              <w:tc>
                <w:tcPr>
                  <w:tcW w:w="951" w:type="pct"/>
                  <w:noWrap w:val="0"/>
                  <w:vAlign w:val="center"/>
                </w:tcPr>
                <w:p w14:paraId="2F84CB6D">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环境基本特征</w:t>
                  </w:r>
                </w:p>
              </w:tc>
              <w:tc>
                <w:tcPr>
                  <w:tcW w:w="1659" w:type="pct"/>
                  <w:noWrap w:val="0"/>
                  <w:vAlign w:val="center"/>
                </w:tcPr>
                <w:p w14:paraId="6F75A944">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环境功能</w:t>
                  </w:r>
                </w:p>
              </w:tc>
            </w:tr>
            <w:tr w14:paraId="179188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6" w:hRule="atLeast"/>
                <w:jc w:val="center"/>
              </w:trPr>
              <w:tc>
                <w:tcPr>
                  <w:tcW w:w="539" w:type="pct"/>
                  <w:vMerge w:val="restart"/>
                  <w:noWrap w:val="0"/>
                  <w:vAlign w:val="center"/>
                </w:tcPr>
                <w:p w14:paraId="52CF5E52">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w:t>
                  </w:r>
                </w:p>
                <w:p w14:paraId="6C7D632A">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空气</w:t>
                  </w:r>
                </w:p>
              </w:tc>
              <w:tc>
                <w:tcPr>
                  <w:tcW w:w="767" w:type="pct"/>
                  <w:noWrap w:val="0"/>
                  <w:vAlign w:val="center"/>
                </w:tcPr>
                <w:p w14:paraId="530626A2">
                  <w:pPr>
                    <w:pStyle w:val="78"/>
                    <w:keepNext w:val="0"/>
                    <w:keepLines w:val="0"/>
                    <w:suppressLineNumbers w:val="0"/>
                    <w:bidi w:val="0"/>
                    <w:spacing w:before="0" w:beforeAutospacing="0" w:after="0" w:afterAutospacing="0"/>
                    <w:ind w:left="0" w:right="0"/>
                    <w:rPr>
                      <w:rFonts w:hint="eastAsia"/>
                      <w:color w:val="auto"/>
                      <w:lang w:eastAsia="zh-CN"/>
                    </w:rPr>
                  </w:pPr>
                  <w:r>
                    <w:rPr>
                      <w:rFonts w:hint="eastAsia"/>
                      <w:color w:val="auto"/>
                      <w:lang w:val="en-US" w:eastAsia="zh-CN"/>
                    </w:rPr>
                    <w:t>刘下村</w:t>
                  </w:r>
                </w:p>
              </w:tc>
              <w:tc>
                <w:tcPr>
                  <w:tcW w:w="1082" w:type="pct"/>
                  <w:noWrap w:val="0"/>
                  <w:vAlign w:val="center"/>
                </w:tcPr>
                <w:p w14:paraId="787DBA5D">
                  <w:pPr>
                    <w:pStyle w:val="78"/>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西</w:t>
                  </w:r>
                  <w:r>
                    <w:rPr>
                      <w:rFonts w:hint="eastAsia"/>
                      <w:color w:val="auto"/>
                    </w:rPr>
                    <w:t>侧</w:t>
                  </w:r>
                  <w:r>
                    <w:rPr>
                      <w:rFonts w:hint="eastAsia"/>
                      <w:color w:val="auto"/>
                      <w:lang w:val="en-US" w:eastAsia="zh-CN"/>
                    </w:rPr>
                    <w:t>140</w:t>
                  </w:r>
                  <w:r>
                    <w:rPr>
                      <w:rFonts w:hint="eastAsia"/>
                      <w:color w:val="auto"/>
                    </w:rPr>
                    <w:t>m</w:t>
                  </w:r>
                </w:p>
              </w:tc>
              <w:tc>
                <w:tcPr>
                  <w:tcW w:w="951" w:type="pct"/>
                  <w:noWrap w:val="0"/>
                  <w:vAlign w:val="center"/>
                </w:tcPr>
                <w:p w14:paraId="10296FB1">
                  <w:pPr>
                    <w:pStyle w:val="78"/>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601</w:t>
                  </w:r>
                  <w:r>
                    <w:rPr>
                      <w:rFonts w:hint="default"/>
                      <w:color w:val="auto"/>
                    </w:rPr>
                    <w:t>户/</w:t>
                  </w:r>
                  <w:r>
                    <w:rPr>
                      <w:rFonts w:hint="eastAsia"/>
                      <w:color w:val="auto"/>
                      <w:lang w:val="en-US" w:eastAsia="zh-CN"/>
                    </w:rPr>
                    <w:t>1862</w:t>
                  </w:r>
                  <w:r>
                    <w:rPr>
                      <w:rFonts w:hint="default"/>
                      <w:color w:val="auto"/>
                    </w:rPr>
                    <w:t>人</w:t>
                  </w:r>
                </w:p>
              </w:tc>
              <w:tc>
                <w:tcPr>
                  <w:tcW w:w="1659" w:type="pct"/>
                  <w:vMerge w:val="restart"/>
                  <w:noWrap w:val="0"/>
                  <w:vAlign w:val="center"/>
                </w:tcPr>
                <w:p w14:paraId="1ECE3DC0">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《环境空气质量标准》</w:t>
                  </w:r>
                  <w:r>
                    <w:rPr>
                      <w:rFonts w:hint="eastAsia"/>
                      <w:color w:val="auto"/>
                      <w:lang w:eastAsia="zh-CN"/>
                    </w:rPr>
                    <w:t>（</w:t>
                  </w:r>
                  <w:r>
                    <w:rPr>
                      <w:rFonts w:hint="default"/>
                      <w:color w:val="auto"/>
                    </w:rPr>
                    <w:t>GB3095-2012</w:t>
                  </w:r>
                  <w:r>
                    <w:rPr>
                      <w:rFonts w:hint="eastAsia"/>
                      <w:color w:val="auto"/>
                      <w:lang w:eastAsia="zh-CN"/>
                    </w:rPr>
                    <w:t>）</w:t>
                  </w:r>
                  <w:r>
                    <w:rPr>
                      <w:rFonts w:hint="default"/>
                      <w:color w:val="auto"/>
                    </w:rPr>
                    <w:t>及其修改单二级标准</w:t>
                  </w:r>
                </w:p>
              </w:tc>
            </w:tr>
            <w:tr w14:paraId="7EEEEA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0" w:hRule="atLeast"/>
                <w:jc w:val="center"/>
              </w:trPr>
              <w:tc>
                <w:tcPr>
                  <w:tcW w:w="539" w:type="pct"/>
                  <w:vMerge w:val="continue"/>
                  <w:noWrap w:val="0"/>
                  <w:vAlign w:val="center"/>
                </w:tcPr>
                <w:p w14:paraId="31488993">
                  <w:pPr>
                    <w:pStyle w:val="78"/>
                    <w:keepNext w:val="0"/>
                    <w:keepLines w:val="0"/>
                    <w:suppressLineNumbers w:val="0"/>
                    <w:bidi w:val="0"/>
                    <w:spacing w:before="0" w:beforeAutospacing="0" w:after="0" w:afterAutospacing="0"/>
                    <w:ind w:left="0" w:right="0"/>
                    <w:rPr>
                      <w:rFonts w:hint="default"/>
                      <w:color w:val="auto"/>
                    </w:rPr>
                  </w:pPr>
                </w:p>
              </w:tc>
              <w:tc>
                <w:tcPr>
                  <w:tcW w:w="767" w:type="pct"/>
                  <w:noWrap w:val="0"/>
                  <w:vAlign w:val="center"/>
                </w:tcPr>
                <w:p w14:paraId="7D40309C">
                  <w:pPr>
                    <w:pStyle w:val="7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溪头村</w:t>
                  </w:r>
                </w:p>
              </w:tc>
              <w:tc>
                <w:tcPr>
                  <w:tcW w:w="1082" w:type="pct"/>
                  <w:noWrap w:val="0"/>
                  <w:vAlign w:val="center"/>
                </w:tcPr>
                <w:p w14:paraId="32B71FFE">
                  <w:pPr>
                    <w:pStyle w:val="7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东南</w:t>
                  </w:r>
                  <w:r>
                    <w:rPr>
                      <w:rFonts w:hint="eastAsia"/>
                      <w:color w:val="auto"/>
                    </w:rPr>
                    <w:t>侧</w:t>
                  </w:r>
                  <w:r>
                    <w:rPr>
                      <w:rFonts w:hint="eastAsia"/>
                      <w:color w:val="auto"/>
                      <w:lang w:val="en-US" w:eastAsia="zh-CN"/>
                    </w:rPr>
                    <w:t>280</w:t>
                  </w:r>
                  <w:r>
                    <w:rPr>
                      <w:rFonts w:hint="eastAsia"/>
                      <w:color w:val="auto"/>
                    </w:rPr>
                    <w:t>m</w:t>
                  </w:r>
                </w:p>
              </w:tc>
              <w:tc>
                <w:tcPr>
                  <w:tcW w:w="951" w:type="pct"/>
                  <w:noWrap w:val="0"/>
                  <w:vAlign w:val="center"/>
                </w:tcPr>
                <w:p w14:paraId="1DF5A3D3">
                  <w:pPr>
                    <w:pStyle w:val="7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46</w:t>
                  </w:r>
                  <w:r>
                    <w:rPr>
                      <w:rFonts w:hint="default"/>
                      <w:color w:val="auto"/>
                    </w:rPr>
                    <w:t>户/</w:t>
                  </w:r>
                  <w:r>
                    <w:rPr>
                      <w:rFonts w:hint="eastAsia"/>
                      <w:color w:val="auto"/>
                      <w:lang w:val="en-US" w:eastAsia="zh-CN"/>
                    </w:rPr>
                    <w:t>184</w:t>
                  </w:r>
                  <w:r>
                    <w:rPr>
                      <w:rFonts w:hint="default"/>
                      <w:color w:val="auto"/>
                    </w:rPr>
                    <w:t>人</w:t>
                  </w:r>
                </w:p>
              </w:tc>
              <w:tc>
                <w:tcPr>
                  <w:tcW w:w="1659" w:type="pct"/>
                  <w:vMerge w:val="continue"/>
                  <w:noWrap w:val="0"/>
                  <w:vAlign w:val="center"/>
                </w:tcPr>
                <w:p w14:paraId="1321174E">
                  <w:pPr>
                    <w:pStyle w:val="78"/>
                    <w:keepNext w:val="0"/>
                    <w:keepLines w:val="0"/>
                    <w:suppressLineNumbers w:val="0"/>
                    <w:bidi w:val="0"/>
                    <w:spacing w:before="0" w:beforeAutospacing="0" w:after="0" w:afterAutospacing="0"/>
                    <w:ind w:left="0" w:right="0"/>
                    <w:rPr>
                      <w:rFonts w:hint="default"/>
                      <w:color w:val="auto"/>
                    </w:rPr>
                  </w:pPr>
                </w:p>
              </w:tc>
            </w:tr>
            <w:tr w14:paraId="22CDD1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7" w:hRule="atLeast"/>
                <w:jc w:val="center"/>
              </w:trPr>
              <w:tc>
                <w:tcPr>
                  <w:tcW w:w="539" w:type="pct"/>
                  <w:vMerge w:val="continue"/>
                  <w:noWrap w:val="0"/>
                  <w:vAlign w:val="center"/>
                </w:tcPr>
                <w:p w14:paraId="5CB8CC73">
                  <w:pPr>
                    <w:pStyle w:val="78"/>
                    <w:keepNext w:val="0"/>
                    <w:keepLines w:val="0"/>
                    <w:suppressLineNumbers w:val="0"/>
                    <w:bidi w:val="0"/>
                    <w:spacing w:before="0" w:beforeAutospacing="0" w:after="0" w:afterAutospacing="0"/>
                    <w:ind w:left="0" w:right="0"/>
                    <w:rPr>
                      <w:rFonts w:hint="default"/>
                      <w:color w:val="auto"/>
                    </w:rPr>
                  </w:pPr>
                </w:p>
              </w:tc>
              <w:tc>
                <w:tcPr>
                  <w:tcW w:w="767" w:type="pct"/>
                  <w:noWrap w:val="0"/>
                  <w:vAlign w:val="center"/>
                </w:tcPr>
                <w:p w14:paraId="42AA6D5F">
                  <w:pPr>
                    <w:pStyle w:val="7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融侨新城泷郡</w:t>
                  </w:r>
                </w:p>
              </w:tc>
              <w:tc>
                <w:tcPr>
                  <w:tcW w:w="1082" w:type="pct"/>
                  <w:noWrap w:val="0"/>
                  <w:vAlign w:val="center"/>
                </w:tcPr>
                <w:p w14:paraId="02AE55B9">
                  <w:pPr>
                    <w:pStyle w:val="78"/>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东北侧231</w:t>
                  </w:r>
                  <w:r>
                    <w:rPr>
                      <w:rFonts w:hint="eastAsia"/>
                      <w:color w:val="auto"/>
                    </w:rPr>
                    <w:t>m</w:t>
                  </w:r>
                </w:p>
              </w:tc>
              <w:tc>
                <w:tcPr>
                  <w:tcW w:w="951" w:type="pct"/>
                  <w:noWrap w:val="0"/>
                  <w:vAlign w:val="center"/>
                </w:tcPr>
                <w:p w14:paraId="53C355F8">
                  <w:pPr>
                    <w:pStyle w:val="78"/>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450</w:t>
                  </w:r>
                  <w:r>
                    <w:rPr>
                      <w:rFonts w:hint="default"/>
                      <w:color w:val="auto"/>
                    </w:rPr>
                    <w:t>户/</w:t>
                  </w:r>
                  <w:r>
                    <w:rPr>
                      <w:rFonts w:hint="eastAsia"/>
                      <w:color w:val="auto"/>
                      <w:lang w:val="en-US" w:eastAsia="zh-CN"/>
                    </w:rPr>
                    <w:t>1350</w:t>
                  </w:r>
                  <w:r>
                    <w:rPr>
                      <w:rFonts w:hint="default"/>
                      <w:color w:val="auto"/>
                    </w:rPr>
                    <w:t>人</w:t>
                  </w:r>
                </w:p>
              </w:tc>
              <w:tc>
                <w:tcPr>
                  <w:tcW w:w="1659" w:type="pct"/>
                  <w:vMerge w:val="continue"/>
                  <w:noWrap w:val="0"/>
                  <w:vAlign w:val="center"/>
                </w:tcPr>
                <w:p w14:paraId="7EA56647">
                  <w:pPr>
                    <w:pStyle w:val="78"/>
                    <w:keepNext w:val="0"/>
                    <w:keepLines w:val="0"/>
                    <w:suppressLineNumbers w:val="0"/>
                    <w:bidi w:val="0"/>
                    <w:spacing w:before="0" w:beforeAutospacing="0" w:after="0" w:afterAutospacing="0"/>
                    <w:ind w:left="0" w:right="0"/>
                    <w:rPr>
                      <w:rFonts w:hint="default"/>
                      <w:color w:val="auto"/>
                    </w:rPr>
                  </w:pPr>
                </w:p>
              </w:tc>
            </w:tr>
            <w:tr w14:paraId="6F0BEA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0" w:hRule="atLeast"/>
                <w:jc w:val="center"/>
              </w:trPr>
              <w:tc>
                <w:tcPr>
                  <w:tcW w:w="539" w:type="pct"/>
                  <w:noWrap w:val="0"/>
                  <w:vAlign w:val="center"/>
                </w:tcPr>
                <w:p w14:paraId="7F4244AE">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地表水</w:t>
                  </w:r>
                </w:p>
              </w:tc>
              <w:tc>
                <w:tcPr>
                  <w:tcW w:w="767" w:type="pct"/>
                  <w:noWrap w:val="0"/>
                  <w:vAlign w:val="center"/>
                </w:tcPr>
                <w:p w14:paraId="441874E1">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大北溪</w:t>
                  </w:r>
                </w:p>
              </w:tc>
              <w:tc>
                <w:tcPr>
                  <w:tcW w:w="1082" w:type="pct"/>
                  <w:tcBorders>
                    <w:right w:val="single" w:color="auto" w:sz="4" w:space="0"/>
                  </w:tcBorders>
                  <w:noWrap w:val="0"/>
                  <w:vAlign w:val="center"/>
                </w:tcPr>
                <w:p w14:paraId="2293ED45">
                  <w:pPr>
                    <w:pStyle w:val="78"/>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东</w:t>
                  </w:r>
                  <w:r>
                    <w:rPr>
                      <w:rFonts w:hint="default"/>
                      <w:color w:val="auto"/>
                    </w:rPr>
                    <w:t>侧</w:t>
                  </w:r>
                  <w:r>
                    <w:rPr>
                      <w:rFonts w:hint="eastAsia"/>
                      <w:color w:val="auto"/>
                      <w:lang w:val="en-US" w:eastAsia="zh-CN"/>
                    </w:rPr>
                    <w:t>70</w:t>
                  </w:r>
                  <w:r>
                    <w:rPr>
                      <w:rFonts w:hint="default"/>
                      <w:color w:val="auto"/>
                    </w:rPr>
                    <w:t>m</w:t>
                  </w:r>
                </w:p>
              </w:tc>
              <w:tc>
                <w:tcPr>
                  <w:tcW w:w="951" w:type="pct"/>
                  <w:tcBorders>
                    <w:left w:val="single" w:color="auto" w:sz="4" w:space="0"/>
                    <w:right w:val="single" w:color="auto" w:sz="4" w:space="0"/>
                  </w:tcBorders>
                  <w:noWrap w:val="0"/>
                  <w:vAlign w:val="center"/>
                </w:tcPr>
                <w:p w14:paraId="57C2614C">
                  <w:pPr>
                    <w:pStyle w:val="78"/>
                    <w:keepNext w:val="0"/>
                    <w:keepLines w:val="0"/>
                    <w:suppressLineNumbers w:val="0"/>
                    <w:bidi w:val="0"/>
                    <w:spacing w:before="0" w:beforeAutospacing="0" w:after="0" w:afterAutospacing="0"/>
                    <w:ind w:left="0" w:right="0"/>
                    <w:rPr>
                      <w:rFonts w:hint="eastAsia"/>
                      <w:color w:val="auto"/>
                    </w:rPr>
                  </w:pPr>
                  <w:r>
                    <w:rPr>
                      <w:rFonts w:hint="default"/>
                      <w:color w:val="auto"/>
                    </w:rPr>
                    <w:t>景观、工业用水</w:t>
                  </w:r>
                </w:p>
              </w:tc>
              <w:tc>
                <w:tcPr>
                  <w:tcW w:w="1659" w:type="pct"/>
                  <w:tcBorders>
                    <w:left w:val="single" w:color="auto" w:sz="4" w:space="0"/>
                    <w:bottom w:val="single" w:color="auto" w:sz="4" w:space="0"/>
                  </w:tcBorders>
                  <w:noWrap w:val="0"/>
                  <w:vAlign w:val="center"/>
                </w:tcPr>
                <w:p w14:paraId="03FAA57C">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《地表水环境质量标准》</w:t>
                  </w:r>
                  <w:r>
                    <w:rPr>
                      <w:rFonts w:hint="eastAsia"/>
                      <w:color w:val="auto"/>
                      <w:lang w:eastAsia="zh-CN"/>
                    </w:rPr>
                    <w:t>（</w:t>
                  </w:r>
                  <w:r>
                    <w:rPr>
                      <w:rFonts w:hint="default"/>
                      <w:color w:val="auto"/>
                    </w:rPr>
                    <w:t>GB3838-2002</w:t>
                  </w:r>
                  <w:r>
                    <w:rPr>
                      <w:rFonts w:hint="eastAsia"/>
                      <w:color w:val="auto"/>
                      <w:lang w:eastAsia="zh-CN"/>
                    </w:rPr>
                    <w:t>）</w:t>
                  </w:r>
                  <w:r>
                    <w:rPr>
                      <w:rFonts w:hint="default"/>
                      <w:color w:val="auto"/>
                    </w:rPr>
                    <w:t>Ⅳ类标准</w:t>
                  </w:r>
                </w:p>
              </w:tc>
            </w:tr>
            <w:tr w14:paraId="58615E4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539" w:type="pct"/>
                  <w:noWrap w:val="0"/>
                  <w:vAlign w:val="center"/>
                </w:tcPr>
                <w:p w14:paraId="0A8E23A3">
                  <w:pPr>
                    <w:pStyle w:val="78"/>
                    <w:keepNext w:val="0"/>
                    <w:keepLines w:val="0"/>
                    <w:suppressLineNumbers w:val="0"/>
                    <w:bidi w:val="0"/>
                    <w:spacing w:before="0" w:beforeAutospacing="0" w:after="0" w:afterAutospacing="0"/>
                    <w:ind w:left="0" w:right="0"/>
                    <w:rPr>
                      <w:rFonts w:hint="default"/>
                      <w:color w:val="auto"/>
                    </w:rPr>
                  </w:pPr>
                  <w:r>
                    <w:rPr>
                      <w:rFonts w:hint="default"/>
                      <w:color w:val="auto"/>
                    </w:rPr>
                    <w:t>声环境</w:t>
                  </w:r>
                </w:p>
              </w:tc>
              <w:tc>
                <w:tcPr>
                  <w:tcW w:w="4460" w:type="pct"/>
                  <w:gridSpan w:val="4"/>
                  <w:noWrap w:val="0"/>
                  <w:vAlign w:val="center"/>
                </w:tcPr>
                <w:p w14:paraId="587F3ED8">
                  <w:pPr>
                    <w:pStyle w:val="78"/>
                    <w:keepNext w:val="0"/>
                    <w:keepLines w:val="0"/>
                    <w:suppressLineNumbers w:val="0"/>
                    <w:bidi w:val="0"/>
                    <w:spacing w:before="0" w:beforeAutospacing="0" w:after="0" w:afterAutospacing="0"/>
                    <w:ind w:left="0" w:right="0"/>
                    <w:rPr>
                      <w:rFonts w:hint="default"/>
                      <w:color w:val="auto"/>
                    </w:rPr>
                  </w:pPr>
                  <w:r>
                    <w:rPr>
                      <w:rFonts w:hint="eastAsia"/>
                      <w:color w:val="auto"/>
                    </w:rPr>
                    <w:t>项目厂界50m范围内无声环境保护目标</w:t>
                  </w:r>
                </w:p>
              </w:tc>
            </w:tr>
            <w:tr w14:paraId="61A5F00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5" w:hRule="atLeast"/>
                <w:jc w:val="center"/>
              </w:trPr>
              <w:tc>
                <w:tcPr>
                  <w:tcW w:w="539" w:type="pct"/>
                  <w:noWrap w:val="0"/>
                  <w:vAlign w:val="center"/>
                </w:tcPr>
                <w:p w14:paraId="6162DE02">
                  <w:pPr>
                    <w:pStyle w:val="78"/>
                    <w:keepNext w:val="0"/>
                    <w:keepLines w:val="0"/>
                    <w:suppressLineNumbers w:val="0"/>
                    <w:bidi w:val="0"/>
                    <w:spacing w:before="0" w:beforeAutospacing="0" w:after="0" w:afterAutospacing="0"/>
                    <w:ind w:left="0" w:right="0"/>
                    <w:rPr>
                      <w:rFonts w:hint="eastAsia"/>
                      <w:color w:val="auto"/>
                    </w:rPr>
                  </w:pPr>
                  <w:r>
                    <w:rPr>
                      <w:rFonts w:hint="eastAsia"/>
                      <w:color w:val="auto"/>
                    </w:rPr>
                    <w:t>地下水</w:t>
                  </w:r>
                </w:p>
              </w:tc>
              <w:tc>
                <w:tcPr>
                  <w:tcW w:w="4460" w:type="pct"/>
                  <w:gridSpan w:val="4"/>
                  <w:noWrap w:val="0"/>
                  <w:vAlign w:val="center"/>
                </w:tcPr>
                <w:p w14:paraId="65ED08EE">
                  <w:pPr>
                    <w:pStyle w:val="78"/>
                    <w:keepNext w:val="0"/>
                    <w:keepLines w:val="0"/>
                    <w:suppressLineNumbers w:val="0"/>
                    <w:bidi w:val="0"/>
                    <w:spacing w:before="0" w:beforeAutospacing="0" w:after="0" w:afterAutospacing="0"/>
                    <w:ind w:left="0" w:right="0"/>
                    <w:rPr>
                      <w:rFonts w:hint="eastAsia"/>
                      <w:color w:val="auto"/>
                    </w:rPr>
                  </w:pPr>
                  <w:r>
                    <w:rPr>
                      <w:rFonts w:hint="eastAsia"/>
                      <w:color w:val="auto"/>
                    </w:rPr>
                    <w:t>项目厂界外500米范围内的地下水集中式饮用水水源和热水、矿泉水、温泉等特殊地下水资源</w:t>
                  </w:r>
                </w:p>
              </w:tc>
            </w:tr>
          </w:tbl>
          <w:p w14:paraId="44DC762C">
            <w:pPr>
              <w:pStyle w:val="6"/>
              <w:suppressLineNumbers w:val="0"/>
              <w:bidi w:val="0"/>
              <w:spacing w:beforeAutospacing="0" w:afterAutospacing="0"/>
              <w:ind w:right="0"/>
              <w:rPr>
                <w:rFonts w:hint="default"/>
                <w:color w:val="auto"/>
              </w:rPr>
            </w:pPr>
            <w:r>
              <w:rPr>
                <w:rFonts w:hint="default"/>
                <w:color w:val="auto"/>
              </w:rPr>
              <w:t>生态环境</w:t>
            </w:r>
          </w:p>
          <w:p w14:paraId="041674DA">
            <w:pPr>
              <w:pStyle w:val="36"/>
              <w:keepNext w:val="0"/>
              <w:keepLines w:val="0"/>
              <w:suppressLineNumbers w:val="0"/>
              <w:bidi w:val="0"/>
              <w:spacing w:before="0" w:beforeAutospacing="0" w:after="0" w:afterAutospacing="0"/>
              <w:ind w:left="0" w:right="0"/>
              <w:rPr>
                <w:rFonts w:hint="default"/>
                <w:color w:val="auto"/>
              </w:rPr>
            </w:pPr>
            <w:r>
              <w:rPr>
                <w:rFonts w:hint="eastAsia" w:ascii="Times New Roman" w:hAnsi="Times New Roman" w:eastAsia="宋体"/>
                <w:color w:val="auto"/>
                <w:szCs w:val="24"/>
              </w:rPr>
              <w:t>根据《建设项目环境影响报告表编制技术指南（污染影响类）（试行）》</w:t>
            </w:r>
            <w:r>
              <w:rPr>
                <w:rFonts w:hint="eastAsia" w:ascii="Times New Roman" w:hAnsi="Times New Roman" w:eastAsia="宋体"/>
                <w:color w:val="auto"/>
              </w:rPr>
              <w:t>：产业园区外建设项目新增用地且用地范围内含有生态环境保护目标时，应进行生态现状调查。</w:t>
            </w:r>
            <w:r>
              <w:rPr>
                <w:rFonts w:hint="default"/>
                <w:color w:val="auto"/>
              </w:rPr>
              <w:t>本项目位于</w:t>
            </w:r>
            <w:r>
              <w:rPr>
                <w:rFonts w:hint="eastAsia" w:cs="Times New Roman"/>
                <w:color w:val="auto"/>
                <w:sz w:val="24"/>
                <w:szCs w:val="24"/>
                <w:highlight w:val="none"/>
                <w:u w:val="none"/>
                <w:lang w:eastAsia="zh-CN"/>
              </w:rPr>
              <w:t>福清市融侨经济技术开发洪宽工业村</w:t>
            </w:r>
            <w:r>
              <w:rPr>
                <w:rFonts w:hint="default"/>
                <w:color w:val="auto"/>
              </w:rPr>
              <w:t>，</w:t>
            </w:r>
            <w:r>
              <w:rPr>
                <w:rFonts w:hint="eastAsia"/>
                <w:color w:val="auto"/>
                <w:lang w:val="en-US" w:eastAsia="zh-CN"/>
              </w:rPr>
              <w:t>租赁福清洪金机械有限公司的办公室</w:t>
            </w:r>
            <w:r>
              <w:rPr>
                <w:rFonts w:hint="eastAsia"/>
                <w:color w:val="auto"/>
                <w:lang w:eastAsia="zh-CN"/>
              </w:rPr>
              <w:t>，</w:t>
            </w:r>
            <w:r>
              <w:rPr>
                <w:rFonts w:hint="default"/>
                <w:color w:val="auto"/>
              </w:rPr>
              <w:t>用地性质属于工业用地，不新增用地，用地范围内无生态环境保护目标。</w:t>
            </w:r>
          </w:p>
          <w:p w14:paraId="25EA54CB">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p>
          <w:p w14:paraId="667A7B6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p>
        </w:tc>
      </w:tr>
      <w:tr w14:paraId="6AAF3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29" w:hRule="atLeast"/>
          <w:jc w:val="center"/>
        </w:trPr>
        <w:tc>
          <w:tcPr>
            <w:tcW w:w="605" w:type="dxa"/>
            <w:tcMar>
              <w:left w:w="28" w:type="dxa"/>
              <w:right w:w="28" w:type="dxa"/>
            </w:tcMar>
            <w:vAlign w:val="center"/>
          </w:tcPr>
          <w:p w14:paraId="42AFE602">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highlight w:val="none"/>
              </w:rPr>
            </w:pPr>
            <w:r>
              <w:rPr>
                <w:rFonts w:hint="eastAsia" w:cs="Times New Roman"/>
                <w:color w:val="auto"/>
                <w:kern w:val="0"/>
                <w:sz w:val="24"/>
                <w:szCs w:val="24"/>
                <w:highlight w:val="none"/>
                <w:shd w:val="clear" w:fill="FFFFFF"/>
                <w:lang w:eastAsia="zh-CN"/>
              </w:rPr>
              <w:t>污染物协同控制</w:t>
            </w:r>
            <w:r>
              <w:rPr>
                <w:rFonts w:hint="default" w:ascii="Times New Roman" w:hAnsi="Times New Roman" w:cs="Times New Roman"/>
                <w:color w:val="auto"/>
                <w:kern w:val="0"/>
                <w:sz w:val="24"/>
                <w:szCs w:val="24"/>
                <w:highlight w:val="none"/>
              </w:rPr>
              <w:t>标准</w:t>
            </w:r>
          </w:p>
        </w:tc>
        <w:tc>
          <w:tcPr>
            <w:tcW w:w="8456" w:type="dxa"/>
            <w:vAlign w:val="center"/>
          </w:tcPr>
          <w:p w14:paraId="6C2EF606">
            <w:pPr>
              <w:pStyle w:val="5"/>
              <w:suppressLineNumbers w:val="0"/>
              <w:bidi w:val="0"/>
              <w:spacing w:beforeAutospacing="0" w:afterAutospacing="0"/>
              <w:ind w:right="0"/>
              <w:rPr>
                <w:rFonts w:hint="default"/>
                <w:color w:val="auto"/>
              </w:rPr>
            </w:pPr>
            <w:bookmarkStart w:id="61" w:name="_Toc21257"/>
            <w:r>
              <w:rPr>
                <w:rFonts w:hint="eastAsia"/>
                <w:color w:val="auto"/>
                <w:shd w:val="clear" w:fill="FFFFFF"/>
                <w:lang w:val="en-US" w:eastAsia="zh-CN"/>
              </w:rPr>
              <w:t>污染物协同控制</w:t>
            </w:r>
            <w:r>
              <w:rPr>
                <w:rFonts w:hint="eastAsia"/>
                <w:color w:val="auto"/>
                <w:lang w:val="en-US" w:eastAsia="zh-CN"/>
              </w:rPr>
              <w:t>标准</w:t>
            </w:r>
            <w:bookmarkEnd w:id="61"/>
          </w:p>
          <w:p w14:paraId="7AC7F511">
            <w:pPr>
              <w:pStyle w:val="6"/>
              <w:suppressLineNumbers w:val="0"/>
              <w:bidi w:val="0"/>
              <w:spacing w:beforeAutospacing="0" w:afterAutospacing="0"/>
              <w:ind w:right="0"/>
              <w:rPr>
                <w:rFonts w:hint="default"/>
                <w:color w:val="auto"/>
              </w:rPr>
            </w:pPr>
            <w:r>
              <w:rPr>
                <w:rFonts w:hint="default"/>
                <w:color w:val="auto"/>
              </w:rPr>
              <w:t>废气排放标准</w:t>
            </w:r>
          </w:p>
          <w:p w14:paraId="50377F9F">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（1）有组织</w:t>
            </w:r>
            <w:r>
              <w:rPr>
                <w:rFonts w:hint="eastAsia"/>
                <w:color w:val="auto"/>
              </w:rPr>
              <w:t>废气</w:t>
            </w:r>
          </w:p>
          <w:p w14:paraId="7121D2B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项目进行理化试验、消解处理等挥发性试剂配制过程均在通风橱中操作，会产生极少量</w:t>
            </w:r>
            <w:r>
              <w:rPr>
                <w:rFonts w:hint="eastAsia"/>
                <w:color w:val="auto"/>
                <w:lang w:val="en-US" w:eastAsia="zh-CN"/>
              </w:rPr>
              <w:t>废气</w:t>
            </w:r>
            <w:r>
              <w:rPr>
                <w:rFonts w:hint="default"/>
                <w:color w:val="auto"/>
                <w:lang w:val="en-US" w:eastAsia="zh-CN"/>
              </w:rPr>
              <w:t>，</w:t>
            </w:r>
            <w:r>
              <w:rPr>
                <w:rFonts w:hint="eastAsia"/>
                <w:color w:val="auto"/>
                <w:lang w:val="en-US" w:eastAsia="zh-CN"/>
              </w:rPr>
              <w:t>包含酸性</w:t>
            </w:r>
            <w:r>
              <w:rPr>
                <w:rFonts w:hint="default"/>
                <w:color w:val="auto"/>
                <w:lang w:val="en-US" w:eastAsia="zh-CN"/>
              </w:rPr>
              <w:t>气体（以氯化氢、硫酸雾计）及有机废气（以非甲烷总烃计）。氯化氢、硫酸雾排放执行《大气污染物综合排放标准》（GB16297-1996）表2标准</w:t>
            </w:r>
            <w:r>
              <w:rPr>
                <w:rFonts w:hint="eastAsia"/>
                <w:color w:val="auto"/>
                <w:lang w:val="en-US" w:eastAsia="zh-CN"/>
              </w:rPr>
              <w:t>，非甲烷总烃</w:t>
            </w:r>
            <w:r>
              <w:rPr>
                <w:rFonts w:hint="default"/>
                <w:color w:val="auto"/>
                <w:lang w:val="en-US" w:eastAsia="zh-CN"/>
              </w:rPr>
              <w:t>排放</w:t>
            </w:r>
            <w:r>
              <w:rPr>
                <w:rFonts w:hint="eastAsia"/>
                <w:color w:val="auto"/>
                <w:lang w:val="en-US" w:eastAsia="zh-CN"/>
              </w:rPr>
              <w:t>参照</w:t>
            </w:r>
            <w:r>
              <w:rPr>
                <w:rFonts w:hint="eastAsia"/>
                <w:color w:val="auto"/>
                <w:szCs w:val="21"/>
              </w:rPr>
              <w:t>《工业企业挥发性有机物排放标准》(DB35/ 1782-2018</w:t>
            </w:r>
            <w:r>
              <w:rPr>
                <w:rFonts w:hint="eastAsia"/>
                <w:color w:val="auto"/>
                <w:szCs w:val="21"/>
                <w:shd w:val="clear" w:fill="FFFFFF"/>
              </w:rPr>
              <w:t>)</w:t>
            </w:r>
            <w:r>
              <w:rPr>
                <w:rFonts w:hint="eastAsia"/>
                <w:color w:val="auto"/>
                <w:szCs w:val="21"/>
              </w:rPr>
              <w:t>表1</w:t>
            </w:r>
            <w:r>
              <w:rPr>
                <w:rFonts w:hint="default"/>
                <w:color w:val="auto"/>
                <w:szCs w:val="21"/>
                <w:lang w:val="en-US" w:eastAsia="zh-CN"/>
              </w:rPr>
              <w:t>标准</w:t>
            </w:r>
            <w:r>
              <w:rPr>
                <w:rFonts w:hint="eastAsia"/>
                <w:color w:val="auto"/>
                <w:szCs w:val="21"/>
                <w:lang w:eastAsia="zh-CN"/>
              </w:rPr>
              <w:t>，</w:t>
            </w:r>
            <w:r>
              <w:rPr>
                <w:rFonts w:hint="eastAsia"/>
                <w:color w:val="auto"/>
                <w:lang w:val="en-US" w:eastAsia="zh-CN"/>
              </w:rPr>
              <w:t>氨、臭气浓度执行《恶臭污染物排放标准》（</w:t>
            </w:r>
            <w:r>
              <w:rPr>
                <w:rFonts w:hint="default"/>
                <w:color w:val="auto"/>
                <w:lang w:val="en-US" w:eastAsia="zh-CN"/>
              </w:rPr>
              <w:t>GB14554-93</w:t>
            </w:r>
            <w:r>
              <w:rPr>
                <w:rFonts w:hint="eastAsia"/>
                <w:color w:val="auto"/>
                <w:lang w:val="en-US" w:eastAsia="zh-CN"/>
              </w:rPr>
              <w:t>）中的二级排放标准浓度限值，</w:t>
            </w:r>
            <w:r>
              <w:rPr>
                <w:rFonts w:hint="default"/>
                <w:color w:val="auto"/>
                <w:lang w:val="en-US" w:eastAsia="zh-CN"/>
              </w:rPr>
              <w:t>具体标准限值见下表。</w:t>
            </w:r>
          </w:p>
          <w:p w14:paraId="57065EB8">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大气污染物有组织排放执行标准</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170"/>
              <w:gridCol w:w="1380"/>
              <w:gridCol w:w="1350"/>
              <w:gridCol w:w="3030"/>
            </w:tblGrid>
            <w:tr w14:paraId="6F5B90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3" w:type="pct"/>
                  <w:vAlign w:val="center"/>
                </w:tcPr>
                <w:p w14:paraId="5E657032">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污染物</w:t>
                  </w:r>
                </w:p>
              </w:tc>
              <w:tc>
                <w:tcPr>
                  <w:tcW w:w="710" w:type="pct"/>
                  <w:vAlign w:val="center"/>
                </w:tcPr>
                <w:p w14:paraId="51C6F57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排气筒高度m</w:t>
                  </w:r>
                </w:p>
              </w:tc>
              <w:tc>
                <w:tcPr>
                  <w:tcW w:w="837" w:type="pct"/>
                  <w:vAlign w:val="center"/>
                </w:tcPr>
                <w:p w14:paraId="15EDD6B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最高允许排放速率kg/h</w:t>
                  </w:r>
                </w:p>
              </w:tc>
              <w:tc>
                <w:tcPr>
                  <w:tcW w:w="819" w:type="pct"/>
                  <w:vAlign w:val="center"/>
                </w:tcPr>
                <w:p w14:paraId="3E76F1E1">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color w:val="auto"/>
                      <w:szCs w:val="20"/>
                      <w:lang w:val="en-US" w:eastAsia="zh-CN"/>
                    </w:rPr>
                    <w:t>排放浓度mg/m</w:t>
                  </w:r>
                  <w:r>
                    <w:rPr>
                      <w:rFonts w:hint="eastAsia"/>
                      <w:color w:val="auto"/>
                      <w:szCs w:val="20"/>
                      <w:vertAlign w:val="superscript"/>
                      <w:lang w:val="en-US" w:eastAsia="zh-CN"/>
                    </w:rPr>
                    <w:t>3</w:t>
                  </w:r>
                </w:p>
              </w:tc>
              <w:tc>
                <w:tcPr>
                  <w:tcW w:w="1839" w:type="pct"/>
                  <w:vAlign w:val="center"/>
                </w:tcPr>
                <w:p w14:paraId="4834F565">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标准来源</w:t>
                  </w:r>
                </w:p>
              </w:tc>
            </w:tr>
            <w:tr w14:paraId="61515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93" w:type="pct"/>
                  <w:vAlign w:val="center"/>
                </w:tcPr>
                <w:p w14:paraId="69480753">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lang w:val="en-US" w:eastAsia="zh-CN"/>
                    </w:rPr>
                  </w:pPr>
                  <w:r>
                    <w:rPr>
                      <w:rFonts w:hint="default" w:ascii="Times New Roman" w:hAnsi="Times New Roman" w:cs="Times New Roman"/>
                      <w:color w:val="auto"/>
                      <w:sz w:val="21"/>
                      <w:szCs w:val="21"/>
                    </w:rPr>
                    <w:t>氯化氢</w:t>
                  </w:r>
                </w:p>
              </w:tc>
              <w:tc>
                <w:tcPr>
                  <w:tcW w:w="710" w:type="pct"/>
                  <w:vAlign w:val="center"/>
                </w:tcPr>
                <w:p w14:paraId="0C7985DA">
                  <w:pPr>
                    <w:pStyle w:val="37"/>
                    <w:keepNext w:val="0"/>
                    <w:keepLines w:val="0"/>
                    <w:widowControl/>
                    <w:suppressLineNumbers w:val="0"/>
                    <w:bidi w:val="0"/>
                    <w:spacing w:before="0" w:beforeAutospacing="0" w:after="0" w:afterAutospacing="0"/>
                    <w:ind w:left="0" w:leftChars="0" w:right="0" w:firstLine="0" w:firstLineChars="0"/>
                    <w:jc w:val="center"/>
                    <w:rPr>
                      <w:rFonts w:hint="default"/>
                      <w:color w:val="auto"/>
                      <w:szCs w:val="20"/>
                      <w:lang w:val="en-US" w:eastAsia="zh-CN"/>
                    </w:rPr>
                  </w:pPr>
                  <w:r>
                    <w:rPr>
                      <w:rFonts w:hint="eastAsia" w:cs="Times New Roman"/>
                      <w:color w:val="auto"/>
                      <w:sz w:val="21"/>
                      <w:szCs w:val="20"/>
                      <w:lang w:val="en-US" w:eastAsia="zh-CN"/>
                    </w:rPr>
                    <w:t>25</w:t>
                  </w:r>
                </w:p>
              </w:tc>
              <w:tc>
                <w:tcPr>
                  <w:tcW w:w="837" w:type="pct"/>
                  <w:vAlign w:val="center"/>
                </w:tcPr>
                <w:p w14:paraId="6BFB04F4">
                  <w:pPr>
                    <w:pStyle w:val="53"/>
                    <w:keepNext w:val="0"/>
                    <w:keepLines w:val="0"/>
                    <w:suppressLineNumbers w:val="0"/>
                    <w:spacing w:before="0" w:beforeLines="0" w:beforeAutospacing="0" w:after="0" w:afterLines="0" w:afterAutospacing="0" w:line="240" w:lineRule="auto"/>
                    <w:ind w:left="0" w:right="0"/>
                    <w:rPr>
                      <w:rFonts w:hint="default" w:cs="Times New Roman"/>
                      <w:color w:val="auto"/>
                      <w:sz w:val="21"/>
                      <w:szCs w:val="20"/>
                      <w:lang w:val="en-US" w:eastAsia="zh-CN"/>
                    </w:rPr>
                  </w:pPr>
                  <w:r>
                    <w:rPr>
                      <w:rFonts w:hint="eastAsia" w:ascii="Times New Roman"/>
                      <w:color w:val="auto"/>
                      <w:szCs w:val="21"/>
                    </w:rPr>
                    <w:t>0.915</w:t>
                  </w:r>
                </w:p>
              </w:tc>
              <w:tc>
                <w:tcPr>
                  <w:tcW w:w="819" w:type="pct"/>
                  <w:vAlign w:val="center"/>
                </w:tcPr>
                <w:p w14:paraId="7279F6A8">
                  <w:pPr>
                    <w:pStyle w:val="37"/>
                    <w:keepNext w:val="0"/>
                    <w:keepLines w:val="0"/>
                    <w:widowControl/>
                    <w:suppressLineNumbers w:val="0"/>
                    <w:bidi w:val="0"/>
                    <w:spacing w:before="0" w:beforeAutospacing="0" w:after="0" w:afterAutospacing="0"/>
                    <w:ind w:left="0" w:leftChars="0" w:right="0" w:firstLine="0" w:firstLineChars="0"/>
                    <w:jc w:val="center"/>
                    <w:rPr>
                      <w:rFonts w:hint="default" w:cs="Times New Roman"/>
                      <w:color w:val="auto"/>
                      <w:sz w:val="21"/>
                      <w:szCs w:val="20"/>
                      <w:lang w:val="en-US" w:eastAsia="zh-CN"/>
                    </w:rPr>
                  </w:pPr>
                  <w:r>
                    <w:rPr>
                      <w:rFonts w:hint="eastAsia" w:cs="Times New Roman"/>
                      <w:color w:val="auto"/>
                      <w:sz w:val="21"/>
                      <w:szCs w:val="20"/>
                      <w:lang w:val="en-US" w:eastAsia="zh-CN"/>
                    </w:rPr>
                    <w:t>100</w:t>
                  </w:r>
                </w:p>
              </w:tc>
              <w:tc>
                <w:tcPr>
                  <w:tcW w:w="1839" w:type="pct"/>
                  <w:vMerge w:val="restart"/>
                  <w:vAlign w:val="center"/>
                </w:tcPr>
                <w:p w14:paraId="4B70E088">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lang w:val="en-US" w:eastAsia="zh-CN"/>
                    </w:rPr>
                  </w:pPr>
                  <w:r>
                    <w:rPr>
                      <w:rFonts w:hint="default"/>
                      <w:color w:val="auto"/>
                      <w:szCs w:val="20"/>
                      <w:lang w:val="en-US" w:eastAsia="zh-CN"/>
                    </w:rPr>
                    <w:t>《大气污染物综合排放标准》（GB16297-1996）表2</w:t>
                  </w:r>
                </w:p>
              </w:tc>
            </w:tr>
            <w:tr w14:paraId="06268D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93" w:type="pct"/>
                  <w:vAlign w:val="center"/>
                </w:tcPr>
                <w:p w14:paraId="6F20F01A">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硫酸雾</w:t>
                  </w:r>
                </w:p>
              </w:tc>
              <w:tc>
                <w:tcPr>
                  <w:tcW w:w="710" w:type="pct"/>
                  <w:vAlign w:val="center"/>
                </w:tcPr>
                <w:p w14:paraId="797B8BC9">
                  <w:pPr>
                    <w:keepNext w:val="0"/>
                    <w:keepLines w:val="0"/>
                    <w:suppressLineNumbers w:val="0"/>
                    <w:bidi w:val="0"/>
                    <w:spacing w:before="0" w:beforeAutospacing="0" w:after="0" w:afterAutospacing="0"/>
                    <w:ind w:left="0" w:leftChars="0" w:right="0" w:firstLine="0" w:firstLineChars="0"/>
                    <w:jc w:val="center"/>
                    <w:rPr>
                      <w:rFonts w:hint="eastAsia" w:cs="Times New Roman"/>
                      <w:color w:val="auto"/>
                      <w:sz w:val="21"/>
                      <w:lang w:val="en-US" w:eastAsia="zh-CN"/>
                    </w:rPr>
                  </w:pPr>
                  <w:r>
                    <w:rPr>
                      <w:rFonts w:hint="eastAsia" w:cs="Times New Roman"/>
                      <w:color w:val="auto"/>
                      <w:sz w:val="21"/>
                      <w:szCs w:val="20"/>
                      <w:lang w:val="en-US" w:eastAsia="zh-CN"/>
                    </w:rPr>
                    <w:t>25</w:t>
                  </w:r>
                </w:p>
              </w:tc>
              <w:tc>
                <w:tcPr>
                  <w:tcW w:w="837" w:type="pct"/>
                  <w:vAlign w:val="center"/>
                </w:tcPr>
                <w:p w14:paraId="5BBB5008">
                  <w:pPr>
                    <w:pStyle w:val="53"/>
                    <w:keepNext w:val="0"/>
                    <w:keepLines w:val="0"/>
                    <w:suppressLineNumbers w:val="0"/>
                    <w:spacing w:before="0" w:beforeLines="0" w:beforeAutospacing="0" w:after="0" w:afterLines="0" w:afterAutospacing="0" w:line="240" w:lineRule="auto"/>
                    <w:ind w:left="0" w:right="0"/>
                    <w:rPr>
                      <w:rFonts w:hint="default" w:cs="Times New Roman"/>
                      <w:color w:val="auto"/>
                      <w:sz w:val="21"/>
                      <w:szCs w:val="20"/>
                      <w:lang w:val="en-US" w:eastAsia="zh-CN"/>
                    </w:rPr>
                  </w:pPr>
                  <w:r>
                    <w:rPr>
                      <w:rFonts w:hint="eastAsia" w:ascii="Times New Roman"/>
                      <w:color w:val="auto"/>
                      <w:szCs w:val="21"/>
                    </w:rPr>
                    <w:t>5.7</w:t>
                  </w:r>
                </w:p>
              </w:tc>
              <w:tc>
                <w:tcPr>
                  <w:tcW w:w="819" w:type="pct"/>
                  <w:vAlign w:val="center"/>
                </w:tcPr>
                <w:p w14:paraId="46621E2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s="Times New Roman"/>
                      <w:color w:val="auto"/>
                      <w:sz w:val="21"/>
                      <w:lang w:val="en-US" w:eastAsia="zh-CN"/>
                    </w:rPr>
                  </w:pPr>
                  <w:r>
                    <w:rPr>
                      <w:rFonts w:hint="default" w:ascii="Times New Roman" w:hAnsi="Times New Roman" w:cs="Times New Roman"/>
                      <w:color w:val="auto"/>
                      <w:sz w:val="21"/>
                      <w:szCs w:val="21"/>
                    </w:rPr>
                    <w:t>45</w:t>
                  </w:r>
                </w:p>
              </w:tc>
              <w:tc>
                <w:tcPr>
                  <w:tcW w:w="1839" w:type="pct"/>
                  <w:vMerge w:val="continue"/>
                  <w:vAlign w:val="center"/>
                </w:tcPr>
                <w:p w14:paraId="147996FE">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rPr>
                  </w:pPr>
                </w:p>
              </w:tc>
            </w:tr>
            <w:tr w14:paraId="599CB2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793" w:type="pct"/>
                  <w:vAlign w:val="center"/>
                </w:tcPr>
                <w:p w14:paraId="56E917AD">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非甲烷总烃</w:t>
                  </w:r>
                </w:p>
              </w:tc>
              <w:tc>
                <w:tcPr>
                  <w:tcW w:w="710" w:type="pct"/>
                  <w:vAlign w:val="center"/>
                </w:tcPr>
                <w:p w14:paraId="11C374D1">
                  <w:pPr>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0"/>
                      <w:lang w:val="en-US" w:eastAsia="zh-CN"/>
                    </w:rPr>
                  </w:pPr>
                  <w:r>
                    <w:rPr>
                      <w:rFonts w:hint="eastAsia" w:cs="Times New Roman"/>
                      <w:color w:val="auto"/>
                      <w:sz w:val="21"/>
                      <w:szCs w:val="20"/>
                      <w:lang w:val="en-US" w:eastAsia="zh-CN"/>
                    </w:rPr>
                    <w:t>25</w:t>
                  </w:r>
                </w:p>
              </w:tc>
              <w:tc>
                <w:tcPr>
                  <w:tcW w:w="837" w:type="pct"/>
                  <w:vAlign w:val="center"/>
                </w:tcPr>
                <w:p w14:paraId="7C4A79A8">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cs="Times New Roman"/>
                      <w:color w:val="auto"/>
                      <w:sz w:val="21"/>
                      <w:szCs w:val="20"/>
                      <w:lang w:val="en-US" w:eastAsia="zh-CN"/>
                    </w:rPr>
                  </w:pPr>
                  <w:r>
                    <w:rPr>
                      <w:rFonts w:hint="eastAsia" w:ascii="Times New Roman"/>
                      <w:color w:val="auto"/>
                      <w:szCs w:val="21"/>
                    </w:rPr>
                    <w:t>6.6</w:t>
                  </w:r>
                </w:p>
              </w:tc>
              <w:tc>
                <w:tcPr>
                  <w:tcW w:w="819" w:type="pct"/>
                  <w:vAlign w:val="center"/>
                </w:tcPr>
                <w:p w14:paraId="307BEF7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45</w:t>
                  </w:r>
                </w:p>
              </w:tc>
              <w:tc>
                <w:tcPr>
                  <w:tcW w:w="1839" w:type="pct"/>
                  <w:vAlign w:val="center"/>
                </w:tcPr>
                <w:p w14:paraId="6D87C915">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rPr>
                  </w:pPr>
                  <w:r>
                    <w:rPr>
                      <w:rFonts w:hint="eastAsia"/>
                      <w:color w:val="auto"/>
                      <w:szCs w:val="21"/>
                    </w:rPr>
                    <w:t>《工业企业挥发性有机物排放标准》(DB35/ 1782-2018</w:t>
                  </w:r>
                  <w:r>
                    <w:rPr>
                      <w:rFonts w:hint="eastAsia"/>
                      <w:color w:val="auto"/>
                      <w:szCs w:val="21"/>
                      <w:shd w:val="clear" w:fill="FFFFFF"/>
                    </w:rPr>
                    <w:t>)</w:t>
                  </w:r>
                  <w:r>
                    <w:rPr>
                      <w:rFonts w:hint="eastAsia"/>
                      <w:color w:val="auto"/>
                      <w:szCs w:val="21"/>
                    </w:rPr>
                    <w:t>表1</w:t>
                  </w:r>
                </w:p>
              </w:tc>
            </w:tr>
            <w:tr w14:paraId="1DD6B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93" w:type="pct"/>
                  <w:vAlign w:val="center"/>
                </w:tcPr>
                <w:p w14:paraId="457A12F0">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氨</w:t>
                  </w:r>
                </w:p>
              </w:tc>
              <w:tc>
                <w:tcPr>
                  <w:tcW w:w="710" w:type="pct"/>
                  <w:vAlign w:val="center"/>
                </w:tcPr>
                <w:p w14:paraId="09917C58">
                  <w:pPr>
                    <w:keepNext w:val="0"/>
                    <w:keepLines w:val="0"/>
                    <w:suppressLineNumbers w:val="0"/>
                    <w:bidi w:val="0"/>
                    <w:spacing w:before="0" w:beforeAutospacing="0" w:after="0" w:afterAutospacing="0"/>
                    <w:ind w:left="0" w:leftChars="0" w:right="0" w:firstLine="0" w:firstLineChars="0"/>
                    <w:jc w:val="center"/>
                    <w:rPr>
                      <w:rFonts w:hint="default" w:cs="Times New Roman"/>
                      <w:color w:val="auto"/>
                      <w:sz w:val="21"/>
                      <w:lang w:val="en-US" w:eastAsia="zh-CN"/>
                    </w:rPr>
                  </w:pPr>
                  <w:r>
                    <w:rPr>
                      <w:rFonts w:hint="eastAsia" w:cs="Times New Roman"/>
                      <w:color w:val="auto"/>
                      <w:sz w:val="21"/>
                      <w:szCs w:val="20"/>
                      <w:lang w:val="en-US" w:eastAsia="zh-CN"/>
                    </w:rPr>
                    <w:t>25</w:t>
                  </w:r>
                </w:p>
              </w:tc>
              <w:tc>
                <w:tcPr>
                  <w:tcW w:w="837" w:type="pct"/>
                  <w:vAlign w:val="center"/>
                </w:tcPr>
                <w:p w14:paraId="45C93AB0">
                  <w:pPr>
                    <w:pStyle w:val="37"/>
                    <w:keepNext w:val="0"/>
                    <w:keepLines w:val="0"/>
                    <w:widowControl/>
                    <w:suppressLineNumbers w:val="0"/>
                    <w:bidi w:val="0"/>
                    <w:spacing w:before="0" w:beforeAutospacing="0" w:after="0" w:afterAutospacing="0"/>
                    <w:ind w:left="0" w:leftChars="0" w:right="0" w:firstLine="0" w:firstLineChars="0"/>
                    <w:jc w:val="center"/>
                    <w:rPr>
                      <w:rFonts w:hint="default" w:cs="Times New Roman"/>
                      <w:color w:val="auto"/>
                      <w:sz w:val="21"/>
                      <w:szCs w:val="20"/>
                      <w:lang w:val="en-US" w:eastAsia="zh-CN"/>
                    </w:rPr>
                  </w:pPr>
                  <w:r>
                    <w:rPr>
                      <w:rFonts w:hint="eastAsia" w:cs="Times New Roman"/>
                      <w:color w:val="auto"/>
                      <w:sz w:val="21"/>
                      <w:szCs w:val="20"/>
                      <w:lang w:val="en-US" w:eastAsia="zh-CN"/>
                    </w:rPr>
                    <w:t>14</w:t>
                  </w:r>
                </w:p>
              </w:tc>
              <w:tc>
                <w:tcPr>
                  <w:tcW w:w="819" w:type="pct"/>
                  <w:vAlign w:val="center"/>
                </w:tcPr>
                <w:p w14:paraId="1F3F837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839" w:type="pct"/>
                  <w:vMerge w:val="restart"/>
                  <w:vAlign w:val="center"/>
                </w:tcPr>
                <w:p w14:paraId="18E01AF3">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0"/>
                      <w:lang w:val="en-US" w:eastAsia="zh-CN"/>
                    </w:rPr>
                  </w:pPr>
                  <w:r>
                    <w:rPr>
                      <w:rFonts w:hint="eastAsia"/>
                      <w:color w:val="auto"/>
                      <w:szCs w:val="20"/>
                      <w:lang w:val="en-US" w:eastAsia="zh-CN"/>
                    </w:rPr>
                    <w:t>《恶臭污染物排放标准》（</w:t>
                  </w:r>
                  <w:r>
                    <w:rPr>
                      <w:rFonts w:hint="default"/>
                      <w:color w:val="auto"/>
                      <w:szCs w:val="20"/>
                      <w:lang w:val="en-US" w:eastAsia="zh-CN"/>
                    </w:rPr>
                    <w:t>GB14554-93</w:t>
                  </w:r>
                  <w:r>
                    <w:rPr>
                      <w:rFonts w:hint="eastAsia"/>
                      <w:color w:val="auto"/>
                      <w:szCs w:val="20"/>
                      <w:lang w:val="en-US" w:eastAsia="zh-CN"/>
                    </w:rPr>
                    <w:t>）表2</w:t>
                  </w:r>
                </w:p>
              </w:tc>
            </w:tr>
            <w:tr w14:paraId="37D5B1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93" w:type="pct"/>
                  <w:shd w:val="clear" w:color="auto" w:fill="auto"/>
                  <w:vAlign w:val="center"/>
                </w:tcPr>
                <w:p w14:paraId="092815F2">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臭气浓度</w:t>
                  </w:r>
                </w:p>
              </w:tc>
              <w:tc>
                <w:tcPr>
                  <w:tcW w:w="710" w:type="pct"/>
                  <w:shd w:val="clear" w:color="auto" w:fill="auto"/>
                  <w:vAlign w:val="center"/>
                </w:tcPr>
                <w:p w14:paraId="01078806">
                  <w:pPr>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4"/>
                      <w:lang w:val="en-US" w:eastAsia="zh-CN" w:bidi="ar-SA"/>
                    </w:rPr>
                  </w:pPr>
                  <w:r>
                    <w:rPr>
                      <w:rFonts w:hint="eastAsia" w:cs="Times New Roman"/>
                      <w:color w:val="auto"/>
                      <w:sz w:val="21"/>
                      <w:szCs w:val="20"/>
                      <w:lang w:val="en-US" w:eastAsia="zh-CN"/>
                    </w:rPr>
                    <w:t>25</w:t>
                  </w:r>
                </w:p>
              </w:tc>
              <w:tc>
                <w:tcPr>
                  <w:tcW w:w="837" w:type="pct"/>
                  <w:shd w:val="clear" w:color="auto" w:fill="auto"/>
                  <w:vAlign w:val="center"/>
                </w:tcPr>
                <w:p w14:paraId="683A1C3D">
                  <w:pPr>
                    <w:pStyle w:val="37"/>
                    <w:keepNext w:val="0"/>
                    <w:keepLines w:val="0"/>
                    <w:widowControl/>
                    <w:suppressLineNumbers w:val="0"/>
                    <w:bidi w:val="0"/>
                    <w:spacing w:before="0" w:beforeAutospacing="0" w:after="0" w:afterAutospacing="0"/>
                    <w:ind w:left="0" w:leftChars="0" w:right="0" w:firstLine="0" w:firstLineChars="0"/>
                    <w:jc w:val="center"/>
                    <w:rPr>
                      <w:rFonts w:hint="eastAsia" w:cs="Times New Roman"/>
                      <w:color w:val="auto"/>
                      <w:sz w:val="21"/>
                      <w:szCs w:val="20"/>
                      <w:lang w:val="en-US" w:eastAsia="zh-CN"/>
                    </w:rPr>
                  </w:pPr>
                  <w:r>
                    <w:rPr>
                      <w:rFonts w:hint="eastAsia" w:cs="Times New Roman"/>
                      <w:color w:val="auto"/>
                      <w:sz w:val="21"/>
                      <w:szCs w:val="20"/>
                      <w:lang w:val="en-US" w:eastAsia="zh-CN"/>
                    </w:rPr>
                    <w:t>6000</w:t>
                  </w:r>
                </w:p>
                <w:p w14:paraId="061CBD2F">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0"/>
                      <w:lang w:val="en-US" w:eastAsia="zh-CN"/>
                    </w:rPr>
                  </w:pPr>
                  <w:r>
                    <w:rPr>
                      <w:rFonts w:hint="eastAsia" w:cs="Times New Roman"/>
                      <w:color w:val="auto"/>
                      <w:sz w:val="21"/>
                      <w:szCs w:val="20"/>
                      <w:lang w:val="en-US" w:eastAsia="zh-CN"/>
                    </w:rPr>
                    <w:t>（无量纲）</w:t>
                  </w:r>
                </w:p>
              </w:tc>
              <w:tc>
                <w:tcPr>
                  <w:tcW w:w="819" w:type="pct"/>
                  <w:shd w:val="clear" w:color="auto" w:fill="auto"/>
                  <w:vAlign w:val="center"/>
                </w:tcPr>
                <w:p w14:paraId="6D37628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w:t>
                  </w:r>
                </w:p>
              </w:tc>
              <w:tc>
                <w:tcPr>
                  <w:tcW w:w="1839" w:type="pct"/>
                  <w:vMerge w:val="continue"/>
                  <w:shd w:val="clear" w:color="auto" w:fill="auto"/>
                  <w:vAlign w:val="center"/>
                </w:tcPr>
                <w:p w14:paraId="7CE0198F">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0"/>
                      <w:lang w:val="en-US" w:eastAsia="zh-CN"/>
                    </w:rPr>
                  </w:pPr>
                </w:p>
              </w:tc>
            </w:tr>
            <w:tr w14:paraId="6D6E3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1" w:hRule="atLeast"/>
              </w:trPr>
              <w:tc>
                <w:tcPr>
                  <w:tcW w:w="5000" w:type="pct"/>
                  <w:gridSpan w:val="5"/>
                  <w:shd w:val="clear" w:color="auto" w:fill="auto"/>
                  <w:vAlign w:val="center"/>
                </w:tcPr>
                <w:p w14:paraId="613AB9E4">
                  <w:pPr>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color w:val="auto"/>
                      <w:sz w:val="21"/>
                      <w:szCs w:val="20"/>
                      <w:lang w:val="en-US" w:eastAsia="zh-CN"/>
                    </w:rPr>
                  </w:pPr>
                  <w:r>
                    <w:rPr>
                      <w:rFonts w:hint="eastAsia"/>
                      <w:b/>
                      <w:bCs/>
                      <w:color w:val="auto"/>
                      <w:sz w:val="18"/>
                      <w:szCs w:val="18"/>
                    </w:rPr>
                    <w:t>注：氯化氢</w:t>
                  </w:r>
                  <w:r>
                    <w:rPr>
                      <w:rFonts w:hint="eastAsia"/>
                      <w:b/>
                      <w:bCs/>
                      <w:color w:val="auto"/>
                      <w:sz w:val="18"/>
                      <w:szCs w:val="18"/>
                      <w:lang w:eastAsia="zh-CN"/>
                    </w:rPr>
                    <w:t>、</w:t>
                  </w:r>
                  <w:r>
                    <w:rPr>
                      <w:rFonts w:hint="eastAsia"/>
                      <w:b/>
                      <w:bCs/>
                      <w:color w:val="auto"/>
                      <w:sz w:val="18"/>
                      <w:szCs w:val="18"/>
                    </w:rPr>
                    <w:t>硫酸雾</w:t>
                  </w:r>
                  <w:r>
                    <w:rPr>
                      <w:rFonts w:hint="eastAsia"/>
                      <w:b/>
                      <w:bCs/>
                      <w:color w:val="auto"/>
                      <w:sz w:val="18"/>
                      <w:szCs w:val="18"/>
                      <w:lang w:eastAsia="zh-CN"/>
                    </w:rPr>
                    <w:t>、</w:t>
                  </w:r>
                  <w:r>
                    <w:rPr>
                      <w:rFonts w:hint="eastAsia"/>
                      <w:b/>
                      <w:bCs/>
                      <w:color w:val="auto"/>
                      <w:sz w:val="18"/>
                      <w:szCs w:val="18"/>
                    </w:rPr>
                    <w:t>非甲烷总烃25m排气筒排放速率采用内插法计算。</w:t>
                  </w:r>
                </w:p>
              </w:tc>
            </w:tr>
          </w:tbl>
          <w:p w14:paraId="5B6F1149">
            <w:pPr>
              <w:pStyle w:val="69"/>
              <w:keepNext w:val="0"/>
              <w:keepLines w:val="0"/>
              <w:suppressLineNumbers w:val="0"/>
              <w:bidi w:val="0"/>
              <w:spacing w:beforeAutospacing="0" w:after="0" w:afterAutospacing="0"/>
              <w:ind w:left="0" w:right="0"/>
              <w:rPr>
                <w:rFonts w:hint="eastAsia"/>
                <w:color w:val="auto"/>
              </w:rPr>
            </w:pPr>
            <w:r>
              <w:rPr>
                <w:rFonts w:hint="eastAsia"/>
                <w:color w:val="auto"/>
              </w:rPr>
              <w:t>（2）无组织废气</w:t>
            </w:r>
          </w:p>
          <w:p w14:paraId="3C75AFC3">
            <w:pPr>
              <w:pStyle w:val="36"/>
              <w:keepNext w:val="0"/>
              <w:keepLines w:val="0"/>
              <w:suppressLineNumbers w:val="0"/>
              <w:bidi w:val="0"/>
              <w:spacing w:before="0" w:beforeAutospacing="0" w:after="0" w:afterAutospacing="0"/>
              <w:ind w:left="0" w:right="0"/>
              <w:rPr>
                <w:rFonts w:hint="default" w:ascii="Times New Roman" w:hAnsi="Times New Roman"/>
                <w:color w:val="auto"/>
                <w:lang w:val="en-US" w:eastAsia="zh-CN"/>
              </w:rPr>
            </w:pPr>
            <w:r>
              <w:rPr>
                <w:rFonts w:hint="eastAsia" w:ascii="Times New Roman" w:hAnsi="Times New Roman"/>
                <w:color w:val="auto"/>
                <w:lang w:val="en-US" w:eastAsia="zh-CN"/>
              </w:rPr>
              <w:t>少量未完全收集的</w:t>
            </w:r>
            <w:r>
              <w:rPr>
                <w:rFonts w:hint="default" w:ascii="Times New Roman" w:hAnsi="Times New Roman"/>
                <w:color w:val="auto"/>
                <w:lang w:val="en-US" w:eastAsia="zh-CN"/>
              </w:rPr>
              <w:t>氯化氢</w:t>
            </w:r>
            <w:r>
              <w:rPr>
                <w:rFonts w:hint="eastAsia" w:ascii="Times New Roman" w:hAnsi="Times New Roman"/>
                <w:color w:val="auto"/>
                <w:lang w:val="en-US" w:eastAsia="zh-CN"/>
              </w:rPr>
              <w:t>、</w:t>
            </w:r>
            <w:r>
              <w:rPr>
                <w:rFonts w:hint="default" w:ascii="Times New Roman" w:hAnsi="Times New Roman"/>
                <w:color w:val="auto"/>
                <w:lang w:val="en-US" w:eastAsia="zh-CN"/>
              </w:rPr>
              <w:t>硫酸雾</w:t>
            </w:r>
            <w:r>
              <w:rPr>
                <w:rFonts w:hint="eastAsia" w:ascii="Times New Roman" w:hAnsi="Times New Roman"/>
                <w:color w:val="auto"/>
                <w:lang w:val="en-US" w:eastAsia="zh-CN"/>
              </w:rPr>
              <w:t>以无组织形式排放，执行《大气污染物综合排放标准》（GB 16297-1996），</w:t>
            </w:r>
            <w:r>
              <w:rPr>
                <w:rFonts w:hint="default" w:ascii="Times New Roman" w:hAnsi="Times New Roman" w:eastAsia="宋体" w:cs="宋体"/>
                <w:color w:val="auto"/>
                <w:kern w:val="0"/>
                <w:sz w:val="24"/>
                <w:szCs w:val="20"/>
                <w:lang w:val="zh-CN" w:eastAsia="zh-CN" w:bidi="ar-SA"/>
              </w:rPr>
              <w:t>非甲烷总烃</w:t>
            </w:r>
            <w:r>
              <w:rPr>
                <w:rFonts w:hint="default"/>
                <w:color w:val="auto"/>
                <w:lang w:val="en-US" w:eastAsia="zh-CN"/>
              </w:rPr>
              <w:t>排放</w:t>
            </w:r>
            <w:r>
              <w:rPr>
                <w:rFonts w:hint="eastAsia"/>
                <w:color w:val="auto"/>
                <w:lang w:val="en-US" w:eastAsia="zh-CN"/>
              </w:rPr>
              <w:t>参照</w:t>
            </w:r>
            <w:r>
              <w:rPr>
                <w:rFonts w:hint="eastAsia"/>
                <w:color w:val="auto"/>
                <w:szCs w:val="21"/>
              </w:rPr>
              <w:t>《工业企业挥发性有机物排放标准》(DB35/ 1782-2018</w:t>
            </w:r>
            <w:r>
              <w:rPr>
                <w:rFonts w:hint="eastAsia"/>
                <w:color w:val="auto"/>
                <w:szCs w:val="21"/>
                <w:shd w:val="clear" w:fill="FFFFFF"/>
              </w:rPr>
              <w:t>)</w:t>
            </w:r>
            <w:r>
              <w:rPr>
                <w:rFonts w:hint="eastAsia"/>
                <w:color w:val="auto"/>
                <w:szCs w:val="21"/>
              </w:rPr>
              <w:t>表</w:t>
            </w:r>
            <w:r>
              <w:rPr>
                <w:rFonts w:hint="eastAsia"/>
                <w:color w:val="auto"/>
                <w:szCs w:val="21"/>
                <w:lang w:val="en-US" w:eastAsia="zh-CN"/>
              </w:rPr>
              <w:t>2、</w:t>
            </w:r>
            <w:r>
              <w:rPr>
                <w:rFonts w:hint="eastAsia"/>
                <w:color w:val="auto"/>
                <w:szCs w:val="21"/>
              </w:rPr>
              <w:t>表</w:t>
            </w:r>
            <w:r>
              <w:rPr>
                <w:rFonts w:hint="eastAsia"/>
                <w:color w:val="auto"/>
                <w:szCs w:val="21"/>
                <w:lang w:val="en-US" w:eastAsia="zh-CN"/>
              </w:rPr>
              <w:t>3</w:t>
            </w:r>
            <w:r>
              <w:rPr>
                <w:rFonts w:hint="default"/>
                <w:color w:val="auto"/>
                <w:szCs w:val="21"/>
                <w:lang w:val="en-US" w:eastAsia="zh-CN"/>
              </w:rPr>
              <w:t>标准</w:t>
            </w:r>
            <w:r>
              <w:rPr>
                <w:rFonts w:hint="eastAsia"/>
                <w:color w:val="auto"/>
                <w:szCs w:val="21"/>
                <w:lang w:val="en-US" w:eastAsia="zh-CN"/>
              </w:rPr>
              <w:t>及</w:t>
            </w:r>
            <w:r>
              <w:rPr>
                <w:rFonts w:hint="eastAsia"/>
                <w:color w:val="auto"/>
                <w:szCs w:val="21"/>
              </w:rPr>
              <w:t>《挥发性有机物无组织排放控制标准》(GB 37822-2019</w:t>
            </w:r>
            <w:r>
              <w:rPr>
                <w:rFonts w:hint="eastAsia"/>
                <w:color w:val="auto"/>
                <w:szCs w:val="21"/>
                <w:shd w:val="clear" w:fill="FFFFFF"/>
              </w:rPr>
              <w:t>)</w:t>
            </w:r>
            <w:r>
              <w:rPr>
                <w:rFonts w:hint="eastAsia"/>
                <w:color w:val="auto"/>
                <w:szCs w:val="21"/>
              </w:rPr>
              <w:t>中附录A表A.1</w:t>
            </w:r>
            <w:r>
              <w:rPr>
                <w:rFonts w:hint="eastAsia"/>
                <w:color w:val="auto"/>
                <w:szCs w:val="21"/>
                <w:lang w:eastAsia="zh-CN"/>
              </w:rPr>
              <w:t>，</w:t>
            </w:r>
            <w:r>
              <w:rPr>
                <w:rFonts w:hint="eastAsia" w:ascii="Times New Roman" w:hAnsi="Times New Roman"/>
                <w:color w:val="auto"/>
                <w:lang w:val="en-US" w:eastAsia="zh-CN"/>
              </w:rPr>
              <w:t>厂界</w:t>
            </w:r>
            <w:r>
              <w:rPr>
                <w:rFonts w:hint="eastAsia"/>
                <w:color w:val="auto"/>
                <w:lang w:val="en-US" w:eastAsia="zh-CN"/>
              </w:rPr>
              <w:t>氨、臭气浓度</w:t>
            </w:r>
            <w:r>
              <w:rPr>
                <w:rFonts w:hint="eastAsia" w:ascii="Times New Roman" w:hAnsi="Times New Roman"/>
                <w:color w:val="auto"/>
                <w:lang w:val="en-US" w:eastAsia="zh-CN"/>
              </w:rPr>
              <w:t>执行</w:t>
            </w:r>
            <w:r>
              <w:rPr>
                <w:rFonts w:hint="eastAsia"/>
                <w:color w:val="auto"/>
                <w:lang w:val="en-US" w:eastAsia="zh-CN"/>
              </w:rPr>
              <w:t>《恶臭污染物排放标准》（</w:t>
            </w:r>
            <w:r>
              <w:rPr>
                <w:rFonts w:hint="default"/>
                <w:color w:val="auto"/>
                <w:lang w:val="en-US" w:eastAsia="zh-CN"/>
              </w:rPr>
              <w:t>GB14554-93</w:t>
            </w:r>
            <w:r>
              <w:rPr>
                <w:rFonts w:hint="eastAsia"/>
                <w:color w:val="auto"/>
                <w:lang w:val="en-US" w:eastAsia="zh-CN"/>
              </w:rPr>
              <w:t>）表1标准。</w:t>
            </w:r>
          </w:p>
          <w:p w14:paraId="10260020">
            <w:pPr>
              <w:pStyle w:val="35"/>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Autospacing="0"/>
              <w:ind w:left="0" w:leftChars="0" w:right="0" w:firstLine="0" w:firstLineChars="0"/>
              <w:textAlignment w:val="auto"/>
              <w:rPr>
                <w:rFonts w:hint="default"/>
                <w:color w:val="auto"/>
                <w:lang w:val="en-US" w:eastAsia="zh-CN"/>
              </w:rPr>
            </w:pPr>
            <w:bookmarkStart w:id="62" w:name="_Ref3954"/>
            <w:r>
              <w:rPr>
                <w:rFonts w:hint="eastAsia"/>
                <w:color w:val="auto"/>
                <w:lang w:val="en-US" w:eastAsia="zh-CN"/>
              </w:rPr>
              <w:t>无组织大气污染物排放标准限值一览表</w:t>
            </w:r>
            <w:bookmarkEnd w:id="62"/>
          </w:p>
          <w:tbl>
            <w:tblPr>
              <w:tblStyle w:val="29"/>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1021"/>
              <w:gridCol w:w="1079"/>
              <w:gridCol w:w="1215"/>
              <w:gridCol w:w="3635"/>
            </w:tblGrid>
            <w:tr w14:paraId="73278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781" w:type="pct"/>
                  <w:vAlign w:val="center"/>
                </w:tcPr>
                <w:p w14:paraId="3B27396A">
                  <w:pPr>
                    <w:pStyle w:val="37"/>
                    <w:keepNext w:val="0"/>
                    <w:keepLines w:val="0"/>
                    <w:widowControl/>
                    <w:suppressLineNumbers w:val="0"/>
                    <w:bidi w:val="0"/>
                    <w:spacing w:before="0" w:beforeAutospacing="0" w:after="0" w:afterAutospacing="0"/>
                    <w:ind w:right="0"/>
                    <w:jc w:val="center"/>
                    <w:rPr>
                      <w:rFonts w:hint="eastAsia" w:eastAsia="宋体"/>
                      <w:color w:val="auto"/>
                      <w:szCs w:val="20"/>
                      <w:lang w:val="en-US" w:eastAsia="zh-CN"/>
                    </w:rPr>
                  </w:pPr>
                  <w:r>
                    <w:rPr>
                      <w:rFonts w:hint="eastAsia"/>
                      <w:color w:val="auto"/>
                      <w:szCs w:val="20"/>
                      <w:lang w:val="en-US" w:eastAsia="zh-CN"/>
                    </w:rPr>
                    <w:t>污染物</w:t>
                  </w:r>
                </w:p>
              </w:tc>
              <w:tc>
                <w:tcPr>
                  <w:tcW w:w="1274" w:type="pct"/>
                  <w:gridSpan w:val="2"/>
                  <w:vAlign w:val="center"/>
                </w:tcPr>
                <w:p w14:paraId="294EAED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监控点</w:t>
                  </w:r>
                </w:p>
              </w:tc>
              <w:tc>
                <w:tcPr>
                  <w:tcW w:w="737" w:type="pct"/>
                  <w:vAlign w:val="center"/>
                </w:tcPr>
                <w:p w14:paraId="5124B09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排放限值mg/m</w:t>
                  </w:r>
                  <w:r>
                    <w:rPr>
                      <w:rFonts w:hint="eastAsia"/>
                      <w:color w:val="auto"/>
                      <w:szCs w:val="20"/>
                      <w:vertAlign w:val="superscript"/>
                      <w:lang w:val="en-US" w:eastAsia="zh-CN"/>
                    </w:rPr>
                    <w:t>3</w:t>
                  </w:r>
                </w:p>
              </w:tc>
              <w:tc>
                <w:tcPr>
                  <w:tcW w:w="2206" w:type="pct"/>
                  <w:vAlign w:val="center"/>
                </w:tcPr>
                <w:p w14:paraId="042C9173">
                  <w:pPr>
                    <w:pStyle w:val="37"/>
                    <w:keepNext w:val="0"/>
                    <w:keepLines w:val="0"/>
                    <w:widowControl/>
                    <w:suppressLineNumbers w:val="0"/>
                    <w:bidi w:val="0"/>
                    <w:spacing w:before="0" w:beforeAutospacing="0" w:after="0" w:afterAutospacing="0"/>
                    <w:ind w:right="0"/>
                    <w:jc w:val="center"/>
                    <w:rPr>
                      <w:rFonts w:hint="eastAsia" w:eastAsia="宋体"/>
                      <w:color w:val="auto"/>
                      <w:szCs w:val="20"/>
                      <w:lang w:val="en-US" w:eastAsia="zh-CN"/>
                    </w:rPr>
                  </w:pPr>
                  <w:r>
                    <w:rPr>
                      <w:rFonts w:hint="eastAsia"/>
                      <w:color w:val="auto"/>
                      <w:szCs w:val="20"/>
                      <w:lang w:val="en-US" w:eastAsia="zh-CN"/>
                    </w:rPr>
                    <w:t>标准来源</w:t>
                  </w:r>
                </w:p>
              </w:tc>
            </w:tr>
            <w:tr w14:paraId="6EC8B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pct"/>
                  <w:vAlign w:val="center"/>
                </w:tcPr>
                <w:p w14:paraId="6A984E16">
                  <w:pPr>
                    <w:pStyle w:val="37"/>
                    <w:keepNext w:val="0"/>
                    <w:keepLines w:val="0"/>
                    <w:widowControl/>
                    <w:suppressLineNumbers w:val="0"/>
                    <w:bidi w:val="0"/>
                    <w:spacing w:before="0" w:beforeAutospacing="0" w:after="0" w:afterAutospacing="0"/>
                    <w:ind w:left="0" w:leftChars="0" w:right="0" w:firstLine="0" w:firstLineChars="0"/>
                    <w:jc w:val="center"/>
                    <w:rPr>
                      <w:rFonts w:hint="eastAsia" w:eastAsia="宋体"/>
                      <w:color w:val="auto"/>
                      <w:szCs w:val="20"/>
                      <w:lang w:val="en-US" w:eastAsia="zh-CN"/>
                    </w:rPr>
                  </w:pPr>
                  <w:r>
                    <w:rPr>
                      <w:rFonts w:hint="default" w:ascii="Times New Roman" w:hAnsi="Times New Roman" w:cs="Times New Roman"/>
                      <w:color w:val="auto"/>
                      <w:sz w:val="21"/>
                      <w:szCs w:val="21"/>
                    </w:rPr>
                    <w:t>氯化氢</w:t>
                  </w:r>
                </w:p>
              </w:tc>
              <w:tc>
                <w:tcPr>
                  <w:tcW w:w="1274" w:type="pct"/>
                  <w:gridSpan w:val="2"/>
                  <w:vAlign w:val="center"/>
                </w:tcPr>
                <w:p w14:paraId="31CD7D7B">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周界外浓度最高点</w:t>
                  </w:r>
                </w:p>
              </w:tc>
              <w:tc>
                <w:tcPr>
                  <w:tcW w:w="737" w:type="pct"/>
                  <w:vAlign w:val="center"/>
                </w:tcPr>
                <w:p w14:paraId="1643BFCB">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0.2</w:t>
                  </w:r>
                </w:p>
              </w:tc>
              <w:tc>
                <w:tcPr>
                  <w:tcW w:w="2206" w:type="pct"/>
                  <w:vMerge w:val="restart"/>
                  <w:vAlign w:val="center"/>
                </w:tcPr>
                <w:p w14:paraId="35AD0957">
                  <w:pPr>
                    <w:pStyle w:val="37"/>
                    <w:keepNext w:val="0"/>
                    <w:keepLines w:val="0"/>
                    <w:widowControl/>
                    <w:suppressLineNumbers w:val="0"/>
                    <w:bidi w:val="0"/>
                    <w:spacing w:before="0" w:beforeAutospacing="0" w:after="0" w:afterAutospacing="0"/>
                    <w:ind w:right="0"/>
                    <w:jc w:val="center"/>
                    <w:rPr>
                      <w:rFonts w:hint="default" w:eastAsia="宋体"/>
                      <w:color w:val="auto"/>
                      <w:szCs w:val="20"/>
                      <w:lang w:val="en-US" w:eastAsia="zh-CN"/>
                    </w:rPr>
                  </w:pPr>
                  <w:r>
                    <w:rPr>
                      <w:rFonts w:hint="eastAsia"/>
                      <w:color w:val="auto"/>
                      <w:szCs w:val="20"/>
                    </w:rPr>
                    <w:t>《大气污染物综合排放标准》（GB 16297-1996）</w:t>
                  </w:r>
                  <w:r>
                    <w:rPr>
                      <w:rFonts w:hint="eastAsia"/>
                      <w:color w:val="auto"/>
                      <w:szCs w:val="20"/>
                      <w:lang w:val="en-US" w:eastAsia="zh-CN"/>
                    </w:rPr>
                    <w:t>表2</w:t>
                  </w:r>
                </w:p>
              </w:tc>
            </w:tr>
            <w:tr w14:paraId="025DA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pct"/>
                  <w:vAlign w:val="center"/>
                </w:tcPr>
                <w:p w14:paraId="4CC611A5">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lang w:val="en-US" w:eastAsia="zh-CN"/>
                    </w:rPr>
                  </w:pPr>
                  <w:r>
                    <w:rPr>
                      <w:rFonts w:hint="default" w:ascii="Times New Roman" w:hAnsi="Times New Roman" w:cs="Times New Roman"/>
                      <w:color w:val="auto"/>
                      <w:sz w:val="21"/>
                      <w:szCs w:val="21"/>
                    </w:rPr>
                    <w:t>硫酸雾</w:t>
                  </w:r>
                </w:p>
              </w:tc>
              <w:tc>
                <w:tcPr>
                  <w:tcW w:w="1274" w:type="pct"/>
                  <w:gridSpan w:val="2"/>
                  <w:vAlign w:val="center"/>
                </w:tcPr>
                <w:p w14:paraId="224F73EE">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color w:val="auto"/>
                      <w:szCs w:val="20"/>
                      <w:lang w:val="en-US" w:eastAsia="zh-CN"/>
                    </w:rPr>
                    <w:t>周界外浓度最高点</w:t>
                  </w:r>
                </w:p>
              </w:tc>
              <w:tc>
                <w:tcPr>
                  <w:tcW w:w="737" w:type="pct"/>
                  <w:vAlign w:val="center"/>
                </w:tcPr>
                <w:p w14:paraId="5704510C">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1.2</w:t>
                  </w:r>
                </w:p>
              </w:tc>
              <w:tc>
                <w:tcPr>
                  <w:tcW w:w="2206" w:type="pct"/>
                  <w:vMerge w:val="continue"/>
                  <w:vAlign w:val="center"/>
                </w:tcPr>
                <w:p w14:paraId="4562D6F6">
                  <w:pPr>
                    <w:pStyle w:val="37"/>
                    <w:keepNext w:val="0"/>
                    <w:keepLines w:val="0"/>
                    <w:widowControl/>
                    <w:suppressLineNumbers w:val="0"/>
                    <w:bidi w:val="0"/>
                    <w:spacing w:before="0" w:beforeAutospacing="0" w:after="0" w:afterAutospacing="0"/>
                    <w:ind w:right="0"/>
                    <w:jc w:val="center"/>
                    <w:rPr>
                      <w:rFonts w:hint="eastAsia"/>
                      <w:color w:val="auto"/>
                      <w:szCs w:val="20"/>
                    </w:rPr>
                  </w:pPr>
                </w:p>
              </w:tc>
            </w:tr>
            <w:tr w14:paraId="51F02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pct"/>
                  <w:vMerge w:val="restart"/>
                  <w:vAlign w:val="center"/>
                </w:tcPr>
                <w:p w14:paraId="653A7042">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lang w:val="en-US" w:eastAsia="zh-CN"/>
                    </w:rPr>
                  </w:pPr>
                  <w:r>
                    <w:rPr>
                      <w:rFonts w:hint="default" w:ascii="Times New Roman" w:hAnsi="Times New Roman" w:cs="Times New Roman"/>
                      <w:color w:val="auto"/>
                      <w:sz w:val="21"/>
                      <w:szCs w:val="21"/>
                    </w:rPr>
                    <w:t>非甲烷总烃</w:t>
                  </w:r>
                </w:p>
              </w:tc>
              <w:tc>
                <w:tcPr>
                  <w:tcW w:w="1274" w:type="pct"/>
                  <w:gridSpan w:val="2"/>
                  <w:vAlign w:val="center"/>
                </w:tcPr>
                <w:p w14:paraId="770C53D8">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ascii="Times New Roman"/>
                      <w:color w:val="auto"/>
                      <w:szCs w:val="21"/>
                    </w:rPr>
                    <w:t>企业边界监控点</w:t>
                  </w:r>
                </w:p>
              </w:tc>
              <w:tc>
                <w:tcPr>
                  <w:tcW w:w="737" w:type="pct"/>
                  <w:vAlign w:val="center"/>
                </w:tcPr>
                <w:p w14:paraId="35AFF245">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ascii="Times New Roman"/>
                      <w:color w:val="auto"/>
                      <w:szCs w:val="21"/>
                    </w:rPr>
                    <w:t>2.0</w:t>
                  </w:r>
                </w:p>
              </w:tc>
              <w:tc>
                <w:tcPr>
                  <w:tcW w:w="2206" w:type="pct"/>
                  <w:shd w:val="clear" w:color="auto" w:fill="auto"/>
                  <w:vAlign w:val="center"/>
                </w:tcPr>
                <w:p w14:paraId="14207A04">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Cs w:val="21"/>
                    </w:rPr>
                    <w:t>《工业企业挥发性有机物排放标准》(DB35/ 1782-2018</w:t>
                  </w:r>
                  <w:r>
                    <w:rPr>
                      <w:rFonts w:hint="eastAsia"/>
                      <w:color w:val="auto"/>
                      <w:szCs w:val="21"/>
                      <w:shd w:val="clear" w:fill="FFFFFF"/>
                    </w:rPr>
                    <w:t>)</w:t>
                  </w:r>
                  <w:r>
                    <w:rPr>
                      <w:rFonts w:hint="eastAsia"/>
                      <w:color w:val="auto"/>
                      <w:szCs w:val="21"/>
                    </w:rPr>
                    <w:t>表</w:t>
                  </w:r>
                  <w:r>
                    <w:rPr>
                      <w:rFonts w:hint="eastAsia"/>
                      <w:color w:val="auto"/>
                      <w:szCs w:val="21"/>
                      <w:lang w:val="en-US" w:eastAsia="zh-CN"/>
                    </w:rPr>
                    <w:t>3</w:t>
                  </w:r>
                </w:p>
              </w:tc>
            </w:tr>
            <w:tr w14:paraId="00526F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781" w:type="pct"/>
                  <w:vMerge w:val="continue"/>
                  <w:vAlign w:val="center"/>
                </w:tcPr>
                <w:p w14:paraId="491974A7">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rPr>
                  </w:pPr>
                </w:p>
              </w:tc>
              <w:tc>
                <w:tcPr>
                  <w:tcW w:w="619" w:type="pct"/>
                  <w:vMerge w:val="restart"/>
                  <w:vAlign w:val="center"/>
                </w:tcPr>
                <w:p w14:paraId="25BEFF8D">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ascii="Times New Roman"/>
                      <w:color w:val="auto"/>
                      <w:szCs w:val="21"/>
                      <w:lang w:val="en-US" w:eastAsia="zh-CN"/>
                    </w:rPr>
                    <w:t>厂区内</w:t>
                  </w:r>
                </w:p>
              </w:tc>
              <w:tc>
                <w:tcPr>
                  <w:tcW w:w="654" w:type="pct"/>
                  <w:vAlign w:val="center"/>
                </w:tcPr>
                <w:p w14:paraId="68CC0BFD">
                  <w:pPr>
                    <w:pStyle w:val="53"/>
                    <w:keepNext w:val="0"/>
                    <w:keepLines w:val="0"/>
                    <w:suppressLineNumbers w:val="0"/>
                    <w:spacing w:before="0" w:beforeLines="0" w:beforeAutospacing="0" w:after="0" w:afterLines="0" w:afterAutospacing="0" w:line="240" w:lineRule="auto"/>
                    <w:ind w:left="0" w:right="0"/>
                    <w:rPr>
                      <w:rFonts w:hint="eastAsia" w:ascii="Times New Roman"/>
                      <w:color w:val="auto"/>
                      <w:szCs w:val="21"/>
                    </w:rPr>
                  </w:pPr>
                  <w:r>
                    <w:rPr>
                      <w:rFonts w:hint="eastAsia" w:ascii="Times New Roman"/>
                      <w:color w:val="auto"/>
                      <w:szCs w:val="21"/>
                    </w:rPr>
                    <w:t>1h平均</w:t>
                  </w:r>
                </w:p>
              </w:tc>
              <w:tc>
                <w:tcPr>
                  <w:tcW w:w="737" w:type="pct"/>
                  <w:vAlign w:val="center"/>
                </w:tcPr>
                <w:p w14:paraId="4AA53C14">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ascii="Times New Roman"/>
                      <w:color w:val="auto"/>
                      <w:szCs w:val="21"/>
                    </w:rPr>
                    <w:t>8.0</w:t>
                  </w:r>
                </w:p>
              </w:tc>
              <w:tc>
                <w:tcPr>
                  <w:tcW w:w="2206" w:type="pct"/>
                  <w:shd w:val="clear" w:color="auto" w:fill="auto"/>
                  <w:vAlign w:val="center"/>
                </w:tcPr>
                <w:p w14:paraId="75D544A4">
                  <w:pPr>
                    <w:pStyle w:val="37"/>
                    <w:keepNext w:val="0"/>
                    <w:keepLines w:val="0"/>
                    <w:widowControl/>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kern w:val="2"/>
                      <w:sz w:val="21"/>
                      <w:szCs w:val="20"/>
                      <w:lang w:val="en-US" w:eastAsia="zh-CN" w:bidi="ar-SA"/>
                    </w:rPr>
                  </w:pPr>
                  <w:r>
                    <w:rPr>
                      <w:rFonts w:hint="eastAsia"/>
                      <w:color w:val="auto"/>
                      <w:szCs w:val="21"/>
                    </w:rPr>
                    <w:t>《工业企业挥发性有机物排放标准》(DB35/ 1782-2018</w:t>
                  </w:r>
                  <w:r>
                    <w:rPr>
                      <w:rFonts w:hint="eastAsia"/>
                      <w:color w:val="auto"/>
                      <w:szCs w:val="21"/>
                      <w:shd w:val="clear" w:fill="FFFFFF"/>
                    </w:rPr>
                    <w:t>)</w:t>
                  </w:r>
                  <w:r>
                    <w:rPr>
                      <w:rFonts w:hint="eastAsia"/>
                      <w:color w:val="auto"/>
                      <w:szCs w:val="21"/>
                    </w:rPr>
                    <w:t>表</w:t>
                  </w:r>
                  <w:r>
                    <w:rPr>
                      <w:rFonts w:hint="eastAsia"/>
                      <w:color w:val="auto"/>
                      <w:szCs w:val="21"/>
                      <w:lang w:val="en-US" w:eastAsia="zh-CN"/>
                    </w:rPr>
                    <w:t>2</w:t>
                  </w:r>
                </w:p>
              </w:tc>
            </w:tr>
            <w:tr w14:paraId="5ED049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81" w:type="pct"/>
                  <w:vMerge w:val="continue"/>
                  <w:vAlign w:val="center"/>
                </w:tcPr>
                <w:p w14:paraId="2AC17E3B">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rPr>
                  </w:pPr>
                </w:p>
              </w:tc>
              <w:tc>
                <w:tcPr>
                  <w:tcW w:w="619" w:type="pct"/>
                  <w:vMerge w:val="continue"/>
                  <w:vAlign w:val="center"/>
                </w:tcPr>
                <w:p w14:paraId="702B986B">
                  <w:pPr>
                    <w:pStyle w:val="53"/>
                    <w:keepNext w:val="0"/>
                    <w:keepLines w:val="0"/>
                    <w:suppressLineNumbers w:val="0"/>
                    <w:spacing w:before="0" w:beforeLines="0" w:beforeAutospacing="0" w:after="0" w:afterLines="0" w:afterAutospacing="0" w:line="240" w:lineRule="auto"/>
                    <w:ind w:left="0" w:right="0"/>
                    <w:rPr>
                      <w:rFonts w:hint="eastAsia"/>
                      <w:color w:val="auto"/>
                      <w:szCs w:val="20"/>
                      <w:lang w:val="en-US" w:eastAsia="zh-CN"/>
                    </w:rPr>
                  </w:pPr>
                </w:p>
              </w:tc>
              <w:tc>
                <w:tcPr>
                  <w:tcW w:w="654" w:type="pct"/>
                  <w:vAlign w:val="center"/>
                </w:tcPr>
                <w:p w14:paraId="7266EDEF">
                  <w:pPr>
                    <w:pStyle w:val="53"/>
                    <w:keepNext w:val="0"/>
                    <w:keepLines w:val="0"/>
                    <w:suppressLineNumbers w:val="0"/>
                    <w:spacing w:before="0" w:beforeLines="0" w:beforeAutospacing="0" w:after="0" w:afterLines="0" w:afterAutospacing="0" w:line="240" w:lineRule="auto"/>
                    <w:ind w:left="0" w:right="0"/>
                    <w:rPr>
                      <w:rFonts w:hint="eastAsia" w:ascii="Times New Roman"/>
                      <w:color w:val="auto"/>
                      <w:szCs w:val="21"/>
                    </w:rPr>
                  </w:pPr>
                  <w:r>
                    <w:rPr>
                      <w:rFonts w:hint="eastAsia" w:ascii="Times New Roman"/>
                      <w:color w:val="auto"/>
                      <w:szCs w:val="21"/>
                    </w:rPr>
                    <w:t>任意一次</w:t>
                  </w:r>
                </w:p>
              </w:tc>
              <w:tc>
                <w:tcPr>
                  <w:tcW w:w="737" w:type="pct"/>
                  <w:vAlign w:val="center"/>
                </w:tcPr>
                <w:p w14:paraId="45F9FCCF">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ascii="Times New Roman"/>
                      <w:color w:val="auto"/>
                      <w:szCs w:val="21"/>
                    </w:rPr>
                    <w:t>30</w:t>
                  </w:r>
                </w:p>
              </w:tc>
              <w:tc>
                <w:tcPr>
                  <w:tcW w:w="2206" w:type="pct"/>
                  <w:vAlign w:val="center"/>
                </w:tcPr>
                <w:p w14:paraId="4D69167F">
                  <w:pPr>
                    <w:pStyle w:val="37"/>
                    <w:keepNext w:val="0"/>
                    <w:keepLines w:val="0"/>
                    <w:widowControl/>
                    <w:suppressLineNumbers w:val="0"/>
                    <w:bidi w:val="0"/>
                    <w:spacing w:before="0" w:beforeAutospacing="0" w:after="0" w:afterAutospacing="0"/>
                    <w:ind w:right="0"/>
                    <w:jc w:val="center"/>
                    <w:rPr>
                      <w:rFonts w:hint="eastAsia"/>
                      <w:color w:val="auto"/>
                      <w:szCs w:val="20"/>
                    </w:rPr>
                  </w:pPr>
                  <w:r>
                    <w:rPr>
                      <w:rFonts w:hint="eastAsia"/>
                      <w:color w:val="auto"/>
                      <w:szCs w:val="21"/>
                    </w:rPr>
                    <w:t>《挥发性有机物无组织排放控制标准》(GB 37822-2019</w:t>
                  </w:r>
                  <w:r>
                    <w:rPr>
                      <w:rFonts w:hint="eastAsia"/>
                      <w:color w:val="auto"/>
                      <w:szCs w:val="21"/>
                      <w:shd w:val="clear" w:fill="FFFFFF"/>
                    </w:rPr>
                    <w:t>)</w:t>
                  </w:r>
                  <w:r>
                    <w:rPr>
                      <w:rFonts w:hint="eastAsia"/>
                      <w:color w:val="auto"/>
                      <w:szCs w:val="21"/>
                    </w:rPr>
                    <w:t>中附录A表A.1</w:t>
                  </w:r>
                </w:p>
              </w:tc>
            </w:tr>
            <w:tr w14:paraId="40B98F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pct"/>
                  <w:vAlign w:val="center"/>
                </w:tcPr>
                <w:p w14:paraId="47DE68CE">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氨</w:t>
                  </w:r>
                </w:p>
              </w:tc>
              <w:tc>
                <w:tcPr>
                  <w:tcW w:w="1274" w:type="pct"/>
                  <w:gridSpan w:val="2"/>
                  <w:vAlign w:val="center"/>
                </w:tcPr>
                <w:p w14:paraId="53866C8A">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eastAsia"/>
                      <w:color w:val="auto"/>
                      <w:szCs w:val="20"/>
                      <w:lang w:val="en-US" w:eastAsia="zh-CN"/>
                    </w:rPr>
                    <w:t>厂界浓度</w:t>
                  </w:r>
                </w:p>
              </w:tc>
              <w:tc>
                <w:tcPr>
                  <w:tcW w:w="737" w:type="pct"/>
                  <w:vAlign w:val="center"/>
                </w:tcPr>
                <w:p w14:paraId="67A35016">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1.5</w:t>
                  </w:r>
                </w:p>
              </w:tc>
              <w:tc>
                <w:tcPr>
                  <w:tcW w:w="2206" w:type="pct"/>
                  <w:vMerge w:val="restart"/>
                  <w:vAlign w:val="center"/>
                </w:tcPr>
                <w:p w14:paraId="5161F1E2">
                  <w:pPr>
                    <w:pStyle w:val="37"/>
                    <w:keepNext w:val="0"/>
                    <w:keepLines w:val="0"/>
                    <w:widowControl/>
                    <w:suppressLineNumbers w:val="0"/>
                    <w:bidi w:val="0"/>
                    <w:spacing w:before="0" w:beforeAutospacing="0" w:after="0" w:afterAutospacing="0"/>
                    <w:ind w:right="0"/>
                    <w:jc w:val="center"/>
                    <w:rPr>
                      <w:rFonts w:hint="eastAsia"/>
                      <w:color w:val="auto"/>
                      <w:szCs w:val="20"/>
                    </w:rPr>
                  </w:pPr>
                  <w:r>
                    <w:rPr>
                      <w:rFonts w:hint="eastAsia"/>
                      <w:color w:val="auto"/>
                      <w:szCs w:val="20"/>
                      <w:lang w:val="en-US" w:eastAsia="zh-CN"/>
                    </w:rPr>
                    <w:t>《恶臭污染物排放标准》（</w:t>
                  </w:r>
                  <w:r>
                    <w:rPr>
                      <w:rFonts w:hint="default"/>
                      <w:color w:val="auto"/>
                      <w:szCs w:val="20"/>
                      <w:lang w:val="en-US" w:eastAsia="zh-CN"/>
                    </w:rPr>
                    <w:t>GB14554-93</w:t>
                  </w:r>
                  <w:r>
                    <w:rPr>
                      <w:rFonts w:hint="eastAsia"/>
                      <w:color w:val="auto"/>
                      <w:szCs w:val="20"/>
                      <w:lang w:val="en-US" w:eastAsia="zh-CN"/>
                    </w:rPr>
                    <w:t>）表1</w:t>
                  </w:r>
                </w:p>
              </w:tc>
            </w:tr>
            <w:tr w14:paraId="6E0EDE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81" w:type="pct"/>
                  <w:vAlign w:val="center"/>
                </w:tcPr>
                <w:p w14:paraId="0BDF8774">
                  <w:pPr>
                    <w:pStyle w:val="37"/>
                    <w:keepNext w:val="0"/>
                    <w:keepLines w:val="0"/>
                    <w:widowControl/>
                    <w:suppressLineNumbers w:val="0"/>
                    <w:bidi w:val="0"/>
                    <w:spacing w:before="0" w:beforeAutospacing="0" w:after="0" w:afterAutospacing="0"/>
                    <w:ind w:left="0" w:leftChars="0" w:right="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恶臭浓度</w:t>
                  </w:r>
                </w:p>
              </w:tc>
              <w:tc>
                <w:tcPr>
                  <w:tcW w:w="1274" w:type="pct"/>
                  <w:gridSpan w:val="2"/>
                  <w:vAlign w:val="center"/>
                </w:tcPr>
                <w:p w14:paraId="6AE9055E">
                  <w:pPr>
                    <w:pStyle w:val="37"/>
                    <w:keepNext w:val="0"/>
                    <w:keepLines w:val="0"/>
                    <w:widowControl/>
                    <w:suppressLineNumbers w:val="0"/>
                    <w:bidi w:val="0"/>
                    <w:spacing w:before="0" w:beforeAutospacing="0" w:after="0" w:afterAutospacing="0"/>
                    <w:ind w:right="0"/>
                    <w:jc w:val="center"/>
                    <w:rPr>
                      <w:rFonts w:hint="default"/>
                      <w:color w:val="auto"/>
                      <w:szCs w:val="20"/>
                      <w:lang w:val="en-US" w:eastAsia="zh-CN"/>
                    </w:rPr>
                  </w:pPr>
                  <w:r>
                    <w:rPr>
                      <w:rFonts w:hint="eastAsia"/>
                      <w:color w:val="auto"/>
                      <w:szCs w:val="20"/>
                      <w:lang w:val="en-US" w:eastAsia="zh-CN"/>
                    </w:rPr>
                    <w:t>厂界浓度</w:t>
                  </w:r>
                </w:p>
              </w:tc>
              <w:tc>
                <w:tcPr>
                  <w:tcW w:w="737" w:type="pct"/>
                  <w:vAlign w:val="center"/>
                </w:tcPr>
                <w:p w14:paraId="584D7547">
                  <w:pPr>
                    <w:pStyle w:val="37"/>
                    <w:keepNext w:val="0"/>
                    <w:keepLines w:val="0"/>
                    <w:widowControl/>
                    <w:suppressLineNumbers w:val="0"/>
                    <w:bidi w:val="0"/>
                    <w:spacing w:before="0" w:beforeAutospacing="0" w:after="0" w:afterAutospacing="0"/>
                    <w:ind w:right="0"/>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p w14:paraId="714E34B3">
                  <w:pPr>
                    <w:pStyle w:val="37"/>
                    <w:keepNext w:val="0"/>
                    <w:keepLines w:val="0"/>
                    <w:widowControl/>
                    <w:suppressLineNumbers w:val="0"/>
                    <w:bidi w:val="0"/>
                    <w:spacing w:before="0" w:beforeAutospacing="0" w:after="0" w:afterAutospacing="0"/>
                    <w:ind w:right="0"/>
                    <w:jc w:val="center"/>
                    <w:rPr>
                      <w:rFonts w:hint="eastAsia"/>
                      <w:color w:val="auto"/>
                      <w:szCs w:val="20"/>
                      <w:lang w:val="en-US" w:eastAsia="zh-CN"/>
                    </w:rPr>
                  </w:pPr>
                  <w:r>
                    <w:rPr>
                      <w:rFonts w:hint="default" w:ascii="Times New Roman" w:hAnsi="Times New Roman" w:cs="Times New Roman"/>
                      <w:b w:val="0"/>
                      <w:bCs w:val="0"/>
                      <w:color w:val="auto"/>
                      <w:sz w:val="21"/>
                      <w:szCs w:val="21"/>
                    </w:rPr>
                    <w:t>（</w:t>
                  </w:r>
                  <w:r>
                    <w:rPr>
                      <w:rFonts w:hint="eastAsia" w:ascii="Times New Roman" w:hAnsi="Times New Roman" w:eastAsia="宋体" w:cs="Times New Roman"/>
                      <w:b w:val="0"/>
                      <w:bCs w:val="0"/>
                      <w:color w:val="auto"/>
                      <w:sz w:val="21"/>
                      <w:szCs w:val="21"/>
                      <w:lang w:val="en-US" w:eastAsia="zh-CN"/>
                    </w:rPr>
                    <w:t>无量纲</w:t>
                  </w:r>
                  <w:r>
                    <w:rPr>
                      <w:rFonts w:hint="default" w:ascii="Times New Roman" w:hAnsi="Times New Roman" w:cs="Times New Roman"/>
                      <w:b w:val="0"/>
                      <w:bCs w:val="0"/>
                      <w:color w:val="auto"/>
                      <w:sz w:val="21"/>
                      <w:szCs w:val="21"/>
                    </w:rPr>
                    <w:t>）</w:t>
                  </w:r>
                </w:p>
              </w:tc>
              <w:tc>
                <w:tcPr>
                  <w:tcW w:w="2206" w:type="pct"/>
                  <w:vMerge w:val="continue"/>
                  <w:vAlign w:val="center"/>
                </w:tcPr>
                <w:p w14:paraId="240ADC23">
                  <w:pPr>
                    <w:pStyle w:val="37"/>
                    <w:keepNext w:val="0"/>
                    <w:keepLines w:val="0"/>
                    <w:widowControl/>
                    <w:suppressLineNumbers w:val="0"/>
                    <w:bidi w:val="0"/>
                    <w:spacing w:before="0" w:beforeAutospacing="0" w:after="0" w:afterAutospacing="0"/>
                    <w:ind w:right="0"/>
                    <w:jc w:val="center"/>
                    <w:rPr>
                      <w:rFonts w:hint="eastAsia"/>
                      <w:color w:val="auto"/>
                      <w:szCs w:val="20"/>
                    </w:rPr>
                  </w:pPr>
                </w:p>
              </w:tc>
            </w:tr>
          </w:tbl>
          <w:p w14:paraId="233FB3A1">
            <w:pPr>
              <w:pStyle w:val="6"/>
              <w:suppressLineNumbers w:val="0"/>
              <w:bidi w:val="0"/>
              <w:spacing w:beforeAutospacing="0" w:afterAutospacing="0"/>
              <w:ind w:right="0"/>
              <w:rPr>
                <w:rFonts w:hint="default"/>
                <w:color w:val="auto"/>
              </w:rPr>
            </w:pPr>
            <w:r>
              <w:rPr>
                <w:rFonts w:hint="default"/>
                <w:color w:val="auto"/>
              </w:rPr>
              <w:t>废水排放标准</w:t>
            </w:r>
          </w:p>
          <w:p w14:paraId="5539A4C2">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项目废水主要为</w:t>
            </w:r>
            <w:r>
              <w:rPr>
                <w:rFonts w:hint="default" w:ascii="Times New Roman" w:hAnsi="Times New Roman" w:cs="Times New Roman"/>
                <w:color w:val="auto"/>
                <w:lang w:val="en-US" w:eastAsia="zh-CN"/>
              </w:rPr>
              <w:t>清洗废水</w:t>
            </w:r>
            <w:r>
              <w:rPr>
                <w:rFonts w:hint="eastAsia" w:cs="Times New Roman"/>
                <w:color w:val="auto"/>
                <w:lang w:val="en-US" w:eastAsia="zh-CN"/>
              </w:rPr>
              <w:t>、纯水机浓水</w:t>
            </w: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仪器排水</w:t>
            </w:r>
            <w:r>
              <w:rPr>
                <w:rFonts w:hint="default" w:ascii="Times New Roman" w:hAnsi="Times New Roman" w:eastAsia="宋体" w:cs="Times New Roman"/>
                <w:color w:val="auto"/>
                <w:lang w:val="en-US" w:eastAsia="zh-CN"/>
              </w:rPr>
              <w:t>和生活污水。</w:t>
            </w:r>
            <w:r>
              <w:rPr>
                <w:rFonts w:hint="eastAsia" w:cs="Times New Roman"/>
                <w:color w:val="auto"/>
                <w:lang w:val="en-US" w:eastAsia="zh-CN"/>
              </w:rPr>
              <w:t>其中仪器排水</w:t>
            </w:r>
            <w:r>
              <w:rPr>
                <w:rFonts w:hint="default" w:ascii="Times New Roman" w:hAnsi="Times New Roman" w:cs="Times New Roman"/>
                <w:color w:val="auto"/>
                <w:lang w:val="en-US" w:eastAsia="zh-CN"/>
              </w:rPr>
              <w:t>、清洗废水</w:t>
            </w:r>
            <w:r>
              <w:rPr>
                <w:rFonts w:hint="default" w:ascii="Times New Roman" w:hAnsi="Times New Roman" w:eastAsia="宋体" w:cs="Times New Roman"/>
                <w:color w:val="auto"/>
                <w:lang w:val="en-US" w:eastAsia="zh-CN"/>
              </w:rPr>
              <w:t>经</w:t>
            </w:r>
            <w:r>
              <w:rPr>
                <w:rFonts w:hint="eastAsia" w:cs="Times New Roman"/>
                <w:color w:val="auto"/>
                <w:lang w:val="en-US" w:eastAsia="zh-CN"/>
              </w:rPr>
              <w:t>废水处理设施处理后，与纯水机浓水、</w:t>
            </w:r>
            <w:r>
              <w:rPr>
                <w:rFonts w:hint="default" w:ascii="Times New Roman" w:hAnsi="Times New Roman" w:eastAsia="宋体" w:cs="Times New Roman"/>
                <w:color w:val="auto"/>
                <w:lang w:val="en-US" w:eastAsia="zh-CN"/>
              </w:rPr>
              <w:t>生活污水</w:t>
            </w:r>
            <w:r>
              <w:rPr>
                <w:rFonts w:hint="eastAsia" w:cs="Times New Roman"/>
                <w:color w:val="auto"/>
                <w:lang w:val="en-US" w:eastAsia="zh-CN"/>
              </w:rPr>
              <w:t>一起</w:t>
            </w:r>
            <w:r>
              <w:rPr>
                <w:rFonts w:hint="default" w:ascii="Times New Roman" w:hAnsi="Times New Roman" w:eastAsia="宋体" w:cs="Times New Roman"/>
                <w:color w:val="auto"/>
                <w:lang w:val="en-US" w:eastAsia="zh-CN"/>
              </w:rPr>
              <w:t>经化粪池处理后排入市政污水管网</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最终</w:t>
            </w:r>
            <w:r>
              <w:rPr>
                <w:rFonts w:hint="default" w:ascii="Times New Roman" w:hAnsi="Times New Roman" w:eastAsia="宋体" w:cs="Times New Roman"/>
                <w:color w:val="auto"/>
                <w:lang w:val="en-US" w:eastAsia="zh-CN"/>
              </w:rPr>
              <w:t>进入</w:t>
            </w:r>
            <w:r>
              <w:rPr>
                <w:rFonts w:hint="eastAsia" w:cs="Times New Roman"/>
                <w:color w:val="auto"/>
                <w:lang w:val="en-US" w:eastAsia="zh-CN"/>
              </w:rPr>
              <w:t>福清市融元污水处理厂</w:t>
            </w:r>
            <w:r>
              <w:rPr>
                <w:rFonts w:hint="default" w:ascii="Times New Roman" w:hAnsi="Times New Roman" w:eastAsia="宋体" w:cs="Times New Roman"/>
                <w:color w:val="auto"/>
                <w:lang w:val="en-US" w:eastAsia="zh-CN"/>
              </w:rPr>
              <w:t>深度处理</w:t>
            </w:r>
            <w:r>
              <w:rPr>
                <w:rFonts w:hint="eastAsia" w:cs="Times New Roman"/>
                <w:color w:val="auto"/>
                <w:lang w:val="en-US" w:eastAsia="zh-CN"/>
              </w:rPr>
              <w:t>，</w:t>
            </w:r>
            <w:r>
              <w:rPr>
                <w:rFonts w:hint="eastAsia"/>
                <w:color w:val="auto"/>
                <w:highlight w:val="none"/>
                <w:lang w:eastAsia="zh-CN" w:bidi="ar"/>
              </w:rPr>
              <w:t>污水处理厂</w:t>
            </w:r>
            <w:r>
              <w:rPr>
                <w:rFonts w:hint="eastAsia"/>
                <w:color w:val="auto"/>
                <w:highlight w:val="none"/>
                <w:lang w:val="en-US" w:eastAsia="zh-CN"/>
              </w:rPr>
              <w:t>尾水</w:t>
            </w:r>
            <w:r>
              <w:rPr>
                <w:rFonts w:hint="eastAsia"/>
                <w:color w:val="auto"/>
                <w:szCs w:val="28"/>
                <w:highlight w:val="none"/>
                <w:lang w:bidi="ar"/>
              </w:rPr>
              <w:t>执行</w:t>
            </w:r>
            <w:r>
              <w:rPr>
                <w:rFonts w:hint="eastAsia" w:cs="Times New Roman"/>
                <w:color w:val="auto"/>
                <w:lang w:val="en-US" w:eastAsia="zh-CN"/>
              </w:rPr>
              <w:t>《城镇污水处理厂污染物排放标准》（GB18918-2002）中的一级A标准</w:t>
            </w:r>
            <w:r>
              <w:rPr>
                <w:rFonts w:hint="default" w:ascii="Times New Roman" w:hAnsi="Times New Roman" w:eastAsia="宋体" w:cs="Times New Roman"/>
                <w:color w:val="auto"/>
                <w:lang w:val="en-US" w:eastAsia="zh-CN"/>
              </w:rPr>
              <w:t>。</w:t>
            </w:r>
          </w:p>
          <w:p w14:paraId="29A4BC4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eastAsia="宋体" w:cs="Times New Roman"/>
                <w:color w:val="auto"/>
                <w:lang w:val="en-US" w:eastAsia="zh-CN"/>
              </w:rPr>
              <w:t>污水</w:t>
            </w:r>
            <w:r>
              <w:rPr>
                <w:rFonts w:hint="default" w:ascii="Times New Roman" w:hAnsi="Times New Roman" w:cs="Times New Roman"/>
                <w:color w:val="auto"/>
                <w:lang w:val="en-US" w:eastAsia="zh-CN"/>
              </w:rPr>
              <w:t>排放</w:t>
            </w:r>
            <w:r>
              <w:rPr>
                <w:rFonts w:hint="default" w:ascii="Times New Roman" w:hAnsi="Times New Roman" w:eastAsia="宋体" w:cs="Times New Roman"/>
                <w:color w:val="auto"/>
                <w:lang w:val="en-US" w:eastAsia="zh-CN"/>
              </w:rPr>
              <w:t>执行《污水综合排放标准》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GB8978－1996</w:t>
            </w:r>
            <w:r>
              <w:rPr>
                <w:rFonts w:hint="default" w:ascii="Times New Roman" w:hAnsi="Times New Roman" w:cs="Times New Roman"/>
                <w:color w:val="auto"/>
                <w:szCs w:val="21"/>
                <w:highlight w:val="none"/>
                <w:lang w:eastAsia="zh-CN"/>
              </w:rPr>
              <w:t>）</w:t>
            </w:r>
            <w:r>
              <w:rPr>
                <w:rFonts w:hint="default" w:ascii="Times New Roman" w:hAnsi="Times New Roman" w:eastAsia="宋体" w:cs="Times New Roman"/>
                <w:color w:val="auto"/>
                <w:lang w:val="en-US" w:eastAsia="zh-CN"/>
              </w:rPr>
              <w:t>表4中的三级标准（氨氮参考执行《污水排入城镇下水道水质标准》</w:t>
            </w:r>
            <w:r>
              <w:rPr>
                <w:rFonts w:hint="eastAsia" w:cs="Times New Roman"/>
                <w:color w:val="auto"/>
                <w:shd w:val="clear" w:fill="FFFFFF"/>
                <w:lang w:val="en-US" w:eastAsia="zh-CN"/>
              </w:rPr>
              <w:t>（</w:t>
            </w:r>
            <w:r>
              <w:rPr>
                <w:rFonts w:hint="default" w:ascii="Times New Roman" w:hAnsi="Times New Roman" w:eastAsia="宋体" w:cs="Times New Roman"/>
                <w:color w:val="auto"/>
                <w:lang w:val="en-US" w:eastAsia="zh-CN"/>
              </w:rPr>
              <w:t>GB/T31962-2015</w:t>
            </w:r>
            <w:r>
              <w:rPr>
                <w:rFonts w:hint="eastAsia" w:cs="Times New Roman"/>
                <w:color w:val="auto"/>
                <w:lang w:val="en-US" w:eastAsia="zh-CN"/>
              </w:rPr>
              <w:t>）</w:t>
            </w:r>
            <w:r>
              <w:rPr>
                <w:rFonts w:hint="default" w:ascii="Times New Roman" w:hAnsi="Times New Roman" w:eastAsia="宋体" w:cs="Times New Roman"/>
                <w:color w:val="auto"/>
                <w:lang w:val="en-US" w:eastAsia="zh-CN"/>
              </w:rPr>
              <w:t>表1B级标准）</w:t>
            </w:r>
            <w:r>
              <w:rPr>
                <w:rFonts w:hint="default" w:ascii="Times New Roman" w:hAnsi="Times New Roman" w:cs="Times New Roman"/>
                <w:color w:val="auto"/>
                <w:lang w:val="en-US" w:eastAsia="zh-CN"/>
              </w:rPr>
              <w:t>，</w:t>
            </w:r>
            <w:r>
              <w:rPr>
                <w:rFonts w:hint="default" w:ascii="Times New Roman" w:hAnsi="Times New Roman" w:cs="Times New Roman"/>
                <w:color w:val="auto"/>
                <w:highlight w:val="none"/>
                <w:lang w:val="en-US" w:eastAsia="zh-CN"/>
              </w:rPr>
              <w:t>具体</w:t>
            </w:r>
            <w:r>
              <w:rPr>
                <w:rFonts w:hint="default" w:ascii="Times New Roman" w:hAnsi="Times New Roman" w:cs="Times New Roman"/>
                <w:color w:val="auto"/>
                <w:highlight w:val="none"/>
              </w:rPr>
              <w:t>详见</w:t>
            </w:r>
            <w:r>
              <w:rPr>
                <w:rFonts w:hint="default" w:ascii="Times New Roman" w:hAnsi="Times New Roman" w:cs="Times New Roman"/>
                <w:color w:val="auto"/>
                <w:highlight w:val="none"/>
                <w:lang w:val="en-US" w:eastAsia="zh-CN"/>
              </w:rPr>
              <w:t>下表</w:t>
            </w:r>
            <w:r>
              <w:rPr>
                <w:rFonts w:hint="default" w:ascii="Times New Roman" w:hAnsi="Times New Roman" w:cs="Times New Roman"/>
                <w:color w:val="auto"/>
                <w:highlight w:val="none"/>
              </w:rPr>
              <w:t>。</w:t>
            </w:r>
          </w:p>
          <w:p w14:paraId="13432DDA">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rPr>
            </w:pPr>
            <w:bookmarkStart w:id="63" w:name="_Ref11605"/>
            <w:r>
              <w:rPr>
                <w:rFonts w:hint="default" w:ascii="Times New Roman" w:hAnsi="Times New Roman" w:cs="Times New Roman"/>
                <w:color w:val="auto"/>
                <w:highlight w:val="none"/>
              </w:rPr>
              <w:t>项目污水排放标准</w:t>
            </w:r>
            <w:bookmarkEnd w:id="63"/>
          </w:p>
          <w:tbl>
            <w:tblPr>
              <w:tblStyle w:val="28"/>
              <w:tblW w:w="823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108" w:type="dxa"/>
                <w:bottom w:w="0" w:type="dxa"/>
                <w:right w:w="108" w:type="dxa"/>
              </w:tblCellMar>
            </w:tblPr>
            <w:tblGrid>
              <w:gridCol w:w="723"/>
              <w:gridCol w:w="1987"/>
              <w:gridCol w:w="1860"/>
              <w:gridCol w:w="3667"/>
            </w:tblGrid>
            <w:tr w14:paraId="060153D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blHeader/>
                <w:jc w:val="center"/>
              </w:trPr>
              <w:tc>
                <w:tcPr>
                  <w:tcW w:w="723" w:type="dxa"/>
                  <w:tcMar>
                    <w:top w:w="0" w:type="dxa"/>
                    <w:left w:w="108" w:type="dxa"/>
                    <w:bottom w:w="0" w:type="dxa"/>
                    <w:right w:w="108" w:type="dxa"/>
                  </w:tcMar>
                  <w:vAlign w:val="center"/>
                </w:tcPr>
                <w:p w14:paraId="6814FD46">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987" w:type="dxa"/>
                  <w:tcMar>
                    <w:top w:w="0" w:type="dxa"/>
                    <w:left w:w="108" w:type="dxa"/>
                    <w:bottom w:w="0" w:type="dxa"/>
                    <w:right w:w="108" w:type="dxa"/>
                  </w:tcMar>
                  <w:vAlign w:val="center"/>
                </w:tcPr>
                <w:p w14:paraId="75D7CE1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污染物</w:t>
                  </w:r>
                </w:p>
              </w:tc>
              <w:tc>
                <w:tcPr>
                  <w:tcW w:w="1860" w:type="dxa"/>
                  <w:tcMar>
                    <w:top w:w="0" w:type="dxa"/>
                    <w:left w:w="108" w:type="dxa"/>
                    <w:bottom w:w="0" w:type="dxa"/>
                    <w:right w:w="108" w:type="dxa"/>
                  </w:tcMar>
                  <w:vAlign w:val="center"/>
                </w:tcPr>
                <w:p w14:paraId="724F6D26">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排放标准</w:t>
                  </w:r>
                </w:p>
              </w:tc>
              <w:tc>
                <w:tcPr>
                  <w:tcW w:w="3667" w:type="dxa"/>
                  <w:tcMar>
                    <w:top w:w="0" w:type="dxa"/>
                    <w:left w:w="108" w:type="dxa"/>
                    <w:bottom w:w="0" w:type="dxa"/>
                    <w:right w:w="108" w:type="dxa"/>
                  </w:tcMar>
                  <w:vAlign w:val="center"/>
                </w:tcPr>
                <w:p w14:paraId="41CAC083">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标准来源</w:t>
                  </w:r>
                </w:p>
              </w:tc>
            </w:tr>
            <w:tr w14:paraId="5092FD3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23" w:type="dxa"/>
                  <w:tcMar>
                    <w:top w:w="0" w:type="dxa"/>
                    <w:left w:w="108" w:type="dxa"/>
                    <w:bottom w:w="0" w:type="dxa"/>
                    <w:right w:w="108" w:type="dxa"/>
                  </w:tcMar>
                  <w:vAlign w:val="center"/>
                </w:tcPr>
                <w:p w14:paraId="0775E2D4">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987" w:type="dxa"/>
                  <w:tcMar>
                    <w:top w:w="0" w:type="dxa"/>
                    <w:left w:w="108" w:type="dxa"/>
                    <w:bottom w:w="0" w:type="dxa"/>
                    <w:right w:w="108" w:type="dxa"/>
                  </w:tcMar>
                  <w:vAlign w:val="center"/>
                </w:tcPr>
                <w:p w14:paraId="08AEA004">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pH</w:t>
                  </w:r>
                </w:p>
              </w:tc>
              <w:tc>
                <w:tcPr>
                  <w:tcW w:w="1860" w:type="dxa"/>
                  <w:tcMar>
                    <w:top w:w="0" w:type="dxa"/>
                    <w:left w:w="108" w:type="dxa"/>
                    <w:bottom w:w="0" w:type="dxa"/>
                    <w:right w:w="108" w:type="dxa"/>
                  </w:tcMar>
                  <w:vAlign w:val="center"/>
                </w:tcPr>
                <w:p w14:paraId="66E7DA8F">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6-9</w:t>
                  </w:r>
                </w:p>
              </w:tc>
              <w:tc>
                <w:tcPr>
                  <w:tcW w:w="3667" w:type="dxa"/>
                  <w:vMerge w:val="restart"/>
                  <w:tcMar>
                    <w:top w:w="0" w:type="dxa"/>
                    <w:left w:w="108" w:type="dxa"/>
                    <w:bottom w:w="0" w:type="dxa"/>
                    <w:right w:w="108" w:type="dxa"/>
                  </w:tcMar>
                  <w:vAlign w:val="center"/>
                </w:tcPr>
                <w:p w14:paraId="0BCCF6B8">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《污水综合排放标准》</w:t>
                  </w:r>
                </w:p>
                <w:p w14:paraId="3873B1F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GB8978－1996</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表4三级</w:t>
                  </w:r>
                </w:p>
              </w:tc>
            </w:tr>
            <w:tr w14:paraId="5E012F5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23" w:type="dxa"/>
                  <w:tcMar>
                    <w:top w:w="0" w:type="dxa"/>
                    <w:left w:w="108" w:type="dxa"/>
                    <w:bottom w:w="0" w:type="dxa"/>
                    <w:right w:w="108" w:type="dxa"/>
                  </w:tcMar>
                  <w:vAlign w:val="center"/>
                </w:tcPr>
                <w:p w14:paraId="30E00599">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1987" w:type="dxa"/>
                  <w:tcMar>
                    <w:top w:w="0" w:type="dxa"/>
                    <w:left w:w="108" w:type="dxa"/>
                    <w:bottom w:w="0" w:type="dxa"/>
                    <w:right w:w="108" w:type="dxa"/>
                  </w:tcMar>
                  <w:vAlign w:val="center"/>
                </w:tcPr>
                <w:p w14:paraId="418D83F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shd w:val="clear" w:fill="FFFFFF"/>
                    </w:rPr>
                    <w:t>COD</w:t>
                  </w:r>
                  <w:r>
                    <w:rPr>
                      <w:rFonts w:hint="default" w:ascii="Times New Roman" w:hAnsi="Times New Roman" w:cs="Times New Roman"/>
                      <w:color w:val="auto"/>
                      <w:szCs w:val="21"/>
                      <w:highlight w:val="none"/>
                      <w:shd w:val="clear" w:fill="FFFFFF"/>
                      <w:vertAlign w:val="subscript"/>
                    </w:rPr>
                    <w:t>Cr</w:t>
                  </w:r>
                </w:p>
              </w:tc>
              <w:tc>
                <w:tcPr>
                  <w:tcW w:w="1860" w:type="dxa"/>
                  <w:tcMar>
                    <w:top w:w="0" w:type="dxa"/>
                    <w:left w:w="108" w:type="dxa"/>
                    <w:bottom w:w="0" w:type="dxa"/>
                    <w:right w:w="108" w:type="dxa"/>
                  </w:tcMar>
                  <w:vAlign w:val="center"/>
                </w:tcPr>
                <w:p w14:paraId="3CEA99CF">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500mg/L</w:t>
                  </w:r>
                </w:p>
              </w:tc>
              <w:tc>
                <w:tcPr>
                  <w:tcW w:w="3667" w:type="dxa"/>
                  <w:vMerge w:val="continue"/>
                  <w:tcMar>
                    <w:top w:w="0" w:type="dxa"/>
                    <w:left w:w="108" w:type="dxa"/>
                    <w:bottom w:w="0" w:type="dxa"/>
                    <w:right w:w="108" w:type="dxa"/>
                  </w:tcMar>
                  <w:vAlign w:val="center"/>
                </w:tcPr>
                <w:p w14:paraId="3CED60C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p>
              </w:tc>
            </w:tr>
            <w:tr w14:paraId="0C05C38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23" w:type="dxa"/>
                  <w:tcMar>
                    <w:top w:w="0" w:type="dxa"/>
                    <w:left w:w="108" w:type="dxa"/>
                    <w:bottom w:w="0" w:type="dxa"/>
                    <w:right w:w="108" w:type="dxa"/>
                  </w:tcMar>
                  <w:vAlign w:val="center"/>
                </w:tcPr>
                <w:p w14:paraId="0A40C4C2">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1987" w:type="dxa"/>
                  <w:tcMar>
                    <w:top w:w="0" w:type="dxa"/>
                    <w:left w:w="108" w:type="dxa"/>
                    <w:bottom w:w="0" w:type="dxa"/>
                    <w:right w:w="108" w:type="dxa"/>
                  </w:tcMar>
                  <w:vAlign w:val="center"/>
                </w:tcPr>
                <w:p w14:paraId="38BF0528">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BOD</w:t>
                  </w:r>
                  <w:r>
                    <w:rPr>
                      <w:rFonts w:hint="default" w:ascii="Times New Roman" w:hAnsi="Times New Roman" w:cs="Times New Roman"/>
                      <w:color w:val="auto"/>
                      <w:szCs w:val="21"/>
                      <w:highlight w:val="none"/>
                      <w:vertAlign w:val="subscript"/>
                    </w:rPr>
                    <w:t>5</w:t>
                  </w:r>
                </w:p>
              </w:tc>
              <w:tc>
                <w:tcPr>
                  <w:tcW w:w="1860" w:type="dxa"/>
                  <w:tcMar>
                    <w:top w:w="0" w:type="dxa"/>
                    <w:left w:w="108" w:type="dxa"/>
                    <w:bottom w:w="0" w:type="dxa"/>
                    <w:right w:w="108" w:type="dxa"/>
                  </w:tcMar>
                  <w:vAlign w:val="center"/>
                </w:tcPr>
                <w:p w14:paraId="735E64A0">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300mg/L</w:t>
                  </w:r>
                </w:p>
              </w:tc>
              <w:tc>
                <w:tcPr>
                  <w:tcW w:w="3667" w:type="dxa"/>
                  <w:vMerge w:val="continue"/>
                  <w:tcMar>
                    <w:top w:w="0" w:type="dxa"/>
                    <w:left w:w="108" w:type="dxa"/>
                    <w:bottom w:w="0" w:type="dxa"/>
                    <w:right w:w="108" w:type="dxa"/>
                  </w:tcMar>
                  <w:vAlign w:val="center"/>
                </w:tcPr>
                <w:p w14:paraId="4AAE3910">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p>
              </w:tc>
            </w:tr>
            <w:tr w14:paraId="1AC4CCA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jc w:val="center"/>
              </w:trPr>
              <w:tc>
                <w:tcPr>
                  <w:tcW w:w="723" w:type="dxa"/>
                  <w:tcMar>
                    <w:top w:w="0" w:type="dxa"/>
                    <w:left w:w="108" w:type="dxa"/>
                    <w:bottom w:w="0" w:type="dxa"/>
                    <w:right w:w="108" w:type="dxa"/>
                  </w:tcMar>
                  <w:vAlign w:val="center"/>
                </w:tcPr>
                <w:p w14:paraId="0A2122FF">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1987" w:type="dxa"/>
                  <w:tcMar>
                    <w:top w:w="0" w:type="dxa"/>
                    <w:left w:w="108" w:type="dxa"/>
                    <w:bottom w:w="0" w:type="dxa"/>
                    <w:right w:w="108" w:type="dxa"/>
                  </w:tcMar>
                  <w:vAlign w:val="center"/>
                </w:tcPr>
                <w:p w14:paraId="4936BFC8">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SS</w:t>
                  </w:r>
                </w:p>
              </w:tc>
              <w:tc>
                <w:tcPr>
                  <w:tcW w:w="1860" w:type="dxa"/>
                  <w:tcMar>
                    <w:top w:w="0" w:type="dxa"/>
                    <w:left w:w="108" w:type="dxa"/>
                    <w:bottom w:w="0" w:type="dxa"/>
                    <w:right w:w="108" w:type="dxa"/>
                  </w:tcMar>
                  <w:vAlign w:val="center"/>
                </w:tcPr>
                <w:p w14:paraId="59142667">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400mg/L</w:t>
                  </w:r>
                </w:p>
              </w:tc>
              <w:tc>
                <w:tcPr>
                  <w:tcW w:w="3667" w:type="dxa"/>
                  <w:vMerge w:val="continue"/>
                  <w:tcMar>
                    <w:top w:w="0" w:type="dxa"/>
                    <w:left w:w="108" w:type="dxa"/>
                    <w:bottom w:w="0" w:type="dxa"/>
                    <w:right w:w="108" w:type="dxa"/>
                  </w:tcMar>
                  <w:vAlign w:val="center"/>
                </w:tcPr>
                <w:p w14:paraId="60072413">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p>
              </w:tc>
            </w:tr>
            <w:tr w14:paraId="625E0DD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619" w:hRule="atLeast"/>
                <w:jc w:val="center"/>
              </w:trPr>
              <w:tc>
                <w:tcPr>
                  <w:tcW w:w="723" w:type="dxa"/>
                  <w:tcMar>
                    <w:top w:w="0" w:type="dxa"/>
                    <w:left w:w="108" w:type="dxa"/>
                    <w:bottom w:w="0" w:type="dxa"/>
                    <w:right w:w="108" w:type="dxa"/>
                  </w:tcMar>
                  <w:vAlign w:val="center"/>
                </w:tcPr>
                <w:p w14:paraId="67F56BB0">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1987" w:type="dxa"/>
                  <w:tcMar>
                    <w:top w:w="0" w:type="dxa"/>
                    <w:left w:w="108" w:type="dxa"/>
                    <w:bottom w:w="0" w:type="dxa"/>
                    <w:right w:w="108" w:type="dxa"/>
                  </w:tcMar>
                  <w:vAlign w:val="center"/>
                </w:tcPr>
                <w:p w14:paraId="56ECE504">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氨氮</w:t>
                  </w:r>
                </w:p>
              </w:tc>
              <w:tc>
                <w:tcPr>
                  <w:tcW w:w="1860" w:type="dxa"/>
                  <w:tcMar>
                    <w:top w:w="0" w:type="dxa"/>
                    <w:left w:w="108" w:type="dxa"/>
                    <w:bottom w:w="0" w:type="dxa"/>
                    <w:right w:w="108" w:type="dxa"/>
                  </w:tcMar>
                  <w:vAlign w:val="center"/>
                </w:tcPr>
                <w:p w14:paraId="309D0A01">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45mg/L</w:t>
                  </w:r>
                </w:p>
              </w:tc>
              <w:tc>
                <w:tcPr>
                  <w:tcW w:w="3667" w:type="dxa"/>
                  <w:tcMar>
                    <w:top w:w="0" w:type="dxa"/>
                    <w:left w:w="108" w:type="dxa"/>
                    <w:bottom w:w="0" w:type="dxa"/>
                    <w:right w:w="108" w:type="dxa"/>
                  </w:tcMar>
                  <w:vAlign w:val="center"/>
                </w:tcPr>
                <w:p w14:paraId="77FD0EEE">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《污水排入城镇下水道水质标准》</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GB/T 31962-2015</w:t>
                  </w:r>
                  <w:r>
                    <w:rPr>
                      <w:rFonts w:hint="default" w:ascii="Times New Roman" w:hAnsi="Times New Roman" w:cs="Times New Roman"/>
                      <w:color w:val="auto"/>
                      <w:szCs w:val="21"/>
                      <w:highlight w:val="none"/>
                      <w:lang w:eastAsia="zh-CN"/>
                    </w:rPr>
                    <w:t>）</w:t>
                  </w:r>
                  <w:r>
                    <w:rPr>
                      <w:rFonts w:hint="default" w:ascii="Times New Roman" w:hAnsi="Times New Roman" w:cs="Times New Roman"/>
                      <w:color w:val="auto"/>
                      <w:szCs w:val="21"/>
                      <w:highlight w:val="none"/>
                    </w:rPr>
                    <w:t>表1的B等级</w:t>
                  </w:r>
                </w:p>
              </w:tc>
            </w:tr>
          </w:tbl>
          <w:p w14:paraId="3524379A">
            <w:pPr>
              <w:pStyle w:val="6"/>
              <w:suppressLineNumbers w:val="0"/>
              <w:bidi w:val="0"/>
              <w:spacing w:beforeAutospacing="0" w:afterAutospacing="0"/>
              <w:ind w:right="0"/>
              <w:rPr>
                <w:rFonts w:hint="default"/>
                <w:color w:val="auto"/>
              </w:rPr>
            </w:pPr>
            <w:r>
              <w:rPr>
                <w:rFonts w:hint="default"/>
                <w:color w:val="auto"/>
              </w:rPr>
              <w:t>噪声排放标准</w:t>
            </w:r>
          </w:p>
          <w:p w14:paraId="405E410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本项目位于</w:t>
            </w:r>
            <w:r>
              <w:rPr>
                <w:rFonts w:hint="eastAsia"/>
                <w:color w:val="auto"/>
                <w:lang w:val="en-US" w:eastAsia="zh-CN"/>
              </w:rPr>
              <w:t>福清市融侨经济技术开发洪宽工业村</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厂界噪声执行《工业企业厂界环境噪声排放标准》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GB12348-2008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中的</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类标准。</w:t>
            </w:r>
          </w:p>
          <w:p w14:paraId="523160BD">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《工业企业厂界环境噪声排放标准》(GB12348-2008)</w:t>
            </w:r>
            <w:r>
              <w:rPr>
                <w:rFonts w:hint="eastAsia" w:cs="Times New Roman"/>
                <w:color w:val="auto"/>
                <w:highlight w:val="none"/>
                <w:lang w:eastAsia="zh-CN"/>
              </w:rPr>
              <w:t>（</w:t>
            </w:r>
            <w:r>
              <w:rPr>
                <w:rFonts w:hint="default" w:ascii="Times New Roman" w:hAnsi="Times New Roman" w:cs="Times New Roman"/>
                <w:color w:val="auto"/>
                <w:highlight w:val="none"/>
              </w:rPr>
              <w:t>摘录</w:t>
            </w:r>
            <w:r>
              <w:rPr>
                <w:rFonts w:hint="eastAsia" w:cs="Times New Roman"/>
                <w:color w:val="auto"/>
                <w:highlight w:val="none"/>
                <w:lang w:eastAsia="zh-CN"/>
              </w:rPr>
              <w:t>）</w:t>
            </w:r>
            <w:r>
              <w:rPr>
                <w:rFonts w:hint="default" w:ascii="Times New Roman" w:hAnsi="Times New Roman" w:cs="Times New Roman"/>
                <w:color w:val="auto"/>
                <w:highlight w:val="none"/>
              </w:rPr>
              <w:t xml:space="preserve"> </w:t>
            </w:r>
          </w:p>
          <w:tbl>
            <w:tblPr>
              <w:tblStyle w:val="28"/>
              <w:tblW w:w="823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2747"/>
              <w:gridCol w:w="2744"/>
            </w:tblGrid>
            <w:tr w14:paraId="2B307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746" w:type="dxa"/>
                  <w:vAlign w:val="center"/>
                </w:tcPr>
                <w:p w14:paraId="09A7A6C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类 别</w:t>
                  </w:r>
                </w:p>
              </w:tc>
              <w:tc>
                <w:tcPr>
                  <w:tcW w:w="2747" w:type="dxa"/>
                  <w:vAlign w:val="center"/>
                </w:tcPr>
                <w:p w14:paraId="0DD25AD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昼 间</w:t>
                  </w:r>
                </w:p>
              </w:tc>
              <w:tc>
                <w:tcPr>
                  <w:tcW w:w="2744" w:type="dxa"/>
                  <w:vAlign w:val="center"/>
                </w:tcPr>
                <w:p w14:paraId="4186E6C9">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夜 间</w:t>
                  </w:r>
                </w:p>
              </w:tc>
            </w:tr>
            <w:tr w14:paraId="7A48FA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10" w:hRule="atLeast"/>
                <w:jc w:val="center"/>
              </w:trPr>
              <w:tc>
                <w:tcPr>
                  <w:tcW w:w="2746" w:type="dxa"/>
                  <w:vAlign w:val="center"/>
                </w:tcPr>
                <w:p w14:paraId="5613BFC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3类</w:t>
                  </w:r>
                </w:p>
              </w:tc>
              <w:tc>
                <w:tcPr>
                  <w:tcW w:w="2747" w:type="dxa"/>
                  <w:vAlign w:val="center"/>
                </w:tcPr>
                <w:p w14:paraId="2C61924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65</w:t>
                  </w:r>
                  <w:r>
                    <w:rPr>
                      <w:rFonts w:hint="default" w:ascii="Times New Roman" w:hAnsi="Times New Roman" w:cs="Times New Roman"/>
                      <w:color w:val="auto"/>
                      <w:highlight w:val="none"/>
                    </w:rPr>
                    <w:t>dB(A)</w:t>
                  </w:r>
                </w:p>
              </w:tc>
              <w:tc>
                <w:tcPr>
                  <w:tcW w:w="2744" w:type="dxa"/>
                  <w:vAlign w:val="center"/>
                </w:tcPr>
                <w:p w14:paraId="69483D67">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Cs w:val="21"/>
                      <w:highlight w:val="none"/>
                    </w:rPr>
                    <w:t>55</w:t>
                  </w:r>
                  <w:r>
                    <w:rPr>
                      <w:rFonts w:hint="default" w:ascii="Times New Roman" w:hAnsi="Times New Roman" w:cs="Times New Roman"/>
                      <w:color w:val="auto"/>
                      <w:highlight w:val="none"/>
                    </w:rPr>
                    <w:t>dB(A)</w:t>
                  </w:r>
                </w:p>
              </w:tc>
            </w:tr>
          </w:tbl>
          <w:p w14:paraId="70173707">
            <w:pPr>
              <w:pStyle w:val="6"/>
              <w:suppressLineNumbers w:val="0"/>
              <w:bidi w:val="0"/>
              <w:spacing w:beforeAutospacing="0" w:afterAutospacing="0"/>
              <w:ind w:right="0"/>
              <w:rPr>
                <w:rFonts w:hint="default"/>
                <w:color w:val="auto"/>
              </w:rPr>
            </w:pPr>
            <w:r>
              <w:rPr>
                <w:rFonts w:hint="default"/>
                <w:color w:val="auto"/>
              </w:rPr>
              <w:t>固体废物执行标准</w:t>
            </w:r>
          </w:p>
          <w:p w14:paraId="47B91CB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本项目一般工业固体废物执行《一般工业固体废物贮存和填埋污染控制标准》（GB18599-2020）；危险废物执行《危险废物贮存污染控制标准》</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GB18597-20</w:t>
            </w:r>
            <w:r>
              <w:rPr>
                <w:rFonts w:hint="eastAsia" w:cs="Times New Roman"/>
                <w:color w:val="auto"/>
                <w:highlight w:val="none"/>
                <w:lang w:val="en-US" w:eastAsia="zh-CN"/>
              </w:rPr>
              <w:t>2</w:t>
            </w:r>
            <w:r>
              <w:rPr>
                <w:rFonts w:hint="eastAsia"/>
                <w:color w:val="auto"/>
                <w:lang w:val="en-US" w:eastAsia="zh-CN"/>
              </w:rPr>
              <w:t>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w:t>
            </w:r>
          </w:p>
        </w:tc>
      </w:tr>
      <w:tr w14:paraId="121C1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0" w:hRule="atLeast"/>
          <w:jc w:val="center"/>
        </w:trPr>
        <w:tc>
          <w:tcPr>
            <w:tcW w:w="605" w:type="dxa"/>
            <w:tcMar>
              <w:left w:w="28" w:type="dxa"/>
              <w:right w:w="28" w:type="dxa"/>
            </w:tcMar>
            <w:vAlign w:val="center"/>
          </w:tcPr>
          <w:p w14:paraId="41D414B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总量控制指标</w:t>
            </w:r>
          </w:p>
        </w:tc>
        <w:tc>
          <w:tcPr>
            <w:tcW w:w="8456" w:type="dxa"/>
            <w:vAlign w:val="center"/>
          </w:tcPr>
          <w:p w14:paraId="03B32970">
            <w:pPr>
              <w:pStyle w:val="5"/>
              <w:suppressLineNumbers w:val="0"/>
              <w:bidi w:val="0"/>
              <w:spacing w:beforeAutospacing="0" w:afterAutospacing="0"/>
              <w:ind w:right="0"/>
              <w:rPr>
                <w:rFonts w:hint="default" w:ascii="Times New Roman" w:hAnsi="Times New Roman" w:cs="Times New Roman"/>
                <w:color w:val="auto"/>
                <w:highlight w:val="none"/>
              </w:rPr>
            </w:pPr>
            <w:bookmarkStart w:id="64" w:name="_Toc24101"/>
            <w:bookmarkStart w:id="65" w:name="_Toc551"/>
            <w:bookmarkStart w:id="66" w:name="_Toc18142"/>
            <w:bookmarkStart w:id="67" w:name="_Toc22536"/>
            <w:bookmarkStart w:id="68" w:name="_Toc28434"/>
            <w:r>
              <w:rPr>
                <w:rFonts w:hint="default"/>
                <w:color w:val="auto"/>
              </w:rPr>
              <w:t>总量控制因子</w:t>
            </w:r>
            <w:bookmarkEnd w:id="64"/>
            <w:bookmarkEnd w:id="65"/>
            <w:bookmarkEnd w:id="66"/>
            <w:bookmarkEnd w:id="67"/>
            <w:bookmarkEnd w:id="68"/>
          </w:p>
          <w:p w14:paraId="2E6EBE16">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highlight w:val="none"/>
                <w:lang w:val="en-US" w:eastAsia="zh-CN"/>
              </w:rPr>
              <w:t>根据《福建</w:t>
            </w:r>
            <w:r>
              <w:rPr>
                <w:rFonts w:hint="eastAsia" w:ascii="宋体" w:hAnsi="宋体" w:eastAsia="宋体" w:cs="宋体"/>
                <w:color w:val="auto"/>
                <w:highlight w:val="none"/>
                <w:lang w:val="en-US" w:eastAsia="zh-CN"/>
              </w:rPr>
              <w:t>省“十四五”生态</w:t>
            </w:r>
            <w:r>
              <w:rPr>
                <w:rFonts w:hint="default" w:ascii="Times New Roman" w:hAnsi="Times New Roman" w:cs="Times New Roman"/>
                <w:color w:val="auto"/>
                <w:highlight w:val="none"/>
                <w:lang w:val="en-US" w:eastAsia="zh-CN"/>
              </w:rPr>
              <w:t>环境保护规划》（闽政办〔2021〕59号）、《福建省人民政府关于印发福建省</w:t>
            </w:r>
            <w:r>
              <w:rPr>
                <w:rFonts w:hint="eastAsia" w:ascii="宋体" w:hAnsi="宋体" w:eastAsia="宋体" w:cs="宋体"/>
                <w:color w:val="auto"/>
                <w:highlight w:val="none"/>
                <w:lang w:val="en-US" w:eastAsia="zh-CN"/>
              </w:rPr>
              <w:t>“十四五”节</w:t>
            </w:r>
            <w:r>
              <w:rPr>
                <w:rFonts w:hint="default" w:ascii="Times New Roman" w:hAnsi="Times New Roman" w:cs="Times New Roman"/>
                <w:color w:val="auto"/>
                <w:highlight w:val="none"/>
                <w:lang w:val="en-US" w:eastAsia="zh-CN"/>
              </w:rPr>
              <w:t>能减排综合性工作方案的通知》（闽政〔2022〕17号），</w:t>
            </w:r>
            <w:r>
              <w:rPr>
                <w:rFonts w:hint="default" w:ascii="Times New Roman" w:hAnsi="Times New Roman" w:cs="Times New Roman"/>
                <w:color w:val="auto"/>
                <w:highlight w:val="none"/>
              </w:rPr>
              <w:t>有关主要污染物排放总量控制计划的要求，</w:t>
            </w:r>
            <w:r>
              <w:rPr>
                <w:rFonts w:hint="default" w:ascii="Times New Roman" w:hAnsi="Times New Roman" w:cs="Times New Roman"/>
                <w:color w:val="auto"/>
                <w:szCs w:val="24"/>
                <w:highlight w:val="none"/>
                <w:lang w:bidi="ar"/>
              </w:rPr>
              <w:t>结合本项目排污特征，确定本项目总量控制因子为</w:t>
            </w:r>
            <w:r>
              <w:rPr>
                <w:rFonts w:hint="default" w:ascii="Times New Roman" w:hAnsi="Times New Roman" w:cs="Times New Roman"/>
                <w:color w:val="auto"/>
                <w:szCs w:val="24"/>
                <w:highlight w:val="none"/>
                <w:lang w:val="en-US" w:eastAsia="zh-CN" w:bidi="ar"/>
              </w:rPr>
              <w:t>COD、氨氮、</w:t>
            </w:r>
            <w:r>
              <w:rPr>
                <w:rFonts w:hint="default" w:ascii="Times New Roman" w:hAnsi="Times New Roman" w:cs="Times New Roman"/>
                <w:color w:val="auto"/>
                <w:szCs w:val="24"/>
                <w:highlight w:val="none"/>
                <w:lang w:bidi="ar"/>
              </w:rPr>
              <w:t>挥发性有机物（以非甲烷总烃计）。</w:t>
            </w:r>
          </w:p>
          <w:p w14:paraId="7EB1EF54">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（1）水污染物排放总量控制</w:t>
            </w:r>
          </w:p>
          <w:p w14:paraId="43F28EA9">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szCs w:val="20"/>
                <w:highlight w:val="none"/>
                <w:lang w:val="en-US" w:eastAsia="zh-CN"/>
              </w:rPr>
            </w:pPr>
            <w:r>
              <w:rPr>
                <w:rFonts w:hint="default" w:ascii="Times New Roman" w:hAnsi="Times New Roman" w:cs="Times New Roman"/>
                <w:color w:val="auto"/>
                <w:sz w:val="24"/>
                <w:szCs w:val="20"/>
                <w:highlight w:val="none"/>
              </w:rPr>
              <w:t>根据工程分析可知，本项目</w:t>
            </w:r>
            <w:r>
              <w:rPr>
                <w:rFonts w:hint="default" w:ascii="Times New Roman" w:hAnsi="Times New Roman" w:cs="Times New Roman"/>
                <w:color w:val="auto"/>
                <w:sz w:val="24"/>
                <w:szCs w:val="20"/>
                <w:highlight w:val="none"/>
                <w:lang w:val="en-US" w:eastAsia="zh-CN"/>
              </w:rPr>
              <w:t>排放的水污染物主要来自实验</w:t>
            </w:r>
            <w:r>
              <w:rPr>
                <w:rFonts w:hint="eastAsia" w:cs="Times New Roman"/>
                <w:color w:val="auto"/>
                <w:sz w:val="24"/>
                <w:szCs w:val="20"/>
                <w:highlight w:val="none"/>
                <w:lang w:val="en-US" w:eastAsia="zh-CN"/>
              </w:rPr>
              <w:t>室</w:t>
            </w:r>
            <w:r>
              <w:rPr>
                <w:rFonts w:hint="default" w:ascii="Times New Roman" w:hAnsi="Times New Roman" w:cs="Times New Roman"/>
                <w:color w:val="auto"/>
                <w:sz w:val="24"/>
                <w:szCs w:val="20"/>
                <w:highlight w:val="none"/>
                <w:lang w:val="en-US" w:eastAsia="zh-CN"/>
              </w:rPr>
              <w:t>废水</w:t>
            </w:r>
            <w:r>
              <w:rPr>
                <w:rFonts w:hint="eastAsia" w:ascii="Times New Roman" w:hAnsi="Times New Roman"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实验</w:t>
            </w:r>
            <w:r>
              <w:rPr>
                <w:rFonts w:hint="eastAsia" w:ascii="Times New Roman" w:hAnsi="Times New Roman" w:cs="Times New Roman"/>
                <w:color w:val="auto"/>
                <w:sz w:val="24"/>
                <w:szCs w:val="20"/>
                <w:highlight w:val="none"/>
                <w:lang w:val="en-US" w:eastAsia="zh-CN"/>
              </w:rPr>
              <w:t>器具</w:t>
            </w:r>
            <w:r>
              <w:rPr>
                <w:rFonts w:hint="default" w:ascii="Times New Roman" w:hAnsi="Times New Roman" w:cs="Times New Roman"/>
                <w:color w:val="auto"/>
                <w:sz w:val="24"/>
                <w:szCs w:val="20"/>
                <w:highlight w:val="none"/>
                <w:lang w:val="en-US" w:eastAsia="zh-CN"/>
              </w:rPr>
              <w:t>清洗废水</w:t>
            </w:r>
            <w:r>
              <w:rPr>
                <w:rFonts w:hint="eastAsia" w:ascii="Times New Roman" w:hAnsi="Times New Roman"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纯水机浓水</w:t>
            </w:r>
            <w:r>
              <w:rPr>
                <w:rFonts w:hint="eastAsia" w:ascii="Times New Roman" w:hAnsi="Times New Roman" w:cs="Times New Roman"/>
                <w:color w:val="auto"/>
                <w:sz w:val="24"/>
                <w:szCs w:val="20"/>
                <w:highlight w:val="none"/>
                <w:lang w:val="en-US" w:eastAsia="zh-CN"/>
              </w:rPr>
              <w:t>、实验室仪器用排水）</w:t>
            </w:r>
            <w:r>
              <w:rPr>
                <w:rFonts w:hint="default" w:ascii="Times New Roman" w:hAnsi="Times New Roman" w:cs="Times New Roman"/>
                <w:color w:val="auto"/>
                <w:sz w:val="24"/>
                <w:szCs w:val="20"/>
                <w:highlight w:val="none"/>
                <w:lang w:val="en-US" w:eastAsia="zh-CN"/>
              </w:rPr>
              <w:t>和生活污水</w:t>
            </w:r>
            <w:r>
              <w:rPr>
                <w:rFonts w:hint="default" w:ascii="Times New Roman" w:hAnsi="Times New Roman" w:cs="Times New Roman"/>
                <w:color w:val="auto"/>
                <w:sz w:val="24"/>
                <w:szCs w:val="20"/>
                <w:highlight w:val="none"/>
              </w:rPr>
              <w:t>，</w:t>
            </w:r>
            <w:r>
              <w:rPr>
                <w:rFonts w:hint="default" w:ascii="Times New Roman" w:hAnsi="Times New Roman" w:cs="Times New Roman"/>
                <w:color w:val="auto"/>
                <w:sz w:val="24"/>
                <w:szCs w:val="20"/>
                <w:highlight w:val="none"/>
                <w:lang w:val="en-US" w:eastAsia="zh-CN"/>
              </w:rPr>
              <w:t>实验</w:t>
            </w:r>
            <w:r>
              <w:rPr>
                <w:rFonts w:hint="eastAsia" w:cs="Times New Roman"/>
                <w:color w:val="auto"/>
                <w:sz w:val="24"/>
                <w:szCs w:val="20"/>
                <w:highlight w:val="none"/>
                <w:lang w:val="en-US" w:eastAsia="zh-CN"/>
              </w:rPr>
              <w:t>室</w:t>
            </w:r>
            <w:r>
              <w:rPr>
                <w:rFonts w:hint="default" w:ascii="Times New Roman" w:hAnsi="Times New Roman" w:cs="Times New Roman"/>
                <w:color w:val="auto"/>
                <w:sz w:val="24"/>
                <w:szCs w:val="20"/>
                <w:highlight w:val="none"/>
                <w:lang w:val="en-US" w:eastAsia="zh-CN"/>
              </w:rPr>
              <w:t>废水经</w:t>
            </w:r>
            <w:r>
              <w:rPr>
                <w:rFonts w:hint="eastAsia" w:ascii="Times New Roman" w:hAnsi="Times New Roman" w:cs="Times New Roman"/>
                <w:color w:val="auto"/>
                <w:sz w:val="24"/>
                <w:szCs w:val="20"/>
                <w:highlight w:val="none"/>
                <w:lang w:val="en-US" w:eastAsia="zh-CN"/>
              </w:rPr>
              <w:t>废水处理设施处理</w:t>
            </w:r>
            <w:r>
              <w:rPr>
                <w:rFonts w:hint="default" w:ascii="Times New Roman" w:hAnsi="Times New Roman" w:cs="Times New Roman"/>
                <w:color w:val="auto"/>
                <w:sz w:val="24"/>
                <w:szCs w:val="20"/>
                <w:highlight w:val="none"/>
                <w:lang w:val="en-US" w:eastAsia="zh-CN"/>
              </w:rPr>
              <w:t>后</w:t>
            </w:r>
            <w:r>
              <w:rPr>
                <w:rFonts w:hint="eastAsia" w:cs="Times New Roman"/>
                <w:color w:val="auto"/>
                <w:sz w:val="24"/>
                <w:szCs w:val="20"/>
                <w:highlight w:val="none"/>
                <w:lang w:val="en-US" w:eastAsia="zh-CN"/>
              </w:rPr>
              <w:t>，</w:t>
            </w:r>
            <w:r>
              <w:rPr>
                <w:rFonts w:hint="default" w:ascii="Times New Roman" w:hAnsi="Times New Roman" w:cs="Times New Roman"/>
                <w:color w:val="auto"/>
                <w:sz w:val="24"/>
                <w:szCs w:val="20"/>
                <w:highlight w:val="none"/>
                <w:lang w:val="en-US" w:eastAsia="zh-CN"/>
              </w:rPr>
              <w:t>与</w:t>
            </w:r>
            <w:r>
              <w:rPr>
                <w:rFonts w:hint="default" w:ascii="Times New Roman" w:hAnsi="Times New Roman" w:cs="Times New Roman"/>
                <w:color w:val="auto"/>
                <w:sz w:val="24"/>
                <w:szCs w:val="20"/>
                <w:highlight w:val="none"/>
              </w:rPr>
              <w:t>生活污水进入市政污水管网，纳入</w:t>
            </w:r>
            <w:r>
              <w:rPr>
                <w:rFonts w:hint="eastAsia" w:cs="Times New Roman"/>
                <w:color w:val="auto"/>
                <w:sz w:val="24"/>
                <w:szCs w:val="20"/>
                <w:highlight w:val="none"/>
                <w:lang w:val="en-US" w:eastAsia="zh-CN"/>
              </w:rPr>
              <w:t>福清市融元污水处理厂</w:t>
            </w:r>
            <w:r>
              <w:rPr>
                <w:rFonts w:hint="default" w:ascii="Times New Roman" w:hAnsi="Times New Roman" w:cs="Times New Roman"/>
                <w:color w:val="auto"/>
                <w:sz w:val="24"/>
                <w:szCs w:val="20"/>
                <w:highlight w:val="none"/>
              </w:rPr>
              <w:t>集中处理。</w:t>
            </w:r>
            <w:r>
              <w:rPr>
                <w:rFonts w:hint="eastAsia" w:cs="Times New Roman"/>
                <w:color w:val="auto"/>
                <w:sz w:val="24"/>
                <w:szCs w:val="20"/>
                <w:highlight w:val="none"/>
                <w:lang w:val="en-US" w:eastAsia="zh-CN"/>
              </w:rPr>
              <w:t>本项目污水排放量为</w:t>
            </w:r>
            <w:r>
              <w:rPr>
                <w:rFonts w:hint="default" w:cs="Times New Roman"/>
                <w:color w:val="auto"/>
                <w:sz w:val="24"/>
                <w:szCs w:val="20"/>
                <w:highlight w:val="none"/>
                <w:lang w:val="en-US" w:eastAsia="zh-CN"/>
              </w:rPr>
              <w:t>642.85</w:t>
            </w:r>
            <w:r>
              <w:rPr>
                <w:rFonts w:hint="eastAsia" w:cs="Times New Roman"/>
                <w:color w:val="auto"/>
                <w:sz w:val="24"/>
                <w:szCs w:val="20"/>
                <w:highlight w:val="none"/>
                <w:lang w:val="en-US" w:eastAsia="zh-CN"/>
              </w:rPr>
              <w:t>t/a，按照福清市融元污水处理厂出水水质进行核算（COD 50mg/L，氨氮 5mg/L），水污染物排放总量为：COD 0.321t/a、氨氮0.032t/a。</w:t>
            </w:r>
          </w:p>
          <w:p w14:paraId="0AFD9CC6">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0"/>
                <w:highlight w:val="none"/>
              </w:rPr>
            </w:pPr>
            <w:r>
              <w:rPr>
                <w:rFonts w:hint="default" w:ascii="Times New Roman" w:hAnsi="Times New Roman" w:cs="Times New Roman"/>
                <w:color w:val="auto"/>
                <w:sz w:val="24"/>
                <w:szCs w:val="20"/>
                <w:highlight w:val="none"/>
              </w:rPr>
              <w:t>根据《福建省环保厅关于进一步加快推进排污权有偿使用和交易工作的意见》（闽环发〔2015〕6号）中的相关规定，</w:t>
            </w:r>
            <w:r>
              <w:rPr>
                <w:rFonts w:hint="default" w:ascii="Times New Roman" w:hAnsi="Times New Roman" w:cs="Times New Roman"/>
                <w:color w:val="auto"/>
                <w:sz w:val="24"/>
                <w:szCs w:val="20"/>
                <w:highlight w:val="none"/>
                <w:lang w:val="en-US" w:eastAsia="zh-CN"/>
              </w:rPr>
              <w:t>本项目</w:t>
            </w:r>
            <w:r>
              <w:rPr>
                <w:rFonts w:hint="eastAsia" w:cs="Times New Roman"/>
                <w:color w:val="auto"/>
                <w:sz w:val="24"/>
                <w:szCs w:val="20"/>
                <w:highlight w:val="none"/>
                <w:lang w:val="en-US" w:eastAsia="zh-CN"/>
              </w:rPr>
              <w:t>属于</w:t>
            </w:r>
            <w:r>
              <w:rPr>
                <w:rFonts w:hint="default" w:ascii="Times New Roman" w:hAnsi="Times New Roman" w:cs="Times New Roman"/>
                <w:color w:val="auto"/>
                <w:sz w:val="24"/>
                <w:szCs w:val="20"/>
                <w:highlight w:val="none"/>
                <w:lang w:val="en-US" w:eastAsia="zh-CN"/>
              </w:rPr>
              <w:t>检测服务行业，不在纳入建设项目主要污染物排放总量指标管理范围的项目之列，其新增的化学需氧量、氨氮主要污染物排放总量指标的来源无需通过排污权交易、政府储备排污权出让等方式有偿取得，但应保证上述污染物的达标排放。</w:t>
            </w:r>
          </w:p>
          <w:p w14:paraId="28F907DF">
            <w:pPr>
              <w:pStyle w:val="36"/>
              <w:keepNext w:val="0"/>
              <w:keepLines w:val="0"/>
              <w:numPr>
                <w:ilvl w:val="0"/>
                <w:numId w:val="6"/>
              </w:numPr>
              <w:suppressLineNumbers w:val="0"/>
              <w:spacing w:before="0" w:beforeAutospacing="0" w:after="0" w:afterAutospacing="0"/>
              <w:ind w:left="0" w:right="0" w:firstLine="480"/>
              <w:rPr>
                <w:rFonts w:hint="default" w:ascii="Times New Roman" w:hAnsi="Times New Roman" w:cs="Times New Roman"/>
                <w:color w:val="auto"/>
                <w:szCs w:val="24"/>
                <w:highlight w:val="none"/>
                <w:lang w:bidi="ar"/>
              </w:rPr>
            </w:pPr>
            <w:r>
              <w:rPr>
                <w:rFonts w:hint="default" w:ascii="Times New Roman" w:hAnsi="Times New Roman" w:cs="Times New Roman"/>
                <w:color w:val="auto"/>
                <w:szCs w:val="24"/>
                <w:highlight w:val="none"/>
                <w:lang w:bidi="ar"/>
              </w:rPr>
              <w:t>大气污染物总量控制</w:t>
            </w:r>
          </w:p>
          <w:p w14:paraId="0A409512">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kern w:val="2"/>
                <w:szCs w:val="21"/>
                <w:highlight w:val="none"/>
                <w:lang w:val="en-US" w:eastAsia="zh-CN" w:bidi="ar"/>
              </w:rPr>
            </w:pPr>
            <w:r>
              <w:rPr>
                <w:rFonts w:hint="default" w:ascii="Times New Roman" w:hAnsi="Times New Roman" w:cs="Times New Roman"/>
                <w:color w:val="auto"/>
                <w:highlight w:val="none"/>
              </w:rPr>
              <w:t>本项目不涉及SO</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排放</w:t>
            </w:r>
            <w:r>
              <w:rPr>
                <w:rFonts w:hint="eastAsia" w:cs="Times New Roman"/>
                <w:color w:val="auto"/>
                <w:highlight w:val="none"/>
                <w:vertAlign w:val="baseline"/>
                <w:lang w:val="en-US" w:eastAsia="zh-CN"/>
              </w:rPr>
              <w:t>，</w:t>
            </w:r>
            <w:r>
              <w:rPr>
                <w:rFonts w:hint="eastAsia" w:cs="Times New Roman"/>
                <w:color w:val="auto"/>
                <w:highlight w:val="none"/>
                <w:lang w:val="en-US" w:eastAsia="zh-CN"/>
              </w:rPr>
              <w:t>NO</w:t>
            </w:r>
            <w:r>
              <w:rPr>
                <w:rFonts w:hint="eastAsia" w:cs="Times New Roman"/>
                <w:color w:val="auto"/>
                <w:highlight w:val="none"/>
                <w:vertAlign w:val="subscript"/>
                <w:lang w:val="en-US" w:eastAsia="zh-CN"/>
              </w:rPr>
              <w:t>x</w:t>
            </w:r>
            <w:r>
              <w:rPr>
                <w:rFonts w:hint="eastAsia" w:cs="Times New Roman"/>
                <w:color w:val="auto"/>
                <w:highlight w:val="none"/>
                <w:vertAlign w:val="baseline"/>
                <w:lang w:val="en-US" w:eastAsia="zh-CN"/>
              </w:rPr>
              <w:t>排放量少，</w:t>
            </w:r>
            <w:r>
              <w:rPr>
                <w:rFonts w:hint="eastAsia" w:cs="Times New Roman"/>
                <w:color w:val="auto"/>
                <w:highlight w:val="none"/>
                <w:lang w:val="en-US" w:eastAsia="zh-CN"/>
              </w:rPr>
              <w:t>不做定量分析</w:t>
            </w:r>
            <w:r>
              <w:rPr>
                <w:rFonts w:hint="eastAsia" w:cs="Times New Roman"/>
                <w:color w:val="auto"/>
                <w:highlight w:val="none"/>
                <w:lang w:eastAsia="zh-CN"/>
              </w:rPr>
              <w:t>。</w:t>
            </w:r>
            <w:r>
              <w:rPr>
                <w:rFonts w:hint="default" w:ascii="Times New Roman" w:hAnsi="Times New Roman" w:cs="Times New Roman"/>
                <w:color w:val="auto"/>
                <w:highlight w:val="none"/>
              </w:rPr>
              <w:t>主要</w:t>
            </w:r>
            <w:r>
              <w:rPr>
                <w:rFonts w:hint="default" w:ascii="Times New Roman" w:hAnsi="Times New Roman" w:cs="Times New Roman"/>
                <w:color w:val="auto"/>
                <w:highlight w:val="none"/>
                <w:lang w:val="en-US" w:eastAsia="zh-CN"/>
              </w:rPr>
              <w:t>大气污染物</w:t>
            </w:r>
            <w:r>
              <w:rPr>
                <w:rFonts w:hint="default" w:ascii="Times New Roman" w:hAnsi="Times New Roman" w:cs="Times New Roman"/>
                <w:color w:val="auto"/>
                <w:highlight w:val="none"/>
              </w:rPr>
              <w:t>是</w:t>
            </w:r>
            <w:r>
              <w:rPr>
                <w:rFonts w:hint="default" w:ascii="Times New Roman" w:hAnsi="Times New Roman" w:cs="Times New Roman"/>
                <w:color w:val="auto"/>
                <w:kern w:val="2"/>
                <w:szCs w:val="21"/>
                <w:highlight w:val="none"/>
                <w:lang w:bidi="ar"/>
              </w:rPr>
              <w:t>挥发性有机物（以</w:t>
            </w:r>
            <w:r>
              <w:rPr>
                <w:rFonts w:hint="default" w:ascii="Times New Roman" w:hAnsi="Times New Roman" w:cs="Times New Roman"/>
                <w:color w:val="auto"/>
                <w:highlight w:val="none"/>
              </w:rPr>
              <w:t>非甲烷总</w:t>
            </w:r>
            <w:r>
              <w:rPr>
                <w:rFonts w:hint="default" w:ascii="Times New Roman" w:hAnsi="Times New Roman" w:eastAsia="宋体" w:cs="Times New Roman"/>
                <w:color w:val="auto"/>
                <w:kern w:val="2"/>
                <w:szCs w:val="21"/>
                <w:highlight w:val="none"/>
                <w:lang w:bidi="ar"/>
              </w:rPr>
              <w:t>烃计），排放量为</w:t>
            </w:r>
            <w:r>
              <w:rPr>
                <w:rFonts w:hint="eastAsia" w:cs="Times New Roman"/>
                <w:color w:val="auto"/>
                <w:kern w:val="2"/>
                <w:szCs w:val="21"/>
                <w:highlight w:val="none"/>
                <w:lang w:val="en-US" w:eastAsia="zh-CN" w:bidi="ar"/>
              </w:rPr>
              <w:t>0.0159</w:t>
            </w:r>
            <w:r>
              <w:rPr>
                <w:rFonts w:hint="default" w:ascii="Times New Roman" w:hAnsi="Times New Roman" w:eastAsia="宋体" w:cs="Times New Roman"/>
                <w:color w:val="auto"/>
                <w:kern w:val="2"/>
                <w:szCs w:val="21"/>
                <w:highlight w:val="none"/>
                <w:lang w:bidi="ar"/>
              </w:rPr>
              <w:t>t/a</w:t>
            </w:r>
            <w:r>
              <w:rPr>
                <w:rFonts w:hint="default" w:ascii="Times New Roman" w:hAnsi="Times New Roman" w:eastAsia="宋体" w:cs="Times New Roman"/>
                <w:color w:val="auto"/>
                <w:kern w:val="2"/>
                <w:szCs w:val="21"/>
                <w:highlight w:val="none"/>
                <w:lang w:val="en-US" w:eastAsia="zh-CN" w:bidi="ar"/>
              </w:rPr>
              <w:t>，由建设单位向福州市福清生态环境局提出申请，项目投产前完成</w:t>
            </w:r>
            <w:r>
              <w:rPr>
                <w:rFonts w:hint="default" w:ascii="Times New Roman" w:hAnsi="Times New Roman" w:cs="Times New Roman"/>
                <w:color w:val="auto"/>
                <w:highlight w:val="none"/>
              </w:rPr>
              <w:t>非甲烷总</w:t>
            </w:r>
            <w:r>
              <w:rPr>
                <w:rFonts w:hint="default" w:ascii="Times New Roman" w:hAnsi="Times New Roman" w:eastAsia="宋体" w:cs="Times New Roman"/>
                <w:color w:val="auto"/>
                <w:kern w:val="2"/>
                <w:szCs w:val="21"/>
                <w:highlight w:val="none"/>
                <w:lang w:bidi="ar"/>
              </w:rPr>
              <w:t>烃</w:t>
            </w:r>
            <w:r>
              <w:rPr>
                <w:rFonts w:hint="default" w:ascii="Times New Roman" w:hAnsi="Times New Roman" w:eastAsia="宋体" w:cs="Times New Roman"/>
                <w:color w:val="auto"/>
                <w:kern w:val="2"/>
                <w:szCs w:val="21"/>
                <w:highlight w:val="none"/>
                <w:lang w:val="en-US" w:eastAsia="zh-CN" w:bidi="ar"/>
              </w:rPr>
              <w:t>的调剂（总量承诺函详见附件1</w:t>
            </w:r>
            <w:r>
              <w:rPr>
                <w:rFonts w:hint="eastAsia" w:cs="Times New Roman"/>
                <w:color w:val="auto"/>
                <w:kern w:val="2"/>
                <w:szCs w:val="21"/>
                <w:highlight w:val="none"/>
                <w:lang w:val="en-US" w:eastAsia="zh-CN" w:bidi="ar"/>
              </w:rPr>
              <w:t>2</w:t>
            </w:r>
            <w:r>
              <w:rPr>
                <w:rFonts w:hint="default" w:ascii="Times New Roman" w:hAnsi="Times New Roman" w:eastAsia="宋体" w:cs="Times New Roman"/>
                <w:color w:val="auto"/>
                <w:kern w:val="2"/>
                <w:szCs w:val="21"/>
                <w:highlight w:val="none"/>
                <w:lang w:val="en-US" w:eastAsia="zh-CN" w:bidi="ar"/>
              </w:rPr>
              <w:t>）。</w:t>
            </w:r>
          </w:p>
          <w:p w14:paraId="48DF0D92">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kern w:val="2"/>
                <w:szCs w:val="21"/>
                <w:highlight w:val="none"/>
                <w:lang w:val="en-US" w:eastAsia="zh-CN" w:bidi="ar"/>
              </w:rPr>
            </w:pPr>
          </w:p>
          <w:p w14:paraId="5A8A2E73">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kern w:val="2"/>
                <w:szCs w:val="21"/>
                <w:highlight w:val="none"/>
                <w:lang w:val="en-US" w:eastAsia="zh-CN" w:bidi="ar"/>
              </w:rPr>
            </w:pPr>
          </w:p>
          <w:p w14:paraId="624C635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kern w:val="2"/>
                <w:szCs w:val="21"/>
                <w:highlight w:val="none"/>
                <w:lang w:val="en-US" w:eastAsia="zh-CN" w:bidi="ar"/>
              </w:rPr>
            </w:pPr>
          </w:p>
          <w:p w14:paraId="0AC82598">
            <w:pPr>
              <w:pStyle w:val="36"/>
              <w:keepNext w:val="0"/>
              <w:keepLines w:val="0"/>
              <w:suppressLineNumbers w:val="0"/>
              <w:spacing w:before="0" w:beforeAutospacing="0" w:after="0" w:afterAutospacing="0"/>
              <w:ind w:left="0" w:leftChars="0" w:right="0" w:firstLine="0" w:firstLineChars="0"/>
              <w:rPr>
                <w:rFonts w:hint="default" w:ascii="Times New Roman" w:hAnsi="Times New Roman" w:cs="Times New Roman"/>
                <w:color w:val="auto"/>
                <w:kern w:val="2"/>
                <w:szCs w:val="21"/>
                <w:highlight w:val="none"/>
                <w:lang w:val="en-US" w:eastAsia="zh-CN" w:bidi="ar"/>
              </w:rPr>
            </w:pPr>
          </w:p>
        </w:tc>
      </w:tr>
    </w:tbl>
    <w:p w14:paraId="1FCDA5F6">
      <w:pPr>
        <w:keepNext/>
        <w:keepLines w:val="0"/>
        <w:pageBreakBefore w:val="0"/>
        <w:widowControl w:val="0"/>
        <w:numPr>
          <w:ilvl w:val="0"/>
          <w:numId w:val="0"/>
        </w:numPr>
        <w:tabs>
          <w:tab w:val="left" w:pos="420"/>
        </w:tabs>
        <w:kinsoku/>
        <w:wordWrap/>
        <w:overflowPunct w:val="0"/>
        <w:topLinePunct w:val="0"/>
        <w:autoSpaceDE/>
        <w:autoSpaceDN/>
        <w:bidi w:val="0"/>
        <w:adjustRightInd/>
        <w:snapToGrid w:val="0"/>
        <w:ind w:leftChars="0"/>
        <w:jc w:val="center"/>
        <w:textAlignment w:val="auto"/>
        <w:outlineLvl w:val="9"/>
        <w:rPr>
          <w:rFonts w:hint="default" w:ascii="Times New Roman" w:hAnsi="Times New Roman" w:cs="Times New Roman"/>
          <w:snapToGrid w:val="0"/>
          <w:color w:val="auto"/>
          <w:sz w:val="36"/>
          <w:szCs w:val="36"/>
          <w:highlight w:val="none"/>
        </w:rPr>
      </w:pPr>
      <w:r>
        <w:rPr>
          <w:rFonts w:hint="default" w:ascii="Times New Roman" w:hAnsi="Times New Roman" w:cs="Times New Roman"/>
          <w:snapToGrid w:val="0"/>
          <w:color w:val="auto"/>
          <w:sz w:val="36"/>
          <w:szCs w:val="36"/>
          <w:highlight w:val="none"/>
        </w:rPr>
        <w:br w:type="page"/>
      </w:r>
      <w:bookmarkStart w:id="69" w:name="_Toc24717"/>
    </w:p>
    <w:p w14:paraId="407E89CF">
      <w:pPr>
        <w:pStyle w:val="4"/>
        <w:bidi w:val="0"/>
        <w:spacing w:before="0" w:after="0" w:line="360" w:lineRule="auto"/>
        <w:ind w:left="432" w:leftChars="0" w:hanging="432" w:firstLineChars="0"/>
        <w:rPr>
          <w:rFonts w:hint="default" w:eastAsia="宋体"/>
          <w:b/>
          <w:color w:val="auto"/>
        </w:rPr>
      </w:pPr>
      <w:bookmarkStart w:id="70" w:name="_Toc11310"/>
      <w:r>
        <w:rPr>
          <w:rStyle w:val="50"/>
          <w:rFonts w:hint="default"/>
          <w:b/>
          <w:bCs/>
          <w:color w:val="auto"/>
          <w:lang w:val="en-US" w:eastAsia="zh-CN"/>
        </w:rPr>
        <w:t>主要环境影响和保护措施</w:t>
      </w:r>
      <w:bookmarkEnd w:id="70"/>
    </w:p>
    <w:bookmarkEnd w:id="69"/>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8317"/>
      </w:tblGrid>
      <w:tr w14:paraId="54081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7" w:hRule="atLeast"/>
          <w:jc w:val="center"/>
        </w:trPr>
        <w:tc>
          <w:tcPr>
            <w:tcW w:w="664" w:type="dxa"/>
            <w:tcMar>
              <w:left w:w="28" w:type="dxa"/>
              <w:right w:w="28" w:type="dxa"/>
            </w:tcMar>
            <w:vAlign w:val="center"/>
          </w:tcPr>
          <w:p w14:paraId="57B2E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highlight w:val="none"/>
              </w:rPr>
            </w:pPr>
            <w:r>
              <w:rPr>
                <w:rFonts w:hint="default" w:ascii="Times New Roman" w:hAnsi="Times New Roman" w:cs="Times New Roman"/>
                <w:color w:val="auto"/>
                <w:kern w:val="2"/>
                <w:sz w:val="24"/>
                <w:szCs w:val="24"/>
                <w:highlight w:val="none"/>
              </w:rPr>
              <w:t>施工期环境保护措施</w:t>
            </w:r>
          </w:p>
        </w:tc>
        <w:tc>
          <w:tcPr>
            <w:tcW w:w="8317" w:type="dxa"/>
            <w:vAlign w:val="center"/>
          </w:tcPr>
          <w:p w14:paraId="4B356F19">
            <w:pPr>
              <w:pStyle w:val="5"/>
              <w:suppressLineNumbers w:val="0"/>
              <w:bidi w:val="0"/>
              <w:spacing w:beforeAutospacing="0" w:afterAutospacing="0"/>
              <w:ind w:right="0"/>
              <w:rPr>
                <w:rFonts w:hint="default" w:ascii="Times New Roman" w:hAnsi="Times New Roman" w:eastAsia="宋体" w:cs="Times New Roman"/>
                <w:color w:val="auto"/>
                <w:highlight w:val="none"/>
                <w:lang w:val="en-US" w:eastAsia="zh-CN"/>
              </w:rPr>
            </w:pPr>
            <w:bookmarkStart w:id="71" w:name="_Toc24545"/>
            <w:bookmarkStart w:id="72" w:name="_Toc20233"/>
            <w:r>
              <w:rPr>
                <w:rFonts w:hint="eastAsia" w:cs="Times New Roman"/>
                <w:color w:val="auto"/>
                <w:highlight w:val="none"/>
                <w:lang w:val="en-US" w:eastAsia="zh-CN"/>
              </w:rPr>
              <w:t>施工期环境保护措施</w:t>
            </w:r>
            <w:bookmarkEnd w:id="71"/>
          </w:p>
          <w:p w14:paraId="08554702">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施工期污染源强</w:t>
            </w:r>
            <w:bookmarkEnd w:id="72"/>
          </w:p>
          <w:p w14:paraId="633D2C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bookmarkStart w:id="73" w:name="_Toc12491"/>
            <w:bookmarkStart w:id="74" w:name="_Toc2516"/>
            <w:r>
              <w:rPr>
                <w:rFonts w:hint="default" w:ascii="Times New Roman" w:hAnsi="Times New Roman" w:eastAsia="宋体" w:cs="Times New Roman"/>
                <w:color w:val="auto"/>
                <w:kern w:val="2"/>
                <w:sz w:val="24"/>
                <w:szCs w:val="20"/>
                <w:highlight w:val="none"/>
                <w:lang w:val="en-US" w:eastAsia="zh-CN" w:bidi="ar-SA"/>
              </w:rPr>
              <w:t>本项目选址于</w:t>
            </w:r>
            <w:r>
              <w:rPr>
                <w:rFonts w:hint="eastAsia" w:cs="Times New Roman"/>
                <w:color w:val="auto"/>
                <w:kern w:val="2"/>
                <w:sz w:val="24"/>
                <w:szCs w:val="20"/>
                <w:highlight w:val="none"/>
                <w:lang w:val="en-US" w:eastAsia="zh-CN" w:bidi="ar-SA"/>
              </w:rPr>
              <w:t>福清市融侨经济技术开发洪宽工业村</w:t>
            </w:r>
            <w:r>
              <w:rPr>
                <w:rFonts w:hint="eastAsia" w:cs="Times New Roman"/>
                <w:color w:val="auto"/>
                <w:sz w:val="24"/>
                <w:szCs w:val="24"/>
                <w:highlight w:val="none"/>
                <w:lang w:val="en-US" w:eastAsia="zh-CN"/>
              </w:rPr>
              <w:t>福清洪金机械有限公司</w:t>
            </w:r>
            <w:r>
              <w:rPr>
                <w:rFonts w:hint="eastAsia" w:cs="Times New Roman"/>
                <w:color w:val="auto"/>
                <w:kern w:val="2"/>
                <w:sz w:val="24"/>
                <w:szCs w:val="20"/>
                <w:highlight w:val="none"/>
                <w:lang w:val="en-US" w:eastAsia="zh-CN" w:bidi="ar-SA"/>
              </w:rPr>
              <w:t>4</w:t>
            </w:r>
            <w:r>
              <w:rPr>
                <w:rFonts w:hint="default" w:ascii="Times New Roman" w:hAnsi="Times New Roman" w:eastAsia="宋体" w:cs="Times New Roman"/>
                <w:color w:val="auto"/>
                <w:kern w:val="2"/>
                <w:sz w:val="24"/>
                <w:szCs w:val="20"/>
                <w:highlight w:val="none"/>
                <w:lang w:val="en-US" w:eastAsia="zh-CN" w:bidi="ar-SA"/>
              </w:rPr>
              <w:t>层</w:t>
            </w:r>
            <w:r>
              <w:rPr>
                <w:rFonts w:hint="eastAsia" w:cs="Times New Roman"/>
                <w:color w:val="auto"/>
                <w:kern w:val="2"/>
                <w:sz w:val="24"/>
                <w:szCs w:val="20"/>
                <w:highlight w:val="none"/>
                <w:lang w:val="en-US" w:eastAsia="zh-CN" w:bidi="ar-SA"/>
              </w:rPr>
              <w:t>、5</w:t>
            </w:r>
            <w:r>
              <w:rPr>
                <w:rFonts w:hint="default" w:ascii="Times New Roman" w:hAnsi="Times New Roman" w:eastAsia="宋体" w:cs="Times New Roman"/>
                <w:color w:val="auto"/>
                <w:kern w:val="2"/>
                <w:sz w:val="24"/>
                <w:szCs w:val="20"/>
                <w:highlight w:val="none"/>
                <w:lang w:val="en-US" w:eastAsia="zh-CN" w:bidi="ar-SA"/>
              </w:rPr>
              <w:t>层</w:t>
            </w:r>
            <w:r>
              <w:rPr>
                <w:rFonts w:hint="eastAsia" w:cs="Times New Roman"/>
                <w:color w:val="auto"/>
                <w:kern w:val="2"/>
                <w:sz w:val="24"/>
                <w:szCs w:val="20"/>
                <w:highlight w:val="none"/>
                <w:lang w:val="en-US" w:eastAsia="zh-CN" w:bidi="ar-SA"/>
              </w:rPr>
              <w:t>厂房</w:t>
            </w:r>
            <w:r>
              <w:rPr>
                <w:rFonts w:hint="default" w:ascii="Times New Roman" w:hAnsi="Times New Roman" w:eastAsia="宋体" w:cs="Times New Roman"/>
                <w:color w:val="auto"/>
                <w:kern w:val="2"/>
                <w:sz w:val="24"/>
                <w:szCs w:val="20"/>
                <w:highlight w:val="none"/>
                <w:lang w:val="en-US" w:eastAsia="zh-CN" w:bidi="ar-SA"/>
              </w:rPr>
              <w:t>，仅对租赁的楼层进行装修及进行设备、电气线路布设作业。装修工序是在室内进行，主要污染源如下：</w:t>
            </w:r>
            <w:bookmarkEnd w:id="73"/>
            <w:bookmarkEnd w:id="74"/>
          </w:p>
          <w:p w14:paraId="4C5FE2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bookmarkStart w:id="75" w:name="_Toc26840"/>
            <w:bookmarkStart w:id="76" w:name="_Toc26879"/>
            <w:r>
              <w:rPr>
                <w:rFonts w:hint="default" w:ascii="Times New Roman" w:hAnsi="Times New Roman" w:eastAsia="宋体" w:cs="Times New Roman"/>
                <w:color w:val="auto"/>
                <w:kern w:val="2"/>
                <w:sz w:val="24"/>
                <w:szCs w:val="20"/>
                <w:highlight w:val="none"/>
                <w:lang w:val="en-US" w:eastAsia="zh-CN" w:bidi="ar-SA"/>
              </w:rPr>
              <w:t>施工过程主要废气为装修场地电抛、粉刷及切割的扬尘，以及在装修过程中所造成的二次扬尘污染；其次，室内装修时使用涂料、油漆时产生的挥发性有机废气（主要为甲苯、二甲苯）污染。</w:t>
            </w:r>
            <w:bookmarkEnd w:id="75"/>
            <w:bookmarkEnd w:id="76"/>
          </w:p>
          <w:p w14:paraId="480C17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施工人员作业期间产生的少量生活污水</w:t>
            </w:r>
            <w:r>
              <w:rPr>
                <w:rFonts w:hint="eastAsia" w:cs="Times New Roman"/>
                <w:color w:val="auto"/>
                <w:kern w:val="2"/>
                <w:sz w:val="24"/>
                <w:szCs w:val="20"/>
                <w:highlight w:val="none"/>
                <w:lang w:val="en-US" w:eastAsia="zh-CN" w:bidi="ar-SA"/>
              </w:rPr>
              <w:t>。</w:t>
            </w:r>
          </w:p>
          <w:p w14:paraId="4ED185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bookmarkStart w:id="77" w:name="_Toc4378"/>
            <w:bookmarkStart w:id="78" w:name="_Toc26509"/>
            <w:r>
              <w:rPr>
                <w:rFonts w:hint="default" w:ascii="Times New Roman" w:hAnsi="Times New Roman" w:eastAsia="宋体" w:cs="Times New Roman"/>
                <w:color w:val="auto"/>
                <w:kern w:val="2"/>
                <w:sz w:val="24"/>
                <w:szCs w:val="20"/>
                <w:highlight w:val="none"/>
                <w:lang w:val="en-US" w:eastAsia="zh-CN" w:bidi="ar-SA"/>
              </w:rPr>
              <w:t>施工过程各类装修机械会产生一定的噪声，这些机械的单台声级一般均在65dB</w:t>
            </w:r>
            <w:r>
              <w:rPr>
                <w:rFonts w:hint="default" w:ascii="Times New Roman" w:hAnsi="Times New Roman" w:eastAsia="宋体" w:cs="Times New Roman"/>
                <w:color w:val="auto"/>
                <w:kern w:val="2"/>
                <w:sz w:val="24"/>
                <w:szCs w:val="20"/>
                <w:highlight w:val="none"/>
                <w:shd w:val="clear" w:fill="FFFFFF"/>
                <w:lang w:val="en-US" w:eastAsia="zh-CN" w:bidi="ar-SA"/>
              </w:rPr>
              <w:t>(</w:t>
            </w:r>
            <w:r>
              <w:rPr>
                <w:rFonts w:hint="default" w:ascii="Times New Roman" w:hAnsi="Times New Roman" w:eastAsia="宋体" w:cs="Times New Roman"/>
                <w:color w:val="auto"/>
                <w:kern w:val="2"/>
                <w:sz w:val="24"/>
                <w:szCs w:val="20"/>
                <w:highlight w:val="none"/>
                <w:lang w:val="en-US" w:eastAsia="zh-CN" w:bidi="ar-SA"/>
              </w:rPr>
              <w:t>A</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以上。</w:t>
            </w:r>
            <w:bookmarkEnd w:id="77"/>
            <w:bookmarkEnd w:id="78"/>
          </w:p>
          <w:p w14:paraId="38C1E4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bookmarkStart w:id="79" w:name="_Toc3595"/>
            <w:bookmarkStart w:id="80" w:name="_Toc12325"/>
            <w:r>
              <w:rPr>
                <w:rFonts w:hint="default" w:ascii="Times New Roman" w:hAnsi="Times New Roman" w:eastAsia="宋体" w:cs="Times New Roman"/>
                <w:color w:val="auto"/>
                <w:kern w:val="2"/>
                <w:sz w:val="24"/>
                <w:szCs w:val="20"/>
                <w:highlight w:val="none"/>
                <w:lang w:val="en-US" w:eastAsia="zh-CN" w:bidi="ar-SA"/>
              </w:rPr>
              <w:t>施工固体废物主要是施工中碎砖头、水泥块、沙子等固体废物。</w:t>
            </w:r>
            <w:bookmarkEnd w:id="79"/>
            <w:bookmarkEnd w:id="80"/>
          </w:p>
          <w:p w14:paraId="24F860AD">
            <w:pPr>
              <w:pStyle w:val="6"/>
              <w:suppressLineNumbers w:val="0"/>
              <w:bidi w:val="0"/>
              <w:spacing w:beforeAutospacing="0" w:afterAutospacing="0"/>
              <w:ind w:right="0"/>
              <w:rPr>
                <w:rFonts w:hint="default"/>
                <w:color w:val="auto"/>
                <w:lang w:val="en-US" w:eastAsia="zh-CN"/>
              </w:rPr>
            </w:pPr>
            <w:bookmarkStart w:id="81" w:name="_Toc17318"/>
            <w:r>
              <w:rPr>
                <w:rFonts w:hint="default"/>
                <w:color w:val="auto"/>
                <w:lang w:val="en-US" w:eastAsia="zh-CN"/>
              </w:rPr>
              <w:t>施工期环境影响分析</w:t>
            </w:r>
            <w:bookmarkEnd w:id="81"/>
          </w:p>
          <w:p w14:paraId="2904B4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bookmarkStart w:id="82" w:name="_Toc26780"/>
            <w:bookmarkStart w:id="83" w:name="_Toc19777"/>
            <w:r>
              <w:rPr>
                <w:rFonts w:hint="default" w:ascii="Times New Roman" w:hAnsi="Times New Roman" w:eastAsia="宋体" w:cs="Times New Roman"/>
                <w:color w:val="auto"/>
                <w:kern w:val="2"/>
                <w:sz w:val="24"/>
                <w:szCs w:val="20"/>
                <w:highlight w:val="none"/>
                <w:lang w:val="en-US" w:eastAsia="zh-CN" w:bidi="ar-SA"/>
              </w:rPr>
              <w:t>本项目仅对租赁的楼层进行简单装修及进行设备、电气线路布设作业。在施工过程中，主要为扬尘、噪声等影响问题。项目施工期环境影响因素分析见下表。</w:t>
            </w:r>
            <w:bookmarkEnd w:id="82"/>
            <w:bookmarkEnd w:id="83"/>
          </w:p>
          <w:p w14:paraId="545384A2">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施工期环境影响因素一览表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3"/>
              <w:gridCol w:w="1235"/>
              <w:gridCol w:w="2187"/>
              <w:gridCol w:w="3383"/>
            </w:tblGrid>
            <w:tr w14:paraId="6606A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798" w:type="pct"/>
                  <w:tcBorders>
                    <w:tl2br w:val="nil"/>
                    <w:tr2bl w:val="nil"/>
                  </w:tcBorders>
                  <w:noWrap w:val="0"/>
                  <w:vAlign w:val="center"/>
                </w:tcPr>
                <w:p w14:paraId="3B32520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环境要素</w:t>
                  </w:r>
                </w:p>
              </w:tc>
              <w:tc>
                <w:tcPr>
                  <w:tcW w:w="762" w:type="pct"/>
                  <w:tcBorders>
                    <w:tl2br w:val="nil"/>
                    <w:tr2bl w:val="nil"/>
                  </w:tcBorders>
                  <w:noWrap w:val="0"/>
                  <w:vAlign w:val="center"/>
                </w:tcPr>
                <w:p w14:paraId="40CDD2C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影响因子</w:t>
                  </w:r>
                </w:p>
              </w:tc>
              <w:tc>
                <w:tcPr>
                  <w:tcW w:w="1350" w:type="pct"/>
                  <w:tcBorders>
                    <w:tl2br w:val="nil"/>
                    <w:tr2bl w:val="nil"/>
                  </w:tcBorders>
                  <w:noWrap w:val="0"/>
                  <w:vAlign w:val="center"/>
                </w:tcPr>
                <w:p w14:paraId="6E3B268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产生源</w:t>
                  </w:r>
                </w:p>
              </w:tc>
              <w:tc>
                <w:tcPr>
                  <w:tcW w:w="2088" w:type="pct"/>
                  <w:tcBorders>
                    <w:tl2br w:val="nil"/>
                    <w:tr2bl w:val="nil"/>
                  </w:tcBorders>
                  <w:noWrap w:val="0"/>
                  <w:vAlign w:val="center"/>
                </w:tcPr>
                <w:p w14:paraId="591E14E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排放及影响特征</w:t>
                  </w:r>
                </w:p>
              </w:tc>
            </w:tr>
            <w:tr w14:paraId="33EBE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798" w:type="pct"/>
                  <w:tcBorders>
                    <w:tl2br w:val="nil"/>
                    <w:tr2bl w:val="nil"/>
                  </w:tcBorders>
                  <w:noWrap w:val="0"/>
                  <w:vAlign w:val="center"/>
                </w:tcPr>
                <w:p w14:paraId="2274BBC6">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声环境</w:t>
                  </w:r>
                </w:p>
              </w:tc>
              <w:tc>
                <w:tcPr>
                  <w:tcW w:w="762" w:type="pct"/>
                  <w:tcBorders>
                    <w:tl2br w:val="nil"/>
                    <w:tr2bl w:val="nil"/>
                  </w:tcBorders>
                  <w:noWrap w:val="0"/>
                  <w:vAlign w:val="center"/>
                </w:tcPr>
                <w:p w14:paraId="3217BC8F">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设备噪声</w:t>
                  </w:r>
                </w:p>
              </w:tc>
              <w:tc>
                <w:tcPr>
                  <w:tcW w:w="1350" w:type="pct"/>
                  <w:tcBorders>
                    <w:tl2br w:val="nil"/>
                    <w:tr2bl w:val="nil"/>
                  </w:tcBorders>
                  <w:noWrap w:val="0"/>
                  <w:vAlign w:val="center"/>
                </w:tcPr>
                <w:p w14:paraId="101D5C8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电钻、开孔机等设备</w:t>
                  </w:r>
                </w:p>
              </w:tc>
              <w:tc>
                <w:tcPr>
                  <w:tcW w:w="2088" w:type="pct"/>
                  <w:tcBorders>
                    <w:tl2br w:val="nil"/>
                    <w:tr2bl w:val="nil"/>
                  </w:tcBorders>
                  <w:noWrap w:val="0"/>
                  <w:vAlign w:val="center"/>
                </w:tcPr>
                <w:p w14:paraId="794A79A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无指向性，不连续</w:t>
                  </w:r>
                </w:p>
              </w:tc>
            </w:tr>
            <w:tr w14:paraId="6868C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98" w:type="pct"/>
                  <w:tcBorders>
                    <w:tl2br w:val="nil"/>
                    <w:tr2bl w:val="nil"/>
                  </w:tcBorders>
                  <w:noWrap w:val="0"/>
                  <w:vAlign w:val="center"/>
                </w:tcPr>
                <w:p w14:paraId="38FE20A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环境空气</w:t>
                  </w:r>
                </w:p>
              </w:tc>
              <w:tc>
                <w:tcPr>
                  <w:tcW w:w="762" w:type="pct"/>
                  <w:tcBorders>
                    <w:tl2br w:val="nil"/>
                    <w:tr2bl w:val="nil"/>
                  </w:tcBorders>
                  <w:noWrap w:val="0"/>
                  <w:vAlign w:val="center"/>
                </w:tcPr>
                <w:p w14:paraId="3F8B975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扬尘</w:t>
                  </w:r>
                </w:p>
              </w:tc>
              <w:tc>
                <w:tcPr>
                  <w:tcW w:w="1350" w:type="pct"/>
                  <w:tcBorders>
                    <w:tl2br w:val="nil"/>
                    <w:tr2bl w:val="nil"/>
                  </w:tcBorders>
                  <w:noWrap w:val="0"/>
                  <w:vAlign w:val="center"/>
                </w:tcPr>
                <w:p w14:paraId="7746729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钻孔、开槽等</w:t>
                  </w:r>
                </w:p>
              </w:tc>
              <w:tc>
                <w:tcPr>
                  <w:tcW w:w="2088" w:type="pct"/>
                  <w:tcBorders>
                    <w:tl2br w:val="nil"/>
                    <w:tr2bl w:val="nil"/>
                  </w:tcBorders>
                  <w:noWrap w:val="0"/>
                  <w:vAlign w:val="center"/>
                </w:tcPr>
                <w:p w14:paraId="665DA71C">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时限性明显</w:t>
                  </w:r>
                </w:p>
              </w:tc>
            </w:tr>
            <w:tr w14:paraId="6D1FB3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798" w:type="pct"/>
                  <w:tcBorders>
                    <w:tl2br w:val="nil"/>
                    <w:tr2bl w:val="nil"/>
                  </w:tcBorders>
                  <w:noWrap w:val="0"/>
                  <w:vAlign w:val="center"/>
                </w:tcPr>
                <w:p w14:paraId="6AC9224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水环境</w:t>
                  </w:r>
                </w:p>
              </w:tc>
              <w:tc>
                <w:tcPr>
                  <w:tcW w:w="762" w:type="pct"/>
                  <w:tcBorders>
                    <w:tl2br w:val="nil"/>
                    <w:tr2bl w:val="nil"/>
                  </w:tcBorders>
                  <w:noWrap w:val="0"/>
                  <w:vAlign w:val="center"/>
                </w:tcPr>
                <w:p w14:paraId="34BF239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生活污水</w:t>
                  </w:r>
                </w:p>
              </w:tc>
              <w:tc>
                <w:tcPr>
                  <w:tcW w:w="1350" w:type="pct"/>
                  <w:tcBorders>
                    <w:tl2br w:val="nil"/>
                    <w:tr2bl w:val="nil"/>
                  </w:tcBorders>
                  <w:noWrap w:val="0"/>
                  <w:vAlign w:val="center"/>
                </w:tcPr>
                <w:p w14:paraId="1E4AD9E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施工人员</w:t>
                  </w:r>
                </w:p>
              </w:tc>
              <w:tc>
                <w:tcPr>
                  <w:tcW w:w="2088" w:type="pct"/>
                  <w:tcBorders>
                    <w:tl2br w:val="nil"/>
                    <w:tr2bl w:val="nil"/>
                  </w:tcBorders>
                  <w:noWrap w:val="0"/>
                  <w:vAlign w:val="center"/>
                </w:tcPr>
                <w:p w14:paraId="73C5EAF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依托大楼现有的污水排放系统，不另行单独外排</w:t>
                  </w:r>
                </w:p>
              </w:tc>
            </w:tr>
            <w:tr w14:paraId="474AD1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798" w:type="pct"/>
                  <w:tcBorders>
                    <w:tl2br w:val="nil"/>
                    <w:tr2bl w:val="nil"/>
                  </w:tcBorders>
                  <w:noWrap w:val="0"/>
                  <w:vAlign w:val="center"/>
                </w:tcPr>
                <w:p w14:paraId="177DC2B8">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固体废物</w:t>
                  </w:r>
                </w:p>
              </w:tc>
              <w:tc>
                <w:tcPr>
                  <w:tcW w:w="762" w:type="pct"/>
                  <w:tcBorders>
                    <w:tl2br w:val="nil"/>
                    <w:tr2bl w:val="nil"/>
                  </w:tcBorders>
                  <w:noWrap w:val="0"/>
                  <w:vAlign w:val="center"/>
                </w:tcPr>
                <w:p w14:paraId="333355B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一般</w:t>
                  </w:r>
                  <w:r>
                    <w:rPr>
                      <w:rFonts w:hint="eastAsia"/>
                      <w:color w:val="auto"/>
                      <w:szCs w:val="20"/>
                      <w:lang w:val="en-US" w:eastAsia="zh-CN"/>
                    </w:rPr>
                    <w:t>固体废物</w:t>
                  </w:r>
                </w:p>
              </w:tc>
              <w:tc>
                <w:tcPr>
                  <w:tcW w:w="1350" w:type="pct"/>
                  <w:tcBorders>
                    <w:tl2br w:val="nil"/>
                    <w:tr2bl w:val="nil"/>
                  </w:tcBorders>
                  <w:noWrap w:val="0"/>
                  <w:vAlign w:val="center"/>
                </w:tcPr>
                <w:p w14:paraId="4C3A0760">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设备安装</w:t>
                  </w:r>
                </w:p>
              </w:tc>
              <w:tc>
                <w:tcPr>
                  <w:tcW w:w="2088" w:type="pct"/>
                  <w:tcBorders>
                    <w:tl2br w:val="nil"/>
                    <w:tr2bl w:val="nil"/>
                  </w:tcBorders>
                  <w:noWrap w:val="0"/>
                  <w:vAlign w:val="center"/>
                </w:tcPr>
                <w:p w14:paraId="2A62671F">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安装设备产生的包装袋等一般</w:t>
                  </w:r>
                  <w:r>
                    <w:rPr>
                      <w:rFonts w:hint="eastAsia"/>
                      <w:color w:val="auto"/>
                      <w:szCs w:val="20"/>
                      <w:lang w:val="en-US" w:eastAsia="zh-CN"/>
                    </w:rPr>
                    <w:t>固体废物</w:t>
                  </w:r>
                </w:p>
              </w:tc>
            </w:tr>
          </w:tbl>
          <w:p w14:paraId="383C673D">
            <w:pPr>
              <w:pStyle w:val="69"/>
              <w:keepNext w:val="0"/>
              <w:keepLines w:val="0"/>
              <w:suppressLineNumbers w:val="0"/>
              <w:bidi w:val="0"/>
              <w:spacing w:beforeAutospacing="0" w:after="0" w:afterAutospacing="0"/>
              <w:ind w:left="0" w:right="0"/>
              <w:rPr>
                <w:rFonts w:hint="default"/>
                <w:color w:val="auto"/>
                <w:lang w:val="en-US" w:eastAsia="zh-CN"/>
              </w:rPr>
            </w:pPr>
            <w:r>
              <w:rPr>
                <w:rFonts w:hint="eastAsia"/>
                <w:color w:val="auto"/>
                <w:lang w:val="en-US" w:eastAsia="zh-CN"/>
              </w:rPr>
              <w:t>（1）</w:t>
            </w:r>
            <w:r>
              <w:rPr>
                <w:rFonts w:hint="default"/>
                <w:color w:val="auto"/>
                <w:lang w:val="en-US" w:eastAsia="zh-CN"/>
              </w:rPr>
              <w:t>噪声影响</w:t>
            </w:r>
          </w:p>
          <w:p w14:paraId="2BA60783">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装修施工过程</w:t>
            </w:r>
            <w:r>
              <w:rPr>
                <w:rFonts w:hint="default"/>
                <w:color w:val="auto"/>
                <w:lang w:val="en-US" w:eastAsia="zh-CN"/>
              </w:rPr>
              <w:t>主要为电钻、开孔机等设备噪声的影响，这种影响是间歇性、短期、暂时的，具有局部区域特性，随施工期结束而消失，对周边区域环境影响不大。</w:t>
            </w:r>
          </w:p>
          <w:p w14:paraId="50534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（2）扬尘影响</w:t>
            </w:r>
          </w:p>
          <w:p w14:paraId="4B2169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装修施工过程</w:t>
            </w:r>
            <w:r>
              <w:rPr>
                <w:rFonts w:hint="default" w:ascii="Times New Roman" w:hAnsi="Times New Roman" w:eastAsia="宋体" w:cs="Times New Roman"/>
                <w:color w:val="auto"/>
                <w:kern w:val="2"/>
                <w:sz w:val="24"/>
                <w:szCs w:val="20"/>
                <w:highlight w:val="none"/>
                <w:lang w:val="en-US" w:eastAsia="zh-CN" w:bidi="ar-SA"/>
              </w:rPr>
              <w:t>中扬尘主要来源于：装修过程墙壁开槽、钻孔产生的扬尘。项目在室内进行施工，施工扬尘对外环境的影响大大降低，故本项目施工期产生的扬尘对周边环境没有明显影响。</w:t>
            </w:r>
          </w:p>
          <w:p w14:paraId="1CF7B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（3）施工废水影响</w:t>
            </w:r>
          </w:p>
          <w:p w14:paraId="579204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本项目施工人员生活污水依托大楼现有的污水排放系统，不另行单独外排。</w:t>
            </w:r>
          </w:p>
          <w:p w14:paraId="0BA47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（4）</w:t>
            </w:r>
            <w:r>
              <w:rPr>
                <w:rFonts w:hint="default" w:ascii="Times New Roman" w:hAnsi="Times New Roman" w:eastAsia="宋体" w:cs="Times New Roman"/>
                <w:color w:val="auto"/>
                <w:kern w:val="2"/>
                <w:sz w:val="24"/>
                <w:szCs w:val="20"/>
                <w:highlight w:val="none"/>
                <w:lang w:val="en-US" w:eastAsia="zh-CN" w:bidi="ar-SA"/>
              </w:rPr>
              <w:t>固体废物</w:t>
            </w:r>
            <w:r>
              <w:rPr>
                <w:rFonts w:hint="eastAsia" w:ascii="Times New Roman" w:hAnsi="Times New Roman" w:eastAsia="宋体" w:cs="Times New Roman"/>
                <w:color w:val="auto"/>
                <w:kern w:val="2"/>
                <w:sz w:val="24"/>
                <w:szCs w:val="20"/>
                <w:highlight w:val="none"/>
                <w:lang w:val="en-US" w:eastAsia="zh-CN" w:bidi="ar-SA"/>
              </w:rPr>
              <w:t>影响</w:t>
            </w:r>
          </w:p>
          <w:p w14:paraId="6BB41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val="0"/>
                <w:bCs w:val="0"/>
                <w:color w:val="auto"/>
                <w:kern w:val="2"/>
                <w:sz w:val="24"/>
                <w:szCs w:val="24"/>
                <w:lang w:val="en-US" w:eastAsia="zh-CN" w:bidi="ar-SA"/>
              </w:rPr>
            </w:pPr>
            <w:r>
              <w:rPr>
                <w:rFonts w:hint="default" w:ascii="Times New Roman" w:hAnsi="Times New Roman" w:eastAsia="宋体" w:cs="Times New Roman"/>
                <w:color w:val="auto"/>
                <w:kern w:val="2"/>
                <w:sz w:val="24"/>
                <w:szCs w:val="20"/>
                <w:highlight w:val="none"/>
                <w:lang w:val="en-US" w:eastAsia="zh-CN" w:bidi="ar-SA"/>
              </w:rPr>
              <w:t>施工固体废物主要是设备的包装及装修的边角料等固体废物，收集后由环卫</w:t>
            </w:r>
            <w:r>
              <w:rPr>
                <w:rFonts w:hint="default" w:ascii="Times New Roman" w:hAnsi="Times New Roman" w:eastAsia="宋体" w:cs="Times New Roman"/>
                <w:b w:val="0"/>
                <w:bCs w:val="0"/>
                <w:color w:val="auto"/>
                <w:kern w:val="2"/>
                <w:sz w:val="24"/>
                <w:szCs w:val="24"/>
                <w:lang w:val="en-US" w:eastAsia="zh-CN" w:bidi="ar-SA"/>
              </w:rPr>
              <w:t>部门统一处理。</w:t>
            </w:r>
          </w:p>
          <w:p w14:paraId="4201FF91">
            <w:pPr>
              <w:pStyle w:val="6"/>
              <w:suppressLineNumbers w:val="0"/>
              <w:bidi w:val="0"/>
              <w:spacing w:beforeAutospacing="0" w:afterAutospacing="0"/>
              <w:ind w:right="0"/>
              <w:rPr>
                <w:rFonts w:hint="default"/>
                <w:color w:val="auto"/>
                <w:lang w:val="en-US" w:eastAsia="zh-CN"/>
              </w:rPr>
            </w:pPr>
            <w:bookmarkStart w:id="84" w:name="_Toc25460"/>
            <w:r>
              <w:rPr>
                <w:rFonts w:hint="default"/>
                <w:color w:val="auto"/>
                <w:lang w:val="en-US" w:eastAsia="zh-CN"/>
              </w:rPr>
              <w:t>施工期环境保护措施</w:t>
            </w:r>
            <w:bookmarkEnd w:id="84"/>
          </w:p>
          <w:p w14:paraId="70A0A2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default" w:ascii="Times New Roman" w:hAnsi="Times New Roman" w:eastAsia="宋体" w:cs="Times New Roman"/>
                <w:color w:val="auto"/>
                <w:kern w:val="2"/>
                <w:sz w:val="24"/>
                <w:szCs w:val="20"/>
                <w:highlight w:val="none"/>
                <w:lang w:val="en-US" w:eastAsia="zh-CN" w:bidi="ar-SA"/>
              </w:rPr>
              <w:t>本项目仅对租赁的楼层进行简单装修及进行设备、电气线路布设作业。该装修在室内进行，装修过程产生的废气、噪声</w:t>
            </w:r>
            <w:r>
              <w:rPr>
                <w:rFonts w:hint="eastAsia" w:cs="Times New Roman"/>
                <w:color w:val="auto"/>
                <w:kern w:val="2"/>
                <w:sz w:val="24"/>
                <w:szCs w:val="20"/>
                <w:highlight w:val="none"/>
                <w:lang w:val="en-US" w:eastAsia="zh-CN" w:bidi="ar-SA"/>
              </w:rPr>
              <w:t>经墙体等隔离和衰减后</w:t>
            </w:r>
            <w:r>
              <w:rPr>
                <w:rFonts w:hint="default" w:ascii="Times New Roman" w:hAnsi="Times New Roman" w:eastAsia="宋体" w:cs="Times New Roman"/>
                <w:color w:val="auto"/>
                <w:kern w:val="2"/>
                <w:sz w:val="24"/>
                <w:szCs w:val="20"/>
                <w:highlight w:val="none"/>
                <w:lang w:val="en-US" w:eastAsia="zh-CN" w:bidi="ar-SA"/>
              </w:rPr>
              <w:t>不会对周围环境产生明显的影响，施工期较短，对外界环境影响是暂时的，施工期环境保护措施主要如下：</w:t>
            </w:r>
          </w:p>
          <w:p w14:paraId="317D9274">
            <w:pPr>
              <w:pStyle w:val="36"/>
              <w:keepNext w:val="0"/>
              <w:keepLines w:val="0"/>
              <w:suppressLineNumbers w:val="0"/>
              <w:bidi w:val="0"/>
              <w:spacing w:before="0" w:beforeAutospacing="0" w:after="0" w:afterAutospacing="0"/>
              <w:ind w:left="0" w:right="0"/>
              <w:rPr>
                <w:rFonts w:hint="default"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（1）</w:t>
            </w:r>
            <w:r>
              <w:rPr>
                <w:rFonts w:hint="eastAsia"/>
                <w:color w:val="auto"/>
              </w:rPr>
              <w:t>合理安排施工时间，禁止在午间（12时至14时）和夜间（22时至次日6时）进行</w:t>
            </w:r>
            <w:r>
              <w:rPr>
                <w:rFonts w:hint="eastAsia"/>
                <w:color w:val="auto"/>
                <w:lang w:val="en-US" w:eastAsia="zh-CN"/>
              </w:rPr>
              <w:t>高噪声的装修作业活动。</w:t>
            </w:r>
          </w:p>
          <w:p w14:paraId="6AC2D4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（2）</w:t>
            </w:r>
            <w:r>
              <w:rPr>
                <w:rFonts w:hint="default" w:ascii="Times New Roman" w:hAnsi="Times New Roman" w:eastAsia="宋体" w:cs="Times New Roman"/>
                <w:color w:val="auto"/>
                <w:kern w:val="2"/>
                <w:sz w:val="24"/>
                <w:szCs w:val="20"/>
                <w:highlight w:val="none"/>
                <w:lang w:val="en-US" w:eastAsia="zh-CN" w:bidi="ar-SA"/>
              </w:rPr>
              <w:t>装修过程墙壁开槽、钻孔产生的扬尘，在室内进行施工</w:t>
            </w:r>
            <w:r>
              <w:rPr>
                <w:rFonts w:hint="eastAsia" w:cs="Times New Roman"/>
                <w:color w:val="auto"/>
                <w:kern w:val="2"/>
                <w:sz w:val="24"/>
                <w:szCs w:val="20"/>
                <w:highlight w:val="none"/>
                <w:lang w:val="en-US" w:eastAsia="zh-CN" w:bidi="ar-SA"/>
              </w:rPr>
              <w:t>，关闭门窗</w:t>
            </w:r>
            <w:r>
              <w:rPr>
                <w:rFonts w:hint="default" w:ascii="Times New Roman" w:hAnsi="Times New Roman" w:eastAsia="宋体" w:cs="Times New Roman"/>
                <w:color w:val="auto"/>
                <w:kern w:val="2"/>
                <w:sz w:val="24"/>
                <w:szCs w:val="20"/>
                <w:highlight w:val="none"/>
                <w:lang w:val="en-US" w:eastAsia="zh-CN" w:bidi="ar-SA"/>
              </w:rPr>
              <w:t>，施工扬尘对外环境的影响大大降低。</w:t>
            </w:r>
          </w:p>
          <w:p w14:paraId="25A36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（3）</w:t>
            </w:r>
            <w:r>
              <w:rPr>
                <w:rFonts w:hint="default" w:ascii="Times New Roman" w:hAnsi="Times New Roman" w:eastAsia="宋体" w:cs="Times New Roman"/>
                <w:color w:val="auto"/>
                <w:kern w:val="2"/>
                <w:sz w:val="24"/>
                <w:szCs w:val="20"/>
                <w:highlight w:val="none"/>
                <w:lang w:val="en-US" w:eastAsia="zh-CN" w:bidi="ar-SA"/>
              </w:rPr>
              <w:t>施工人员的生活污水</w:t>
            </w:r>
            <w:r>
              <w:rPr>
                <w:rFonts w:hint="eastAsia" w:cs="Times New Roman"/>
                <w:color w:val="auto"/>
                <w:kern w:val="2"/>
                <w:sz w:val="24"/>
                <w:szCs w:val="20"/>
                <w:highlight w:val="none"/>
                <w:lang w:val="en-US" w:eastAsia="zh-CN" w:bidi="ar-SA"/>
              </w:rPr>
              <w:t>依托</w:t>
            </w:r>
            <w:r>
              <w:rPr>
                <w:rFonts w:hint="default" w:ascii="Times New Roman" w:hAnsi="Times New Roman" w:eastAsia="宋体" w:cs="Times New Roman"/>
                <w:color w:val="auto"/>
                <w:kern w:val="2"/>
                <w:sz w:val="24"/>
                <w:szCs w:val="20"/>
                <w:highlight w:val="none"/>
                <w:lang w:val="en-US" w:eastAsia="zh-CN" w:bidi="ar-SA"/>
              </w:rPr>
              <w:t>大楼现有的污水排放系统，不另行单独外排。</w:t>
            </w:r>
          </w:p>
          <w:p w14:paraId="2D0374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cs="Times New Roman"/>
                <w:color w:val="auto"/>
                <w:kern w:val="2"/>
                <w:sz w:val="24"/>
                <w:szCs w:val="20"/>
                <w:highlight w:val="none"/>
                <w:lang w:val="en-US" w:eastAsia="zh-CN" w:bidi="ar-SA"/>
              </w:rPr>
              <w:t>（4）</w:t>
            </w:r>
            <w:r>
              <w:rPr>
                <w:rFonts w:hint="default" w:ascii="Times New Roman" w:hAnsi="Times New Roman" w:eastAsia="宋体" w:cs="Times New Roman"/>
                <w:color w:val="auto"/>
                <w:kern w:val="2"/>
                <w:sz w:val="24"/>
                <w:szCs w:val="20"/>
                <w:highlight w:val="none"/>
                <w:lang w:val="en-US" w:eastAsia="zh-CN" w:bidi="ar-SA"/>
              </w:rPr>
              <w:t>施工产生的包装及装修的边角料等固体废物，收集后由环卫部门统一处理。</w:t>
            </w:r>
          </w:p>
          <w:p w14:paraId="7AD2F4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highlight w:val="none"/>
              </w:rPr>
            </w:pPr>
            <w:r>
              <w:rPr>
                <w:rFonts w:hint="default" w:ascii="Times New Roman" w:hAnsi="Times New Roman" w:eastAsia="宋体" w:cs="Times New Roman"/>
                <w:color w:val="auto"/>
                <w:kern w:val="2"/>
                <w:sz w:val="24"/>
                <w:szCs w:val="20"/>
                <w:highlight w:val="none"/>
                <w:lang w:val="en-US" w:eastAsia="zh-CN" w:bidi="ar-SA"/>
              </w:rPr>
              <w:t>施工期建设单位在采取以上污染防治措施的情况下，项目施工期间对周边环境不会产生明显的影响。</w:t>
            </w:r>
          </w:p>
        </w:tc>
      </w:tr>
    </w:tbl>
    <w:p w14:paraId="769D1C31">
      <w:pPr>
        <w:rPr>
          <w:rFonts w:hint="default" w:ascii="Times New Roman" w:hAnsi="Times New Roman" w:cs="Times New Roman"/>
          <w:color w:val="auto"/>
          <w:highlight w:val="none"/>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1314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9"/>
        <w:gridCol w:w="12690"/>
      </w:tblGrid>
      <w:tr w14:paraId="7657D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85" w:hRule="atLeast"/>
          <w:jc w:val="center"/>
        </w:trPr>
        <w:tc>
          <w:tcPr>
            <w:tcW w:w="459" w:type="dxa"/>
            <w:tcBorders>
              <w:top w:val="single" w:color="auto" w:sz="8" w:space="0"/>
              <w:left w:val="single" w:color="auto" w:sz="8" w:space="0"/>
              <w:bottom w:val="single" w:color="auto" w:sz="8" w:space="0"/>
              <w:right w:val="single" w:color="auto" w:sz="4" w:space="0"/>
            </w:tcBorders>
            <w:tcMar>
              <w:left w:w="28" w:type="dxa"/>
              <w:right w:w="28" w:type="dxa"/>
            </w:tcMar>
            <w:vAlign w:val="center"/>
          </w:tcPr>
          <w:p w14:paraId="1892EA3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运营</w:t>
            </w:r>
          </w:p>
          <w:p w14:paraId="50044CBB">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期环</w:t>
            </w:r>
          </w:p>
          <w:p w14:paraId="5A0881EC">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境影</w:t>
            </w:r>
          </w:p>
          <w:p w14:paraId="5BE43CD3">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响和</w:t>
            </w:r>
          </w:p>
          <w:p w14:paraId="4DDED1F0">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lang w:val="en-US"/>
              </w:rPr>
            </w:pPr>
            <w:r>
              <w:rPr>
                <w:rFonts w:hint="default" w:ascii="Times New Roman" w:hAnsi="Times New Roman" w:cs="Times New Roman"/>
                <w:bCs/>
                <w:color w:val="auto"/>
                <w:sz w:val="24"/>
                <w:szCs w:val="24"/>
                <w:highlight w:val="none"/>
                <w:lang w:val="en-US" w:eastAsia="zh-CN"/>
              </w:rPr>
              <w:t>保护</w:t>
            </w:r>
          </w:p>
          <w:p w14:paraId="248D63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highlight w:val="none"/>
                <w:lang w:val="en-US"/>
              </w:rPr>
            </w:pPr>
            <w:r>
              <w:rPr>
                <w:rFonts w:hint="default" w:ascii="Times New Roman" w:hAnsi="Times New Roman" w:cs="Times New Roman"/>
                <w:bCs/>
                <w:color w:val="auto"/>
                <w:sz w:val="24"/>
                <w:szCs w:val="24"/>
                <w:highlight w:val="none"/>
                <w:lang w:val="en-US" w:eastAsia="zh-CN"/>
              </w:rPr>
              <w:t>措施</w:t>
            </w:r>
          </w:p>
        </w:tc>
        <w:tc>
          <w:tcPr>
            <w:tcW w:w="12690" w:type="dxa"/>
            <w:tcBorders>
              <w:top w:val="single" w:color="auto" w:sz="8" w:space="0"/>
              <w:left w:val="single" w:color="auto" w:sz="4" w:space="0"/>
              <w:bottom w:val="single" w:color="auto" w:sz="8" w:space="0"/>
              <w:right w:val="single" w:color="auto" w:sz="8" w:space="0"/>
            </w:tcBorders>
            <w:vAlign w:val="top"/>
          </w:tcPr>
          <w:p w14:paraId="0079DBA0">
            <w:pPr>
              <w:pStyle w:val="5"/>
              <w:suppressLineNumbers w:val="0"/>
              <w:bidi w:val="0"/>
              <w:spacing w:beforeAutospacing="0" w:afterAutospacing="0"/>
              <w:ind w:right="0"/>
              <w:rPr>
                <w:rFonts w:hint="default" w:cs="Times New Roman"/>
                <w:color w:val="auto"/>
                <w:highlight w:val="none"/>
                <w:lang w:val="en-US" w:eastAsia="zh-CN"/>
              </w:rPr>
            </w:pPr>
            <w:bookmarkStart w:id="85" w:name="_Toc26527"/>
            <w:r>
              <w:rPr>
                <w:rFonts w:hint="default" w:cs="Times New Roman"/>
                <w:color w:val="auto"/>
                <w:highlight w:val="none"/>
                <w:lang w:val="en-US" w:eastAsia="zh-CN"/>
              </w:rPr>
              <w:t>运营期废气影响和保护措施</w:t>
            </w:r>
            <w:bookmarkEnd w:id="85"/>
          </w:p>
          <w:p w14:paraId="710F6E12">
            <w:pPr>
              <w:pStyle w:val="6"/>
              <w:suppressLineNumbers w:val="0"/>
              <w:bidi w:val="0"/>
              <w:spacing w:beforeAutospacing="0" w:afterAutospacing="0"/>
              <w:ind w:right="0"/>
              <w:rPr>
                <w:rFonts w:hint="default"/>
                <w:color w:val="auto"/>
              </w:rPr>
            </w:pPr>
            <w:r>
              <w:rPr>
                <w:rFonts w:hint="default"/>
                <w:color w:val="auto"/>
              </w:rPr>
              <w:t>大气污染源</w:t>
            </w:r>
            <w:r>
              <w:rPr>
                <w:rFonts w:hint="eastAsia"/>
                <w:color w:val="auto"/>
                <w:lang w:val="en-US" w:eastAsia="zh-CN"/>
              </w:rPr>
              <w:t>分析</w:t>
            </w:r>
          </w:p>
          <w:p w14:paraId="6A8FBC21">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eastAsia"/>
                <w:strike w:val="0"/>
                <w:dstrike w:val="0"/>
                <w:color w:val="auto"/>
                <w:highlight w:val="none"/>
                <w:lang w:eastAsia="zh-CN"/>
              </w:rPr>
            </w:pPr>
            <w:r>
              <w:rPr>
                <w:rFonts w:hint="eastAsia"/>
                <w:strike w:val="0"/>
                <w:dstrike w:val="0"/>
                <w:color w:val="auto"/>
                <w:highlight w:val="none"/>
              </w:rPr>
              <w:t>项目废气治理设施</w:t>
            </w:r>
            <w:r>
              <w:rPr>
                <w:rFonts w:hint="eastAsia"/>
                <w:strike w:val="0"/>
                <w:dstrike w:val="0"/>
                <w:color w:val="auto"/>
                <w:highlight w:val="none"/>
                <w:lang w:val="en-US" w:eastAsia="zh-CN"/>
              </w:rPr>
              <w:t>及</w:t>
            </w:r>
            <w:r>
              <w:rPr>
                <w:rFonts w:hint="eastAsia"/>
                <w:strike w:val="0"/>
                <w:dstrike w:val="0"/>
                <w:color w:val="auto"/>
                <w:highlight w:val="none"/>
              </w:rPr>
              <w:t>排放口基本情况、</w:t>
            </w:r>
            <w:r>
              <w:rPr>
                <w:rFonts w:hint="eastAsia"/>
                <w:color w:val="auto"/>
              </w:rPr>
              <w:t>废气污染物</w:t>
            </w:r>
            <w:r>
              <w:rPr>
                <w:rFonts w:hint="eastAsia"/>
                <w:color w:val="auto"/>
                <w:lang w:val="en-US" w:eastAsia="zh-CN"/>
              </w:rPr>
              <w:t>产排情况</w:t>
            </w:r>
            <w:r>
              <w:rPr>
                <w:rFonts w:hint="eastAsia"/>
                <w:strike w:val="0"/>
                <w:dstrike w:val="0"/>
                <w:color w:val="auto"/>
                <w:highlight w:val="none"/>
              </w:rPr>
              <w:t>详见</w:t>
            </w:r>
            <w:r>
              <w:rPr>
                <w:rFonts w:hint="eastAsia"/>
                <w:strike w:val="0"/>
                <w:dstrike w:val="0"/>
                <w:color w:val="auto"/>
                <w:highlight w:val="none"/>
                <w:lang w:eastAsia="zh-CN"/>
              </w:rPr>
              <w:fldChar w:fldCharType="begin"/>
            </w:r>
            <w:r>
              <w:rPr>
                <w:rFonts w:hint="eastAsia"/>
                <w:strike w:val="0"/>
                <w:dstrike w:val="0"/>
                <w:color w:val="auto"/>
                <w:highlight w:val="none"/>
                <w:lang w:eastAsia="zh-CN"/>
              </w:rPr>
              <w:instrText xml:space="preserve"> REF _Ref502 \n \h </w:instrText>
            </w:r>
            <w:r>
              <w:rPr>
                <w:rFonts w:hint="eastAsia"/>
                <w:strike w:val="0"/>
                <w:dstrike w:val="0"/>
                <w:color w:val="auto"/>
                <w:highlight w:val="none"/>
                <w:lang w:eastAsia="zh-CN"/>
              </w:rPr>
              <w:fldChar w:fldCharType="separate"/>
            </w:r>
            <w:r>
              <w:rPr>
                <w:rFonts w:hint="eastAsia"/>
                <w:strike w:val="0"/>
                <w:dstrike w:val="0"/>
                <w:color w:val="auto"/>
                <w:highlight w:val="none"/>
                <w:lang w:eastAsia="zh-CN"/>
              </w:rPr>
              <w:t>表4.2-1</w:t>
            </w:r>
            <w:r>
              <w:rPr>
                <w:rFonts w:hint="eastAsia"/>
                <w:strike w:val="0"/>
                <w:dstrike w:val="0"/>
                <w:color w:val="auto"/>
                <w:highlight w:val="none"/>
                <w:lang w:eastAsia="zh-CN"/>
              </w:rPr>
              <w:fldChar w:fldCharType="end"/>
            </w:r>
            <w:r>
              <w:rPr>
                <w:rFonts w:hint="eastAsia"/>
                <w:strike w:val="0"/>
                <w:dstrike w:val="0"/>
                <w:color w:val="auto"/>
                <w:highlight w:val="none"/>
                <w:lang w:val="en-US" w:eastAsia="zh-CN"/>
              </w:rPr>
              <w:t>、</w:t>
            </w:r>
            <w:r>
              <w:rPr>
                <w:rFonts w:hint="eastAsia"/>
                <w:strike w:val="0"/>
                <w:dstrike w:val="0"/>
                <w:color w:val="auto"/>
                <w:highlight w:val="none"/>
                <w:lang w:val="en-US" w:eastAsia="zh-CN"/>
              </w:rPr>
              <w:fldChar w:fldCharType="begin"/>
            </w:r>
            <w:r>
              <w:rPr>
                <w:rFonts w:hint="eastAsia"/>
                <w:strike w:val="0"/>
                <w:dstrike w:val="0"/>
                <w:color w:val="auto"/>
                <w:highlight w:val="none"/>
                <w:lang w:val="en-US" w:eastAsia="zh-CN"/>
              </w:rPr>
              <w:instrText xml:space="preserve"> REF _Ref25312 \n \h </w:instrText>
            </w:r>
            <w:r>
              <w:rPr>
                <w:rFonts w:hint="eastAsia"/>
                <w:strike w:val="0"/>
                <w:dstrike w:val="0"/>
                <w:color w:val="auto"/>
                <w:highlight w:val="none"/>
                <w:lang w:val="en-US" w:eastAsia="zh-CN"/>
              </w:rPr>
              <w:fldChar w:fldCharType="separate"/>
            </w:r>
            <w:r>
              <w:rPr>
                <w:rFonts w:hint="eastAsia"/>
                <w:strike w:val="0"/>
                <w:dstrike w:val="0"/>
                <w:color w:val="auto"/>
                <w:highlight w:val="none"/>
                <w:lang w:val="en-US" w:eastAsia="zh-CN"/>
              </w:rPr>
              <w:t>表4.2-2</w:t>
            </w:r>
            <w:r>
              <w:rPr>
                <w:rFonts w:hint="eastAsia"/>
                <w:strike w:val="0"/>
                <w:dstrike w:val="0"/>
                <w:color w:val="auto"/>
                <w:highlight w:val="none"/>
                <w:lang w:val="en-US" w:eastAsia="zh-CN"/>
              </w:rPr>
              <w:fldChar w:fldCharType="end"/>
            </w:r>
            <w:r>
              <w:rPr>
                <w:rFonts w:hint="eastAsia"/>
                <w:strike w:val="0"/>
                <w:dstrike w:val="0"/>
                <w:color w:val="auto"/>
                <w:highlight w:val="none"/>
                <w:lang w:eastAsia="zh-CN"/>
              </w:rPr>
              <w:t>。</w:t>
            </w:r>
          </w:p>
          <w:p w14:paraId="5154D061">
            <w:pPr>
              <w:pStyle w:val="35"/>
              <w:keepNext w:val="0"/>
              <w:keepLines w:val="0"/>
              <w:suppressLineNumbers w:val="0"/>
              <w:bidi w:val="0"/>
              <w:spacing w:beforeAutospacing="0" w:after="0" w:afterAutospacing="0"/>
              <w:ind w:right="0"/>
              <w:rPr>
                <w:rFonts w:hint="eastAsia"/>
                <w:color w:val="auto"/>
              </w:rPr>
            </w:pPr>
            <w:bookmarkStart w:id="86" w:name="_Ref502"/>
            <w:r>
              <w:rPr>
                <w:rFonts w:hint="eastAsia"/>
                <w:color w:val="auto"/>
              </w:rPr>
              <w:t>项目废气治理设施一览表</w:t>
            </w:r>
            <w:bookmarkEnd w:id="86"/>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998"/>
              <w:gridCol w:w="1143"/>
              <w:gridCol w:w="1143"/>
              <w:gridCol w:w="881"/>
              <w:gridCol w:w="841"/>
              <w:gridCol w:w="741"/>
              <w:gridCol w:w="916"/>
              <w:gridCol w:w="921"/>
              <w:gridCol w:w="1143"/>
              <w:gridCol w:w="1492"/>
              <w:gridCol w:w="674"/>
              <w:gridCol w:w="741"/>
              <w:gridCol w:w="840"/>
            </w:tblGrid>
            <w:tr w14:paraId="50478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0" w:type="pct"/>
                  <w:vMerge w:val="restart"/>
                  <w:vAlign w:val="center"/>
                </w:tcPr>
                <w:p w14:paraId="5D9A7B64">
                  <w:pPr>
                    <w:pStyle w:val="37"/>
                    <w:keepNext w:val="0"/>
                    <w:keepLines w:val="0"/>
                    <w:widowControl/>
                    <w:suppressLineNumbers w:val="0"/>
                    <w:bidi w:val="0"/>
                    <w:spacing w:before="0" w:beforeAutospacing="0" w:after="0" w:afterAutospacing="0"/>
                    <w:ind w:right="0"/>
                    <w:rPr>
                      <w:rFonts w:hint="default"/>
                      <w:color w:val="auto"/>
                      <w:szCs w:val="20"/>
                    </w:rPr>
                  </w:pPr>
                  <w:r>
                    <w:rPr>
                      <w:rFonts w:hint="eastAsia"/>
                      <w:color w:val="auto"/>
                      <w:szCs w:val="20"/>
                    </w:rPr>
                    <w:t>污染源</w:t>
                  </w:r>
                </w:p>
              </w:tc>
              <w:tc>
                <w:tcPr>
                  <w:tcW w:w="458" w:type="pct"/>
                  <w:vMerge w:val="restart"/>
                  <w:vAlign w:val="center"/>
                </w:tcPr>
                <w:p w14:paraId="528950B7">
                  <w:pPr>
                    <w:pStyle w:val="37"/>
                    <w:keepNext w:val="0"/>
                    <w:keepLines w:val="0"/>
                    <w:widowControl/>
                    <w:suppressLineNumbers w:val="0"/>
                    <w:bidi w:val="0"/>
                    <w:spacing w:before="0" w:beforeAutospacing="0" w:after="0" w:afterAutospacing="0"/>
                    <w:ind w:right="0"/>
                    <w:rPr>
                      <w:rFonts w:hint="eastAsia"/>
                      <w:color w:val="auto"/>
                      <w:szCs w:val="20"/>
                    </w:rPr>
                  </w:pPr>
                  <w:r>
                    <w:rPr>
                      <w:rFonts w:hint="eastAsia"/>
                      <w:color w:val="auto"/>
                      <w:szCs w:val="20"/>
                    </w:rPr>
                    <w:t>污染物</w:t>
                  </w:r>
                </w:p>
                <w:p w14:paraId="2C1A858F">
                  <w:pPr>
                    <w:pStyle w:val="37"/>
                    <w:keepNext w:val="0"/>
                    <w:keepLines w:val="0"/>
                    <w:widowControl/>
                    <w:suppressLineNumbers w:val="0"/>
                    <w:bidi w:val="0"/>
                    <w:spacing w:before="0" w:beforeAutospacing="0" w:after="0" w:afterAutospacing="0"/>
                    <w:ind w:right="0"/>
                    <w:rPr>
                      <w:rFonts w:hint="default"/>
                      <w:color w:val="auto"/>
                      <w:szCs w:val="20"/>
                    </w:rPr>
                  </w:pPr>
                  <w:r>
                    <w:rPr>
                      <w:rFonts w:hint="eastAsia"/>
                      <w:color w:val="auto"/>
                      <w:szCs w:val="20"/>
                      <w:lang w:val="en-US" w:eastAsia="zh-CN"/>
                    </w:rPr>
                    <w:t>种类</w:t>
                  </w:r>
                </w:p>
              </w:tc>
              <w:tc>
                <w:tcPr>
                  <w:tcW w:w="1445" w:type="pct"/>
                  <w:gridSpan w:val="4"/>
                  <w:vAlign w:val="center"/>
                </w:tcPr>
                <w:p w14:paraId="7AA94749">
                  <w:pPr>
                    <w:keepNext w:val="0"/>
                    <w:keepLines w:val="0"/>
                    <w:suppressLineNumbers w:val="0"/>
                    <w:spacing w:before="0" w:beforeAutospacing="0" w:after="0" w:afterAutospacing="0"/>
                    <w:ind w:left="0" w:right="0"/>
                    <w:jc w:val="center"/>
                    <w:rPr>
                      <w:rFonts w:hint="default"/>
                      <w:color w:val="auto"/>
                    </w:rPr>
                  </w:pPr>
                  <w:r>
                    <w:rPr>
                      <w:rFonts w:hint="default"/>
                      <w:color w:val="auto"/>
                    </w:rPr>
                    <w:t>治理措施</w:t>
                  </w:r>
                </w:p>
              </w:tc>
              <w:tc>
                <w:tcPr>
                  <w:tcW w:w="367" w:type="pct"/>
                  <w:vMerge w:val="restart"/>
                  <w:vAlign w:val="center"/>
                </w:tcPr>
                <w:p w14:paraId="0CC03919">
                  <w:pPr>
                    <w:keepNext w:val="0"/>
                    <w:keepLines w:val="0"/>
                    <w:suppressLineNumbers w:val="0"/>
                    <w:spacing w:before="0" w:beforeAutospacing="0" w:after="0" w:afterAutospacing="0"/>
                    <w:ind w:left="0" w:right="0"/>
                    <w:jc w:val="center"/>
                    <w:rPr>
                      <w:rFonts w:hint="default"/>
                      <w:color w:val="auto"/>
                    </w:rPr>
                  </w:pPr>
                  <w:r>
                    <w:rPr>
                      <w:rFonts w:hint="eastAsia"/>
                      <w:color w:val="auto"/>
                    </w:rPr>
                    <w:t>是否为可行技术</w:t>
                  </w:r>
                </w:p>
              </w:tc>
              <w:tc>
                <w:tcPr>
                  <w:tcW w:w="2328" w:type="pct"/>
                  <w:gridSpan w:val="6"/>
                  <w:vAlign w:val="center"/>
                </w:tcPr>
                <w:p w14:paraId="62C58642">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排放口基本情况</w:t>
                  </w:r>
                </w:p>
              </w:tc>
            </w:tr>
            <w:tr w14:paraId="2CC004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00" w:type="pct"/>
                  <w:vMerge w:val="continue"/>
                  <w:vAlign w:val="center"/>
                </w:tcPr>
                <w:p w14:paraId="5D8DC475">
                  <w:pPr>
                    <w:pStyle w:val="37"/>
                    <w:keepNext w:val="0"/>
                    <w:keepLines w:val="0"/>
                    <w:widowControl/>
                    <w:suppressLineNumbers w:val="0"/>
                    <w:bidi w:val="0"/>
                    <w:spacing w:before="0" w:beforeAutospacing="0" w:after="0" w:afterAutospacing="0"/>
                    <w:ind w:right="0"/>
                    <w:rPr>
                      <w:rFonts w:hint="default"/>
                      <w:color w:val="auto"/>
                      <w:szCs w:val="20"/>
                    </w:rPr>
                  </w:pPr>
                </w:p>
              </w:tc>
              <w:tc>
                <w:tcPr>
                  <w:tcW w:w="458" w:type="pct"/>
                  <w:vMerge w:val="continue"/>
                  <w:vAlign w:val="center"/>
                </w:tcPr>
                <w:p w14:paraId="3D25A517">
                  <w:pPr>
                    <w:pStyle w:val="37"/>
                    <w:keepNext w:val="0"/>
                    <w:keepLines w:val="0"/>
                    <w:widowControl/>
                    <w:suppressLineNumbers w:val="0"/>
                    <w:bidi w:val="0"/>
                    <w:spacing w:before="0" w:beforeAutospacing="0" w:after="0" w:afterAutospacing="0"/>
                    <w:ind w:right="0"/>
                    <w:rPr>
                      <w:rFonts w:hint="default"/>
                      <w:color w:val="auto"/>
                      <w:szCs w:val="20"/>
                    </w:rPr>
                  </w:pPr>
                </w:p>
              </w:tc>
              <w:tc>
                <w:tcPr>
                  <w:tcW w:w="458" w:type="pct"/>
                  <w:vAlign w:val="center"/>
                </w:tcPr>
                <w:p w14:paraId="6D876713">
                  <w:pPr>
                    <w:keepNext w:val="0"/>
                    <w:keepLines w:val="0"/>
                    <w:suppressLineNumbers w:val="0"/>
                    <w:spacing w:before="0" w:beforeAutospacing="0" w:after="0" w:afterAutospacing="0"/>
                    <w:ind w:left="0" w:right="0"/>
                    <w:jc w:val="center"/>
                    <w:rPr>
                      <w:rFonts w:hint="default"/>
                      <w:color w:val="auto"/>
                    </w:rPr>
                  </w:pPr>
                  <w:r>
                    <w:rPr>
                      <w:rFonts w:hint="default"/>
                      <w:color w:val="auto"/>
                    </w:rPr>
                    <w:t>工艺</w:t>
                  </w:r>
                </w:p>
              </w:tc>
              <w:tc>
                <w:tcPr>
                  <w:tcW w:w="353" w:type="pct"/>
                  <w:vAlign w:val="center"/>
                </w:tcPr>
                <w:p w14:paraId="55B6984C">
                  <w:pPr>
                    <w:keepNext w:val="0"/>
                    <w:keepLines w:val="0"/>
                    <w:suppressLineNumbers w:val="0"/>
                    <w:spacing w:before="0" w:beforeAutospacing="0" w:after="0" w:afterAutospacing="0"/>
                    <w:ind w:left="0" w:right="0"/>
                    <w:jc w:val="center"/>
                    <w:rPr>
                      <w:rFonts w:hint="eastAsia"/>
                      <w:color w:val="auto"/>
                    </w:rPr>
                  </w:pPr>
                  <w:r>
                    <w:rPr>
                      <w:rFonts w:hint="eastAsia"/>
                      <w:color w:val="auto"/>
                    </w:rPr>
                    <w:t>风量</w:t>
                  </w:r>
                </w:p>
                <w:p w14:paraId="41FA86FF">
                  <w:pPr>
                    <w:keepNext w:val="0"/>
                    <w:keepLines w:val="0"/>
                    <w:suppressLineNumbers w:val="0"/>
                    <w:spacing w:before="0" w:beforeAutospacing="0" w:after="0" w:afterAutospacing="0"/>
                    <w:ind w:left="0" w:right="0"/>
                    <w:jc w:val="center"/>
                    <w:rPr>
                      <w:rFonts w:hint="default"/>
                      <w:color w:val="auto"/>
                    </w:rPr>
                  </w:pPr>
                  <w:r>
                    <w:rPr>
                      <w:rFonts w:hint="default"/>
                      <w:color w:val="auto"/>
                    </w:rPr>
                    <w:t>m</w:t>
                  </w:r>
                  <w:r>
                    <w:rPr>
                      <w:rFonts w:hint="default"/>
                      <w:color w:val="auto"/>
                      <w:vertAlign w:val="superscript"/>
                    </w:rPr>
                    <w:t>3</w:t>
                  </w:r>
                  <w:r>
                    <w:rPr>
                      <w:rFonts w:hint="default"/>
                      <w:color w:val="auto"/>
                    </w:rPr>
                    <w:t>/h</w:t>
                  </w:r>
                </w:p>
              </w:tc>
              <w:tc>
                <w:tcPr>
                  <w:tcW w:w="337" w:type="pct"/>
                  <w:vAlign w:val="center"/>
                </w:tcPr>
                <w:p w14:paraId="498A1BCC">
                  <w:pPr>
                    <w:keepNext w:val="0"/>
                    <w:keepLines w:val="0"/>
                    <w:suppressLineNumbers w:val="0"/>
                    <w:spacing w:before="0" w:beforeAutospacing="0" w:after="0" w:afterAutospacing="0"/>
                    <w:ind w:left="0" w:right="0"/>
                    <w:jc w:val="center"/>
                    <w:rPr>
                      <w:rFonts w:hint="default"/>
                      <w:color w:val="auto"/>
                    </w:rPr>
                  </w:pPr>
                  <w:r>
                    <w:rPr>
                      <w:rFonts w:hint="eastAsia"/>
                      <w:color w:val="auto"/>
                    </w:rPr>
                    <w:t>收集效率%</w:t>
                  </w:r>
                </w:p>
              </w:tc>
              <w:tc>
                <w:tcPr>
                  <w:tcW w:w="297" w:type="pct"/>
                  <w:vAlign w:val="center"/>
                </w:tcPr>
                <w:p w14:paraId="1EF8F461">
                  <w:pPr>
                    <w:keepNext w:val="0"/>
                    <w:keepLines w:val="0"/>
                    <w:suppressLineNumbers w:val="0"/>
                    <w:spacing w:before="0" w:beforeAutospacing="0" w:after="0" w:afterAutospacing="0"/>
                    <w:ind w:left="0" w:right="0"/>
                    <w:jc w:val="center"/>
                    <w:rPr>
                      <w:rFonts w:hint="default"/>
                      <w:color w:val="auto"/>
                    </w:rPr>
                  </w:pPr>
                  <w:r>
                    <w:rPr>
                      <w:rFonts w:hint="eastAsia"/>
                      <w:color w:val="auto"/>
                    </w:rPr>
                    <w:t>去除</w:t>
                  </w:r>
                  <w:r>
                    <w:rPr>
                      <w:rFonts w:hint="default"/>
                      <w:color w:val="auto"/>
                    </w:rPr>
                    <w:t>效率%</w:t>
                  </w:r>
                </w:p>
              </w:tc>
              <w:tc>
                <w:tcPr>
                  <w:tcW w:w="367" w:type="pct"/>
                  <w:vMerge w:val="continue"/>
                  <w:vAlign w:val="center"/>
                </w:tcPr>
                <w:p w14:paraId="045ABFBA">
                  <w:pPr>
                    <w:keepNext w:val="0"/>
                    <w:keepLines w:val="0"/>
                    <w:suppressLineNumbers w:val="0"/>
                    <w:spacing w:before="0" w:beforeAutospacing="0" w:after="0" w:afterAutospacing="0"/>
                    <w:ind w:left="0" w:right="0"/>
                    <w:jc w:val="center"/>
                    <w:rPr>
                      <w:rFonts w:hint="default"/>
                      <w:color w:val="auto"/>
                    </w:rPr>
                  </w:pPr>
                </w:p>
              </w:tc>
              <w:tc>
                <w:tcPr>
                  <w:tcW w:w="369" w:type="pct"/>
                  <w:vAlign w:val="center"/>
                </w:tcPr>
                <w:p w14:paraId="205CE549">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编号</w:t>
                  </w:r>
                </w:p>
              </w:tc>
              <w:tc>
                <w:tcPr>
                  <w:tcW w:w="458" w:type="pct"/>
                  <w:vAlign w:val="center"/>
                </w:tcPr>
                <w:p w14:paraId="7750D232">
                  <w:pPr>
                    <w:keepNext w:val="0"/>
                    <w:keepLines w:val="0"/>
                    <w:suppressLineNumbers w:val="0"/>
                    <w:spacing w:before="0" w:beforeAutospacing="0" w:after="0" w:afterAutospacing="0"/>
                    <w:ind w:left="0" w:right="0"/>
                    <w:jc w:val="center"/>
                    <w:rPr>
                      <w:rFonts w:hint="default"/>
                      <w:color w:val="auto"/>
                    </w:rPr>
                  </w:pPr>
                  <w:r>
                    <w:rPr>
                      <w:rFonts w:hint="eastAsia"/>
                      <w:color w:val="auto"/>
                      <w:lang w:val="en-US" w:eastAsia="zh-CN"/>
                    </w:rPr>
                    <w:t>类型</w:t>
                  </w:r>
                </w:p>
              </w:tc>
              <w:tc>
                <w:tcPr>
                  <w:tcW w:w="598" w:type="pct"/>
                  <w:vAlign w:val="center"/>
                </w:tcPr>
                <w:p w14:paraId="7B3E1388">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rPr>
                    <w:t>地理坐标</w:t>
                  </w:r>
                </w:p>
              </w:tc>
              <w:tc>
                <w:tcPr>
                  <w:tcW w:w="270" w:type="pct"/>
                  <w:vAlign w:val="center"/>
                </w:tcPr>
                <w:p w14:paraId="228E93AE">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高度</w:t>
                  </w:r>
                </w:p>
                <w:p w14:paraId="4CE7DF23">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m</w:t>
                  </w:r>
                </w:p>
              </w:tc>
              <w:tc>
                <w:tcPr>
                  <w:tcW w:w="297" w:type="pct"/>
                  <w:vAlign w:val="center"/>
                </w:tcPr>
                <w:p w14:paraId="2B35B7BF">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内径</w:t>
                  </w:r>
                </w:p>
                <w:p w14:paraId="085B4A94">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m</w:t>
                  </w:r>
                </w:p>
              </w:tc>
              <w:tc>
                <w:tcPr>
                  <w:tcW w:w="335" w:type="pct"/>
                  <w:vAlign w:val="center"/>
                </w:tcPr>
                <w:p w14:paraId="4C1273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w:t>
                  </w:r>
                </w:p>
                <w:p w14:paraId="19C04F3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w:t>
                  </w:r>
                </w:p>
              </w:tc>
            </w:tr>
            <w:tr w14:paraId="039AC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Merge w:val="restart"/>
                  <w:vAlign w:val="center"/>
                </w:tcPr>
                <w:p w14:paraId="0677317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酸性废气</w:t>
                  </w:r>
                </w:p>
              </w:tc>
              <w:tc>
                <w:tcPr>
                  <w:tcW w:w="458" w:type="pct"/>
                  <w:vAlign w:val="center"/>
                </w:tcPr>
                <w:p w14:paraId="266AADB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氯化氢</w:t>
                  </w:r>
                </w:p>
              </w:tc>
              <w:tc>
                <w:tcPr>
                  <w:tcW w:w="458" w:type="pct"/>
                  <w:vMerge w:val="restart"/>
                  <w:vAlign w:val="center"/>
                </w:tcPr>
                <w:p w14:paraId="0BA968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lang w:val="en-US" w:eastAsia="zh-CN"/>
                    </w:rPr>
                  </w:pPr>
                  <w:r>
                    <w:rPr>
                      <w:rFonts w:hint="eastAsia"/>
                      <w:color w:val="auto"/>
                      <w:szCs w:val="21"/>
                      <w:lang w:val="en-US" w:eastAsia="zh-CN"/>
                    </w:rPr>
                    <w:t>通风橱/集气罩+碱液喷淋</w:t>
                  </w:r>
                </w:p>
              </w:tc>
              <w:tc>
                <w:tcPr>
                  <w:tcW w:w="353" w:type="pct"/>
                  <w:vMerge w:val="restart"/>
                  <w:vAlign w:val="center"/>
                </w:tcPr>
                <w:p w14:paraId="4C48874D">
                  <w:pPr>
                    <w:keepNext w:val="0"/>
                    <w:keepLines w:val="0"/>
                    <w:suppressLineNumbers w:val="0"/>
                    <w:spacing w:before="0" w:beforeAutospacing="0" w:after="0" w:afterAutospacing="0"/>
                    <w:ind w:left="0" w:right="0"/>
                    <w:jc w:val="center"/>
                    <w:rPr>
                      <w:rFonts w:hint="default"/>
                      <w:color w:val="auto"/>
                      <w:szCs w:val="21"/>
                      <w:lang w:val="en-US"/>
                    </w:rPr>
                  </w:pPr>
                  <w:r>
                    <w:rPr>
                      <w:rFonts w:hint="eastAsia" w:cs="Times New Roman"/>
                      <w:color w:val="auto"/>
                      <w:szCs w:val="21"/>
                      <w:lang w:val="en-US" w:eastAsia="zh-CN"/>
                    </w:rPr>
                    <w:t>15800</w:t>
                  </w:r>
                </w:p>
              </w:tc>
              <w:tc>
                <w:tcPr>
                  <w:tcW w:w="337" w:type="pct"/>
                  <w:vMerge w:val="restart"/>
                  <w:vAlign w:val="center"/>
                </w:tcPr>
                <w:p w14:paraId="530B6239">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lang w:val="en-US" w:eastAsia="zh-CN"/>
                    </w:rPr>
                  </w:pPr>
                  <w:r>
                    <w:rPr>
                      <w:rFonts w:hint="eastAsia"/>
                      <w:color w:val="auto"/>
                      <w:szCs w:val="21"/>
                      <w:lang w:val="en-US" w:eastAsia="zh-CN"/>
                    </w:rPr>
                    <w:t>65</w:t>
                  </w:r>
                </w:p>
              </w:tc>
              <w:tc>
                <w:tcPr>
                  <w:tcW w:w="297" w:type="pct"/>
                  <w:vMerge w:val="restart"/>
                  <w:vAlign w:val="center"/>
                </w:tcPr>
                <w:p w14:paraId="56E03273">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lang w:val="en-US" w:eastAsia="zh-CN"/>
                    </w:rPr>
                  </w:pPr>
                  <w:r>
                    <w:rPr>
                      <w:rFonts w:hint="eastAsia"/>
                      <w:color w:val="auto"/>
                      <w:szCs w:val="21"/>
                      <w:lang w:val="en-US" w:eastAsia="zh-CN"/>
                    </w:rPr>
                    <w:t>80</w:t>
                  </w:r>
                </w:p>
              </w:tc>
              <w:tc>
                <w:tcPr>
                  <w:tcW w:w="367" w:type="pct"/>
                  <w:vMerge w:val="restart"/>
                  <w:vAlign w:val="center"/>
                </w:tcPr>
                <w:p w14:paraId="46446258">
                  <w:pPr>
                    <w:keepNext w:val="0"/>
                    <w:keepLines w:val="0"/>
                    <w:suppressLineNumbers w:val="0"/>
                    <w:spacing w:before="0" w:beforeAutospacing="0" w:after="0" w:afterAutospacing="0"/>
                    <w:ind w:left="0" w:right="0"/>
                    <w:jc w:val="center"/>
                    <w:rPr>
                      <w:rFonts w:hint="default"/>
                      <w:color w:val="auto"/>
                    </w:rPr>
                  </w:pPr>
                  <w:r>
                    <w:rPr>
                      <w:rFonts w:hint="eastAsia"/>
                      <w:color w:val="auto"/>
                    </w:rPr>
                    <w:t>是</w:t>
                  </w:r>
                </w:p>
              </w:tc>
              <w:tc>
                <w:tcPr>
                  <w:tcW w:w="369" w:type="pct"/>
                  <w:vMerge w:val="restart"/>
                  <w:vAlign w:val="center"/>
                </w:tcPr>
                <w:p w14:paraId="514F3F89">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DA001</w:t>
                  </w:r>
                </w:p>
              </w:tc>
              <w:tc>
                <w:tcPr>
                  <w:tcW w:w="458" w:type="pct"/>
                  <w:vMerge w:val="restart"/>
                  <w:vAlign w:val="center"/>
                </w:tcPr>
                <w:p w14:paraId="7175E65D">
                  <w:pPr>
                    <w:keepNext w:val="0"/>
                    <w:keepLines w:val="0"/>
                    <w:suppressLineNumbers w:val="0"/>
                    <w:spacing w:before="0" w:beforeAutospacing="0" w:after="0" w:afterAutospacing="0"/>
                    <w:ind w:left="0" w:right="0"/>
                    <w:jc w:val="center"/>
                    <w:rPr>
                      <w:rFonts w:hint="eastAsia"/>
                      <w:color w:val="auto"/>
                    </w:rPr>
                  </w:pPr>
                  <w:r>
                    <w:rPr>
                      <w:rFonts w:hint="eastAsia" w:cs="Courier New"/>
                      <w:color w:val="auto"/>
                    </w:rPr>
                    <w:t>一般排放口</w:t>
                  </w:r>
                </w:p>
              </w:tc>
              <w:tc>
                <w:tcPr>
                  <w:tcW w:w="598" w:type="pct"/>
                  <w:vMerge w:val="restart"/>
                  <w:vAlign w:val="center"/>
                </w:tcPr>
                <w:p w14:paraId="37391E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E</w:t>
                  </w:r>
                  <w:r>
                    <w:rPr>
                      <w:rFonts w:hint="eastAsia"/>
                      <w:color w:val="auto"/>
                      <w:highlight w:val="none"/>
                      <w:lang w:eastAsia="zh-CN"/>
                    </w:rPr>
                    <w:t>:</w:t>
                  </w:r>
                  <w:r>
                    <w:rPr>
                      <w:rFonts w:hint="default"/>
                      <w:color w:val="auto"/>
                      <w:highlight w:val="none"/>
                    </w:rPr>
                    <w:t>119.405601</w:t>
                  </w:r>
                </w:p>
                <w:p w14:paraId="5069827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eastAsia"/>
                      <w:color w:val="auto"/>
                      <w:highlight w:val="none"/>
                    </w:rPr>
                  </w:pPr>
                  <w:r>
                    <w:rPr>
                      <w:rFonts w:hint="default"/>
                      <w:color w:val="auto"/>
                      <w:highlight w:val="none"/>
                    </w:rPr>
                    <w:t>N</w:t>
                  </w:r>
                  <w:r>
                    <w:rPr>
                      <w:rFonts w:hint="eastAsia"/>
                      <w:color w:val="auto"/>
                      <w:highlight w:val="none"/>
                      <w:lang w:eastAsia="zh-CN"/>
                    </w:rPr>
                    <w:t>:</w:t>
                  </w:r>
                  <w:r>
                    <w:rPr>
                      <w:rFonts w:hint="default"/>
                      <w:color w:val="auto"/>
                      <w:highlight w:val="none"/>
                    </w:rPr>
                    <w:t>25.760804</w:t>
                  </w:r>
                </w:p>
              </w:tc>
              <w:tc>
                <w:tcPr>
                  <w:tcW w:w="270" w:type="pct"/>
                  <w:vMerge w:val="restart"/>
                  <w:vAlign w:val="center"/>
                </w:tcPr>
                <w:p w14:paraId="2F8F1D5B">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25</w:t>
                  </w:r>
                </w:p>
              </w:tc>
              <w:tc>
                <w:tcPr>
                  <w:tcW w:w="297" w:type="pct"/>
                  <w:vMerge w:val="restart"/>
                  <w:vAlign w:val="center"/>
                </w:tcPr>
                <w:p w14:paraId="17B4CA79">
                  <w:pPr>
                    <w:keepNext w:val="0"/>
                    <w:keepLines w:val="0"/>
                    <w:suppressLineNumbers w:val="0"/>
                    <w:spacing w:before="0" w:beforeAutospacing="0" w:after="0" w:afterAutospacing="0"/>
                    <w:ind w:left="0" w:right="0"/>
                    <w:jc w:val="center"/>
                    <w:rPr>
                      <w:rFonts w:hint="default" w:eastAsia="宋体"/>
                      <w:color w:val="auto"/>
                      <w:lang w:val="en-US" w:eastAsia="zh-CN"/>
                    </w:rPr>
                  </w:pPr>
                  <w:r>
                    <w:rPr>
                      <w:rFonts w:hint="eastAsia"/>
                      <w:color w:val="auto"/>
                      <w:lang w:val="en-US" w:eastAsia="zh-CN"/>
                    </w:rPr>
                    <w:t>0.5</w:t>
                  </w:r>
                </w:p>
              </w:tc>
              <w:tc>
                <w:tcPr>
                  <w:tcW w:w="335" w:type="pct"/>
                  <w:vMerge w:val="restart"/>
                  <w:vAlign w:val="center"/>
                </w:tcPr>
                <w:p w14:paraId="3A4E5A4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常温</w:t>
                  </w:r>
                </w:p>
              </w:tc>
            </w:tr>
            <w:tr w14:paraId="7B708D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Merge w:val="continue"/>
                  <w:vAlign w:val="center"/>
                </w:tcPr>
                <w:p w14:paraId="7A438CC3">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58" w:type="pct"/>
                  <w:vAlign w:val="center"/>
                </w:tcPr>
                <w:p w14:paraId="2935D44D">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eastAsia"/>
                      <w:color w:val="auto"/>
                      <w:szCs w:val="20"/>
                      <w:lang w:val="en-US" w:eastAsia="zh-CN"/>
                    </w:rPr>
                    <w:t>硫酸雾</w:t>
                  </w:r>
                </w:p>
              </w:tc>
              <w:tc>
                <w:tcPr>
                  <w:tcW w:w="458" w:type="pct"/>
                  <w:vMerge w:val="continue"/>
                  <w:vAlign w:val="center"/>
                </w:tcPr>
                <w:p w14:paraId="053640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lang w:val="en-US" w:eastAsia="zh-CN"/>
                    </w:rPr>
                  </w:pPr>
                </w:p>
              </w:tc>
              <w:tc>
                <w:tcPr>
                  <w:tcW w:w="353" w:type="pct"/>
                  <w:vMerge w:val="continue"/>
                  <w:vAlign w:val="center"/>
                </w:tcPr>
                <w:p w14:paraId="3703B7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337" w:type="pct"/>
                  <w:vMerge w:val="continue"/>
                  <w:vAlign w:val="center"/>
                </w:tcPr>
                <w:p w14:paraId="604B3440">
                  <w:pPr>
                    <w:keepNext w:val="0"/>
                    <w:keepLines w:val="0"/>
                    <w:suppressLineNumbers w:val="0"/>
                    <w:adjustRightInd w:val="0"/>
                    <w:snapToGrid w:val="0"/>
                    <w:spacing w:before="0" w:beforeAutospacing="0" w:after="0" w:afterAutospacing="0"/>
                    <w:ind w:left="420" w:right="0" w:hanging="420"/>
                    <w:jc w:val="center"/>
                    <w:rPr>
                      <w:rFonts w:hint="eastAsia"/>
                      <w:color w:val="auto"/>
                      <w:szCs w:val="21"/>
                    </w:rPr>
                  </w:pPr>
                </w:p>
              </w:tc>
              <w:tc>
                <w:tcPr>
                  <w:tcW w:w="297" w:type="pct"/>
                  <w:vMerge w:val="continue"/>
                  <w:vAlign w:val="center"/>
                </w:tcPr>
                <w:p w14:paraId="1EE74360">
                  <w:pPr>
                    <w:keepNext w:val="0"/>
                    <w:keepLines w:val="0"/>
                    <w:suppressLineNumbers w:val="0"/>
                    <w:adjustRightInd w:val="0"/>
                    <w:snapToGrid w:val="0"/>
                    <w:spacing w:before="0" w:beforeAutospacing="0" w:after="0" w:afterAutospacing="0"/>
                    <w:ind w:left="420" w:right="0" w:hanging="420"/>
                    <w:jc w:val="center"/>
                    <w:rPr>
                      <w:rFonts w:hint="eastAsia"/>
                      <w:color w:val="auto"/>
                      <w:szCs w:val="21"/>
                      <w:lang w:val="en-US" w:eastAsia="zh-CN"/>
                    </w:rPr>
                  </w:pPr>
                </w:p>
              </w:tc>
              <w:tc>
                <w:tcPr>
                  <w:tcW w:w="367" w:type="pct"/>
                  <w:vMerge w:val="continue"/>
                  <w:vAlign w:val="center"/>
                </w:tcPr>
                <w:p w14:paraId="0ACB0B60">
                  <w:pPr>
                    <w:keepNext w:val="0"/>
                    <w:keepLines w:val="0"/>
                    <w:suppressLineNumbers w:val="0"/>
                    <w:spacing w:before="0" w:beforeAutospacing="0" w:after="0" w:afterAutospacing="0"/>
                    <w:ind w:left="0" w:right="0"/>
                    <w:jc w:val="center"/>
                    <w:rPr>
                      <w:rFonts w:hint="eastAsia"/>
                      <w:color w:val="auto"/>
                    </w:rPr>
                  </w:pPr>
                </w:p>
              </w:tc>
              <w:tc>
                <w:tcPr>
                  <w:tcW w:w="369" w:type="pct"/>
                  <w:vMerge w:val="continue"/>
                  <w:vAlign w:val="center"/>
                </w:tcPr>
                <w:p w14:paraId="5F6B55C3">
                  <w:pPr>
                    <w:keepNext w:val="0"/>
                    <w:keepLines w:val="0"/>
                    <w:suppressLineNumbers w:val="0"/>
                    <w:spacing w:before="0" w:beforeAutospacing="0" w:after="0" w:afterAutospacing="0"/>
                    <w:ind w:left="0" w:right="0"/>
                    <w:jc w:val="center"/>
                    <w:rPr>
                      <w:rFonts w:hint="eastAsia"/>
                      <w:color w:val="auto"/>
                      <w:lang w:val="en-US" w:eastAsia="zh-CN"/>
                    </w:rPr>
                  </w:pPr>
                </w:p>
              </w:tc>
              <w:tc>
                <w:tcPr>
                  <w:tcW w:w="458" w:type="pct"/>
                  <w:vMerge w:val="continue"/>
                  <w:vAlign w:val="center"/>
                </w:tcPr>
                <w:p w14:paraId="1A13432D">
                  <w:pPr>
                    <w:keepNext w:val="0"/>
                    <w:keepLines w:val="0"/>
                    <w:suppressLineNumbers w:val="0"/>
                    <w:spacing w:before="0" w:beforeAutospacing="0" w:after="0" w:afterAutospacing="0"/>
                    <w:ind w:left="0" w:right="0"/>
                    <w:jc w:val="center"/>
                    <w:rPr>
                      <w:rFonts w:hint="eastAsia" w:cs="Courier New"/>
                      <w:color w:val="auto"/>
                    </w:rPr>
                  </w:pPr>
                </w:p>
              </w:tc>
              <w:tc>
                <w:tcPr>
                  <w:tcW w:w="598" w:type="pct"/>
                  <w:vMerge w:val="continue"/>
                  <w:vAlign w:val="center"/>
                </w:tcPr>
                <w:p w14:paraId="44B43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p>
              </w:tc>
              <w:tc>
                <w:tcPr>
                  <w:tcW w:w="270" w:type="pct"/>
                  <w:vMerge w:val="continue"/>
                  <w:vAlign w:val="center"/>
                </w:tcPr>
                <w:p w14:paraId="61205F77">
                  <w:pPr>
                    <w:keepNext w:val="0"/>
                    <w:keepLines w:val="0"/>
                    <w:suppressLineNumbers w:val="0"/>
                    <w:spacing w:before="0" w:beforeAutospacing="0" w:after="0" w:afterAutospacing="0"/>
                    <w:ind w:left="0" w:right="0"/>
                    <w:jc w:val="center"/>
                    <w:rPr>
                      <w:rFonts w:hint="eastAsia"/>
                      <w:color w:val="auto"/>
                      <w:lang w:val="en-US" w:eastAsia="zh-CN"/>
                    </w:rPr>
                  </w:pPr>
                </w:p>
              </w:tc>
              <w:tc>
                <w:tcPr>
                  <w:tcW w:w="297" w:type="pct"/>
                  <w:vMerge w:val="continue"/>
                  <w:vAlign w:val="center"/>
                </w:tcPr>
                <w:p w14:paraId="17AF681D">
                  <w:pPr>
                    <w:keepNext w:val="0"/>
                    <w:keepLines w:val="0"/>
                    <w:suppressLineNumbers w:val="0"/>
                    <w:spacing w:before="0" w:beforeAutospacing="0" w:after="0" w:afterAutospacing="0"/>
                    <w:ind w:left="0" w:right="0"/>
                    <w:jc w:val="center"/>
                    <w:rPr>
                      <w:rFonts w:hint="eastAsia"/>
                      <w:color w:val="auto"/>
                      <w:lang w:val="en-US" w:eastAsia="zh-CN"/>
                    </w:rPr>
                  </w:pPr>
                </w:p>
              </w:tc>
              <w:tc>
                <w:tcPr>
                  <w:tcW w:w="335" w:type="pct"/>
                  <w:vMerge w:val="continue"/>
                  <w:vAlign w:val="center"/>
                </w:tcPr>
                <w:p w14:paraId="315EBB23">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58C4AC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Merge w:val="continue"/>
                  <w:vAlign w:val="center"/>
                </w:tcPr>
                <w:p w14:paraId="73545FA2">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58" w:type="pct"/>
                  <w:vAlign w:val="center"/>
                </w:tcPr>
                <w:p w14:paraId="31B0EFC9">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氯化氢</w:t>
                  </w:r>
                </w:p>
              </w:tc>
              <w:tc>
                <w:tcPr>
                  <w:tcW w:w="458" w:type="pct"/>
                  <w:vMerge w:val="continue"/>
                  <w:vAlign w:val="center"/>
                </w:tcPr>
                <w:p w14:paraId="065DE6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lang w:val="en-US" w:eastAsia="zh-CN"/>
                    </w:rPr>
                  </w:pPr>
                </w:p>
              </w:tc>
              <w:tc>
                <w:tcPr>
                  <w:tcW w:w="353" w:type="pct"/>
                  <w:vMerge w:val="restart"/>
                  <w:vAlign w:val="center"/>
                </w:tcPr>
                <w:p w14:paraId="7400BF0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7200</w:t>
                  </w:r>
                </w:p>
              </w:tc>
              <w:tc>
                <w:tcPr>
                  <w:tcW w:w="337" w:type="pct"/>
                  <w:vMerge w:val="continue"/>
                  <w:vAlign w:val="center"/>
                </w:tcPr>
                <w:p w14:paraId="268FD1BD">
                  <w:pPr>
                    <w:keepNext w:val="0"/>
                    <w:keepLines w:val="0"/>
                    <w:suppressLineNumbers w:val="0"/>
                    <w:adjustRightInd w:val="0"/>
                    <w:snapToGrid w:val="0"/>
                    <w:spacing w:before="0" w:beforeAutospacing="0" w:after="0" w:afterAutospacing="0"/>
                    <w:ind w:left="420" w:right="0" w:hanging="420"/>
                    <w:jc w:val="center"/>
                    <w:rPr>
                      <w:rFonts w:hint="eastAsia"/>
                      <w:color w:val="auto"/>
                      <w:szCs w:val="21"/>
                    </w:rPr>
                  </w:pPr>
                </w:p>
              </w:tc>
              <w:tc>
                <w:tcPr>
                  <w:tcW w:w="297" w:type="pct"/>
                  <w:vMerge w:val="continue"/>
                  <w:vAlign w:val="center"/>
                </w:tcPr>
                <w:p w14:paraId="1D84BF20">
                  <w:pPr>
                    <w:keepNext w:val="0"/>
                    <w:keepLines w:val="0"/>
                    <w:suppressLineNumbers w:val="0"/>
                    <w:adjustRightInd w:val="0"/>
                    <w:snapToGrid w:val="0"/>
                    <w:spacing w:before="0" w:beforeAutospacing="0" w:after="0" w:afterAutospacing="0"/>
                    <w:ind w:left="420" w:right="0" w:hanging="420"/>
                    <w:jc w:val="center"/>
                    <w:rPr>
                      <w:rFonts w:hint="eastAsia"/>
                      <w:color w:val="auto"/>
                      <w:szCs w:val="21"/>
                      <w:lang w:val="en-US" w:eastAsia="zh-CN"/>
                    </w:rPr>
                  </w:pPr>
                </w:p>
              </w:tc>
              <w:tc>
                <w:tcPr>
                  <w:tcW w:w="367" w:type="pct"/>
                  <w:vMerge w:val="continue"/>
                  <w:vAlign w:val="center"/>
                </w:tcPr>
                <w:p w14:paraId="24B6B163">
                  <w:pPr>
                    <w:keepNext w:val="0"/>
                    <w:keepLines w:val="0"/>
                    <w:suppressLineNumbers w:val="0"/>
                    <w:spacing w:before="0" w:beforeAutospacing="0" w:after="0" w:afterAutospacing="0"/>
                    <w:ind w:left="0" w:right="0"/>
                    <w:jc w:val="center"/>
                    <w:rPr>
                      <w:rFonts w:hint="eastAsia"/>
                      <w:color w:val="auto"/>
                    </w:rPr>
                  </w:pPr>
                </w:p>
              </w:tc>
              <w:tc>
                <w:tcPr>
                  <w:tcW w:w="369" w:type="pct"/>
                  <w:vMerge w:val="restart"/>
                  <w:vAlign w:val="center"/>
                </w:tcPr>
                <w:p w14:paraId="79AE4D47">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DA002</w:t>
                  </w:r>
                </w:p>
              </w:tc>
              <w:tc>
                <w:tcPr>
                  <w:tcW w:w="458" w:type="pct"/>
                  <w:vMerge w:val="restart"/>
                  <w:vAlign w:val="center"/>
                </w:tcPr>
                <w:p w14:paraId="565A732F">
                  <w:pPr>
                    <w:keepNext w:val="0"/>
                    <w:keepLines w:val="0"/>
                    <w:suppressLineNumbers w:val="0"/>
                    <w:spacing w:before="0" w:beforeAutospacing="0" w:after="0" w:afterAutospacing="0"/>
                    <w:ind w:left="0" w:right="0"/>
                    <w:jc w:val="center"/>
                    <w:rPr>
                      <w:rFonts w:hint="eastAsia" w:cs="Courier New"/>
                      <w:color w:val="auto"/>
                    </w:rPr>
                  </w:pPr>
                  <w:r>
                    <w:rPr>
                      <w:rFonts w:hint="eastAsia" w:cs="Courier New"/>
                      <w:color w:val="auto"/>
                    </w:rPr>
                    <w:t>一般排放口</w:t>
                  </w:r>
                </w:p>
              </w:tc>
              <w:tc>
                <w:tcPr>
                  <w:tcW w:w="598" w:type="pct"/>
                  <w:vMerge w:val="restart"/>
                  <w:vAlign w:val="center"/>
                </w:tcPr>
                <w:p w14:paraId="05E8E6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E</w:t>
                  </w:r>
                  <w:r>
                    <w:rPr>
                      <w:rFonts w:hint="eastAsia"/>
                      <w:color w:val="auto"/>
                      <w:highlight w:val="none"/>
                      <w:lang w:eastAsia="zh-CN"/>
                    </w:rPr>
                    <w:t>:</w:t>
                  </w:r>
                  <w:r>
                    <w:rPr>
                      <w:rFonts w:hint="default"/>
                      <w:color w:val="auto"/>
                      <w:highlight w:val="none"/>
                    </w:rPr>
                    <w:t>119.405590°</w:t>
                  </w:r>
                </w:p>
                <w:p w14:paraId="06B7BEC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N</w:t>
                  </w:r>
                  <w:r>
                    <w:rPr>
                      <w:rFonts w:hint="eastAsia"/>
                      <w:color w:val="auto"/>
                      <w:highlight w:val="none"/>
                      <w:lang w:eastAsia="zh-CN"/>
                    </w:rPr>
                    <w:t>:</w:t>
                  </w:r>
                  <w:r>
                    <w:rPr>
                      <w:rFonts w:hint="default"/>
                      <w:color w:val="auto"/>
                      <w:highlight w:val="none"/>
                    </w:rPr>
                    <w:t>25.760829</w:t>
                  </w:r>
                </w:p>
              </w:tc>
              <w:tc>
                <w:tcPr>
                  <w:tcW w:w="270" w:type="pct"/>
                  <w:vMerge w:val="restart"/>
                  <w:vAlign w:val="center"/>
                </w:tcPr>
                <w:p w14:paraId="74F9D64F">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25</w:t>
                  </w:r>
                </w:p>
              </w:tc>
              <w:tc>
                <w:tcPr>
                  <w:tcW w:w="297" w:type="pct"/>
                  <w:vMerge w:val="restart"/>
                  <w:vAlign w:val="center"/>
                </w:tcPr>
                <w:p w14:paraId="15C67E76">
                  <w:pPr>
                    <w:keepNext w:val="0"/>
                    <w:keepLines w:val="0"/>
                    <w:suppressLineNumbers w:val="0"/>
                    <w:spacing w:before="0" w:beforeAutospacing="0" w:after="0" w:afterAutospacing="0"/>
                    <w:ind w:left="0" w:right="0"/>
                    <w:jc w:val="center"/>
                    <w:rPr>
                      <w:rFonts w:hint="eastAsia"/>
                      <w:color w:val="auto"/>
                      <w:lang w:val="en-US" w:eastAsia="zh-CN"/>
                    </w:rPr>
                  </w:pPr>
                  <w:r>
                    <w:rPr>
                      <w:rFonts w:hint="eastAsia"/>
                      <w:color w:val="auto"/>
                      <w:lang w:val="en-US" w:eastAsia="zh-CN"/>
                    </w:rPr>
                    <w:t>0.5</w:t>
                  </w:r>
                </w:p>
              </w:tc>
              <w:tc>
                <w:tcPr>
                  <w:tcW w:w="335" w:type="pct"/>
                  <w:vMerge w:val="restart"/>
                  <w:vAlign w:val="center"/>
                </w:tcPr>
                <w:p w14:paraId="350AD58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常温</w:t>
                  </w:r>
                </w:p>
              </w:tc>
            </w:tr>
            <w:tr w14:paraId="3B8478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Merge w:val="continue"/>
                  <w:vAlign w:val="center"/>
                </w:tcPr>
                <w:p w14:paraId="26F8916E">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58" w:type="pct"/>
                  <w:vAlign w:val="center"/>
                </w:tcPr>
                <w:p w14:paraId="581C5FDB">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硫酸雾</w:t>
                  </w:r>
                </w:p>
              </w:tc>
              <w:tc>
                <w:tcPr>
                  <w:tcW w:w="458" w:type="pct"/>
                  <w:vMerge w:val="continue"/>
                  <w:vAlign w:val="center"/>
                </w:tcPr>
                <w:p w14:paraId="487E4B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lang w:val="en-US" w:eastAsia="zh-CN"/>
                    </w:rPr>
                  </w:pPr>
                </w:p>
              </w:tc>
              <w:tc>
                <w:tcPr>
                  <w:tcW w:w="353" w:type="pct"/>
                  <w:vMerge w:val="continue"/>
                  <w:vAlign w:val="center"/>
                </w:tcPr>
                <w:p w14:paraId="06105B9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p>
              </w:tc>
              <w:tc>
                <w:tcPr>
                  <w:tcW w:w="337" w:type="pct"/>
                  <w:vMerge w:val="continue"/>
                  <w:vAlign w:val="center"/>
                </w:tcPr>
                <w:p w14:paraId="1DF363B4">
                  <w:pPr>
                    <w:keepNext w:val="0"/>
                    <w:keepLines w:val="0"/>
                    <w:suppressLineNumbers w:val="0"/>
                    <w:adjustRightInd w:val="0"/>
                    <w:snapToGrid w:val="0"/>
                    <w:spacing w:before="0" w:beforeAutospacing="0" w:after="0" w:afterAutospacing="0"/>
                    <w:ind w:left="420" w:right="0" w:hanging="420"/>
                    <w:jc w:val="center"/>
                    <w:rPr>
                      <w:rFonts w:hint="eastAsia"/>
                      <w:color w:val="auto"/>
                      <w:szCs w:val="21"/>
                    </w:rPr>
                  </w:pPr>
                </w:p>
              </w:tc>
              <w:tc>
                <w:tcPr>
                  <w:tcW w:w="297" w:type="pct"/>
                  <w:vMerge w:val="continue"/>
                  <w:vAlign w:val="center"/>
                </w:tcPr>
                <w:p w14:paraId="328F471C">
                  <w:pPr>
                    <w:keepNext w:val="0"/>
                    <w:keepLines w:val="0"/>
                    <w:suppressLineNumbers w:val="0"/>
                    <w:adjustRightInd w:val="0"/>
                    <w:snapToGrid w:val="0"/>
                    <w:spacing w:before="0" w:beforeAutospacing="0" w:after="0" w:afterAutospacing="0"/>
                    <w:ind w:left="420" w:right="0" w:hanging="420"/>
                    <w:jc w:val="center"/>
                    <w:rPr>
                      <w:rFonts w:hint="eastAsia"/>
                      <w:color w:val="auto"/>
                      <w:szCs w:val="21"/>
                      <w:lang w:val="en-US" w:eastAsia="zh-CN"/>
                    </w:rPr>
                  </w:pPr>
                </w:p>
              </w:tc>
              <w:tc>
                <w:tcPr>
                  <w:tcW w:w="367" w:type="pct"/>
                  <w:vMerge w:val="continue"/>
                  <w:vAlign w:val="center"/>
                </w:tcPr>
                <w:p w14:paraId="2107686B">
                  <w:pPr>
                    <w:keepNext w:val="0"/>
                    <w:keepLines w:val="0"/>
                    <w:suppressLineNumbers w:val="0"/>
                    <w:spacing w:before="0" w:beforeAutospacing="0" w:after="0" w:afterAutospacing="0"/>
                    <w:ind w:left="0" w:right="0"/>
                    <w:jc w:val="center"/>
                    <w:rPr>
                      <w:rFonts w:hint="eastAsia"/>
                      <w:color w:val="auto"/>
                    </w:rPr>
                  </w:pPr>
                </w:p>
              </w:tc>
              <w:tc>
                <w:tcPr>
                  <w:tcW w:w="369" w:type="pct"/>
                  <w:vMerge w:val="continue"/>
                  <w:vAlign w:val="center"/>
                </w:tcPr>
                <w:p w14:paraId="05651804">
                  <w:pPr>
                    <w:keepNext w:val="0"/>
                    <w:keepLines w:val="0"/>
                    <w:suppressLineNumbers w:val="0"/>
                    <w:spacing w:before="0" w:beforeAutospacing="0" w:after="0" w:afterAutospacing="0"/>
                    <w:ind w:left="0" w:right="0"/>
                    <w:jc w:val="center"/>
                    <w:rPr>
                      <w:rFonts w:hint="eastAsia"/>
                      <w:color w:val="auto"/>
                      <w:lang w:val="en-US" w:eastAsia="zh-CN"/>
                    </w:rPr>
                  </w:pPr>
                </w:p>
              </w:tc>
              <w:tc>
                <w:tcPr>
                  <w:tcW w:w="458" w:type="pct"/>
                  <w:vMerge w:val="continue"/>
                  <w:vAlign w:val="center"/>
                </w:tcPr>
                <w:p w14:paraId="445DD39A">
                  <w:pPr>
                    <w:keepNext w:val="0"/>
                    <w:keepLines w:val="0"/>
                    <w:suppressLineNumbers w:val="0"/>
                    <w:spacing w:before="0" w:beforeAutospacing="0" w:after="0" w:afterAutospacing="0"/>
                    <w:ind w:left="0" w:right="0"/>
                    <w:jc w:val="center"/>
                    <w:rPr>
                      <w:rFonts w:hint="eastAsia" w:cs="Courier New"/>
                      <w:color w:val="auto"/>
                    </w:rPr>
                  </w:pPr>
                </w:p>
              </w:tc>
              <w:tc>
                <w:tcPr>
                  <w:tcW w:w="598" w:type="pct"/>
                  <w:vMerge w:val="continue"/>
                  <w:vAlign w:val="center"/>
                </w:tcPr>
                <w:p w14:paraId="7846DB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p>
              </w:tc>
              <w:tc>
                <w:tcPr>
                  <w:tcW w:w="270" w:type="pct"/>
                  <w:vMerge w:val="continue"/>
                  <w:vAlign w:val="center"/>
                </w:tcPr>
                <w:p w14:paraId="71F0D50F">
                  <w:pPr>
                    <w:keepNext w:val="0"/>
                    <w:keepLines w:val="0"/>
                    <w:suppressLineNumbers w:val="0"/>
                    <w:spacing w:before="0" w:beforeAutospacing="0" w:after="0" w:afterAutospacing="0"/>
                    <w:ind w:left="0" w:right="0"/>
                    <w:jc w:val="center"/>
                    <w:rPr>
                      <w:rFonts w:hint="eastAsia"/>
                      <w:color w:val="auto"/>
                      <w:lang w:val="en-US" w:eastAsia="zh-CN"/>
                    </w:rPr>
                  </w:pPr>
                </w:p>
              </w:tc>
              <w:tc>
                <w:tcPr>
                  <w:tcW w:w="297" w:type="pct"/>
                  <w:vMerge w:val="continue"/>
                  <w:vAlign w:val="center"/>
                </w:tcPr>
                <w:p w14:paraId="4685AA4F">
                  <w:pPr>
                    <w:keepNext w:val="0"/>
                    <w:keepLines w:val="0"/>
                    <w:suppressLineNumbers w:val="0"/>
                    <w:spacing w:before="0" w:beforeAutospacing="0" w:after="0" w:afterAutospacing="0"/>
                    <w:ind w:left="0" w:right="0"/>
                    <w:jc w:val="center"/>
                    <w:rPr>
                      <w:rFonts w:hint="eastAsia"/>
                      <w:color w:val="auto"/>
                      <w:lang w:val="en-US" w:eastAsia="zh-CN"/>
                    </w:rPr>
                  </w:pPr>
                </w:p>
              </w:tc>
              <w:tc>
                <w:tcPr>
                  <w:tcW w:w="335" w:type="pct"/>
                  <w:vMerge w:val="continue"/>
                  <w:vAlign w:val="center"/>
                </w:tcPr>
                <w:p w14:paraId="45F29DE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p>
              </w:tc>
            </w:tr>
            <w:tr w14:paraId="73F4C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Align w:val="center"/>
                </w:tcPr>
                <w:p w14:paraId="552A94E9">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有机废气</w:t>
                  </w:r>
                </w:p>
              </w:tc>
              <w:tc>
                <w:tcPr>
                  <w:tcW w:w="458" w:type="pct"/>
                  <w:vAlign w:val="center"/>
                </w:tcPr>
                <w:p w14:paraId="0F711D3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非甲烷总烃</w:t>
                  </w:r>
                </w:p>
              </w:tc>
              <w:tc>
                <w:tcPr>
                  <w:tcW w:w="458" w:type="pct"/>
                  <w:vMerge w:val="restart"/>
                  <w:vAlign w:val="center"/>
                </w:tcPr>
                <w:p w14:paraId="6FE965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eastAsia="宋体"/>
                      <w:color w:val="auto"/>
                      <w:szCs w:val="21"/>
                      <w:lang w:val="en-US" w:eastAsia="zh-CN"/>
                    </w:rPr>
                  </w:pPr>
                  <w:r>
                    <w:rPr>
                      <w:rFonts w:hint="eastAsia"/>
                      <w:color w:val="auto"/>
                      <w:szCs w:val="21"/>
                      <w:lang w:val="en-US" w:eastAsia="zh-CN"/>
                    </w:rPr>
                    <w:t>通风橱/集气罩+活性炭吸附</w:t>
                  </w:r>
                </w:p>
              </w:tc>
              <w:tc>
                <w:tcPr>
                  <w:tcW w:w="353" w:type="pct"/>
                  <w:vMerge w:val="restart"/>
                  <w:vAlign w:val="center"/>
                </w:tcPr>
                <w:p w14:paraId="1300B7B7">
                  <w:pPr>
                    <w:keepNext w:val="0"/>
                    <w:keepLines w:val="0"/>
                    <w:suppressLineNumbers w:val="0"/>
                    <w:spacing w:before="0" w:beforeAutospacing="0" w:after="0" w:afterAutospacing="0"/>
                    <w:ind w:left="0" w:right="0"/>
                    <w:jc w:val="center"/>
                    <w:rPr>
                      <w:rFonts w:hint="default"/>
                      <w:color w:val="auto"/>
                      <w:szCs w:val="21"/>
                      <w:lang w:val="en-US"/>
                    </w:rPr>
                  </w:pPr>
                  <w:r>
                    <w:rPr>
                      <w:rFonts w:hint="eastAsia" w:cs="Times New Roman"/>
                      <w:color w:val="auto"/>
                      <w:szCs w:val="21"/>
                      <w:lang w:val="en-US" w:eastAsia="zh-CN"/>
                    </w:rPr>
                    <w:t>8400</w:t>
                  </w:r>
                </w:p>
              </w:tc>
              <w:tc>
                <w:tcPr>
                  <w:tcW w:w="337" w:type="pct"/>
                  <w:vMerge w:val="restart"/>
                  <w:vAlign w:val="center"/>
                </w:tcPr>
                <w:p w14:paraId="0C4AE431">
                  <w:pPr>
                    <w:keepNext w:val="0"/>
                    <w:keepLines w:val="0"/>
                    <w:suppressLineNumbers w:val="0"/>
                    <w:adjustRightInd w:val="0"/>
                    <w:snapToGrid w:val="0"/>
                    <w:spacing w:before="0" w:beforeAutospacing="0" w:after="0" w:afterAutospacing="0"/>
                    <w:ind w:left="420" w:right="0" w:hanging="420"/>
                    <w:jc w:val="center"/>
                    <w:rPr>
                      <w:rFonts w:hint="default"/>
                      <w:color w:val="auto"/>
                      <w:szCs w:val="21"/>
                      <w:lang w:val="en-US"/>
                    </w:rPr>
                  </w:pPr>
                  <w:r>
                    <w:rPr>
                      <w:rFonts w:hint="eastAsia"/>
                      <w:color w:val="auto"/>
                      <w:szCs w:val="21"/>
                      <w:lang w:val="en-US" w:eastAsia="zh-CN"/>
                    </w:rPr>
                    <w:t>65</w:t>
                  </w:r>
                </w:p>
              </w:tc>
              <w:tc>
                <w:tcPr>
                  <w:tcW w:w="297" w:type="pct"/>
                  <w:vMerge w:val="restart"/>
                  <w:vAlign w:val="center"/>
                </w:tcPr>
                <w:p w14:paraId="17B1A5DF">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lang w:val="en-US" w:eastAsia="zh-CN"/>
                    </w:rPr>
                  </w:pPr>
                  <w:r>
                    <w:rPr>
                      <w:rFonts w:hint="eastAsia"/>
                      <w:color w:val="auto"/>
                      <w:szCs w:val="21"/>
                      <w:lang w:val="en-US" w:eastAsia="zh-CN"/>
                    </w:rPr>
                    <w:t>60</w:t>
                  </w:r>
                </w:p>
              </w:tc>
              <w:tc>
                <w:tcPr>
                  <w:tcW w:w="367" w:type="pct"/>
                  <w:vMerge w:val="restart"/>
                  <w:vAlign w:val="center"/>
                </w:tcPr>
                <w:p w14:paraId="58D870B9">
                  <w:pPr>
                    <w:keepNext w:val="0"/>
                    <w:keepLines w:val="0"/>
                    <w:suppressLineNumbers w:val="0"/>
                    <w:spacing w:before="0" w:beforeAutospacing="0" w:after="0" w:afterAutospacing="0"/>
                    <w:ind w:left="0" w:right="0"/>
                    <w:jc w:val="center"/>
                    <w:rPr>
                      <w:rFonts w:hint="default"/>
                      <w:color w:val="auto"/>
                    </w:rPr>
                  </w:pPr>
                  <w:r>
                    <w:rPr>
                      <w:rFonts w:hint="eastAsia"/>
                      <w:color w:val="auto"/>
                    </w:rPr>
                    <w:t>是</w:t>
                  </w:r>
                </w:p>
              </w:tc>
              <w:tc>
                <w:tcPr>
                  <w:tcW w:w="369" w:type="pct"/>
                  <w:vMerge w:val="restart"/>
                  <w:vAlign w:val="center"/>
                </w:tcPr>
                <w:p w14:paraId="329864FA">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DA003</w:t>
                  </w:r>
                </w:p>
              </w:tc>
              <w:tc>
                <w:tcPr>
                  <w:tcW w:w="458" w:type="pct"/>
                  <w:vMerge w:val="restart"/>
                  <w:vAlign w:val="center"/>
                </w:tcPr>
                <w:p w14:paraId="719D76D9">
                  <w:pPr>
                    <w:keepNext w:val="0"/>
                    <w:keepLines w:val="0"/>
                    <w:suppressLineNumbers w:val="0"/>
                    <w:spacing w:before="0" w:beforeAutospacing="0" w:after="0" w:afterAutospacing="0"/>
                    <w:ind w:left="0" w:right="0"/>
                    <w:jc w:val="center"/>
                    <w:rPr>
                      <w:rFonts w:hint="eastAsia"/>
                      <w:color w:val="auto"/>
                    </w:rPr>
                  </w:pPr>
                  <w:r>
                    <w:rPr>
                      <w:rFonts w:hint="eastAsia" w:cs="Courier New"/>
                      <w:color w:val="auto"/>
                    </w:rPr>
                    <w:t>一般排放口</w:t>
                  </w:r>
                </w:p>
              </w:tc>
              <w:tc>
                <w:tcPr>
                  <w:tcW w:w="598" w:type="pct"/>
                  <w:vMerge w:val="restart"/>
                  <w:vAlign w:val="center"/>
                </w:tcPr>
                <w:p w14:paraId="37320B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E</w:t>
                  </w:r>
                  <w:r>
                    <w:rPr>
                      <w:rFonts w:hint="eastAsia"/>
                      <w:color w:val="auto"/>
                      <w:highlight w:val="none"/>
                      <w:lang w:eastAsia="zh-CN"/>
                    </w:rPr>
                    <w:t>:</w:t>
                  </w:r>
                  <w:r>
                    <w:rPr>
                      <w:rFonts w:hint="default"/>
                      <w:color w:val="auto"/>
                      <w:highlight w:val="none"/>
                    </w:rPr>
                    <w:t>119.405690</w:t>
                  </w:r>
                </w:p>
                <w:p w14:paraId="3797D0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eastAsia"/>
                      <w:color w:val="auto"/>
                      <w:highlight w:val="none"/>
                    </w:rPr>
                  </w:pPr>
                  <w:r>
                    <w:rPr>
                      <w:rFonts w:hint="default"/>
                      <w:color w:val="auto"/>
                      <w:highlight w:val="none"/>
                    </w:rPr>
                    <w:t>N</w:t>
                  </w:r>
                  <w:r>
                    <w:rPr>
                      <w:rFonts w:hint="eastAsia"/>
                      <w:color w:val="auto"/>
                      <w:highlight w:val="none"/>
                      <w:lang w:eastAsia="zh-CN"/>
                    </w:rPr>
                    <w:t>:</w:t>
                  </w:r>
                  <w:r>
                    <w:rPr>
                      <w:rFonts w:hint="default"/>
                      <w:color w:val="auto"/>
                      <w:highlight w:val="none"/>
                    </w:rPr>
                    <w:t>25.760742</w:t>
                  </w:r>
                </w:p>
              </w:tc>
              <w:tc>
                <w:tcPr>
                  <w:tcW w:w="270" w:type="pct"/>
                  <w:vMerge w:val="restart"/>
                  <w:vAlign w:val="center"/>
                </w:tcPr>
                <w:p w14:paraId="18FE73FB">
                  <w:pPr>
                    <w:keepNext w:val="0"/>
                    <w:keepLines w:val="0"/>
                    <w:suppressLineNumbers w:val="0"/>
                    <w:spacing w:before="0" w:beforeAutospacing="0" w:after="0" w:afterAutospacing="0"/>
                    <w:ind w:left="0" w:right="0"/>
                    <w:jc w:val="center"/>
                    <w:rPr>
                      <w:rFonts w:hint="default"/>
                      <w:color w:val="auto"/>
                      <w:lang w:val="en-US"/>
                    </w:rPr>
                  </w:pPr>
                  <w:r>
                    <w:rPr>
                      <w:rFonts w:hint="eastAsia"/>
                      <w:color w:val="auto"/>
                      <w:lang w:val="en-US" w:eastAsia="zh-CN"/>
                    </w:rPr>
                    <w:t>25</w:t>
                  </w:r>
                </w:p>
              </w:tc>
              <w:tc>
                <w:tcPr>
                  <w:tcW w:w="297" w:type="pct"/>
                  <w:vMerge w:val="restart"/>
                  <w:vAlign w:val="center"/>
                </w:tcPr>
                <w:p w14:paraId="14141CDE">
                  <w:pPr>
                    <w:keepNext w:val="0"/>
                    <w:keepLines w:val="0"/>
                    <w:suppressLineNumbers w:val="0"/>
                    <w:spacing w:before="0" w:beforeAutospacing="0" w:after="0" w:afterAutospacing="0"/>
                    <w:ind w:left="0" w:right="0"/>
                    <w:jc w:val="center"/>
                    <w:rPr>
                      <w:rFonts w:hint="eastAsia"/>
                      <w:color w:val="auto"/>
                    </w:rPr>
                  </w:pPr>
                  <w:r>
                    <w:rPr>
                      <w:rFonts w:hint="eastAsia"/>
                      <w:color w:val="auto"/>
                      <w:lang w:val="en-US" w:eastAsia="zh-CN"/>
                    </w:rPr>
                    <w:t>0.5</w:t>
                  </w:r>
                </w:p>
              </w:tc>
              <w:tc>
                <w:tcPr>
                  <w:tcW w:w="335" w:type="pct"/>
                  <w:vMerge w:val="restart"/>
                  <w:vAlign w:val="center"/>
                </w:tcPr>
                <w:p w14:paraId="1425FB0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常温</w:t>
                  </w:r>
                </w:p>
              </w:tc>
            </w:tr>
            <w:tr w14:paraId="410FE0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Align w:val="center"/>
                </w:tcPr>
                <w:p w14:paraId="401A860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bookmarkStart w:id="87" w:name="_Ref25312"/>
                  <w:r>
                    <w:rPr>
                      <w:rFonts w:hint="eastAsia"/>
                      <w:color w:val="auto"/>
                      <w:szCs w:val="20"/>
                      <w:lang w:val="en-US" w:eastAsia="zh-CN"/>
                    </w:rPr>
                    <w:t>恶臭废气</w:t>
                  </w:r>
                </w:p>
              </w:tc>
              <w:tc>
                <w:tcPr>
                  <w:tcW w:w="458" w:type="pct"/>
                  <w:vAlign w:val="center"/>
                </w:tcPr>
                <w:p w14:paraId="60ADC44F">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eastAsia"/>
                      <w:color w:val="auto"/>
                      <w:szCs w:val="20"/>
                      <w:lang w:val="en-US" w:eastAsia="zh-CN"/>
                    </w:rPr>
                    <w:t>氨</w:t>
                  </w:r>
                </w:p>
              </w:tc>
              <w:tc>
                <w:tcPr>
                  <w:tcW w:w="458" w:type="pct"/>
                  <w:vMerge w:val="continue"/>
                  <w:vAlign w:val="center"/>
                </w:tcPr>
                <w:p w14:paraId="6024BC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szCs w:val="21"/>
                      <w:lang w:val="en-US" w:eastAsia="zh-CN"/>
                    </w:rPr>
                  </w:pPr>
                </w:p>
              </w:tc>
              <w:tc>
                <w:tcPr>
                  <w:tcW w:w="353" w:type="pct"/>
                  <w:vMerge w:val="continue"/>
                  <w:vAlign w:val="center"/>
                </w:tcPr>
                <w:p w14:paraId="27DBF6A1">
                  <w:pPr>
                    <w:keepNext w:val="0"/>
                    <w:keepLines w:val="0"/>
                    <w:suppressLineNumbers w:val="0"/>
                    <w:spacing w:before="0" w:beforeAutospacing="0" w:after="0" w:afterAutospacing="0"/>
                    <w:ind w:left="0" w:leftChars="0" w:right="0" w:rightChars="0"/>
                    <w:jc w:val="center"/>
                    <w:rPr>
                      <w:rFonts w:hint="eastAsia" w:cs="Times New Roman"/>
                      <w:color w:val="auto"/>
                      <w:szCs w:val="21"/>
                      <w:lang w:val="en-US" w:eastAsia="zh-CN"/>
                    </w:rPr>
                  </w:pPr>
                </w:p>
              </w:tc>
              <w:tc>
                <w:tcPr>
                  <w:tcW w:w="337" w:type="pct"/>
                  <w:vMerge w:val="continue"/>
                  <w:vAlign w:val="center"/>
                </w:tcPr>
                <w:p w14:paraId="3908E301">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eastAsia"/>
                      <w:color w:val="auto"/>
                      <w:szCs w:val="21"/>
                      <w:lang w:val="en-US" w:eastAsia="zh-CN"/>
                    </w:rPr>
                  </w:pPr>
                </w:p>
              </w:tc>
              <w:tc>
                <w:tcPr>
                  <w:tcW w:w="297" w:type="pct"/>
                  <w:vMerge w:val="continue"/>
                  <w:vAlign w:val="center"/>
                </w:tcPr>
                <w:p w14:paraId="658C21DA">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default"/>
                      <w:color w:val="auto"/>
                      <w:szCs w:val="21"/>
                      <w:lang w:val="en-US" w:eastAsia="zh-CN"/>
                    </w:rPr>
                  </w:pPr>
                </w:p>
              </w:tc>
              <w:tc>
                <w:tcPr>
                  <w:tcW w:w="367" w:type="pct"/>
                  <w:vMerge w:val="continue"/>
                  <w:vAlign w:val="center"/>
                </w:tcPr>
                <w:p w14:paraId="49FB8C66">
                  <w:pPr>
                    <w:keepNext w:val="0"/>
                    <w:keepLines w:val="0"/>
                    <w:suppressLineNumbers w:val="0"/>
                    <w:spacing w:before="0" w:beforeAutospacing="0" w:after="0" w:afterAutospacing="0"/>
                    <w:ind w:left="0" w:leftChars="0" w:right="0" w:rightChars="0"/>
                    <w:jc w:val="center"/>
                    <w:rPr>
                      <w:rFonts w:hint="eastAsia"/>
                      <w:color w:val="auto"/>
                    </w:rPr>
                  </w:pPr>
                </w:p>
              </w:tc>
              <w:tc>
                <w:tcPr>
                  <w:tcW w:w="369" w:type="pct"/>
                  <w:vMerge w:val="continue"/>
                  <w:vAlign w:val="center"/>
                </w:tcPr>
                <w:p w14:paraId="046BDADE">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458" w:type="pct"/>
                  <w:vMerge w:val="continue"/>
                  <w:vAlign w:val="center"/>
                </w:tcPr>
                <w:p w14:paraId="45F790AF">
                  <w:pPr>
                    <w:keepNext w:val="0"/>
                    <w:keepLines w:val="0"/>
                    <w:suppressLineNumbers w:val="0"/>
                    <w:spacing w:before="0" w:beforeAutospacing="0" w:after="0" w:afterAutospacing="0"/>
                    <w:ind w:left="0" w:leftChars="0" w:right="0" w:rightChars="0"/>
                    <w:jc w:val="center"/>
                    <w:rPr>
                      <w:rFonts w:hint="eastAsia" w:cs="Courier New"/>
                      <w:color w:val="auto"/>
                    </w:rPr>
                  </w:pPr>
                </w:p>
              </w:tc>
              <w:tc>
                <w:tcPr>
                  <w:tcW w:w="598" w:type="pct"/>
                  <w:vMerge w:val="continue"/>
                  <w:vAlign w:val="center"/>
                </w:tcPr>
                <w:p w14:paraId="67167F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p>
              </w:tc>
              <w:tc>
                <w:tcPr>
                  <w:tcW w:w="270" w:type="pct"/>
                  <w:vMerge w:val="continue"/>
                  <w:vAlign w:val="center"/>
                </w:tcPr>
                <w:p w14:paraId="5750F2C0">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297" w:type="pct"/>
                  <w:vMerge w:val="continue"/>
                  <w:vAlign w:val="center"/>
                </w:tcPr>
                <w:p w14:paraId="243524A7">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335" w:type="pct"/>
                  <w:vMerge w:val="continue"/>
                  <w:vAlign w:val="center"/>
                </w:tcPr>
                <w:p w14:paraId="6CB4D8FE">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r>
            <w:tr w14:paraId="6A5903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Align w:val="center"/>
                </w:tcPr>
                <w:p w14:paraId="65660628">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有机废气</w:t>
                  </w:r>
                </w:p>
              </w:tc>
              <w:tc>
                <w:tcPr>
                  <w:tcW w:w="458" w:type="pct"/>
                  <w:vAlign w:val="center"/>
                </w:tcPr>
                <w:p w14:paraId="5DD63E47">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非甲烷总烃</w:t>
                  </w:r>
                </w:p>
              </w:tc>
              <w:tc>
                <w:tcPr>
                  <w:tcW w:w="458" w:type="pct"/>
                  <w:vMerge w:val="continue"/>
                  <w:vAlign w:val="center"/>
                </w:tcPr>
                <w:p w14:paraId="5D4CCD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szCs w:val="21"/>
                      <w:lang w:val="en-US" w:eastAsia="zh-CN"/>
                    </w:rPr>
                  </w:pPr>
                </w:p>
              </w:tc>
              <w:tc>
                <w:tcPr>
                  <w:tcW w:w="353" w:type="pct"/>
                  <w:vMerge w:val="restart"/>
                  <w:vAlign w:val="center"/>
                </w:tcPr>
                <w:p w14:paraId="52F7C71C">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10000</w:t>
                  </w:r>
                </w:p>
              </w:tc>
              <w:tc>
                <w:tcPr>
                  <w:tcW w:w="337" w:type="pct"/>
                  <w:vMerge w:val="continue"/>
                  <w:vAlign w:val="center"/>
                </w:tcPr>
                <w:p w14:paraId="468DBEDF">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eastAsia"/>
                      <w:color w:val="auto"/>
                      <w:szCs w:val="21"/>
                      <w:lang w:val="en-US" w:eastAsia="zh-CN"/>
                    </w:rPr>
                  </w:pPr>
                </w:p>
              </w:tc>
              <w:tc>
                <w:tcPr>
                  <w:tcW w:w="297" w:type="pct"/>
                  <w:vMerge w:val="continue"/>
                  <w:vAlign w:val="center"/>
                </w:tcPr>
                <w:p w14:paraId="69BD6A27">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default"/>
                      <w:color w:val="auto"/>
                      <w:szCs w:val="21"/>
                      <w:lang w:val="en-US" w:eastAsia="zh-CN"/>
                    </w:rPr>
                  </w:pPr>
                </w:p>
              </w:tc>
              <w:tc>
                <w:tcPr>
                  <w:tcW w:w="367" w:type="pct"/>
                  <w:vMerge w:val="continue"/>
                  <w:vAlign w:val="center"/>
                </w:tcPr>
                <w:p w14:paraId="73B25A09">
                  <w:pPr>
                    <w:keepNext w:val="0"/>
                    <w:keepLines w:val="0"/>
                    <w:suppressLineNumbers w:val="0"/>
                    <w:spacing w:before="0" w:beforeAutospacing="0" w:after="0" w:afterAutospacing="0"/>
                    <w:ind w:left="0" w:leftChars="0" w:right="0" w:rightChars="0"/>
                    <w:jc w:val="center"/>
                    <w:rPr>
                      <w:rFonts w:hint="eastAsia"/>
                      <w:color w:val="auto"/>
                    </w:rPr>
                  </w:pPr>
                </w:p>
              </w:tc>
              <w:tc>
                <w:tcPr>
                  <w:tcW w:w="369" w:type="pct"/>
                  <w:vMerge w:val="restart"/>
                  <w:vAlign w:val="center"/>
                </w:tcPr>
                <w:p w14:paraId="53842ED4">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DA004</w:t>
                  </w:r>
                </w:p>
              </w:tc>
              <w:tc>
                <w:tcPr>
                  <w:tcW w:w="458" w:type="pct"/>
                  <w:vMerge w:val="restart"/>
                  <w:vAlign w:val="center"/>
                </w:tcPr>
                <w:p w14:paraId="1A983366">
                  <w:pPr>
                    <w:keepNext w:val="0"/>
                    <w:keepLines w:val="0"/>
                    <w:suppressLineNumbers w:val="0"/>
                    <w:spacing w:before="0" w:beforeAutospacing="0" w:after="0" w:afterAutospacing="0"/>
                    <w:ind w:left="0" w:leftChars="0" w:right="0" w:rightChars="0"/>
                    <w:jc w:val="center"/>
                    <w:rPr>
                      <w:rFonts w:hint="eastAsia" w:cs="Courier New"/>
                      <w:color w:val="auto"/>
                    </w:rPr>
                  </w:pPr>
                  <w:r>
                    <w:rPr>
                      <w:rFonts w:hint="eastAsia" w:cs="Courier New"/>
                      <w:color w:val="auto"/>
                    </w:rPr>
                    <w:t>一般排放口</w:t>
                  </w:r>
                </w:p>
              </w:tc>
              <w:tc>
                <w:tcPr>
                  <w:tcW w:w="598" w:type="pct"/>
                  <w:vMerge w:val="restart"/>
                  <w:vAlign w:val="center"/>
                </w:tcPr>
                <w:p w14:paraId="22EA52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E</w:t>
                  </w:r>
                  <w:r>
                    <w:rPr>
                      <w:rFonts w:hint="eastAsia"/>
                      <w:color w:val="auto"/>
                      <w:highlight w:val="none"/>
                      <w:lang w:eastAsia="zh-CN"/>
                    </w:rPr>
                    <w:t>:</w:t>
                  </w:r>
                  <w:r>
                    <w:rPr>
                      <w:rFonts w:hint="default"/>
                      <w:color w:val="auto"/>
                      <w:highlight w:val="none"/>
                    </w:rPr>
                    <w:t>119.405645</w:t>
                  </w:r>
                </w:p>
                <w:p w14:paraId="55C346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none"/>
                    </w:rPr>
                  </w:pPr>
                  <w:r>
                    <w:rPr>
                      <w:rFonts w:hint="default"/>
                      <w:color w:val="auto"/>
                      <w:highlight w:val="none"/>
                    </w:rPr>
                    <w:t>N</w:t>
                  </w:r>
                  <w:r>
                    <w:rPr>
                      <w:rFonts w:hint="eastAsia"/>
                      <w:color w:val="auto"/>
                      <w:highlight w:val="none"/>
                      <w:lang w:eastAsia="zh-CN"/>
                    </w:rPr>
                    <w:t>:</w:t>
                  </w:r>
                  <w:r>
                    <w:rPr>
                      <w:rFonts w:hint="default"/>
                      <w:color w:val="auto"/>
                      <w:highlight w:val="none"/>
                    </w:rPr>
                    <w:t>25.7606959</w:t>
                  </w:r>
                </w:p>
              </w:tc>
              <w:tc>
                <w:tcPr>
                  <w:tcW w:w="270" w:type="pct"/>
                  <w:vMerge w:val="restart"/>
                  <w:vAlign w:val="center"/>
                </w:tcPr>
                <w:p w14:paraId="394DF9E0">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25</w:t>
                  </w:r>
                </w:p>
              </w:tc>
              <w:tc>
                <w:tcPr>
                  <w:tcW w:w="297" w:type="pct"/>
                  <w:vMerge w:val="restart"/>
                  <w:vAlign w:val="center"/>
                </w:tcPr>
                <w:p w14:paraId="12B404D7">
                  <w:pPr>
                    <w:keepNext w:val="0"/>
                    <w:keepLines w:val="0"/>
                    <w:suppressLineNumbers w:val="0"/>
                    <w:spacing w:before="0" w:beforeAutospacing="0" w:after="0" w:afterAutospacing="0"/>
                    <w:ind w:left="0" w:leftChars="0" w:right="0" w:rightChars="0"/>
                    <w:jc w:val="center"/>
                    <w:rPr>
                      <w:rFonts w:hint="eastAsia"/>
                      <w:color w:val="auto"/>
                      <w:lang w:val="en-US" w:eastAsia="zh-CN"/>
                    </w:rPr>
                  </w:pPr>
                  <w:r>
                    <w:rPr>
                      <w:rFonts w:hint="eastAsia"/>
                      <w:color w:val="auto"/>
                      <w:lang w:val="en-US" w:eastAsia="zh-CN"/>
                    </w:rPr>
                    <w:t>0.5</w:t>
                  </w:r>
                </w:p>
              </w:tc>
              <w:tc>
                <w:tcPr>
                  <w:tcW w:w="335" w:type="pct"/>
                  <w:vMerge w:val="restart"/>
                  <w:vAlign w:val="center"/>
                </w:tcPr>
                <w:p w14:paraId="6DD8160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常温</w:t>
                  </w:r>
                </w:p>
              </w:tc>
            </w:tr>
            <w:tr w14:paraId="60612A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6" w:hRule="exact"/>
                <w:jc w:val="center"/>
              </w:trPr>
              <w:tc>
                <w:tcPr>
                  <w:tcW w:w="400" w:type="pct"/>
                  <w:vAlign w:val="center"/>
                </w:tcPr>
                <w:p w14:paraId="2910AE8E">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恶臭废气</w:t>
                  </w:r>
                </w:p>
              </w:tc>
              <w:tc>
                <w:tcPr>
                  <w:tcW w:w="458" w:type="pct"/>
                  <w:vAlign w:val="center"/>
                </w:tcPr>
                <w:p w14:paraId="0C217387">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氨</w:t>
                  </w:r>
                </w:p>
              </w:tc>
              <w:tc>
                <w:tcPr>
                  <w:tcW w:w="458" w:type="pct"/>
                  <w:vMerge w:val="continue"/>
                  <w:vAlign w:val="center"/>
                </w:tcPr>
                <w:p w14:paraId="05E8C8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szCs w:val="21"/>
                      <w:lang w:val="en-US" w:eastAsia="zh-CN"/>
                    </w:rPr>
                  </w:pPr>
                </w:p>
              </w:tc>
              <w:tc>
                <w:tcPr>
                  <w:tcW w:w="353" w:type="pct"/>
                  <w:vMerge w:val="continue"/>
                  <w:vAlign w:val="center"/>
                </w:tcPr>
                <w:p w14:paraId="4F4F4082">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p>
              </w:tc>
              <w:tc>
                <w:tcPr>
                  <w:tcW w:w="337" w:type="pct"/>
                  <w:vMerge w:val="continue"/>
                  <w:vAlign w:val="center"/>
                </w:tcPr>
                <w:p w14:paraId="483ED7BB">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eastAsia"/>
                      <w:color w:val="auto"/>
                      <w:szCs w:val="21"/>
                      <w:lang w:val="en-US" w:eastAsia="zh-CN"/>
                    </w:rPr>
                  </w:pPr>
                </w:p>
              </w:tc>
              <w:tc>
                <w:tcPr>
                  <w:tcW w:w="297" w:type="pct"/>
                  <w:vMerge w:val="continue"/>
                  <w:vAlign w:val="center"/>
                </w:tcPr>
                <w:p w14:paraId="0169C302">
                  <w:pPr>
                    <w:keepNext w:val="0"/>
                    <w:keepLines w:val="0"/>
                    <w:suppressLineNumbers w:val="0"/>
                    <w:adjustRightInd w:val="0"/>
                    <w:snapToGrid w:val="0"/>
                    <w:spacing w:before="0" w:beforeAutospacing="0" w:after="0" w:afterAutospacing="0"/>
                    <w:ind w:left="420" w:leftChars="0" w:right="0" w:rightChars="0" w:hanging="420" w:firstLineChars="0"/>
                    <w:jc w:val="center"/>
                    <w:rPr>
                      <w:rFonts w:hint="default"/>
                      <w:color w:val="auto"/>
                      <w:szCs w:val="21"/>
                      <w:lang w:val="en-US" w:eastAsia="zh-CN"/>
                    </w:rPr>
                  </w:pPr>
                </w:p>
              </w:tc>
              <w:tc>
                <w:tcPr>
                  <w:tcW w:w="367" w:type="pct"/>
                  <w:vMerge w:val="continue"/>
                  <w:vAlign w:val="center"/>
                </w:tcPr>
                <w:p w14:paraId="5E08A7A8">
                  <w:pPr>
                    <w:keepNext w:val="0"/>
                    <w:keepLines w:val="0"/>
                    <w:suppressLineNumbers w:val="0"/>
                    <w:spacing w:before="0" w:beforeAutospacing="0" w:after="0" w:afterAutospacing="0"/>
                    <w:ind w:left="0" w:leftChars="0" w:right="0" w:rightChars="0"/>
                    <w:jc w:val="center"/>
                    <w:rPr>
                      <w:rFonts w:hint="eastAsia"/>
                      <w:color w:val="auto"/>
                    </w:rPr>
                  </w:pPr>
                </w:p>
              </w:tc>
              <w:tc>
                <w:tcPr>
                  <w:tcW w:w="369" w:type="pct"/>
                  <w:vMerge w:val="continue"/>
                  <w:vAlign w:val="center"/>
                </w:tcPr>
                <w:p w14:paraId="6C46A752">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458" w:type="pct"/>
                  <w:vMerge w:val="continue"/>
                  <w:vAlign w:val="center"/>
                </w:tcPr>
                <w:p w14:paraId="084C64B0">
                  <w:pPr>
                    <w:keepNext w:val="0"/>
                    <w:keepLines w:val="0"/>
                    <w:suppressLineNumbers w:val="0"/>
                    <w:spacing w:before="0" w:beforeAutospacing="0" w:after="0" w:afterAutospacing="0"/>
                    <w:ind w:left="0" w:leftChars="0" w:right="0" w:rightChars="0"/>
                    <w:jc w:val="center"/>
                    <w:rPr>
                      <w:rFonts w:hint="eastAsia" w:cs="Courier New"/>
                      <w:color w:val="auto"/>
                    </w:rPr>
                  </w:pPr>
                </w:p>
              </w:tc>
              <w:tc>
                <w:tcPr>
                  <w:tcW w:w="598" w:type="pct"/>
                  <w:vMerge w:val="continue"/>
                  <w:vAlign w:val="center"/>
                </w:tcPr>
                <w:p w14:paraId="1C8F0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both"/>
                    <w:textAlignment w:val="auto"/>
                    <w:rPr>
                      <w:rFonts w:hint="default"/>
                      <w:color w:val="auto"/>
                      <w:highlight w:val="cyan"/>
                    </w:rPr>
                  </w:pPr>
                </w:p>
              </w:tc>
              <w:tc>
                <w:tcPr>
                  <w:tcW w:w="270" w:type="pct"/>
                  <w:vMerge w:val="continue"/>
                  <w:vAlign w:val="center"/>
                </w:tcPr>
                <w:p w14:paraId="4BCDA36B">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297" w:type="pct"/>
                  <w:vMerge w:val="continue"/>
                  <w:vAlign w:val="center"/>
                </w:tcPr>
                <w:p w14:paraId="661FC361">
                  <w:pPr>
                    <w:keepNext w:val="0"/>
                    <w:keepLines w:val="0"/>
                    <w:suppressLineNumbers w:val="0"/>
                    <w:spacing w:before="0" w:beforeAutospacing="0" w:after="0" w:afterAutospacing="0"/>
                    <w:ind w:left="0" w:leftChars="0" w:right="0" w:rightChars="0"/>
                    <w:jc w:val="center"/>
                    <w:rPr>
                      <w:rFonts w:hint="eastAsia"/>
                      <w:color w:val="auto"/>
                      <w:lang w:val="en-US" w:eastAsia="zh-CN"/>
                    </w:rPr>
                  </w:pPr>
                </w:p>
              </w:tc>
              <w:tc>
                <w:tcPr>
                  <w:tcW w:w="335" w:type="pct"/>
                  <w:vMerge w:val="continue"/>
                  <w:vAlign w:val="center"/>
                </w:tcPr>
                <w:p w14:paraId="2D629C2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lang w:val="en-US" w:eastAsia="zh-CN"/>
                    </w:rPr>
                  </w:pPr>
                </w:p>
              </w:tc>
            </w:tr>
          </w:tbl>
          <w:p w14:paraId="2BFF7B47">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default"/>
                <w:color w:val="auto"/>
              </w:rPr>
            </w:pPr>
          </w:p>
          <w:p w14:paraId="560B48D8">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default"/>
                <w:color w:val="auto"/>
              </w:rPr>
            </w:pPr>
          </w:p>
          <w:p w14:paraId="35BF4668">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default"/>
                <w:color w:val="auto"/>
              </w:rPr>
            </w:pPr>
          </w:p>
          <w:p w14:paraId="506E6D5B">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default"/>
                <w:color w:val="auto"/>
              </w:rPr>
            </w:pPr>
          </w:p>
          <w:p w14:paraId="70650B93">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ind w:left="0" w:right="0"/>
              <w:jc w:val="both"/>
              <w:textAlignment w:val="auto"/>
              <w:rPr>
                <w:rFonts w:hint="default"/>
                <w:color w:val="auto"/>
              </w:rPr>
            </w:pPr>
          </w:p>
          <w:p w14:paraId="5CAD5969">
            <w:pPr>
              <w:pStyle w:val="35"/>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ind w:right="0"/>
              <w:textAlignment w:val="auto"/>
              <w:rPr>
                <w:rFonts w:hint="default"/>
                <w:color w:val="auto"/>
              </w:rPr>
            </w:pPr>
            <w:r>
              <w:rPr>
                <w:rFonts w:hint="eastAsia"/>
                <w:color w:val="auto"/>
              </w:rPr>
              <w:t>废气污染物</w:t>
            </w:r>
            <w:r>
              <w:rPr>
                <w:rFonts w:hint="eastAsia"/>
                <w:color w:val="auto"/>
                <w:lang w:val="en-US" w:eastAsia="zh-CN"/>
              </w:rPr>
              <w:t>产排情况</w:t>
            </w:r>
            <w:r>
              <w:rPr>
                <w:rFonts w:hint="eastAsia"/>
                <w:color w:val="auto"/>
              </w:rPr>
              <w:t>一览表</w:t>
            </w:r>
            <w:bookmarkEnd w:id="87"/>
          </w:p>
          <w:tbl>
            <w:tblPr>
              <w:tblStyle w:val="28"/>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808"/>
              <w:gridCol w:w="1110"/>
              <w:gridCol w:w="1110"/>
              <w:gridCol w:w="1090"/>
              <w:gridCol w:w="956"/>
              <w:gridCol w:w="808"/>
              <w:gridCol w:w="863"/>
              <w:gridCol w:w="853"/>
              <w:gridCol w:w="933"/>
              <w:gridCol w:w="923"/>
              <w:gridCol w:w="956"/>
              <w:gridCol w:w="1110"/>
              <w:gridCol w:w="947"/>
            </w:tblGrid>
            <w:tr w14:paraId="638A93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11" w:hRule="atLeast"/>
                <w:tblHeader/>
                <w:jc w:val="center"/>
              </w:trPr>
              <w:tc>
                <w:tcPr>
                  <w:tcW w:w="324" w:type="pct"/>
                  <w:vMerge w:val="restart"/>
                  <w:tcBorders>
                    <w:tl2br w:val="nil"/>
                    <w:tr2bl w:val="nil"/>
                  </w:tcBorders>
                  <w:vAlign w:val="center"/>
                </w:tcPr>
                <w:p w14:paraId="75A377F5">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产污环节</w:t>
                  </w:r>
                </w:p>
              </w:tc>
              <w:tc>
                <w:tcPr>
                  <w:tcW w:w="445" w:type="pct"/>
                  <w:vMerge w:val="restart"/>
                  <w:tcBorders>
                    <w:tl2br w:val="nil"/>
                    <w:tr2bl w:val="nil"/>
                  </w:tcBorders>
                  <w:vAlign w:val="center"/>
                </w:tcPr>
                <w:p w14:paraId="1056B130">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污染物</w:t>
                  </w:r>
                </w:p>
                <w:p w14:paraId="66911263">
                  <w:pPr>
                    <w:keepNext w:val="0"/>
                    <w:keepLines w:val="0"/>
                    <w:suppressLineNumbers w:val="0"/>
                    <w:spacing w:before="0" w:beforeAutospacing="0" w:after="0" w:afterAutospacing="0"/>
                    <w:ind w:left="0" w:right="0"/>
                    <w:jc w:val="center"/>
                    <w:rPr>
                      <w:rFonts w:hint="eastAsia" w:eastAsia="宋体"/>
                      <w:color w:val="auto"/>
                      <w:szCs w:val="21"/>
                      <w:lang w:val="en-US" w:eastAsia="zh-CN"/>
                    </w:rPr>
                  </w:pPr>
                  <w:r>
                    <w:rPr>
                      <w:rFonts w:hint="eastAsia"/>
                      <w:color w:val="auto"/>
                      <w:szCs w:val="21"/>
                      <w:lang w:val="en-US" w:eastAsia="zh-CN"/>
                    </w:rPr>
                    <w:t>种类</w:t>
                  </w:r>
                </w:p>
              </w:tc>
              <w:tc>
                <w:tcPr>
                  <w:tcW w:w="445" w:type="pct"/>
                  <w:vMerge w:val="restart"/>
                  <w:tcBorders>
                    <w:tl2br w:val="nil"/>
                    <w:tr2bl w:val="nil"/>
                  </w:tcBorders>
                  <w:vAlign w:val="center"/>
                </w:tcPr>
                <w:p w14:paraId="209D2402">
                  <w:pPr>
                    <w:keepNext w:val="0"/>
                    <w:keepLines w:val="0"/>
                    <w:suppressLineNumbers w:val="0"/>
                    <w:spacing w:before="0" w:beforeAutospacing="0" w:after="0" w:afterAutospacing="0"/>
                    <w:ind w:left="0" w:right="0"/>
                    <w:jc w:val="center"/>
                    <w:rPr>
                      <w:rFonts w:hint="default"/>
                      <w:color w:val="auto"/>
                      <w:szCs w:val="21"/>
                      <w:lang w:val="en-US" w:eastAsia="zh-CN"/>
                    </w:rPr>
                  </w:pPr>
                  <w:r>
                    <w:rPr>
                      <w:rFonts w:hint="eastAsia"/>
                      <w:color w:val="auto"/>
                      <w:szCs w:val="21"/>
                      <w:lang w:val="en-US" w:eastAsia="zh-CN"/>
                    </w:rPr>
                    <w:t>排气筒</w:t>
                  </w:r>
                </w:p>
              </w:tc>
              <w:tc>
                <w:tcPr>
                  <w:tcW w:w="820" w:type="pct"/>
                  <w:gridSpan w:val="2"/>
                  <w:tcBorders>
                    <w:tl2br w:val="nil"/>
                    <w:tr2bl w:val="nil"/>
                  </w:tcBorders>
                  <w:vAlign w:val="center"/>
                </w:tcPr>
                <w:p w14:paraId="26736718">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产生情况</w:t>
                  </w:r>
                </w:p>
              </w:tc>
              <w:tc>
                <w:tcPr>
                  <w:tcW w:w="1386" w:type="pct"/>
                  <w:gridSpan w:val="4"/>
                  <w:tcBorders>
                    <w:tl2br w:val="nil"/>
                    <w:tr2bl w:val="nil"/>
                  </w:tcBorders>
                  <w:vAlign w:val="center"/>
                </w:tcPr>
                <w:p w14:paraId="718EC62F">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olor w:val="auto"/>
                      <w:szCs w:val="21"/>
                      <w:lang w:val="en-US" w:eastAsia="zh-CN"/>
                    </w:rPr>
                    <w:t>有组织</w:t>
                  </w:r>
                  <w:r>
                    <w:rPr>
                      <w:rFonts w:hint="eastAsia"/>
                      <w:color w:val="auto"/>
                      <w:szCs w:val="21"/>
                      <w:lang w:val="en-US" w:eastAsia="zh-CN"/>
                    </w:rPr>
                    <w:t>排放</w:t>
                  </w:r>
                </w:p>
              </w:tc>
              <w:tc>
                <w:tcPr>
                  <w:tcW w:w="753" w:type="pct"/>
                  <w:gridSpan w:val="2"/>
                  <w:tcBorders>
                    <w:tl2br w:val="nil"/>
                    <w:tr2bl w:val="nil"/>
                  </w:tcBorders>
                  <w:vAlign w:val="center"/>
                </w:tcPr>
                <w:p w14:paraId="3A16536C">
                  <w:pPr>
                    <w:keepNext w:val="0"/>
                    <w:keepLines w:val="0"/>
                    <w:suppressLineNumbers w:val="0"/>
                    <w:spacing w:before="0" w:beforeAutospacing="0" w:after="0" w:afterAutospacing="0"/>
                    <w:ind w:left="0" w:right="0"/>
                    <w:jc w:val="center"/>
                    <w:rPr>
                      <w:rFonts w:hint="eastAsia" w:eastAsia="宋体"/>
                      <w:color w:val="auto"/>
                      <w:szCs w:val="21"/>
                      <w:lang w:eastAsia="zh-CN"/>
                    </w:rPr>
                  </w:pPr>
                  <w:r>
                    <w:rPr>
                      <w:rFonts w:hint="eastAsia" w:eastAsia="宋体"/>
                      <w:color w:val="auto"/>
                      <w:szCs w:val="21"/>
                      <w:lang w:val="en-US" w:eastAsia="zh-CN"/>
                    </w:rPr>
                    <w:t>有组织</w:t>
                  </w:r>
                  <w:r>
                    <w:rPr>
                      <w:rFonts w:hint="eastAsia"/>
                      <w:color w:val="auto"/>
                      <w:szCs w:val="21"/>
                    </w:rPr>
                    <w:t>排放</w:t>
                  </w:r>
                  <w:r>
                    <w:rPr>
                      <w:rFonts w:hint="eastAsia"/>
                      <w:color w:val="auto"/>
                      <w:szCs w:val="21"/>
                      <w:lang w:val="en-US" w:eastAsia="zh-CN"/>
                    </w:rPr>
                    <w:t>标准</w:t>
                  </w:r>
                </w:p>
              </w:tc>
              <w:tc>
                <w:tcPr>
                  <w:tcW w:w="445" w:type="pct"/>
                  <w:tcBorders>
                    <w:tl2br w:val="nil"/>
                    <w:tr2bl w:val="nil"/>
                  </w:tcBorders>
                  <w:vAlign w:val="center"/>
                </w:tcPr>
                <w:p w14:paraId="4FC500CE">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olor w:val="auto"/>
                      <w:szCs w:val="21"/>
                      <w:lang w:val="en-US" w:eastAsia="zh-CN"/>
                    </w:rPr>
                    <w:t>无组织排放</w:t>
                  </w:r>
                </w:p>
              </w:tc>
              <w:tc>
                <w:tcPr>
                  <w:tcW w:w="379" w:type="pct"/>
                  <w:vMerge w:val="restart"/>
                  <w:tcBorders>
                    <w:tl2br w:val="nil"/>
                    <w:tr2bl w:val="nil"/>
                  </w:tcBorders>
                  <w:vAlign w:val="center"/>
                </w:tcPr>
                <w:p w14:paraId="7255E2B0">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eastAsia="宋体"/>
                      <w:color w:val="auto"/>
                      <w:szCs w:val="21"/>
                      <w:lang w:val="en-US" w:eastAsia="zh-CN"/>
                    </w:rPr>
                    <w:t>排放时间h</w:t>
                  </w:r>
                </w:p>
              </w:tc>
            </w:tr>
            <w:tr w14:paraId="4B7DBE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tblHeader/>
                <w:jc w:val="center"/>
              </w:trPr>
              <w:tc>
                <w:tcPr>
                  <w:tcW w:w="324" w:type="pct"/>
                  <w:vMerge w:val="continue"/>
                  <w:tcBorders>
                    <w:tl2br w:val="nil"/>
                    <w:tr2bl w:val="nil"/>
                  </w:tcBorders>
                  <w:vAlign w:val="center"/>
                </w:tcPr>
                <w:p w14:paraId="7624F720">
                  <w:pPr>
                    <w:keepNext w:val="0"/>
                    <w:keepLines w:val="0"/>
                    <w:widowControl/>
                    <w:suppressLineNumbers w:val="0"/>
                    <w:spacing w:before="0" w:beforeAutospacing="0" w:after="0" w:afterAutospacing="0"/>
                    <w:ind w:left="0" w:right="0"/>
                    <w:jc w:val="left"/>
                    <w:rPr>
                      <w:rFonts w:hint="default"/>
                      <w:color w:val="auto"/>
                      <w:spacing w:val="4"/>
                      <w:kern w:val="0"/>
                      <w:szCs w:val="21"/>
                    </w:rPr>
                  </w:pPr>
                </w:p>
              </w:tc>
              <w:tc>
                <w:tcPr>
                  <w:tcW w:w="445" w:type="pct"/>
                  <w:vMerge w:val="continue"/>
                  <w:tcBorders>
                    <w:tl2br w:val="nil"/>
                    <w:tr2bl w:val="nil"/>
                  </w:tcBorders>
                  <w:vAlign w:val="center"/>
                </w:tcPr>
                <w:p w14:paraId="2507127D">
                  <w:pPr>
                    <w:keepNext w:val="0"/>
                    <w:keepLines w:val="0"/>
                    <w:widowControl/>
                    <w:suppressLineNumbers w:val="0"/>
                    <w:spacing w:before="0" w:beforeAutospacing="0" w:after="0" w:afterAutospacing="0"/>
                    <w:ind w:left="0" w:right="0"/>
                    <w:jc w:val="left"/>
                    <w:rPr>
                      <w:rFonts w:hint="default"/>
                      <w:color w:val="auto"/>
                      <w:spacing w:val="4"/>
                      <w:kern w:val="0"/>
                      <w:szCs w:val="21"/>
                    </w:rPr>
                  </w:pPr>
                </w:p>
              </w:tc>
              <w:tc>
                <w:tcPr>
                  <w:tcW w:w="445" w:type="pct"/>
                  <w:vMerge w:val="continue"/>
                  <w:tcBorders>
                    <w:tl2br w:val="nil"/>
                    <w:tr2bl w:val="nil"/>
                  </w:tcBorders>
                  <w:vAlign w:val="center"/>
                </w:tcPr>
                <w:p w14:paraId="29F4D8D0">
                  <w:pPr>
                    <w:keepNext w:val="0"/>
                    <w:keepLines w:val="0"/>
                    <w:widowControl/>
                    <w:suppressLineNumbers w:val="0"/>
                    <w:spacing w:before="0" w:beforeAutospacing="0" w:after="0" w:afterAutospacing="0"/>
                    <w:ind w:left="0" w:right="0"/>
                    <w:jc w:val="left"/>
                    <w:rPr>
                      <w:rFonts w:hint="default"/>
                      <w:color w:val="auto"/>
                      <w:spacing w:val="4"/>
                      <w:kern w:val="0"/>
                      <w:szCs w:val="21"/>
                    </w:rPr>
                  </w:pPr>
                </w:p>
              </w:tc>
              <w:tc>
                <w:tcPr>
                  <w:tcW w:w="437" w:type="pct"/>
                  <w:tcBorders>
                    <w:tl2br w:val="nil"/>
                    <w:tr2bl w:val="nil"/>
                  </w:tcBorders>
                  <w:vAlign w:val="center"/>
                </w:tcPr>
                <w:p w14:paraId="6A3E9368">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产生量</w:t>
                  </w:r>
                </w:p>
                <w:p w14:paraId="4543382D">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lang w:val="en-US" w:eastAsia="zh-CN"/>
                    </w:rPr>
                    <w:t>t/a</w:t>
                  </w:r>
                </w:p>
              </w:tc>
              <w:tc>
                <w:tcPr>
                  <w:tcW w:w="383" w:type="pct"/>
                  <w:tcBorders>
                    <w:tl2br w:val="nil"/>
                    <w:tr2bl w:val="nil"/>
                  </w:tcBorders>
                  <w:vAlign w:val="center"/>
                </w:tcPr>
                <w:p w14:paraId="78E8C27A">
                  <w:pPr>
                    <w:keepNext w:val="0"/>
                    <w:keepLines w:val="0"/>
                    <w:suppressLineNumbers w:val="0"/>
                    <w:spacing w:before="0" w:beforeAutospacing="0" w:after="0" w:afterAutospacing="0"/>
                    <w:ind w:left="0" w:right="0"/>
                    <w:jc w:val="center"/>
                    <w:rPr>
                      <w:rFonts w:hint="default" w:eastAsia="宋体"/>
                      <w:color w:val="auto"/>
                      <w:szCs w:val="21"/>
                      <w:lang w:val="en-US" w:eastAsia="zh-CN"/>
                    </w:rPr>
                  </w:pPr>
                  <w:r>
                    <w:rPr>
                      <w:rFonts w:hint="eastAsia"/>
                      <w:color w:val="auto"/>
                      <w:szCs w:val="21"/>
                      <w:lang w:val="en-US" w:eastAsia="zh-CN"/>
                    </w:rPr>
                    <w:t>产生速率k</w:t>
                  </w:r>
                  <w:r>
                    <w:rPr>
                      <w:rFonts w:hint="default"/>
                      <w:color w:val="auto"/>
                      <w:szCs w:val="21"/>
                    </w:rPr>
                    <w:t>g/h</w:t>
                  </w:r>
                </w:p>
              </w:tc>
              <w:tc>
                <w:tcPr>
                  <w:tcW w:w="324" w:type="pct"/>
                  <w:tcBorders>
                    <w:tl2br w:val="nil"/>
                    <w:tr2bl w:val="nil"/>
                  </w:tcBorders>
                  <w:vAlign w:val="center"/>
                </w:tcPr>
                <w:p w14:paraId="76CD0C6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排气量</w:t>
                  </w:r>
                </w:p>
                <w:p w14:paraId="3EC81A7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m</w:t>
                  </w:r>
                  <w:r>
                    <w:rPr>
                      <w:rFonts w:hint="eastAsia" w:ascii="Times New Roman" w:hAnsi="Times New Roman" w:eastAsia="宋体" w:cs="Times New Roman"/>
                      <w:color w:val="auto"/>
                      <w:szCs w:val="21"/>
                      <w:vertAlign w:val="superscript"/>
                      <w:lang w:val="en-US" w:eastAsia="zh-CN"/>
                    </w:rPr>
                    <w:t>3</w:t>
                  </w:r>
                  <w:r>
                    <w:rPr>
                      <w:rFonts w:hint="eastAsia" w:ascii="Times New Roman" w:hAnsi="Times New Roman" w:eastAsia="宋体" w:cs="Times New Roman"/>
                      <w:color w:val="auto"/>
                      <w:szCs w:val="21"/>
                      <w:lang w:val="en-US" w:eastAsia="zh-CN"/>
                    </w:rPr>
                    <w:t>/h</w:t>
                  </w:r>
                </w:p>
              </w:tc>
              <w:tc>
                <w:tcPr>
                  <w:tcW w:w="346" w:type="pct"/>
                  <w:tcBorders>
                    <w:tl2br w:val="nil"/>
                    <w:tr2bl w:val="nil"/>
                  </w:tcBorders>
                  <w:vAlign w:val="center"/>
                </w:tcPr>
                <w:p w14:paraId="0DE792C9">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排放量</w:t>
                  </w:r>
                </w:p>
                <w:p w14:paraId="32EE44F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rPr>
                  </w:pPr>
                  <w:r>
                    <w:rPr>
                      <w:rFonts w:hint="eastAsia" w:ascii="Times New Roman" w:hAnsi="Times New Roman" w:eastAsia="宋体" w:cs="Times New Roman"/>
                      <w:color w:val="auto"/>
                      <w:szCs w:val="21"/>
                    </w:rPr>
                    <w:t>t/a</w:t>
                  </w:r>
                </w:p>
              </w:tc>
              <w:tc>
                <w:tcPr>
                  <w:tcW w:w="342" w:type="pct"/>
                  <w:tcBorders>
                    <w:tl2br w:val="nil"/>
                    <w:tr2bl w:val="nil"/>
                  </w:tcBorders>
                  <w:vAlign w:val="center"/>
                </w:tcPr>
                <w:p w14:paraId="49F60114">
                  <w:pPr>
                    <w:keepNext w:val="0"/>
                    <w:keepLines w:val="0"/>
                    <w:suppressLineNumbers w:val="0"/>
                    <w:spacing w:before="0" w:beforeAutospacing="0" w:after="0" w:afterAutospacing="0"/>
                    <w:ind w:left="0" w:right="0"/>
                    <w:jc w:val="center"/>
                    <w:rPr>
                      <w:rFonts w:hint="eastAsia"/>
                      <w:color w:val="auto"/>
                      <w:szCs w:val="21"/>
                    </w:rPr>
                  </w:pPr>
                  <w:r>
                    <w:rPr>
                      <w:rFonts w:hint="eastAsia"/>
                      <w:color w:val="auto"/>
                      <w:szCs w:val="21"/>
                    </w:rPr>
                    <w:t>排放速率</w:t>
                  </w:r>
                  <w:r>
                    <w:rPr>
                      <w:rFonts w:hint="default"/>
                      <w:color w:val="auto"/>
                      <w:szCs w:val="21"/>
                    </w:rPr>
                    <w:t>kg/h</w:t>
                  </w:r>
                </w:p>
              </w:tc>
              <w:tc>
                <w:tcPr>
                  <w:tcW w:w="374" w:type="pct"/>
                  <w:tcBorders>
                    <w:tl2br w:val="nil"/>
                    <w:tr2bl w:val="nil"/>
                  </w:tcBorders>
                  <w:vAlign w:val="center"/>
                </w:tcPr>
                <w:p w14:paraId="01E1EF6C">
                  <w:pPr>
                    <w:keepNext w:val="0"/>
                    <w:keepLines w:val="0"/>
                    <w:suppressLineNumbers w:val="0"/>
                    <w:spacing w:before="0" w:beforeAutospacing="0" w:after="0" w:afterAutospacing="0"/>
                    <w:ind w:left="0" w:right="0"/>
                    <w:jc w:val="center"/>
                    <w:rPr>
                      <w:rFonts w:hint="default"/>
                      <w:color w:val="auto"/>
                      <w:szCs w:val="21"/>
                    </w:rPr>
                  </w:pPr>
                  <w:r>
                    <w:rPr>
                      <w:rFonts w:hint="eastAsia"/>
                      <w:color w:val="auto"/>
                      <w:szCs w:val="21"/>
                    </w:rPr>
                    <w:t>排放浓度</w:t>
                  </w:r>
                  <w:r>
                    <w:rPr>
                      <w:rFonts w:hint="default"/>
                      <w:color w:val="auto"/>
                      <w:szCs w:val="21"/>
                    </w:rPr>
                    <w:t>mg/m</w:t>
                  </w:r>
                  <w:r>
                    <w:rPr>
                      <w:rFonts w:hint="default"/>
                      <w:color w:val="auto"/>
                      <w:szCs w:val="21"/>
                      <w:vertAlign w:val="superscript"/>
                    </w:rPr>
                    <w:t>3</w:t>
                  </w:r>
                </w:p>
              </w:tc>
              <w:tc>
                <w:tcPr>
                  <w:tcW w:w="370" w:type="pct"/>
                  <w:tcBorders>
                    <w:tl2br w:val="nil"/>
                    <w:tr2bl w:val="nil"/>
                  </w:tcBorders>
                  <w:vAlign w:val="center"/>
                </w:tcPr>
                <w:p w14:paraId="46216888">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速率限值</w:t>
                  </w:r>
                  <w:r>
                    <w:rPr>
                      <w:rFonts w:hint="default"/>
                      <w:color w:val="auto"/>
                      <w:szCs w:val="21"/>
                      <w:highlight w:val="none"/>
                    </w:rPr>
                    <w:t>kg/h</w:t>
                  </w:r>
                </w:p>
              </w:tc>
              <w:tc>
                <w:tcPr>
                  <w:tcW w:w="383" w:type="pct"/>
                  <w:tcBorders>
                    <w:tl2br w:val="nil"/>
                    <w:tr2bl w:val="nil"/>
                  </w:tcBorders>
                  <w:vAlign w:val="center"/>
                </w:tcPr>
                <w:p w14:paraId="184BAF99">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rPr>
                    <w:t>浓度</w:t>
                  </w:r>
                  <w:r>
                    <w:rPr>
                      <w:rFonts w:hint="eastAsia"/>
                      <w:color w:val="auto"/>
                      <w:szCs w:val="21"/>
                      <w:highlight w:val="none"/>
                      <w:lang w:val="en-US" w:eastAsia="zh-CN"/>
                    </w:rPr>
                    <w:t>限值</w:t>
                  </w:r>
                  <w:r>
                    <w:rPr>
                      <w:rFonts w:hint="default"/>
                      <w:color w:val="auto"/>
                      <w:szCs w:val="21"/>
                      <w:highlight w:val="none"/>
                    </w:rPr>
                    <w:t>mg/m</w:t>
                  </w:r>
                  <w:r>
                    <w:rPr>
                      <w:rFonts w:hint="default"/>
                      <w:color w:val="auto"/>
                      <w:szCs w:val="21"/>
                      <w:highlight w:val="none"/>
                      <w:vertAlign w:val="superscript"/>
                    </w:rPr>
                    <w:t>3</w:t>
                  </w:r>
                </w:p>
              </w:tc>
              <w:tc>
                <w:tcPr>
                  <w:tcW w:w="445" w:type="pct"/>
                  <w:tcBorders>
                    <w:tl2br w:val="nil"/>
                    <w:tr2bl w:val="nil"/>
                  </w:tcBorders>
                  <w:vAlign w:val="center"/>
                </w:tcPr>
                <w:p w14:paraId="13BBB264">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排放量</w:t>
                  </w:r>
                </w:p>
                <w:p w14:paraId="608B728E">
                  <w:pPr>
                    <w:keepNext w:val="0"/>
                    <w:keepLines w:val="0"/>
                    <w:suppressLineNumbers w:val="0"/>
                    <w:spacing w:before="0" w:beforeAutospacing="0" w:after="0" w:afterAutospacing="0"/>
                    <w:ind w:left="0" w:right="0"/>
                    <w:jc w:val="center"/>
                    <w:rPr>
                      <w:rFonts w:hint="eastAsia"/>
                      <w:color w:val="auto"/>
                      <w:szCs w:val="21"/>
                      <w:highlight w:val="cyan"/>
                    </w:rPr>
                  </w:pPr>
                  <w:r>
                    <w:rPr>
                      <w:rFonts w:hint="eastAsia"/>
                      <w:color w:val="auto"/>
                      <w:szCs w:val="21"/>
                      <w:highlight w:val="none"/>
                    </w:rPr>
                    <w:t>t/a</w:t>
                  </w:r>
                </w:p>
              </w:tc>
              <w:tc>
                <w:tcPr>
                  <w:tcW w:w="379" w:type="pct"/>
                  <w:vMerge w:val="continue"/>
                  <w:tcBorders>
                    <w:tl2br w:val="nil"/>
                    <w:tr2bl w:val="nil"/>
                  </w:tcBorders>
                  <w:vAlign w:val="center"/>
                </w:tcPr>
                <w:p w14:paraId="10E0E798">
                  <w:pPr>
                    <w:keepNext w:val="0"/>
                    <w:keepLines w:val="0"/>
                    <w:suppressLineNumbers w:val="0"/>
                    <w:spacing w:before="0" w:beforeAutospacing="0" w:after="0" w:afterAutospacing="0"/>
                    <w:ind w:left="0" w:right="0"/>
                    <w:jc w:val="center"/>
                    <w:rPr>
                      <w:rFonts w:hint="eastAsia"/>
                      <w:color w:val="auto"/>
                      <w:szCs w:val="21"/>
                    </w:rPr>
                  </w:pPr>
                </w:p>
              </w:tc>
            </w:tr>
            <w:tr w14:paraId="0EDCB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restart"/>
                  <w:tcBorders>
                    <w:tl2br w:val="nil"/>
                    <w:tr2bl w:val="nil"/>
                  </w:tcBorders>
                  <w:vAlign w:val="center"/>
                </w:tcPr>
                <w:p w14:paraId="41EB572C">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检测</w:t>
                  </w:r>
                </w:p>
              </w:tc>
              <w:tc>
                <w:tcPr>
                  <w:tcW w:w="445" w:type="pct"/>
                  <w:tcBorders>
                    <w:tl2br w:val="nil"/>
                    <w:tr2bl w:val="nil"/>
                  </w:tcBorders>
                  <w:vAlign w:val="center"/>
                </w:tcPr>
                <w:p w14:paraId="1362D97C">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default"/>
                      <w:color w:val="auto"/>
                      <w:szCs w:val="20"/>
                      <w:lang w:val="en-US" w:eastAsia="zh-CN"/>
                    </w:rPr>
                    <w:t>氯化氢</w:t>
                  </w:r>
                </w:p>
              </w:tc>
              <w:tc>
                <w:tcPr>
                  <w:tcW w:w="445" w:type="pct"/>
                  <w:vMerge w:val="restart"/>
                  <w:tcBorders>
                    <w:tl2br w:val="nil"/>
                    <w:tr2bl w:val="nil"/>
                  </w:tcBorders>
                  <w:vAlign w:val="center"/>
                </w:tcPr>
                <w:p w14:paraId="03B3ED49">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DA001</w:t>
                  </w:r>
                </w:p>
              </w:tc>
              <w:tc>
                <w:tcPr>
                  <w:tcW w:w="437" w:type="pct"/>
                  <w:tcBorders>
                    <w:tl2br w:val="nil"/>
                    <w:tr2bl w:val="nil"/>
                  </w:tcBorders>
                  <w:vAlign w:val="center"/>
                </w:tcPr>
                <w:p w14:paraId="1D3436CB">
                  <w:pPr>
                    <w:keepNext w:val="0"/>
                    <w:keepLines w:val="0"/>
                    <w:widowControl/>
                    <w:suppressLineNumbers w:val="0"/>
                    <w:spacing w:before="0" w:beforeAutospacing="0" w:after="0" w:afterAutospacing="0"/>
                    <w:ind w:left="0" w:right="0"/>
                    <w:jc w:val="center"/>
                    <w:textAlignment w:val="center"/>
                    <w:rPr>
                      <w:rFonts w:hint="default"/>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0.0027 </w:t>
                  </w:r>
                </w:p>
              </w:tc>
              <w:tc>
                <w:tcPr>
                  <w:tcW w:w="383" w:type="pct"/>
                  <w:tcBorders>
                    <w:tl2br w:val="nil"/>
                    <w:tr2bl w:val="nil"/>
                  </w:tcBorders>
                  <w:vAlign w:val="center"/>
                </w:tcPr>
                <w:p w14:paraId="0301F0EC">
                  <w:pPr>
                    <w:keepNext w:val="0"/>
                    <w:keepLines w:val="0"/>
                    <w:widowControl/>
                    <w:suppressLineNumbers w:val="0"/>
                    <w:spacing w:before="0" w:beforeAutospacing="0" w:after="0" w:afterAutospacing="0"/>
                    <w:ind w:left="0" w:right="0"/>
                    <w:jc w:val="center"/>
                    <w:textAlignment w:val="center"/>
                    <w:rPr>
                      <w:rFonts w:hint="default"/>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0.0023 </w:t>
                  </w:r>
                </w:p>
              </w:tc>
              <w:tc>
                <w:tcPr>
                  <w:tcW w:w="324" w:type="pct"/>
                  <w:vMerge w:val="restart"/>
                  <w:tcBorders>
                    <w:tl2br w:val="nil"/>
                    <w:tr2bl w:val="nil"/>
                  </w:tcBorders>
                  <w:vAlign w:val="center"/>
                </w:tcPr>
                <w:p w14:paraId="6457BA1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15800</w:t>
                  </w:r>
                </w:p>
              </w:tc>
              <w:tc>
                <w:tcPr>
                  <w:tcW w:w="346" w:type="pct"/>
                  <w:tcBorders>
                    <w:tl2br w:val="nil"/>
                    <w:tr2bl w:val="nil"/>
                  </w:tcBorders>
                  <w:vAlign w:val="center"/>
                </w:tcPr>
                <w:p w14:paraId="6451916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0.00036 </w:t>
                  </w:r>
                </w:p>
              </w:tc>
              <w:tc>
                <w:tcPr>
                  <w:tcW w:w="342" w:type="pct"/>
                  <w:tcBorders>
                    <w:tl2br w:val="nil"/>
                    <w:tr2bl w:val="nil"/>
                  </w:tcBorders>
                  <w:vAlign w:val="center"/>
                </w:tcPr>
                <w:p w14:paraId="3EA7222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0.00030 </w:t>
                  </w:r>
                </w:p>
              </w:tc>
              <w:tc>
                <w:tcPr>
                  <w:tcW w:w="374" w:type="pct"/>
                  <w:tcBorders>
                    <w:tl2br w:val="nil"/>
                    <w:tr2bl w:val="nil"/>
                  </w:tcBorders>
                  <w:vAlign w:val="center"/>
                </w:tcPr>
                <w:p w14:paraId="37B34DA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0.032</w:t>
                  </w:r>
                </w:p>
              </w:tc>
              <w:tc>
                <w:tcPr>
                  <w:tcW w:w="370" w:type="pct"/>
                  <w:tcBorders>
                    <w:tl2br w:val="nil"/>
                    <w:tr2bl w:val="nil"/>
                  </w:tcBorders>
                  <w:vAlign w:val="center"/>
                </w:tcPr>
                <w:p w14:paraId="2A3C491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383" w:type="pct"/>
                  <w:tcBorders>
                    <w:tl2br w:val="nil"/>
                    <w:tr2bl w:val="nil"/>
                  </w:tcBorders>
                  <w:vAlign w:val="center"/>
                </w:tcPr>
                <w:p w14:paraId="67DEA1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45" w:type="pct"/>
                  <w:tcBorders>
                    <w:tl2br w:val="nil"/>
                    <w:tr2bl w:val="nil"/>
                  </w:tcBorders>
                  <w:vAlign w:val="center"/>
                </w:tcPr>
                <w:p w14:paraId="25F80ED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cyan"/>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379" w:type="pct"/>
                  <w:tcBorders>
                    <w:tl2br w:val="nil"/>
                    <w:tr2bl w:val="nil"/>
                  </w:tcBorders>
                  <w:vAlign w:val="center"/>
                </w:tcPr>
                <w:p w14:paraId="41036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1F5935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032D90D4">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c>
                <w:tcPr>
                  <w:tcW w:w="445" w:type="pct"/>
                  <w:tcBorders>
                    <w:tl2br w:val="nil"/>
                    <w:tr2bl w:val="nil"/>
                  </w:tcBorders>
                  <w:vAlign w:val="center"/>
                </w:tcPr>
                <w:p w14:paraId="1375E80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硫酸雾</w:t>
                  </w:r>
                </w:p>
              </w:tc>
              <w:tc>
                <w:tcPr>
                  <w:tcW w:w="445" w:type="pct"/>
                  <w:vMerge w:val="continue"/>
                  <w:tcBorders>
                    <w:tl2br w:val="nil"/>
                    <w:tr2bl w:val="nil"/>
                  </w:tcBorders>
                  <w:vAlign w:val="center"/>
                </w:tcPr>
                <w:p w14:paraId="07BDF24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c>
                <w:tcPr>
                  <w:tcW w:w="437" w:type="pct"/>
                  <w:tcBorders>
                    <w:tl2br w:val="nil"/>
                    <w:tr2bl w:val="nil"/>
                  </w:tcBorders>
                  <w:vAlign w:val="center"/>
                </w:tcPr>
                <w:p w14:paraId="686B1AC9">
                  <w:pPr>
                    <w:keepNext w:val="0"/>
                    <w:keepLines w:val="0"/>
                    <w:widowControl/>
                    <w:suppressLineNumbers w:val="0"/>
                    <w:spacing w:before="0" w:beforeAutospacing="0" w:after="0" w:afterAutospacing="0"/>
                    <w:ind w:left="0" w:right="0"/>
                    <w:jc w:val="center"/>
                    <w:textAlignment w:val="center"/>
                    <w:rPr>
                      <w:rFonts w:hint="eastAsia"/>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0.0051 </w:t>
                  </w:r>
                </w:p>
              </w:tc>
              <w:tc>
                <w:tcPr>
                  <w:tcW w:w="383" w:type="pct"/>
                  <w:tcBorders>
                    <w:tl2br w:val="nil"/>
                    <w:tr2bl w:val="nil"/>
                  </w:tcBorders>
                  <w:vAlign w:val="center"/>
                </w:tcPr>
                <w:p w14:paraId="2CCEF404">
                  <w:pPr>
                    <w:keepNext w:val="0"/>
                    <w:keepLines w:val="0"/>
                    <w:widowControl/>
                    <w:suppressLineNumbers w:val="0"/>
                    <w:spacing w:before="0" w:beforeAutospacing="0" w:after="0" w:afterAutospacing="0"/>
                    <w:ind w:left="0" w:right="0"/>
                    <w:jc w:val="center"/>
                    <w:textAlignment w:val="center"/>
                    <w:rPr>
                      <w:rFonts w:hint="eastAsia"/>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0.0042 </w:t>
                  </w:r>
                </w:p>
              </w:tc>
              <w:tc>
                <w:tcPr>
                  <w:tcW w:w="324" w:type="pct"/>
                  <w:vMerge w:val="continue"/>
                  <w:tcBorders>
                    <w:tl2br w:val="nil"/>
                    <w:tr2bl w:val="nil"/>
                  </w:tcBorders>
                  <w:vAlign w:val="center"/>
                </w:tcPr>
                <w:p w14:paraId="718160B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p>
              </w:tc>
              <w:tc>
                <w:tcPr>
                  <w:tcW w:w="346" w:type="pct"/>
                  <w:tcBorders>
                    <w:tl2br w:val="nil"/>
                    <w:tr2bl w:val="nil"/>
                  </w:tcBorders>
                  <w:vAlign w:val="center"/>
                </w:tcPr>
                <w:p w14:paraId="6D7969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0.00066 </w:t>
                  </w:r>
                </w:p>
              </w:tc>
              <w:tc>
                <w:tcPr>
                  <w:tcW w:w="342" w:type="pct"/>
                  <w:tcBorders>
                    <w:tl2br w:val="nil"/>
                    <w:tr2bl w:val="nil"/>
                  </w:tcBorders>
                  <w:vAlign w:val="center"/>
                </w:tcPr>
                <w:p w14:paraId="638AEF6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c>
                <w:tcPr>
                  <w:tcW w:w="374" w:type="pct"/>
                  <w:tcBorders>
                    <w:tl2br w:val="nil"/>
                    <w:tr2bl w:val="nil"/>
                  </w:tcBorders>
                  <w:vAlign w:val="center"/>
                </w:tcPr>
                <w:p w14:paraId="32D9F2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0.059</w:t>
                  </w:r>
                </w:p>
              </w:tc>
              <w:tc>
                <w:tcPr>
                  <w:tcW w:w="370" w:type="pct"/>
                  <w:tcBorders>
                    <w:tl2br w:val="nil"/>
                    <w:tr2bl w:val="nil"/>
                  </w:tcBorders>
                  <w:vAlign w:val="center"/>
                </w:tcPr>
                <w:p w14:paraId="20F611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383" w:type="pct"/>
                  <w:tcBorders>
                    <w:tl2br w:val="nil"/>
                    <w:tr2bl w:val="nil"/>
                  </w:tcBorders>
                  <w:vAlign w:val="center"/>
                </w:tcPr>
                <w:p w14:paraId="74880FE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45" w:type="pct"/>
                  <w:tcBorders>
                    <w:tl2br w:val="nil"/>
                    <w:tr2bl w:val="nil"/>
                  </w:tcBorders>
                  <w:vAlign w:val="center"/>
                </w:tcPr>
                <w:p w14:paraId="684164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cyan"/>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0.0018 </w:t>
                  </w:r>
                </w:p>
              </w:tc>
              <w:tc>
                <w:tcPr>
                  <w:tcW w:w="379" w:type="pct"/>
                  <w:tcBorders>
                    <w:tl2br w:val="nil"/>
                    <w:tr2bl w:val="nil"/>
                  </w:tcBorders>
                  <w:vAlign w:val="center"/>
                </w:tcPr>
                <w:p w14:paraId="63B25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0C0317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72304AD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c>
                <w:tcPr>
                  <w:tcW w:w="445" w:type="pct"/>
                  <w:tcBorders>
                    <w:tl2br w:val="nil"/>
                    <w:tr2bl w:val="nil"/>
                  </w:tcBorders>
                  <w:vAlign w:val="center"/>
                </w:tcPr>
                <w:p w14:paraId="3A306DE7">
                  <w:pPr>
                    <w:pStyle w:val="37"/>
                    <w:keepNext w:val="0"/>
                    <w:keepLines w:val="0"/>
                    <w:widowControl/>
                    <w:suppressLineNumbers w:val="0"/>
                    <w:bidi w:val="0"/>
                    <w:spacing w:before="0" w:beforeAutospacing="0" w:after="0" w:afterAutospacing="0"/>
                    <w:ind w:left="0" w:leftChars="0" w:right="0" w:rightChars="0" w:firstLine="0" w:firstLineChars="0"/>
                    <w:rPr>
                      <w:rFonts w:hint="default"/>
                      <w:color w:val="auto"/>
                      <w:szCs w:val="20"/>
                      <w:lang w:val="en-US" w:eastAsia="zh-CN"/>
                    </w:rPr>
                  </w:pPr>
                  <w:r>
                    <w:rPr>
                      <w:rFonts w:hint="default"/>
                      <w:color w:val="auto"/>
                      <w:szCs w:val="20"/>
                      <w:lang w:val="en-US" w:eastAsia="zh-CN"/>
                    </w:rPr>
                    <w:t>氯化氢</w:t>
                  </w:r>
                </w:p>
              </w:tc>
              <w:tc>
                <w:tcPr>
                  <w:tcW w:w="445" w:type="pct"/>
                  <w:vMerge w:val="restart"/>
                  <w:tcBorders>
                    <w:tl2br w:val="nil"/>
                    <w:tr2bl w:val="nil"/>
                  </w:tcBorders>
                  <w:vAlign w:val="center"/>
                </w:tcPr>
                <w:p w14:paraId="7B1F5AF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DA002</w:t>
                  </w:r>
                </w:p>
              </w:tc>
              <w:tc>
                <w:tcPr>
                  <w:tcW w:w="437" w:type="pct"/>
                  <w:tcBorders>
                    <w:tl2br w:val="nil"/>
                    <w:tr2bl w:val="nil"/>
                  </w:tcBorders>
                  <w:vAlign w:val="center"/>
                </w:tcPr>
                <w:p w14:paraId="6EEC83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0.0013 </w:t>
                  </w:r>
                </w:p>
              </w:tc>
              <w:tc>
                <w:tcPr>
                  <w:tcW w:w="383" w:type="pct"/>
                  <w:tcBorders>
                    <w:tl2br w:val="nil"/>
                    <w:tr2bl w:val="nil"/>
                  </w:tcBorders>
                  <w:vAlign w:val="center"/>
                </w:tcPr>
                <w:p w14:paraId="71A63AC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0.0010 </w:t>
                  </w:r>
                </w:p>
              </w:tc>
              <w:tc>
                <w:tcPr>
                  <w:tcW w:w="324" w:type="pct"/>
                  <w:vMerge w:val="restart"/>
                  <w:tcBorders>
                    <w:tl2br w:val="nil"/>
                    <w:tr2bl w:val="nil"/>
                  </w:tcBorders>
                  <w:vAlign w:val="center"/>
                </w:tcPr>
                <w:p w14:paraId="1AA6105A">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7200</w:t>
                  </w:r>
                </w:p>
              </w:tc>
              <w:tc>
                <w:tcPr>
                  <w:tcW w:w="346" w:type="pct"/>
                  <w:tcBorders>
                    <w:tl2br w:val="nil"/>
                    <w:tr2bl w:val="nil"/>
                  </w:tcBorders>
                  <w:vAlign w:val="center"/>
                </w:tcPr>
                <w:p w14:paraId="2D336D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0.00016 </w:t>
                  </w:r>
                </w:p>
              </w:tc>
              <w:tc>
                <w:tcPr>
                  <w:tcW w:w="342" w:type="pct"/>
                  <w:tcBorders>
                    <w:tl2br w:val="nil"/>
                    <w:tr2bl w:val="nil"/>
                  </w:tcBorders>
                  <w:vAlign w:val="center"/>
                </w:tcPr>
                <w:p w14:paraId="2A5C33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0.00014 </w:t>
                  </w:r>
                </w:p>
              </w:tc>
              <w:tc>
                <w:tcPr>
                  <w:tcW w:w="374" w:type="pct"/>
                  <w:tcBorders>
                    <w:tl2br w:val="nil"/>
                    <w:tr2bl w:val="nil"/>
                  </w:tcBorders>
                  <w:vAlign w:val="center"/>
                </w:tcPr>
                <w:p w14:paraId="0ABD95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0.032</w:t>
                  </w:r>
                </w:p>
              </w:tc>
              <w:tc>
                <w:tcPr>
                  <w:tcW w:w="370" w:type="pct"/>
                  <w:tcBorders>
                    <w:tl2br w:val="nil"/>
                    <w:tr2bl w:val="nil"/>
                  </w:tcBorders>
                  <w:vAlign w:val="center"/>
                </w:tcPr>
                <w:p w14:paraId="4AC175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383" w:type="pct"/>
                  <w:tcBorders>
                    <w:tl2br w:val="nil"/>
                    <w:tr2bl w:val="nil"/>
                  </w:tcBorders>
                  <w:vAlign w:val="center"/>
                </w:tcPr>
                <w:p w14:paraId="0851353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445" w:type="pct"/>
                  <w:tcBorders>
                    <w:tl2br w:val="nil"/>
                    <w:tr2bl w:val="nil"/>
                  </w:tcBorders>
                  <w:vAlign w:val="center"/>
                </w:tcPr>
                <w:p w14:paraId="577E1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0.0004 </w:t>
                  </w:r>
                </w:p>
              </w:tc>
              <w:tc>
                <w:tcPr>
                  <w:tcW w:w="379" w:type="pct"/>
                  <w:tcBorders>
                    <w:tl2br w:val="nil"/>
                    <w:tr2bl w:val="nil"/>
                  </w:tcBorders>
                  <w:vAlign w:val="center"/>
                </w:tcPr>
                <w:p w14:paraId="77D8CAAE">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685770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290AFC57">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c>
                <w:tcPr>
                  <w:tcW w:w="445" w:type="pct"/>
                  <w:tcBorders>
                    <w:tl2br w:val="nil"/>
                    <w:tr2bl w:val="nil"/>
                  </w:tcBorders>
                  <w:vAlign w:val="center"/>
                </w:tcPr>
                <w:p w14:paraId="1A416835">
                  <w:pPr>
                    <w:pStyle w:val="37"/>
                    <w:keepNext w:val="0"/>
                    <w:keepLines w:val="0"/>
                    <w:widowControl/>
                    <w:suppressLineNumbers w:val="0"/>
                    <w:bidi w:val="0"/>
                    <w:spacing w:before="0" w:beforeAutospacing="0" w:after="0" w:afterAutospacing="0"/>
                    <w:ind w:left="0" w:leftChars="0" w:right="0" w:rightChars="0" w:firstLine="0" w:firstLineChars="0"/>
                    <w:rPr>
                      <w:rFonts w:hint="default"/>
                      <w:color w:val="auto"/>
                      <w:szCs w:val="20"/>
                      <w:lang w:val="en-US" w:eastAsia="zh-CN"/>
                    </w:rPr>
                  </w:pPr>
                  <w:r>
                    <w:rPr>
                      <w:rFonts w:hint="default"/>
                      <w:color w:val="auto"/>
                      <w:szCs w:val="20"/>
                      <w:lang w:val="en-US" w:eastAsia="zh-CN"/>
                    </w:rPr>
                    <w:t>硫酸雾</w:t>
                  </w:r>
                </w:p>
              </w:tc>
              <w:tc>
                <w:tcPr>
                  <w:tcW w:w="445" w:type="pct"/>
                  <w:vMerge w:val="continue"/>
                  <w:tcBorders>
                    <w:tl2br w:val="nil"/>
                    <w:tr2bl w:val="nil"/>
                  </w:tcBorders>
                  <w:vAlign w:val="center"/>
                </w:tcPr>
                <w:p w14:paraId="748781C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c>
                <w:tcPr>
                  <w:tcW w:w="437" w:type="pct"/>
                  <w:tcBorders>
                    <w:tl2br w:val="nil"/>
                    <w:tr2bl w:val="nil"/>
                  </w:tcBorders>
                  <w:vAlign w:val="center"/>
                </w:tcPr>
                <w:p w14:paraId="717BE7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0.0023 </w:t>
                  </w:r>
                </w:p>
              </w:tc>
              <w:tc>
                <w:tcPr>
                  <w:tcW w:w="383" w:type="pct"/>
                  <w:tcBorders>
                    <w:tl2br w:val="nil"/>
                    <w:tr2bl w:val="nil"/>
                  </w:tcBorders>
                  <w:vAlign w:val="center"/>
                </w:tcPr>
                <w:p w14:paraId="2439E6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0.0019 </w:t>
                  </w:r>
                </w:p>
              </w:tc>
              <w:tc>
                <w:tcPr>
                  <w:tcW w:w="324" w:type="pct"/>
                  <w:vMerge w:val="continue"/>
                  <w:tcBorders>
                    <w:tl2br w:val="nil"/>
                    <w:tr2bl w:val="nil"/>
                  </w:tcBorders>
                  <w:vAlign w:val="center"/>
                </w:tcPr>
                <w:p w14:paraId="2629E7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p>
              </w:tc>
              <w:tc>
                <w:tcPr>
                  <w:tcW w:w="346" w:type="pct"/>
                  <w:tcBorders>
                    <w:tl2br w:val="nil"/>
                    <w:tr2bl w:val="nil"/>
                  </w:tcBorders>
                  <w:vAlign w:val="center"/>
                </w:tcPr>
                <w:p w14:paraId="7A0BDE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0.00030 </w:t>
                  </w:r>
                </w:p>
              </w:tc>
              <w:tc>
                <w:tcPr>
                  <w:tcW w:w="342" w:type="pct"/>
                  <w:tcBorders>
                    <w:tl2br w:val="nil"/>
                    <w:tr2bl w:val="nil"/>
                  </w:tcBorders>
                  <w:vAlign w:val="center"/>
                </w:tcPr>
                <w:p w14:paraId="670899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 </w:t>
                  </w:r>
                </w:p>
              </w:tc>
              <w:tc>
                <w:tcPr>
                  <w:tcW w:w="374" w:type="pct"/>
                  <w:tcBorders>
                    <w:tl2br w:val="nil"/>
                    <w:tr2bl w:val="nil"/>
                  </w:tcBorders>
                  <w:vAlign w:val="center"/>
                </w:tcPr>
                <w:p w14:paraId="205694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0.059</w:t>
                  </w:r>
                </w:p>
              </w:tc>
              <w:tc>
                <w:tcPr>
                  <w:tcW w:w="370" w:type="pct"/>
                  <w:tcBorders>
                    <w:tl2br w:val="nil"/>
                    <w:tr2bl w:val="nil"/>
                  </w:tcBorders>
                  <w:vAlign w:val="center"/>
                </w:tcPr>
                <w:p w14:paraId="1FA7B1C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383" w:type="pct"/>
                  <w:tcBorders>
                    <w:tl2br w:val="nil"/>
                    <w:tr2bl w:val="nil"/>
                  </w:tcBorders>
                  <w:vAlign w:val="center"/>
                </w:tcPr>
                <w:p w14:paraId="2DDC2E3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445" w:type="pct"/>
                  <w:tcBorders>
                    <w:tl2br w:val="nil"/>
                    <w:tr2bl w:val="nil"/>
                  </w:tcBorders>
                  <w:vAlign w:val="center"/>
                </w:tcPr>
                <w:p w14:paraId="38EC78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0.0008 </w:t>
                  </w:r>
                </w:p>
              </w:tc>
              <w:tc>
                <w:tcPr>
                  <w:tcW w:w="379" w:type="pct"/>
                  <w:tcBorders>
                    <w:tl2br w:val="nil"/>
                    <w:tr2bl w:val="nil"/>
                  </w:tcBorders>
                  <w:vAlign w:val="center"/>
                </w:tcPr>
                <w:p w14:paraId="562B8FD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5034A7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1761F701">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45" w:type="pct"/>
                  <w:tcBorders>
                    <w:tl2br w:val="nil"/>
                    <w:tr2bl w:val="nil"/>
                  </w:tcBorders>
                  <w:vAlign w:val="center"/>
                </w:tcPr>
                <w:p w14:paraId="08ED55D8">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default"/>
                      <w:color w:val="auto"/>
                      <w:szCs w:val="20"/>
                      <w:lang w:val="en-US" w:eastAsia="zh-CN"/>
                    </w:rPr>
                    <w:t>非甲烷总烃</w:t>
                  </w:r>
                </w:p>
              </w:tc>
              <w:tc>
                <w:tcPr>
                  <w:tcW w:w="445" w:type="pct"/>
                  <w:vMerge w:val="restart"/>
                  <w:tcBorders>
                    <w:tl2br w:val="nil"/>
                    <w:tr2bl w:val="nil"/>
                  </w:tcBorders>
                  <w:vAlign w:val="center"/>
                </w:tcPr>
                <w:p w14:paraId="3B306DA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DA00</w:t>
                  </w:r>
                  <w:r>
                    <w:rPr>
                      <w:rFonts w:hint="eastAsia"/>
                      <w:color w:val="auto"/>
                      <w:szCs w:val="20"/>
                      <w:lang w:val="en-US" w:eastAsia="zh-CN"/>
                    </w:rPr>
                    <w:t>3</w:t>
                  </w:r>
                </w:p>
              </w:tc>
              <w:tc>
                <w:tcPr>
                  <w:tcW w:w="437" w:type="pct"/>
                  <w:tcBorders>
                    <w:tl2br w:val="nil"/>
                    <w:tr2bl w:val="nil"/>
                  </w:tcBorders>
                  <w:vAlign w:val="center"/>
                </w:tcPr>
                <w:p w14:paraId="303BED40">
                  <w:pPr>
                    <w:keepNext w:val="0"/>
                    <w:keepLines w:val="0"/>
                    <w:widowControl/>
                    <w:suppressLineNumbers w:val="0"/>
                    <w:spacing w:before="0" w:beforeAutospacing="0" w:after="0" w:afterAutospacing="0"/>
                    <w:ind w:left="0" w:right="0"/>
                    <w:jc w:val="center"/>
                    <w:textAlignment w:val="center"/>
                    <w:rPr>
                      <w:rFonts w:hint="default"/>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0.0246 </w:t>
                  </w:r>
                </w:p>
              </w:tc>
              <w:tc>
                <w:tcPr>
                  <w:tcW w:w="383" w:type="pct"/>
                  <w:tcBorders>
                    <w:tl2br w:val="nil"/>
                    <w:tr2bl w:val="nil"/>
                  </w:tcBorders>
                  <w:vAlign w:val="center"/>
                </w:tcPr>
                <w:p w14:paraId="70D61058">
                  <w:pPr>
                    <w:keepNext w:val="0"/>
                    <w:keepLines w:val="0"/>
                    <w:widowControl/>
                    <w:suppressLineNumbers w:val="0"/>
                    <w:spacing w:before="0" w:beforeAutospacing="0" w:after="0" w:afterAutospacing="0"/>
                    <w:ind w:left="0" w:right="0"/>
                    <w:jc w:val="center"/>
                    <w:textAlignment w:val="center"/>
                    <w:rPr>
                      <w:rFonts w:hint="eastAsia"/>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0.0205 </w:t>
                  </w:r>
                </w:p>
              </w:tc>
              <w:tc>
                <w:tcPr>
                  <w:tcW w:w="324" w:type="pct"/>
                  <w:vMerge w:val="restart"/>
                  <w:tcBorders>
                    <w:tl2br w:val="nil"/>
                    <w:tr2bl w:val="nil"/>
                  </w:tcBorders>
                  <w:vAlign w:val="center"/>
                </w:tcPr>
                <w:p w14:paraId="0AF1837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8400</w:t>
                  </w:r>
                </w:p>
              </w:tc>
              <w:tc>
                <w:tcPr>
                  <w:tcW w:w="346" w:type="pct"/>
                  <w:tcBorders>
                    <w:tl2br w:val="nil"/>
                    <w:tr2bl w:val="nil"/>
                  </w:tcBorders>
                  <w:vAlign w:val="center"/>
                </w:tcPr>
                <w:p w14:paraId="1427E2D8">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0.00639 </w:t>
                  </w:r>
                </w:p>
              </w:tc>
              <w:tc>
                <w:tcPr>
                  <w:tcW w:w="342" w:type="pct"/>
                  <w:tcBorders>
                    <w:tl2br w:val="nil"/>
                    <w:tr2bl w:val="nil"/>
                  </w:tcBorders>
                  <w:vAlign w:val="center"/>
                </w:tcPr>
                <w:p w14:paraId="5338B84F">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0.00533 </w:t>
                  </w:r>
                </w:p>
              </w:tc>
              <w:tc>
                <w:tcPr>
                  <w:tcW w:w="374" w:type="pct"/>
                  <w:tcBorders>
                    <w:tl2br w:val="nil"/>
                    <w:tr2bl w:val="nil"/>
                  </w:tcBorders>
                  <w:vAlign w:val="center"/>
                </w:tcPr>
                <w:p w14:paraId="5A0D09F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0.376</w:t>
                  </w:r>
                </w:p>
              </w:tc>
              <w:tc>
                <w:tcPr>
                  <w:tcW w:w="370" w:type="pct"/>
                  <w:tcBorders>
                    <w:tl2br w:val="nil"/>
                    <w:tr2bl w:val="nil"/>
                  </w:tcBorders>
                  <w:vAlign w:val="center"/>
                </w:tcPr>
                <w:p w14:paraId="33104F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83" w:type="pct"/>
                  <w:tcBorders>
                    <w:tl2br w:val="nil"/>
                    <w:tr2bl w:val="nil"/>
                  </w:tcBorders>
                  <w:vAlign w:val="center"/>
                </w:tcPr>
                <w:p w14:paraId="453440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445" w:type="pct"/>
                  <w:tcBorders>
                    <w:tl2br w:val="nil"/>
                    <w:tr2bl w:val="nil"/>
                  </w:tcBorders>
                  <w:vAlign w:val="center"/>
                </w:tcPr>
                <w:p w14:paraId="141F0AB4">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highlight w:val="cyan"/>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0.0086 </w:t>
                  </w:r>
                </w:p>
              </w:tc>
              <w:tc>
                <w:tcPr>
                  <w:tcW w:w="379" w:type="pct"/>
                  <w:tcBorders>
                    <w:tl2br w:val="nil"/>
                    <w:tr2bl w:val="nil"/>
                  </w:tcBorders>
                  <w:vAlign w:val="center"/>
                </w:tcPr>
                <w:p w14:paraId="2957B0A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3F898E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13BA05F4">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45" w:type="pct"/>
                  <w:tcBorders>
                    <w:tl2br w:val="nil"/>
                    <w:tr2bl w:val="nil"/>
                  </w:tcBorders>
                  <w:vAlign w:val="center"/>
                </w:tcPr>
                <w:p w14:paraId="3B164C3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eastAsia"/>
                      <w:color w:val="auto"/>
                      <w:szCs w:val="20"/>
                      <w:lang w:val="en-US" w:eastAsia="zh-CN"/>
                    </w:rPr>
                    <w:t>氨</w:t>
                  </w:r>
                </w:p>
              </w:tc>
              <w:tc>
                <w:tcPr>
                  <w:tcW w:w="445" w:type="pct"/>
                  <w:vMerge w:val="continue"/>
                  <w:tcBorders>
                    <w:tl2br w:val="nil"/>
                    <w:tr2bl w:val="nil"/>
                  </w:tcBorders>
                  <w:vAlign w:val="center"/>
                </w:tcPr>
                <w:p w14:paraId="52DC2690">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37" w:type="pct"/>
                  <w:tcBorders>
                    <w:tl2br w:val="nil"/>
                    <w:tr2bl w:val="nil"/>
                  </w:tcBorders>
                  <w:vAlign w:val="center"/>
                </w:tcPr>
                <w:p w14:paraId="41A38E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0.00019 </w:t>
                  </w:r>
                </w:p>
              </w:tc>
              <w:tc>
                <w:tcPr>
                  <w:tcW w:w="383" w:type="pct"/>
                  <w:tcBorders>
                    <w:tl2br w:val="nil"/>
                    <w:tr2bl w:val="nil"/>
                  </w:tcBorders>
                  <w:vAlign w:val="center"/>
                </w:tcPr>
                <w:p w14:paraId="067DD328">
                  <w:pPr>
                    <w:keepNext w:val="0"/>
                    <w:keepLines w:val="0"/>
                    <w:widowControl/>
                    <w:suppressLineNumbers w:val="0"/>
                    <w:spacing w:before="0" w:beforeAutospacing="0" w:after="0" w:afterAutospacing="0"/>
                    <w:ind w:left="0" w:right="0"/>
                    <w:jc w:val="center"/>
                    <w:textAlignment w:val="center"/>
                    <w:rPr>
                      <w:rFonts w:hint="default"/>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0.00016 </w:t>
                  </w:r>
                </w:p>
              </w:tc>
              <w:tc>
                <w:tcPr>
                  <w:tcW w:w="324" w:type="pct"/>
                  <w:vMerge w:val="continue"/>
                  <w:tcBorders>
                    <w:tl2br w:val="nil"/>
                    <w:tr2bl w:val="nil"/>
                  </w:tcBorders>
                  <w:vAlign w:val="center"/>
                </w:tcPr>
                <w:p w14:paraId="50B841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46" w:type="pct"/>
                  <w:tcBorders>
                    <w:tl2br w:val="nil"/>
                    <w:tr2bl w:val="nil"/>
                  </w:tcBorders>
                  <w:vAlign w:val="center"/>
                </w:tcPr>
                <w:p w14:paraId="33E1BF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0.00004 </w:t>
                  </w:r>
                </w:p>
              </w:tc>
              <w:tc>
                <w:tcPr>
                  <w:tcW w:w="342" w:type="pct"/>
                  <w:tcBorders>
                    <w:tl2br w:val="nil"/>
                    <w:tr2bl w:val="nil"/>
                  </w:tcBorders>
                  <w:vAlign w:val="center"/>
                </w:tcPr>
                <w:p w14:paraId="16C1CC11">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0.00003 </w:t>
                  </w:r>
                </w:p>
              </w:tc>
              <w:tc>
                <w:tcPr>
                  <w:tcW w:w="374" w:type="pct"/>
                  <w:tcBorders>
                    <w:tl2br w:val="nil"/>
                    <w:tr2bl w:val="nil"/>
                  </w:tcBorders>
                  <w:vAlign w:val="center"/>
                </w:tcPr>
                <w:p w14:paraId="008F7C4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370" w:type="pct"/>
                  <w:tcBorders>
                    <w:tl2br w:val="nil"/>
                    <w:tr2bl w:val="nil"/>
                  </w:tcBorders>
                  <w:vAlign w:val="center"/>
                </w:tcPr>
                <w:p w14:paraId="5174D2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w:t>
                  </w:r>
                </w:p>
              </w:tc>
              <w:tc>
                <w:tcPr>
                  <w:tcW w:w="383" w:type="pct"/>
                  <w:tcBorders>
                    <w:tl2br w:val="nil"/>
                    <w:tr2bl w:val="nil"/>
                  </w:tcBorders>
                  <w:vAlign w:val="center"/>
                </w:tcPr>
                <w:p w14:paraId="2150104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l2br w:val="nil"/>
                    <w:tr2bl w:val="nil"/>
                  </w:tcBorders>
                  <w:vAlign w:val="center"/>
                </w:tcPr>
                <w:p w14:paraId="6C88D2B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highlight w:val="cyan"/>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0.00009 </w:t>
                  </w:r>
                </w:p>
              </w:tc>
              <w:tc>
                <w:tcPr>
                  <w:tcW w:w="379" w:type="pct"/>
                  <w:tcBorders>
                    <w:tl2br w:val="nil"/>
                    <w:tr2bl w:val="nil"/>
                  </w:tcBorders>
                  <w:vAlign w:val="center"/>
                </w:tcPr>
                <w:p w14:paraId="34CE1CA9">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r>
            <w:tr w14:paraId="78D083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2D879652">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45" w:type="pct"/>
                  <w:tcBorders>
                    <w:tl2br w:val="nil"/>
                    <w:tr2bl w:val="nil"/>
                  </w:tcBorders>
                  <w:vAlign w:val="center"/>
                </w:tcPr>
                <w:p w14:paraId="189C98CE">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default"/>
                      <w:color w:val="auto"/>
                      <w:szCs w:val="20"/>
                      <w:lang w:val="en-US" w:eastAsia="zh-CN"/>
                    </w:rPr>
                    <w:t>非甲烷总烃</w:t>
                  </w:r>
                </w:p>
              </w:tc>
              <w:tc>
                <w:tcPr>
                  <w:tcW w:w="445" w:type="pct"/>
                  <w:vMerge w:val="restart"/>
                  <w:tcBorders>
                    <w:tl2br w:val="nil"/>
                    <w:tr2bl w:val="nil"/>
                  </w:tcBorders>
                  <w:vAlign w:val="center"/>
                </w:tcPr>
                <w:p w14:paraId="25A623D9">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default"/>
                      <w:color w:val="auto"/>
                      <w:szCs w:val="20"/>
                      <w:lang w:val="en-US" w:eastAsia="zh-CN"/>
                    </w:rPr>
                    <w:t>DA00</w:t>
                  </w:r>
                  <w:r>
                    <w:rPr>
                      <w:rFonts w:hint="eastAsia"/>
                      <w:color w:val="auto"/>
                      <w:szCs w:val="20"/>
                      <w:lang w:val="en-US" w:eastAsia="zh-CN"/>
                    </w:rPr>
                    <w:t>4</w:t>
                  </w:r>
                </w:p>
              </w:tc>
              <w:tc>
                <w:tcPr>
                  <w:tcW w:w="437" w:type="pct"/>
                  <w:tcBorders>
                    <w:tl2br w:val="nil"/>
                    <w:tr2bl w:val="nil"/>
                  </w:tcBorders>
                  <w:vAlign w:val="center"/>
                </w:tcPr>
                <w:p w14:paraId="505A6A6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0.0014 </w:t>
                  </w:r>
                </w:p>
              </w:tc>
              <w:tc>
                <w:tcPr>
                  <w:tcW w:w="383" w:type="pct"/>
                  <w:tcBorders>
                    <w:tl2br w:val="nil"/>
                    <w:tr2bl w:val="nil"/>
                  </w:tcBorders>
                  <w:vAlign w:val="center"/>
                </w:tcPr>
                <w:p w14:paraId="29D2F7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0.0012 </w:t>
                  </w:r>
                </w:p>
              </w:tc>
              <w:tc>
                <w:tcPr>
                  <w:tcW w:w="324" w:type="pct"/>
                  <w:vMerge w:val="restart"/>
                  <w:tcBorders>
                    <w:tl2br w:val="nil"/>
                    <w:tr2bl w:val="nil"/>
                  </w:tcBorders>
                  <w:vAlign w:val="center"/>
                </w:tcPr>
                <w:p w14:paraId="554E0B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100</w:t>
                  </w:r>
                  <w:r>
                    <w:rPr>
                      <w:rFonts w:hint="eastAsia" w:cs="Times New Roman"/>
                      <w:i w:val="0"/>
                      <w:iCs w:val="0"/>
                      <w:color w:val="auto"/>
                      <w:kern w:val="0"/>
                      <w:sz w:val="21"/>
                      <w:szCs w:val="21"/>
                      <w:u w:val="none"/>
                      <w:lang w:val="en-US" w:eastAsia="zh-CN" w:bidi="ar"/>
                    </w:rPr>
                    <w:t>0</w:t>
                  </w:r>
                  <w:r>
                    <w:rPr>
                      <w:rFonts w:hint="default" w:ascii="Times New Roman" w:hAnsi="Times New Roman" w:eastAsia="宋体" w:cs="Times New Roman"/>
                      <w:i w:val="0"/>
                      <w:iCs w:val="0"/>
                      <w:color w:val="auto"/>
                      <w:kern w:val="0"/>
                      <w:sz w:val="21"/>
                      <w:szCs w:val="21"/>
                      <w:u w:val="none"/>
                      <w:lang w:val="en-US" w:eastAsia="zh-CN" w:bidi="ar"/>
                    </w:rPr>
                    <w:t>0</w:t>
                  </w:r>
                </w:p>
              </w:tc>
              <w:tc>
                <w:tcPr>
                  <w:tcW w:w="346" w:type="pct"/>
                  <w:tcBorders>
                    <w:tl2br w:val="nil"/>
                    <w:tr2bl w:val="nil"/>
                  </w:tcBorders>
                  <w:vAlign w:val="center"/>
                </w:tcPr>
                <w:p w14:paraId="5EA5F95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0.00037 </w:t>
                  </w:r>
                </w:p>
              </w:tc>
              <w:tc>
                <w:tcPr>
                  <w:tcW w:w="342" w:type="pct"/>
                  <w:tcBorders>
                    <w:tl2br w:val="nil"/>
                    <w:tr2bl w:val="nil"/>
                  </w:tcBorders>
                  <w:vAlign w:val="center"/>
                </w:tcPr>
                <w:p w14:paraId="468F02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0.00031 </w:t>
                  </w:r>
                </w:p>
              </w:tc>
              <w:tc>
                <w:tcPr>
                  <w:tcW w:w="374" w:type="pct"/>
                  <w:tcBorders>
                    <w:tl2br w:val="nil"/>
                    <w:tr2bl w:val="nil"/>
                  </w:tcBorders>
                  <w:vAlign w:val="center"/>
                </w:tcPr>
                <w:p w14:paraId="70EB35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0.376</w:t>
                  </w:r>
                </w:p>
              </w:tc>
              <w:tc>
                <w:tcPr>
                  <w:tcW w:w="370" w:type="pct"/>
                  <w:tcBorders>
                    <w:tl2br w:val="nil"/>
                    <w:tr2bl w:val="nil"/>
                  </w:tcBorders>
                  <w:vAlign w:val="center"/>
                </w:tcPr>
                <w:p w14:paraId="7E967C4B">
                  <w:pPr>
                    <w:keepNext w:val="0"/>
                    <w:keepLines w:val="0"/>
                    <w:widowControl/>
                    <w:suppressLineNumbers w:val="0"/>
                    <w:spacing w:before="0" w:beforeAutospacing="0" w:after="0" w:afterAutospacing="0"/>
                    <w:ind w:left="0" w:right="0"/>
                    <w:jc w:val="center"/>
                    <w:textAlignment w:val="center"/>
                    <w:rPr>
                      <w:rFonts w:hint="eastAsia"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383" w:type="pct"/>
                  <w:tcBorders>
                    <w:tl2br w:val="nil"/>
                    <w:tr2bl w:val="nil"/>
                  </w:tcBorders>
                  <w:vAlign w:val="center"/>
                </w:tcPr>
                <w:p w14:paraId="0EF3D679">
                  <w:pPr>
                    <w:keepNext w:val="0"/>
                    <w:keepLines w:val="0"/>
                    <w:widowControl/>
                    <w:suppressLineNumbers w:val="0"/>
                    <w:spacing w:before="0" w:beforeAutospacing="0" w:after="0" w:afterAutospacing="0"/>
                    <w:ind w:left="0" w:right="0"/>
                    <w:jc w:val="center"/>
                    <w:textAlignment w:val="center"/>
                    <w:rPr>
                      <w:rFonts w:hint="eastAsia"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445" w:type="pct"/>
                  <w:tcBorders>
                    <w:tl2br w:val="nil"/>
                    <w:tr2bl w:val="nil"/>
                  </w:tcBorders>
                  <w:vAlign w:val="center"/>
                </w:tcPr>
                <w:p w14:paraId="77C3B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0.0005 </w:t>
                  </w:r>
                </w:p>
              </w:tc>
              <w:tc>
                <w:tcPr>
                  <w:tcW w:w="379" w:type="pct"/>
                  <w:tcBorders>
                    <w:tl2br w:val="nil"/>
                    <w:tr2bl w:val="nil"/>
                  </w:tcBorders>
                  <w:vAlign w:val="center"/>
                </w:tcPr>
                <w:p w14:paraId="7F54C585">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1200</w:t>
                  </w:r>
                </w:p>
              </w:tc>
            </w:tr>
            <w:tr w14:paraId="6105FE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24" w:type="pct"/>
                  <w:vMerge w:val="continue"/>
                  <w:tcBorders>
                    <w:tl2br w:val="nil"/>
                    <w:tr2bl w:val="nil"/>
                  </w:tcBorders>
                  <w:vAlign w:val="center"/>
                </w:tcPr>
                <w:p w14:paraId="72E5746E">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45" w:type="pct"/>
                  <w:tcBorders>
                    <w:tl2br w:val="nil"/>
                    <w:tr2bl w:val="nil"/>
                  </w:tcBorders>
                  <w:vAlign w:val="center"/>
                </w:tcPr>
                <w:p w14:paraId="3759A853">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eastAsia"/>
                      <w:color w:val="auto"/>
                      <w:szCs w:val="20"/>
                      <w:lang w:val="en-US" w:eastAsia="zh-CN"/>
                    </w:rPr>
                    <w:t>氨</w:t>
                  </w:r>
                </w:p>
              </w:tc>
              <w:tc>
                <w:tcPr>
                  <w:tcW w:w="445" w:type="pct"/>
                  <w:vMerge w:val="continue"/>
                  <w:tcBorders>
                    <w:tl2br w:val="nil"/>
                    <w:tr2bl w:val="nil"/>
                  </w:tcBorders>
                  <w:vAlign w:val="center"/>
                </w:tcPr>
                <w:p w14:paraId="63647EFE">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p>
              </w:tc>
              <w:tc>
                <w:tcPr>
                  <w:tcW w:w="437" w:type="pct"/>
                  <w:tcBorders>
                    <w:tl2br w:val="nil"/>
                    <w:tr2bl w:val="nil"/>
                  </w:tcBorders>
                  <w:vAlign w:val="center"/>
                </w:tcPr>
                <w:p w14:paraId="3C326D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c>
                <w:tcPr>
                  <w:tcW w:w="383" w:type="pct"/>
                  <w:tcBorders>
                    <w:tl2br w:val="nil"/>
                    <w:tr2bl w:val="nil"/>
                  </w:tcBorders>
                  <w:vAlign w:val="center"/>
                </w:tcPr>
                <w:p w14:paraId="674083B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c>
                <w:tcPr>
                  <w:tcW w:w="324" w:type="pct"/>
                  <w:vMerge w:val="continue"/>
                  <w:tcBorders>
                    <w:tl2br w:val="nil"/>
                    <w:tr2bl w:val="nil"/>
                  </w:tcBorders>
                  <w:vAlign w:val="center"/>
                </w:tcPr>
                <w:p w14:paraId="4924E6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46" w:type="pct"/>
                  <w:tcBorders>
                    <w:tl2br w:val="nil"/>
                    <w:tr2bl w:val="nil"/>
                  </w:tcBorders>
                  <w:vAlign w:val="center"/>
                </w:tcPr>
                <w:p w14:paraId="03161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0.000002 </w:t>
                  </w:r>
                </w:p>
              </w:tc>
              <w:tc>
                <w:tcPr>
                  <w:tcW w:w="342" w:type="pct"/>
                  <w:tcBorders>
                    <w:tl2br w:val="nil"/>
                    <w:tr2bl w:val="nil"/>
                  </w:tcBorders>
                  <w:vAlign w:val="center"/>
                </w:tcPr>
                <w:p w14:paraId="28416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0.000002 </w:t>
                  </w:r>
                </w:p>
              </w:tc>
              <w:tc>
                <w:tcPr>
                  <w:tcW w:w="374" w:type="pct"/>
                  <w:tcBorders>
                    <w:tl2br w:val="nil"/>
                    <w:tr2bl w:val="nil"/>
                  </w:tcBorders>
                  <w:vAlign w:val="center"/>
                </w:tcPr>
                <w:p w14:paraId="5DBD3D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0.024</w:t>
                  </w:r>
                </w:p>
              </w:tc>
              <w:tc>
                <w:tcPr>
                  <w:tcW w:w="370" w:type="pct"/>
                  <w:tcBorders>
                    <w:tl2br w:val="nil"/>
                    <w:tr2bl w:val="nil"/>
                  </w:tcBorders>
                  <w:vAlign w:val="center"/>
                </w:tcPr>
                <w:p w14:paraId="744D6CE6">
                  <w:pPr>
                    <w:keepNext w:val="0"/>
                    <w:keepLines w:val="0"/>
                    <w:widowControl/>
                    <w:suppressLineNumbers w:val="0"/>
                    <w:spacing w:before="0" w:beforeAutospacing="0" w:after="0" w:afterAutospacing="0"/>
                    <w:ind w:left="0" w:right="0"/>
                    <w:jc w:val="center"/>
                    <w:textAlignment w:val="center"/>
                    <w:rPr>
                      <w:rFonts w:hint="eastAsia"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8.7</w:t>
                  </w:r>
                </w:p>
              </w:tc>
              <w:tc>
                <w:tcPr>
                  <w:tcW w:w="383" w:type="pct"/>
                  <w:tcBorders>
                    <w:tl2br w:val="nil"/>
                    <w:tr2bl w:val="nil"/>
                  </w:tcBorders>
                  <w:vAlign w:val="center"/>
                </w:tcPr>
                <w:p w14:paraId="490A0FB3">
                  <w:pPr>
                    <w:keepNext w:val="0"/>
                    <w:keepLines w:val="0"/>
                    <w:widowControl/>
                    <w:suppressLineNumbers w:val="0"/>
                    <w:spacing w:before="0" w:beforeAutospacing="0" w:after="0" w:afterAutospacing="0"/>
                    <w:ind w:left="0" w:right="0"/>
                    <w:jc w:val="center"/>
                    <w:textAlignment w:val="center"/>
                    <w:rPr>
                      <w:rFonts w:hint="eastAsia" w:cs="Times New Roman"/>
                      <w:color w:val="auto"/>
                      <w:szCs w:val="20"/>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445" w:type="pct"/>
                  <w:tcBorders>
                    <w:tl2br w:val="nil"/>
                    <w:tr2bl w:val="nil"/>
                  </w:tcBorders>
                  <w:vAlign w:val="center"/>
                </w:tcPr>
                <w:p w14:paraId="18E9B6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0.00001 </w:t>
                  </w:r>
                </w:p>
              </w:tc>
              <w:tc>
                <w:tcPr>
                  <w:tcW w:w="379" w:type="pct"/>
                  <w:tcBorders>
                    <w:tl2br w:val="nil"/>
                    <w:tr2bl w:val="nil"/>
                  </w:tcBorders>
                  <w:vAlign w:val="center"/>
                </w:tcPr>
                <w:p w14:paraId="1DAEBD76">
                  <w:pPr>
                    <w:keepNext w:val="0"/>
                    <w:keepLines w:val="0"/>
                    <w:widowControl/>
                    <w:suppressLineNumbers w:val="0"/>
                    <w:spacing w:before="0" w:beforeAutospacing="0" w:after="0" w:afterAutospacing="0"/>
                    <w:ind w:left="0" w:right="0"/>
                    <w:jc w:val="center"/>
                    <w:textAlignment w:val="center"/>
                    <w:rPr>
                      <w:rFonts w:hint="eastAsia"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r>
          </w:tbl>
          <w:p w14:paraId="7A3FEF13">
            <w:pPr>
              <w:keepNext w:val="0"/>
              <w:keepLines w:val="0"/>
              <w:widowControl w:val="0"/>
              <w:suppressLineNumbers w:val="0"/>
              <w:autoSpaceDE w:val="0"/>
              <w:autoSpaceDN w:val="0"/>
              <w:adjustRightInd w:val="0"/>
              <w:snapToGrid w:val="0"/>
              <w:spacing w:before="120" w:beforeLines="50" w:beforeAutospacing="0" w:after="0" w:afterAutospacing="0" w:line="360" w:lineRule="auto"/>
              <w:ind w:left="0" w:right="0"/>
              <w:jc w:val="left"/>
              <w:rPr>
                <w:rFonts w:hint="default" w:ascii="Times New Roman" w:hAnsi="Times New Roman" w:cs="Times New Roman"/>
                <w:color w:val="auto"/>
                <w:highlight w:val="none"/>
                <w:lang w:val="en-US"/>
              </w:rPr>
            </w:pPr>
          </w:p>
        </w:tc>
      </w:tr>
    </w:tbl>
    <w:p w14:paraId="2A84CDB6">
      <w:pPr>
        <w:rPr>
          <w:rFonts w:hint="default" w:ascii="Times New Roman" w:hAnsi="Times New Roman" w:cs="Times New Roman"/>
          <w:color w:val="auto"/>
          <w:highlight w:val="none"/>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22C75038">
      <w:pPr>
        <w:rPr>
          <w:rFonts w:hint="default" w:ascii="Times New Roman" w:hAnsi="Times New Roman" w:cs="Times New Roman"/>
          <w:color w:val="auto"/>
          <w:highlight w:val="none"/>
        </w:r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351"/>
      </w:tblGrid>
      <w:tr w14:paraId="31A13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630" w:type="dxa"/>
            <w:tcMar>
              <w:left w:w="28" w:type="dxa"/>
              <w:right w:w="28" w:type="dxa"/>
            </w:tcMar>
            <w:vAlign w:val="center"/>
          </w:tcPr>
          <w:p w14:paraId="2C87552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运营</w:t>
            </w:r>
          </w:p>
          <w:p w14:paraId="42A59026">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期环</w:t>
            </w:r>
          </w:p>
          <w:p w14:paraId="611220EA">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境影</w:t>
            </w:r>
          </w:p>
          <w:p w14:paraId="7B9C687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响和</w:t>
            </w:r>
          </w:p>
          <w:p w14:paraId="194E378E">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r>
              <w:rPr>
                <w:rFonts w:hint="default" w:ascii="Times New Roman" w:hAnsi="Times New Roman" w:cs="Times New Roman"/>
                <w:bCs/>
                <w:color w:val="auto"/>
                <w:sz w:val="24"/>
                <w:szCs w:val="24"/>
                <w:highlight w:val="none"/>
              </w:rPr>
              <w:t>保护</w:t>
            </w:r>
          </w:p>
          <w:p w14:paraId="1CF87D38">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highlight w:val="none"/>
              </w:rPr>
            </w:pPr>
            <w:r>
              <w:rPr>
                <w:rFonts w:hint="default" w:ascii="Times New Roman" w:hAnsi="Times New Roman" w:cs="Times New Roman"/>
                <w:bCs/>
                <w:color w:val="auto"/>
                <w:sz w:val="24"/>
                <w:szCs w:val="24"/>
                <w:highlight w:val="none"/>
              </w:rPr>
              <w:t>措施</w:t>
            </w:r>
          </w:p>
        </w:tc>
        <w:tc>
          <w:tcPr>
            <w:tcW w:w="8351" w:type="dxa"/>
            <w:tcBorders>
              <w:top w:val="single" w:color="auto" w:sz="4" w:space="0"/>
              <w:bottom w:val="single" w:color="auto" w:sz="4" w:space="0"/>
              <w:right w:val="single" w:color="auto" w:sz="4" w:space="0"/>
            </w:tcBorders>
            <w:vAlign w:val="top"/>
          </w:tcPr>
          <w:p w14:paraId="43A82AF1">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废气</w:t>
            </w:r>
            <w:r>
              <w:rPr>
                <w:rFonts w:hint="eastAsia"/>
                <w:color w:val="auto"/>
                <w:lang w:val="en-US" w:eastAsia="zh-CN"/>
              </w:rPr>
              <w:t>污染</w:t>
            </w:r>
            <w:r>
              <w:rPr>
                <w:rFonts w:hint="default"/>
                <w:color w:val="auto"/>
                <w:lang w:val="en-US" w:eastAsia="zh-CN"/>
              </w:rPr>
              <w:t>源强核算</w:t>
            </w:r>
            <w:r>
              <w:rPr>
                <w:rFonts w:hint="eastAsia"/>
                <w:color w:val="auto"/>
                <w:lang w:val="en-US" w:eastAsia="zh-CN"/>
              </w:rPr>
              <w:t>过程</w:t>
            </w:r>
          </w:p>
          <w:p w14:paraId="3215EB4A">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cs="Times New Roman"/>
                <w:color w:val="auto"/>
                <w:highlight w:val="none"/>
                <w:vertAlign w:val="baseline"/>
                <w:lang w:val="en-US" w:eastAsia="zh-CN"/>
              </w:rPr>
            </w:pPr>
            <w:r>
              <w:rPr>
                <w:rFonts w:hint="default" w:ascii="Times New Roman" w:hAnsi="Times New Roman" w:eastAsia="宋体" w:cs="Times New Roman"/>
                <w:color w:val="auto"/>
                <w:lang w:val="en-US" w:eastAsia="zh-CN"/>
              </w:rPr>
              <w:t>本项目使用挥发性酸、有机物的前处理配制环节会产生</w:t>
            </w:r>
            <w:r>
              <w:rPr>
                <w:rFonts w:hint="eastAsia" w:cs="Times New Roman"/>
                <w:color w:val="auto"/>
                <w:lang w:val="en-US" w:eastAsia="zh-CN"/>
              </w:rPr>
              <w:t>酸性废气</w:t>
            </w:r>
            <w:r>
              <w:rPr>
                <w:rFonts w:hint="default" w:ascii="Times New Roman" w:hAnsi="Times New Roman" w:eastAsia="宋体" w:cs="Times New Roman"/>
                <w:color w:val="auto"/>
                <w:lang w:val="en-US" w:eastAsia="zh-CN"/>
              </w:rPr>
              <w:t>（以氯化氢、硫酸雾计）及有机</w:t>
            </w:r>
            <w:r>
              <w:rPr>
                <w:rFonts w:hint="eastAsia" w:cs="Times New Roman"/>
                <w:color w:val="auto"/>
                <w:lang w:val="en-US" w:eastAsia="zh-CN"/>
              </w:rPr>
              <w:t>废气</w:t>
            </w:r>
            <w:r>
              <w:rPr>
                <w:rFonts w:hint="default" w:ascii="Times New Roman" w:hAnsi="Times New Roman" w:eastAsia="宋体" w:cs="Times New Roman"/>
                <w:color w:val="auto"/>
                <w:lang w:val="en-US" w:eastAsia="zh-CN"/>
              </w:rPr>
              <w:t>（以非甲烷总烃计）</w:t>
            </w:r>
            <w:r>
              <w:rPr>
                <w:rFonts w:hint="eastAsia" w:cs="Times New Roman"/>
                <w:color w:val="auto"/>
                <w:lang w:val="en-US" w:eastAsia="zh-CN"/>
              </w:rPr>
              <w:t>、</w:t>
            </w:r>
            <w:r>
              <w:rPr>
                <w:rFonts w:hint="eastAsia"/>
                <w:color w:val="auto"/>
                <w:lang w:val="en-US" w:eastAsia="zh-CN"/>
              </w:rPr>
              <w:t>恶臭废气等</w:t>
            </w:r>
            <w:r>
              <w:rPr>
                <w:rFonts w:hint="default" w:ascii="Times New Roman" w:hAnsi="Times New Roman" w:eastAsia="宋体" w:cs="Times New Roman"/>
                <w:color w:val="auto"/>
                <w:lang w:val="en-US" w:eastAsia="zh-CN"/>
              </w:rPr>
              <w:t>。</w:t>
            </w:r>
          </w:p>
          <w:p w14:paraId="3B5230E0">
            <w:pPr>
              <w:pStyle w:val="36"/>
              <w:keepNext w:val="0"/>
              <w:keepLines w:val="0"/>
              <w:numPr>
                <w:ilvl w:val="0"/>
                <w:numId w:val="0"/>
              </w:numPr>
              <w:suppressLineNumbers w:val="0"/>
              <w:bidi w:val="0"/>
              <w:spacing w:before="0" w:beforeAutospacing="0" w:after="0" w:afterAutospacing="0"/>
              <w:ind w:left="420" w:leftChars="200" w:right="0" w:rightChars="0"/>
              <w:rPr>
                <w:rFonts w:hint="default" w:ascii="Times New Roman" w:hAnsi="Times New Roman" w:eastAsia="宋体"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（1）试剂挥发源强核算</w:t>
            </w:r>
          </w:p>
          <w:p w14:paraId="4D9E9950">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①有机废气</w:t>
            </w:r>
          </w:p>
          <w:p w14:paraId="44B625EE">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本项目实验过程中用到挥发性有机试剂为三氯甲烷、丙酮、正己烷、无水乙醇、乙酰丙酮等，根据建设项目提供试剂使用情况</w:t>
            </w:r>
            <w:r>
              <w:rPr>
                <w:rFonts w:hint="eastAsia"/>
                <w:color w:val="auto"/>
                <w:szCs w:val="21"/>
              </w:rPr>
              <w:t>类比《浙江杭邦检测技术有限公司新建实验室项目》</w:t>
            </w:r>
            <w:r>
              <w:rPr>
                <w:rFonts w:hint="eastAsia"/>
                <w:color w:val="auto"/>
                <w:szCs w:val="21"/>
                <w:lang w:eastAsia="zh-CN"/>
              </w:rPr>
              <w:t>（</w:t>
            </w:r>
            <w:r>
              <w:rPr>
                <w:rFonts w:hint="eastAsia"/>
                <w:color w:val="auto"/>
                <w:szCs w:val="21"/>
                <w:lang w:val="en-US" w:eastAsia="zh-CN"/>
              </w:rPr>
              <w:t>其检测</w:t>
            </w:r>
            <w:r>
              <w:rPr>
                <w:rFonts w:hint="eastAsia"/>
                <w:color w:val="auto"/>
                <w:szCs w:val="21"/>
              </w:rPr>
              <w:t>工艺、试剂使用基本一致，规模</w:t>
            </w:r>
            <w:r>
              <w:rPr>
                <w:rFonts w:hint="eastAsia"/>
                <w:color w:val="auto"/>
                <w:szCs w:val="21"/>
                <w:lang w:eastAsia="zh-CN"/>
              </w:rPr>
              <w:t>年检测水和废水14700例</w:t>
            </w:r>
            <w:r>
              <w:rPr>
                <w:rFonts w:hint="eastAsia"/>
                <w:color w:val="auto"/>
                <w:szCs w:val="21"/>
              </w:rPr>
              <w:t>略大于本项目，于2022年12月取得杭州市生态环境局萧山分局批复</w:t>
            </w:r>
            <w:r>
              <w:rPr>
                <w:rFonts w:hint="eastAsia"/>
                <w:color w:val="auto"/>
                <w:szCs w:val="21"/>
                <w:shd w:val="clear" w:fill="FFFFFF"/>
              </w:rPr>
              <w:t>（</w:t>
            </w:r>
            <w:r>
              <w:rPr>
                <w:rFonts w:hint="eastAsia"/>
                <w:color w:val="auto"/>
                <w:szCs w:val="21"/>
              </w:rPr>
              <w:t>萧环建</w:t>
            </w:r>
            <w:r>
              <w:rPr>
                <w:rFonts w:hint="eastAsia"/>
                <w:color w:val="auto"/>
                <w:szCs w:val="21"/>
                <w:shd w:val="clear" w:fill="FFFFFF"/>
              </w:rPr>
              <w:t>［2022］</w:t>
            </w:r>
            <w:r>
              <w:rPr>
                <w:rFonts w:hint="eastAsia"/>
                <w:color w:val="auto"/>
                <w:szCs w:val="21"/>
              </w:rPr>
              <w:t>189号）</w:t>
            </w:r>
            <w:r>
              <w:rPr>
                <w:rFonts w:hint="eastAsia"/>
                <w:color w:val="auto"/>
                <w:szCs w:val="21"/>
                <w:lang w:eastAsia="zh-CN"/>
              </w:rPr>
              <w:t>）</w:t>
            </w:r>
            <w:r>
              <w:rPr>
                <w:rFonts w:hint="eastAsia"/>
                <w:color w:val="auto"/>
                <w:szCs w:val="21"/>
              </w:rPr>
              <w:t>等同类项目</w:t>
            </w:r>
            <w:r>
              <w:rPr>
                <w:rFonts w:hint="eastAsia" w:ascii="Times New Roman" w:hAnsi="Times New Roman" w:eastAsia="宋体" w:cs="Times New Roman"/>
                <w:color w:val="auto"/>
                <w:lang w:val="en-US" w:eastAsia="zh-CN"/>
              </w:rPr>
              <w:t>，项目试剂挥发性有机废气</w:t>
            </w:r>
            <w:r>
              <w:rPr>
                <w:rFonts w:hint="eastAsia" w:cs="Times New Roman"/>
                <w:color w:val="auto"/>
                <w:lang w:val="en-US" w:eastAsia="zh-CN"/>
              </w:rPr>
              <w:t>产生</w:t>
            </w:r>
            <w:r>
              <w:rPr>
                <w:rFonts w:hint="eastAsia" w:ascii="Times New Roman" w:hAnsi="Times New Roman" w:eastAsia="宋体" w:cs="Times New Roman"/>
                <w:color w:val="auto"/>
                <w:lang w:val="en-US" w:eastAsia="zh-CN"/>
              </w:rPr>
              <w:t>情况如下表所示。</w:t>
            </w:r>
          </w:p>
          <w:p w14:paraId="246FC78F">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项目挥发性有机溶剂挥发量计算一览表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1973"/>
              <w:gridCol w:w="1870"/>
              <w:gridCol w:w="1967"/>
            </w:tblGrid>
            <w:tr w14:paraId="07AB04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1427" w:type="pct"/>
                  <w:tcBorders>
                    <w:tl2br w:val="nil"/>
                    <w:tr2bl w:val="nil"/>
                  </w:tcBorders>
                  <w:noWrap w:val="0"/>
                  <w:vAlign w:val="center"/>
                </w:tcPr>
                <w:p w14:paraId="2684EA73">
                  <w:pPr>
                    <w:pStyle w:val="37"/>
                    <w:keepNext w:val="0"/>
                    <w:keepLines w:val="0"/>
                    <w:widowControl/>
                    <w:suppressLineNumbers w:val="0"/>
                    <w:bidi w:val="0"/>
                    <w:spacing w:before="0" w:beforeAutospacing="0" w:after="0" w:afterAutospacing="0"/>
                    <w:ind w:right="0"/>
                    <w:rPr>
                      <w:rFonts w:hint="default"/>
                      <w:b w:val="0"/>
                      <w:bCs w:val="0"/>
                      <w:color w:val="auto"/>
                      <w:sz w:val="21"/>
                      <w:szCs w:val="21"/>
                      <w:lang w:val="en-US" w:eastAsia="zh-CN"/>
                    </w:rPr>
                  </w:pPr>
                  <w:r>
                    <w:rPr>
                      <w:rFonts w:hint="eastAsia" w:cs="宋体"/>
                      <w:b w:val="0"/>
                      <w:bCs w:val="0"/>
                      <w:color w:val="auto"/>
                      <w:kern w:val="0"/>
                      <w:sz w:val="21"/>
                      <w:szCs w:val="21"/>
                      <w:lang w:val="en-US" w:eastAsia="zh-CN" w:bidi="ar"/>
                    </w:rPr>
                    <w:t>试剂</w:t>
                  </w:r>
                  <w:r>
                    <w:rPr>
                      <w:rFonts w:hint="eastAsia" w:cs="宋体"/>
                      <w:b w:val="0"/>
                      <w:bCs w:val="0"/>
                      <w:color w:val="auto"/>
                      <w:kern w:val="0"/>
                      <w:sz w:val="21"/>
                      <w:szCs w:val="21"/>
                      <w:lang w:bidi="ar"/>
                    </w:rPr>
                    <w:t>名称</w:t>
                  </w:r>
                </w:p>
              </w:tc>
              <w:tc>
                <w:tcPr>
                  <w:tcW w:w="1213" w:type="pct"/>
                  <w:tcBorders>
                    <w:tl2br w:val="nil"/>
                    <w:tr2bl w:val="nil"/>
                  </w:tcBorders>
                  <w:noWrap w:val="0"/>
                  <w:vAlign w:val="center"/>
                </w:tcPr>
                <w:p w14:paraId="65680C43">
                  <w:pPr>
                    <w:pStyle w:val="37"/>
                    <w:keepNext w:val="0"/>
                    <w:keepLines w:val="0"/>
                    <w:widowControl/>
                    <w:suppressLineNumbers w:val="0"/>
                    <w:bidi w:val="0"/>
                    <w:spacing w:before="0" w:beforeAutospacing="0" w:after="0" w:afterAutospacing="0"/>
                    <w:ind w:right="0"/>
                    <w:rPr>
                      <w:rFonts w:hint="eastAsia" w:eastAsia="宋体"/>
                      <w:b w:val="0"/>
                      <w:bCs w:val="0"/>
                      <w:color w:val="auto"/>
                      <w:sz w:val="21"/>
                      <w:szCs w:val="21"/>
                      <w:lang w:val="en-US" w:eastAsia="zh-CN"/>
                    </w:rPr>
                  </w:pPr>
                  <w:r>
                    <w:rPr>
                      <w:rFonts w:hint="eastAsia" w:cs="宋体"/>
                      <w:b w:val="0"/>
                      <w:bCs w:val="0"/>
                      <w:color w:val="auto"/>
                      <w:kern w:val="0"/>
                      <w:sz w:val="21"/>
                      <w:szCs w:val="21"/>
                      <w:lang w:bidi="ar"/>
                    </w:rPr>
                    <w:t>用量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149" w:type="pct"/>
                  <w:tcBorders>
                    <w:tl2br w:val="nil"/>
                    <w:tr2bl w:val="nil"/>
                  </w:tcBorders>
                  <w:shd w:val="clear" w:color="auto" w:fill="auto"/>
                  <w:noWrap w:val="0"/>
                  <w:vAlign w:val="center"/>
                </w:tcPr>
                <w:p w14:paraId="7CA16C39">
                  <w:pPr>
                    <w:pStyle w:val="37"/>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sz w:val="21"/>
                      <w:szCs w:val="21"/>
                      <w:lang w:val="en-US" w:eastAsia="zh-CN"/>
                    </w:rPr>
                  </w:pPr>
                  <w:r>
                    <w:rPr>
                      <w:rFonts w:hint="eastAsia" w:cs="宋体"/>
                      <w:b w:val="0"/>
                      <w:bCs w:val="0"/>
                      <w:color w:val="auto"/>
                      <w:kern w:val="0"/>
                      <w:sz w:val="21"/>
                      <w:szCs w:val="21"/>
                      <w:lang w:val="en-US" w:eastAsia="zh-CN" w:bidi="ar"/>
                    </w:rPr>
                    <w:t>挥发量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209" w:type="pct"/>
                  <w:tcBorders>
                    <w:tl2br w:val="nil"/>
                    <w:tr2bl w:val="nil"/>
                  </w:tcBorders>
                  <w:noWrap w:val="0"/>
                  <w:vAlign w:val="center"/>
                </w:tcPr>
                <w:p w14:paraId="3252D972">
                  <w:pPr>
                    <w:pStyle w:val="37"/>
                    <w:keepNext w:val="0"/>
                    <w:keepLines w:val="0"/>
                    <w:widowControl/>
                    <w:suppressLineNumbers w:val="0"/>
                    <w:bidi w:val="0"/>
                    <w:spacing w:before="0" w:beforeAutospacing="0" w:after="0" w:afterAutospacing="0"/>
                    <w:ind w:right="0"/>
                    <w:rPr>
                      <w:rFonts w:hint="default"/>
                      <w:b w:val="0"/>
                      <w:bCs w:val="0"/>
                      <w:color w:val="auto"/>
                      <w:szCs w:val="20"/>
                      <w:lang w:val="en-US" w:eastAsia="zh-CN"/>
                    </w:rPr>
                  </w:pPr>
                  <w:r>
                    <w:rPr>
                      <w:rFonts w:hint="eastAsia" w:cs="宋体"/>
                      <w:b w:val="0"/>
                      <w:bCs w:val="0"/>
                      <w:color w:val="auto"/>
                      <w:kern w:val="0"/>
                      <w:sz w:val="21"/>
                      <w:szCs w:val="21"/>
                      <w:lang w:val="en-US" w:eastAsia="zh-CN" w:bidi="ar"/>
                    </w:rPr>
                    <w:t>备注</w:t>
                  </w:r>
                </w:p>
              </w:tc>
            </w:tr>
            <w:tr w14:paraId="438554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D03775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苯酚</w:t>
                  </w:r>
                </w:p>
              </w:tc>
              <w:tc>
                <w:tcPr>
                  <w:tcW w:w="1213" w:type="pct"/>
                  <w:tcBorders>
                    <w:tl2br w:val="nil"/>
                    <w:tr2bl w:val="nil"/>
                  </w:tcBorders>
                  <w:noWrap w:val="0"/>
                  <w:vAlign w:val="center"/>
                </w:tcPr>
                <w:p w14:paraId="3BB007E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7EA4086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restart"/>
                  <w:tcBorders>
                    <w:tl2br w:val="nil"/>
                    <w:tr2bl w:val="nil"/>
                  </w:tcBorders>
                  <w:noWrap w:val="0"/>
                  <w:vAlign w:val="center"/>
                </w:tcPr>
                <w:p w14:paraId="2AEDEB07">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实验室有机废气产生量与其使用的挥发有机试剂量有关，一般情况下有机废气产生量为使用挥发有机试剂使用量的10%～50%，本次评价实验有机废气按试剂使用量50%计算。</w:t>
                  </w:r>
                </w:p>
              </w:tc>
            </w:tr>
            <w:tr w14:paraId="51167D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69A1AD4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对氯苯酚</w:t>
                  </w:r>
                </w:p>
              </w:tc>
              <w:tc>
                <w:tcPr>
                  <w:tcW w:w="1213" w:type="pct"/>
                  <w:tcBorders>
                    <w:tl2br w:val="nil"/>
                    <w:tr2bl w:val="nil"/>
                  </w:tcBorders>
                  <w:noWrap w:val="0"/>
                  <w:vAlign w:val="center"/>
                </w:tcPr>
                <w:p w14:paraId="673950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7FF961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1DD9358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168B5D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4446B8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对硝基苯酚</w:t>
                  </w:r>
                </w:p>
              </w:tc>
              <w:tc>
                <w:tcPr>
                  <w:tcW w:w="1213" w:type="pct"/>
                  <w:tcBorders>
                    <w:tl2br w:val="nil"/>
                    <w:tr2bl w:val="nil"/>
                  </w:tcBorders>
                  <w:noWrap w:val="0"/>
                  <w:vAlign w:val="center"/>
                </w:tcPr>
                <w:p w14:paraId="5AB3C45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26C67CF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5DB638D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1E5AC3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FA8DAC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乙酰丙酮</w:t>
                  </w:r>
                </w:p>
              </w:tc>
              <w:tc>
                <w:tcPr>
                  <w:tcW w:w="1213" w:type="pct"/>
                  <w:tcBorders>
                    <w:tl2br w:val="nil"/>
                    <w:tr2bl w:val="nil"/>
                  </w:tcBorders>
                  <w:noWrap w:val="0"/>
                  <w:vAlign w:val="center"/>
                </w:tcPr>
                <w:p w14:paraId="79153EE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0.49</w:t>
                  </w:r>
                </w:p>
              </w:tc>
              <w:tc>
                <w:tcPr>
                  <w:tcW w:w="1149" w:type="pct"/>
                  <w:tcBorders>
                    <w:tl2br w:val="nil"/>
                    <w:tr2bl w:val="nil"/>
                  </w:tcBorders>
                  <w:noWrap w:val="0"/>
                  <w:vAlign w:val="center"/>
                </w:tcPr>
                <w:p w14:paraId="6E4451D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0.24</w:t>
                  </w:r>
                </w:p>
              </w:tc>
              <w:tc>
                <w:tcPr>
                  <w:tcW w:w="1209" w:type="pct"/>
                  <w:vMerge w:val="continue"/>
                  <w:tcBorders>
                    <w:tl2br w:val="nil"/>
                    <w:tr2bl w:val="nil"/>
                  </w:tcBorders>
                  <w:noWrap w:val="0"/>
                  <w:vAlign w:val="center"/>
                </w:tcPr>
                <w:p w14:paraId="4E7BBE7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6BF12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AD07EB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苯</w:t>
                  </w:r>
                </w:p>
              </w:tc>
              <w:tc>
                <w:tcPr>
                  <w:tcW w:w="1213" w:type="pct"/>
                  <w:tcBorders>
                    <w:tl2br w:val="nil"/>
                    <w:tr2bl w:val="nil"/>
                  </w:tcBorders>
                  <w:noWrap w:val="0"/>
                  <w:vAlign w:val="center"/>
                </w:tcPr>
                <w:p w14:paraId="65EA4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0.44</w:t>
                  </w:r>
                </w:p>
              </w:tc>
              <w:tc>
                <w:tcPr>
                  <w:tcW w:w="1149" w:type="pct"/>
                  <w:tcBorders>
                    <w:tl2br w:val="nil"/>
                    <w:tr2bl w:val="nil"/>
                  </w:tcBorders>
                  <w:noWrap w:val="0"/>
                  <w:vAlign w:val="center"/>
                </w:tcPr>
                <w:p w14:paraId="63869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0.22</w:t>
                  </w:r>
                </w:p>
              </w:tc>
              <w:tc>
                <w:tcPr>
                  <w:tcW w:w="1209" w:type="pct"/>
                  <w:vMerge w:val="continue"/>
                  <w:tcBorders>
                    <w:tl2br w:val="nil"/>
                    <w:tr2bl w:val="nil"/>
                  </w:tcBorders>
                  <w:noWrap w:val="0"/>
                  <w:vAlign w:val="center"/>
                </w:tcPr>
                <w:p w14:paraId="1EBA988F">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8601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8A9FB3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二氯甲烷</w:t>
                  </w:r>
                </w:p>
              </w:tc>
              <w:tc>
                <w:tcPr>
                  <w:tcW w:w="1213" w:type="pct"/>
                  <w:tcBorders>
                    <w:tl2br w:val="nil"/>
                    <w:tr2bl w:val="nil"/>
                  </w:tcBorders>
                  <w:noWrap w:val="0"/>
                  <w:vAlign w:val="center"/>
                </w:tcPr>
                <w:p w14:paraId="34F7918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3.98</w:t>
                  </w:r>
                </w:p>
              </w:tc>
              <w:tc>
                <w:tcPr>
                  <w:tcW w:w="1149" w:type="pct"/>
                  <w:tcBorders>
                    <w:tl2br w:val="nil"/>
                    <w:tr2bl w:val="nil"/>
                  </w:tcBorders>
                  <w:noWrap w:val="0"/>
                  <w:vAlign w:val="center"/>
                </w:tcPr>
                <w:p w14:paraId="49BDFB4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1.99</w:t>
                  </w:r>
                </w:p>
              </w:tc>
              <w:tc>
                <w:tcPr>
                  <w:tcW w:w="1209" w:type="pct"/>
                  <w:vMerge w:val="continue"/>
                  <w:tcBorders>
                    <w:tl2br w:val="nil"/>
                    <w:tr2bl w:val="nil"/>
                  </w:tcBorders>
                  <w:noWrap w:val="0"/>
                  <w:vAlign w:val="center"/>
                </w:tcPr>
                <w:p w14:paraId="20022DE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90A2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6293764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正己烷</w:t>
                  </w:r>
                </w:p>
              </w:tc>
              <w:tc>
                <w:tcPr>
                  <w:tcW w:w="1213" w:type="pct"/>
                  <w:tcBorders>
                    <w:tl2br w:val="nil"/>
                    <w:tr2bl w:val="nil"/>
                  </w:tcBorders>
                  <w:noWrap w:val="0"/>
                  <w:vAlign w:val="center"/>
                </w:tcPr>
                <w:p w14:paraId="08C0A37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1.98</w:t>
                  </w:r>
                </w:p>
              </w:tc>
              <w:tc>
                <w:tcPr>
                  <w:tcW w:w="1149" w:type="pct"/>
                  <w:tcBorders>
                    <w:tl2br w:val="nil"/>
                    <w:tr2bl w:val="nil"/>
                  </w:tcBorders>
                  <w:noWrap w:val="0"/>
                  <w:vAlign w:val="center"/>
                </w:tcPr>
                <w:p w14:paraId="1C3FDF9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0.99</w:t>
                  </w:r>
                </w:p>
              </w:tc>
              <w:tc>
                <w:tcPr>
                  <w:tcW w:w="1209" w:type="pct"/>
                  <w:vMerge w:val="continue"/>
                  <w:tcBorders>
                    <w:tl2br w:val="nil"/>
                    <w:tr2bl w:val="nil"/>
                  </w:tcBorders>
                  <w:noWrap w:val="0"/>
                  <w:vAlign w:val="center"/>
                </w:tcPr>
                <w:p w14:paraId="0A8ABCE6">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A08D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4" w:hRule="exact"/>
              </w:trPr>
              <w:tc>
                <w:tcPr>
                  <w:tcW w:w="1427" w:type="pct"/>
                  <w:tcBorders>
                    <w:tl2br w:val="nil"/>
                    <w:tr2bl w:val="nil"/>
                  </w:tcBorders>
                  <w:noWrap w:val="0"/>
                  <w:vAlign w:val="center"/>
                </w:tcPr>
                <w:p w14:paraId="4E26AD1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三氯乙醛</w:t>
                  </w:r>
                </w:p>
              </w:tc>
              <w:tc>
                <w:tcPr>
                  <w:tcW w:w="1213" w:type="pct"/>
                  <w:tcBorders>
                    <w:tl2br w:val="nil"/>
                    <w:tr2bl w:val="nil"/>
                  </w:tcBorders>
                  <w:noWrap w:val="0"/>
                  <w:vAlign w:val="center"/>
                </w:tcPr>
                <w:p w14:paraId="3F63058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0.76</w:t>
                  </w:r>
                </w:p>
              </w:tc>
              <w:tc>
                <w:tcPr>
                  <w:tcW w:w="1149" w:type="pct"/>
                  <w:tcBorders>
                    <w:tl2br w:val="nil"/>
                    <w:tr2bl w:val="nil"/>
                  </w:tcBorders>
                  <w:noWrap w:val="0"/>
                  <w:vAlign w:val="center"/>
                </w:tcPr>
                <w:p w14:paraId="48FAD47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0.38</w:t>
                  </w:r>
                </w:p>
              </w:tc>
              <w:tc>
                <w:tcPr>
                  <w:tcW w:w="1209" w:type="pct"/>
                  <w:vMerge w:val="continue"/>
                  <w:tcBorders>
                    <w:tl2br w:val="nil"/>
                    <w:tr2bl w:val="nil"/>
                  </w:tcBorders>
                  <w:noWrap w:val="0"/>
                  <w:vAlign w:val="center"/>
                </w:tcPr>
                <w:p w14:paraId="5677CAC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9187F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18AD52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shd w:val="clear" w:fill="FFFFFF"/>
                      <w:lang w:val="en-US" w:eastAsia="zh-CN" w:bidi="ar"/>
                    </w:rPr>
                    <w:t>三聚乙醛</w:t>
                  </w:r>
                </w:p>
              </w:tc>
              <w:tc>
                <w:tcPr>
                  <w:tcW w:w="1213" w:type="pct"/>
                  <w:tcBorders>
                    <w:tl2br w:val="nil"/>
                    <w:tr2bl w:val="nil"/>
                  </w:tcBorders>
                  <w:noWrap w:val="0"/>
                  <w:vAlign w:val="center"/>
                </w:tcPr>
                <w:p w14:paraId="21923C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511E01F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74E3A089">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15840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DD44C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shd w:val="clear" w:fill="FFFFFF"/>
                      <w:lang w:val="en-US" w:eastAsia="zh-CN" w:bidi="ar"/>
                    </w:rPr>
                    <w:t>水合三氯乙醛</w:t>
                  </w:r>
                </w:p>
              </w:tc>
              <w:tc>
                <w:tcPr>
                  <w:tcW w:w="1213" w:type="pct"/>
                  <w:tcBorders>
                    <w:tl2br w:val="nil"/>
                    <w:tr2bl w:val="nil"/>
                  </w:tcBorders>
                  <w:noWrap w:val="0"/>
                  <w:vAlign w:val="center"/>
                </w:tcPr>
                <w:p w14:paraId="027245D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4F0B9A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26ADAA2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6C1FF1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40F814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丙烯醛</w:t>
                  </w:r>
                </w:p>
              </w:tc>
              <w:tc>
                <w:tcPr>
                  <w:tcW w:w="1213" w:type="pct"/>
                  <w:tcBorders>
                    <w:tl2br w:val="nil"/>
                    <w:tr2bl w:val="nil"/>
                  </w:tcBorders>
                  <w:noWrap w:val="0"/>
                  <w:vAlign w:val="center"/>
                </w:tcPr>
                <w:p w14:paraId="371610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0.42</w:t>
                  </w:r>
                </w:p>
              </w:tc>
              <w:tc>
                <w:tcPr>
                  <w:tcW w:w="1149" w:type="pct"/>
                  <w:tcBorders>
                    <w:tl2br w:val="nil"/>
                    <w:tr2bl w:val="nil"/>
                  </w:tcBorders>
                  <w:noWrap w:val="0"/>
                  <w:vAlign w:val="center"/>
                </w:tcPr>
                <w:p w14:paraId="20EF8A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0.21</w:t>
                  </w:r>
                </w:p>
              </w:tc>
              <w:tc>
                <w:tcPr>
                  <w:tcW w:w="1209" w:type="pct"/>
                  <w:vMerge w:val="continue"/>
                  <w:tcBorders>
                    <w:tl2br w:val="nil"/>
                    <w:tr2bl w:val="nil"/>
                  </w:tcBorders>
                  <w:noWrap w:val="0"/>
                  <w:vAlign w:val="center"/>
                </w:tcPr>
                <w:p w14:paraId="0EC4CC5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6727A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6D954D5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苯胺</w:t>
                  </w:r>
                </w:p>
              </w:tc>
              <w:tc>
                <w:tcPr>
                  <w:tcW w:w="1213" w:type="pct"/>
                  <w:tcBorders>
                    <w:tl2br w:val="nil"/>
                    <w:tr2bl w:val="nil"/>
                  </w:tcBorders>
                  <w:noWrap w:val="0"/>
                  <w:vAlign w:val="center"/>
                </w:tcPr>
                <w:p w14:paraId="10E3C5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0.56</w:t>
                  </w:r>
                </w:p>
              </w:tc>
              <w:tc>
                <w:tcPr>
                  <w:tcW w:w="1149" w:type="pct"/>
                  <w:tcBorders>
                    <w:tl2br w:val="nil"/>
                    <w:tr2bl w:val="nil"/>
                  </w:tcBorders>
                  <w:noWrap w:val="0"/>
                  <w:vAlign w:val="center"/>
                </w:tcPr>
                <w:p w14:paraId="5DD1CE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209" w:type="pct"/>
                  <w:vMerge w:val="continue"/>
                  <w:tcBorders>
                    <w:tl2br w:val="nil"/>
                    <w:tr2bl w:val="nil"/>
                  </w:tcBorders>
                  <w:noWrap w:val="0"/>
                  <w:vAlign w:val="center"/>
                </w:tcPr>
                <w:p w14:paraId="2A559986">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AB50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15048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液体石蜡</w:t>
                  </w:r>
                </w:p>
              </w:tc>
              <w:tc>
                <w:tcPr>
                  <w:tcW w:w="1213" w:type="pct"/>
                  <w:tcBorders>
                    <w:tl2br w:val="nil"/>
                    <w:tr2bl w:val="nil"/>
                  </w:tcBorders>
                  <w:noWrap w:val="0"/>
                  <w:vAlign w:val="center"/>
                </w:tcPr>
                <w:p w14:paraId="73408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0.43</w:t>
                  </w:r>
                </w:p>
              </w:tc>
              <w:tc>
                <w:tcPr>
                  <w:tcW w:w="1149" w:type="pct"/>
                  <w:tcBorders>
                    <w:tl2br w:val="nil"/>
                    <w:tr2bl w:val="nil"/>
                  </w:tcBorders>
                  <w:noWrap w:val="0"/>
                  <w:vAlign w:val="center"/>
                </w:tcPr>
                <w:p w14:paraId="20377AE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0.21</w:t>
                  </w:r>
                </w:p>
              </w:tc>
              <w:tc>
                <w:tcPr>
                  <w:tcW w:w="1209" w:type="pct"/>
                  <w:vMerge w:val="continue"/>
                  <w:tcBorders>
                    <w:tl2br w:val="nil"/>
                    <w:tr2bl w:val="nil"/>
                  </w:tcBorders>
                  <w:noWrap w:val="0"/>
                  <w:vAlign w:val="center"/>
                </w:tcPr>
                <w:p w14:paraId="5C02A66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B568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858A1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甲基异丁基丙酮</w:t>
                  </w:r>
                </w:p>
              </w:tc>
              <w:tc>
                <w:tcPr>
                  <w:tcW w:w="1213" w:type="pct"/>
                  <w:tcBorders>
                    <w:tl2br w:val="nil"/>
                    <w:tr2bl w:val="nil"/>
                  </w:tcBorders>
                  <w:noWrap w:val="0"/>
                  <w:vAlign w:val="center"/>
                </w:tcPr>
                <w:p w14:paraId="3A233E7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0.47</w:t>
                  </w:r>
                </w:p>
              </w:tc>
              <w:tc>
                <w:tcPr>
                  <w:tcW w:w="1149" w:type="pct"/>
                  <w:tcBorders>
                    <w:tl2br w:val="nil"/>
                    <w:tr2bl w:val="nil"/>
                  </w:tcBorders>
                  <w:noWrap w:val="0"/>
                  <w:vAlign w:val="center"/>
                </w:tcPr>
                <w:p w14:paraId="1D69381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0.23</w:t>
                  </w:r>
                </w:p>
              </w:tc>
              <w:tc>
                <w:tcPr>
                  <w:tcW w:w="1209" w:type="pct"/>
                  <w:vMerge w:val="continue"/>
                  <w:tcBorders>
                    <w:tl2br w:val="nil"/>
                    <w:tr2bl w:val="nil"/>
                  </w:tcBorders>
                  <w:noWrap w:val="0"/>
                  <w:vAlign w:val="center"/>
                </w:tcPr>
                <w:p w14:paraId="0494C63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6667B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3CC0F3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甲醛试剂纯度40%</w:t>
                  </w:r>
                </w:p>
              </w:tc>
              <w:tc>
                <w:tcPr>
                  <w:tcW w:w="1213" w:type="pct"/>
                  <w:tcBorders>
                    <w:tl2br w:val="nil"/>
                    <w:tr2bl w:val="nil"/>
                  </w:tcBorders>
                  <w:noWrap w:val="0"/>
                  <w:vAlign w:val="center"/>
                </w:tcPr>
                <w:p w14:paraId="2BA9687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0.65</w:t>
                  </w:r>
                </w:p>
              </w:tc>
              <w:tc>
                <w:tcPr>
                  <w:tcW w:w="1149" w:type="pct"/>
                  <w:tcBorders>
                    <w:tl2br w:val="nil"/>
                    <w:tr2bl w:val="nil"/>
                  </w:tcBorders>
                  <w:noWrap w:val="0"/>
                  <w:vAlign w:val="center"/>
                </w:tcPr>
                <w:p w14:paraId="30C29BF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0.32</w:t>
                  </w:r>
                </w:p>
              </w:tc>
              <w:tc>
                <w:tcPr>
                  <w:tcW w:w="1209" w:type="pct"/>
                  <w:vMerge w:val="continue"/>
                  <w:tcBorders>
                    <w:tl2br w:val="nil"/>
                    <w:tr2bl w:val="nil"/>
                  </w:tcBorders>
                  <w:noWrap w:val="0"/>
                  <w:vAlign w:val="center"/>
                </w:tcPr>
                <w:p w14:paraId="0C1A1920">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0BBEF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0FAEB4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对二甲氨基苯甲醛</w:t>
                  </w:r>
                </w:p>
              </w:tc>
              <w:tc>
                <w:tcPr>
                  <w:tcW w:w="1213" w:type="pct"/>
                  <w:tcBorders>
                    <w:tl2br w:val="nil"/>
                    <w:tr2bl w:val="nil"/>
                  </w:tcBorders>
                  <w:noWrap w:val="0"/>
                  <w:vAlign w:val="center"/>
                </w:tcPr>
                <w:p w14:paraId="346A424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0.10</w:t>
                  </w:r>
                </w:p>
              </w:tc>
              <w:tc>
                <w:tcPr>
                  <w:tcW w:w="1149" w:type="pct"/>
                  <w:tcBorders>
                    <w:tl2br w:val="nil"/>
                    <w:tr2bl w:val="nil"/>
                  </w:tcBorders>
                  <w:noWrap w:val="0"/>
                  <w:vAlign w:val="center"/>
                </w:tcPr>
                <w:p w14:paraId="5737AC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209" w:type="pct"/>
                  <w:vMerge w:val="continue"/>
                  <w:tcBorders>
                    <w:tl2br w:val="nil"/>
                    <w:tr2bl w:val="nil"/>
                  </w:tcBorders>
                  <w:noWrap w:val="0"/>
                  <w:vAlign w:val="center"/>
                </w:tcPr>
                <w:p w14:paraId="21B878A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13685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8C583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四氯化碳</w:t>
                  </w:r>
                </w:p>
              </w:tc>
              <w:tc>
                <w:tcPr>
                  <w:tcW w:w="1213" w:type="pct"/>
                  <w:tcBorders>
                    <w:tl2br w:val="nil"/>
                    <w:tr2bl w:val="nil"/>
                  </w:tcBorders>
                  <w:noWrap w:val="0"/>
                  <w:vAlign w:val="center"/>
                </w:tcPr>
                <w:p w14:paraId="2D341D0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1.60</w:t>
                  </w:r>
                </w:p>
              </w:tc>
              <w:tc>
                <w:tcPr>
                  <w:tcW w:w="1149" w:type="pct"/>
                  <w:tcBorders>
                    <w:tl2br w:val="nil"/>
                    <w:tr2bl w:val="nil"/>
                  </w:tcBorders>
                  <w:noWrap w:val="0"/>
                  <w:vAlign w:val="center"/>
                </w:tcPr>
                <w:p w14:paraId="5EB489E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0.80</w:t>
                  </w:r>
                </w:p>
              </w:tc>
              <w:tc>
                <w:tcPr>
                  <w:tcW w:w="1209" w:type="pct"/>
                  <w:vMerge w:val="continue"/>
                  <w:tcBorders>
                    <w:tl2br w:val="nil"/>
                    <w:tr2bl w:val="nil"/>
                  </w:tcBorders>
                  <w:noWrap w:val="0"/>
                  <w:vAlign w:val="center"/>
                </w:tcPr>
                <w:p w14:paraId="4BD9878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3B36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D167A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三乙胺纯度99%</w:t>
                  </w:r>
                </w:p>
              </w:tc>
              <w:tc>
                <w:tcPr>
                  <w:tcW w:w="1213" w:type="pct"/>
                  <w:tcBorders>
                    <w:tl2br w:val="nil"/>
                    <w:tr2bl w:val="nil"/>
                  </w:tcBorders>
                  <w:noWrap w:val="0"/>
                  <w:vAlign w:val="center"/>
                </w:tcPr>
                <w:p w14:paraId="2521801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0.37</w:t>
                  </w:r>
                </w:p>
              </w:tc>
              <w:tc>
                <w:tcPr>
                  <w:tcW w:w="1149" w:type="pct"/>
                  <w:tcBorders>
                    <w:tl2br w:val="nil"/>
                    <w:tr2bl w:val="nil"/>
                  </w:tcBorders>
                  <w:noWrap w:val="0"/>
                  <w:vAlign w:val="center"/>
                </w:tcPr>
                <w:p w14:paraId="593B31C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0.18</w:t>
                  </w:r>
                </w:p>
              </w:tc>
              <w:tc>
                <w:tcPr>
                  <w:tcW w:w="1209" w:type="pct"/>
                  <w:vMerge w:val="continue"/>
                  <w:tcBorders>
                    <w:tl2br w:val="nil"/>
                    <w:tr2bl w:val="nil"/>
                  </w:tcBorders>
                  <w:noWrap w:val="0"/>
                  <w:vAlign w:val="center"/>
                </w:tcPr>
                <w:p w14:paraId="47FFD92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A8397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0BDED3A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1,3-二苯基脲</w:t>
                  </w:r>
                </w:p>
              </w:tc>
              <w:tc>
                <w:tcPr>
                  <w:tcW w:w="1213" w:type="pct"/>
                  <w:tcBorders>
                    <w:tl2br w:val="nil"/>
                    <w:tr2bl w:val="nil"/>
                  </w:tcBorders>
                  <w:noWrap w:val="0"/>
                  <w:vAlign w:val="center"/>
                </w:tcPr>
                <w:p w14:paraId="568B97D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0.20</w:t>
                  </w:r>
                </w:p>
              </w:tc>
              <w:tc>
                <w:tcPr>
                  <w:tcW w:w="1149" w:type="pct"/>
                  <w:tcBorders>
                    <w:tl2br w:val="nil"/>
                    <w:tr2bl w:val="nil"/>
                  </w:tcBorders>
                  <w:noWrap w:val="0"/>
                  <w:vAlign w:val="center"/>
                </w:tcPr>
                <w:p w14:paraId="520BB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0.10</w:t>
                  </w:r>
                </w:p>
              </w:tc>
              <w:tc>
                <w:tcPr>
                  <w:tcW w:w="1209" w:type="pct"/>
                  <w:vMerge w:val="continue"/>
                  <w:tcBorders>
                    <w:tl2br w:val="nil"/>
                    <w:tr2bl w:val="nil"/>
                  </w:tcBorders>
                  <w:noWrap w:val="0"/>
                  <w:vAlign w:val="center"/>
                </w:tcPr>
                <w:p w14:paraId="52041900">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3D38D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ACA51E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乙醇胺</w:t>
                  </w:r>
                </w:p>
              </w:tc>
              <w:tc>
                <w:tcPr>
                  <w:tcW w:w="1213" w:type="pct"/>
                  <w:tcBorders>
                    <w:tl2br w:val="nil"/>
                    <w:tr2bl w:val="nil"/>
                  </w:tcBorders>
                  <w:noWrap w:val="0"/>
                  <w:vAlign w:val="center"/>
                </w:tcPr>
                <w:p w14:paraId="532287D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0.51</w:t>
                  </w:r>
                </w:p>
              </w:tc>
              <w:tc>
                <w:tcPr>
                  <w:tcW w:w="1149" w:type="pct"/>
                  <w:tcBorders>
                    <w:tl2br w:val="nil"/>
                    <w:tr2bl w:val="nil"/>
                  </w:tcBorders>
                  <w:noWrap w:val="0"/>
                  <w:vAlign w:val="center"/>
                </w:tcPr>
                <w:p w14:paraId="3BB3CF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58834A8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4FA80B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159824D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三乙醇胺</w:t>
                  </w:r>
                </w:p>
              </w:tc>
              <w:tc>
                <w:tcPr>
                  <w:tcW w:w="1213" w:type="pct"/>
                  <w:tcBorders>
                    <w:tl2br w:val="nil"/>
                    <w:tr2bl w:val="nil"/>
                  </w:tcBorders>
                  <w:noWrap w:val="0"/>
                  <w:vAlign w:val="center"/>
                </w:tcPr>
                <w:p w14:paraId="123EFD0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0.56</w:t>
                  </w:r>
                </w:p>
              </w:tc>
              <w:tc>
                <w:tcPr>
                  <w:tcW w:w="1149" w:type="pct"/>
                  <w:tcBorders>
                    <w:tl2br w:val="nil"/>
                    <w:tr2bl w:val="nil"/>
                  </w:tcBorders>
                  <w:noWrap w:val="0"/>
                  <w:vAlign w:val="center"/>
                </w:tcPr>
                <w:p w14:paraId="03C6DB9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0.28</w:t>
                  </w:r>
                </w:p>
              </w:tc>
              <w:tc>
                <w:tcPr>
                  <w:tcW w:w="1209" w:type="pct"/>
                  <w:vMerge w:val="continue"/>
                  <w:tcBorders>
                    <w:tl2br w:val="nil"/>
                    <w:tr2bl w:val="nil"/>
                  </w:tcBorders>
                  <w:noWrap w:val="0"/>
                  <w:vAlign w:val="center"/>
                </w:tcPr>
                <w:p w14:paraId="0F7D89D4">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DCEFD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E839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聚乙二醇</w:t>
                  </w:r>
                </w:p>
              </w:tc>
              <w:tc>
                <w:tcPr>
                  <w:tcW w:w="1213" w:type="pct"/>
                  <w:tcBorders>
                    <w:tl2br w:val="nil"/>
                    <w:tr2bl w:val="nil"/>
                  </w:tcBorders>
                  <w:noWrap w:val="0"/>
                  <w:vAlign w:val="center"/>
                </w:tcPr>
                <w:p w14:paraId="65EF2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5B03A5A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121223F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151DD8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72C56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五氯硝基苯</w:t>
                  </w:r>
                </w:p>
              </w:tc>
              <w:tc>
                <w:tcPr>
                  <w:tcW w:w="1213" w:type="pct"/>
                  <w:tcBorders>
                    <w:tl2br w:val="nil"/>
                    <w:tr2bl w:val="nil"/>
                  </w:tcBorders>
                  <w:noWrap w:val="0"/>
                  <w:vAlign w:val="center"/>
                </w:tcPr>
                <w:p w14:paraId="0A43756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7CEE508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713A0D7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75652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DC2F40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十氯联苯</w:t>
                  </w:r>
                </w:p>
              </w:tc>
              <w:tc>
                <w:tcPr>
                  <w:tcW w:w="1213" w:type="pct"/>
                  <w:tcBorders>
                    <w:tl2br w:val="nil"/>
                    <w:tr2bl w:val="nil"/>
                  </w:tcBorders>
                  <w:noWrap w:val="0"/>
                  <w:vAlign w:val="center"/>
                </w:tcPr>
                <w:p w14:paraId="11993AC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0.03</w:t>
                  </w:r>
                </w:p>
              </w:tc>
              <w:tc>
                <w:tcPr>
                  <w:tcW w:w="1149" w:type="pct"/>
                  <w:tcBorders>
                    <w:tl2br w:val="nil"/>
                    <w:tr2bl w:val="nil"/>
                  </w:tcBorders>
                  <w:noWrap w:val="0"/>
                  <w:vAlign w:val="center"/>
                </w:tcPr>
                <w:p w14:paraId="0CD1B1E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0.02</w:t>
                  </w:r>
                </w:p>
              </w:tc>
              <w:tc>
                <w:tcPr>
                  <w:tcW w:w="1209" w:type="pct"/>
                  <w:vMerge w:val="continue"/>
                  <w:tcBorders>
                    <w:tl2br w:val="nil"/>
                    <w:tr2bl w:val="nil"/>
                  </w:tcBorders>
                  <w:noWrap w:val="0"/>
                  <w:vAlign w:val="center"/>
                </w:tcPr>
                <w:p w14:paraId="76575EC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1B4D2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5494A5C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三联苯-d14</w:t>
                  </w:r>
                </w:p>
              </w:tc>
              <w:tc>
                <w:tcPr>
                  <w:tcW w:w="1213" w:type="pct"/>
                  <w:tcBorders>
                    <w:tl2br w:val="nil"/>
                    <w:tr2bl w:val="nil"/>
                  </w:tcBorders>
                  <w:noWrap w:val="0"/>
                  <w:vAlign w:val="center"/>
                </w:tcPr>
                <w:p w14:paraId="55856A9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0.30</w:t>
                  </w:r>
                </w:p>
              </w:tc>
              <w:tc>
                <w:tcPr>
                  <w:tcW w:w="1149" w:type="pct"/>
                  <w:tcBorders>
                    <w:tl2br w:val="nil"/>
                    <w:tr2bl w:val="nil"/>
                  </w:tcBorders>
                  <w:noWrap w:val="0"/>
                  <w:vAlign w:val="center"/>
                </w:tcPr>
                <w:p w14:paraId="4718BDD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0.15</w:t>
                  </w:r>
                </w:p>
              </w:tc>
              <w:tc>
                <w:tcPr>
                  <w:tcW w:w="1209" w:type="pct"/>
                  <w:vMerge w:val="continue"/>
                  <w:tcBorders>
                    <w:tl2br w:val="nil"/>
                    <w:tr2bl w:val="nil"/>
                  </w:tcBorders>
                  <w:noWrap w:val="0"/>
                  <w:vAlign w:val="center"/>
                </w:tcPr>
                <w:p w14:paraId="63857E9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69264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3E3C97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环六亚甲基四胺</w:t>
                  </w:r>
                </w:p>
              </w:tc>
              <w:tc>
                <w:tcPr>
                  <w:tcW w:w="1213" w:type="pct"/>
                  <w:tcBorders>
                    <w:tl2br w:val="nil"/>
                    <w:tr2bl w:val="nil"/>
                  </w:tcBorders>
                  <w:noWrap w:val="0"/>
                  <w:vAlign w:val="center"/>
                </w:tcPr>
                <w:p w14:paraId="12BEA96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749FFDD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454766A4">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FD6C6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0086242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甲苯</w:t>
                  </w:r>
                </w:p>
              </w:tc>
              <w:tc>
                <w:tcPr>
                  <w:tcW w:w="1213" w:type="pct"/>
                  <w:tcBorders>
                    <w:tl2br w:val="nil"/>
                    <w:tr2bl w:val="nil"/>
                  </w:tcBorders>
                  <w:noWrap w:val="0"/>
                  <w:vAlign w:val="center"/>
                </w:tcPr>
                <w:p w14:paraId="1680F0F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0.44</w:t>
                  </w:r>
                </w:p>
              </w:tc>
              <w:tc>
                <w:tcPr>
                  <w:tcW w:w="1149" w:type="pct"/>
                  <w:tcBorders>
                    <w:tl2br w:val="nil"/>
                    <w:tr2bl w:val="nil"/>
                  </w:tcBorders>
                  <w:noWrap w:val="0"/>
                  <w:vAlign w:val="center"/>
                </w:tcPr>
                <w:p w14:paraId="00A0B4B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0.22</w:t>
                  </w:r>
                </w:p>
              </w:tc>
              <w:tc>
                <w:tcPr>
                  <w:tcW w:w="1209" w:type="pct"/>
                  <w:vMerge w:val="continue"/>
                  <w:tcBorders>
                    <w:tl2br w:val="nil"/>
                    <w:tr2bl w:val="nil"/>
                  </w:tcBorders>
                  <w:noWrap w:val="0"/>
                  <w:vAlign w:val="center"/>
                </w:tcPr>
                <w:p w14:paraId="1513FD1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03A8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62AD646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丙酮</w:t>
                  </w:r>
                </w:p>
              </w:tc>
              <w:tc>
                <w:tcPr>
                  <w:tcW w:w="1213" w:type="pct"/>
                  <w:tcBorders>
                    <w:tl2br w:val="nil"/>
                    <w:tr2bl w:val="nil"/>
                  </w:tcBorders>
                  <w:noWrap w:val="0"/>
                  <w:vAlign w:val="center"/>
                </w:tcPr>
                <w:p w14:paraId="2C5A92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1.97</w:t>
                  </w:r>
                </w:p>
              </w:tc>
              <w:tc>
                <w:tcPr>
                  <w:tcW w:w="1149" w:type="pct"/>
                  <w:tcBorders>
                    <w:tl2br w:val="nil"/>
                    <w:tr2bl w:val="nil"/>
                  </w:tcBorders>
                  <w:noWrap w:val="0"/>
                  <w:vAlign w:val="center"/>
                </w:tcPr>
                <w:p w14:paraId="5004D86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0.99</w:t>
                  </w:r>
                </w:p>
              </w:tc>
              <w:tc>
                <w:tcPr>
                  <w:tcW w:w="1209" w:type="pct"/>
                  <w:vMerge w:val="continue"/>
                  <w:tcBorders>
                    <w:tl2br w:val="nil"/>
                    <w:tr2bl w:val="nil"/>
                  </w:tcBorders>
                  <w:noWrap w:val="0"/>
                  <w:vAlign w:val="center"/>
                </w:tcPr>
                <w:p w14:paraId="644F28C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47F50A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816B83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乙醚</w:t>
                  </w:r>
                </w:p>
              </w:tc>
              <w:tc>
                <w:tcPr>
                  <w:tcW w:w="1213" w:type="pct"/>
                  <w:tcBorders>
                    <w:tl2br w:val="nil"/>
                    <w:tr2bl w:val="nil"/>
                  </w:tcBorders>
                  <w:noWrap w:val="0"/>
                  <w:vAlign w:val="center"/>
                </w:tcPr>
                <w:p w14:paraId="2DDAC3A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0.36</w:t>
                  </w:r>
                </w:p>
              </w:tc>
              <w:tc>
                <w:tcPr>
                  <w:tcW w:w="1149" w:type="pct"/>
                  <w:tcBorders>
                    <w:tl2br w:val="nil"/>
                    <w:tr2bl w:val="nil"/>
                  </w:tcBorders>
                  <w:noWrap w:val="0"/>
                  <w:vAlign w:val="center"/>
                </w:tcPr>
                <w:p w14:paraId="46419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0.18</w:t>
                  </w:r>
                </w:p>
              </w:tc>
              <w:tc>
                <w:tcPr>
                  <w:tcW w:w="1209" w:type="pct"/>
                  <w:vMerge w:val="continue"/>
                  <w:tcBorders>
                    <w:tl2br w:val="nil"/>
                    <w:tr2bl w:val="nil"/>
                  </w:tcBorders>
                  <w:noWrap w:val="0"/>
                  <w:vAlign w:val="center"/>
                </w:tcPr>
                <w:p w14:paraId="749288B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2697B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2E58016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三氯甲烷</w:t>
                  </w:r>
                </w:p>
              </w:tc>
              <w:tc>
                <w:tcPr>
                  <w:tcW w:w="1213" w:type="pct"/>
                  <w:tcBorders>
                    <w:tl2br w:val="nil"/>
                    <w:tr2bl w:val="nil"/>
                  </w:tcBorders>
                  <w:noWrap w:val="0"/>
                  <w:vAlign w:val="center"/>
                </w:tcPr>
                <w:p w14:paraId="35D7E59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15.00</w:t>
                  </w:r>
                </w:p>
              </w:tc>
              <w:tc>
                <w:tcPr>
                  <w:tcW w:w="1149" w:type="pct"/>
                  <w:tcBorders>
                    <w:tl2br w:val="nil"/>
                    <w:tr2bl w:val="nil"/>
                  </w:tcBorders>
                  <w:noWrap w:val="0"/>
                  <w:vAlign w:val="center"/>
                </w:tcPr>
                <w:p w14:paraId="5C0F880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7.50</w:t>
                  </w:r>
                </w:p>
              </w:tc>
              <w:tc>
                <w:tcPr>
                  <w:tcW w:w="1209" w:type="pct"/>
                  <w:vMerge w:val="continue"/>
                  <w:tcBorders>
                    <w:tl2br w:val="nil"/>
                    <w:tr2bl w:val="nil"/>
                  </w:tcBorders>
                  <w:noWrap w:val="0"/>
                  <w:vAlign w:val="center"/>
                </w:tcPr>
                <w:p w14:paraId="3A73D54B">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181DF4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4F1A64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无水乙醇</w:t>
                  </w:r>
                </w:p>
              </w:tc>
              <w:tc>
                <w:tcPr>
                  <w:tcW w:w="1213" w:type="pct"/>
                  <w:tcBorders>
                    <w:tl2br w:val="nil"/>
                    <w:tr2bl w:val="nil"/>
                  </w:tcBorders>
                  <w:noWrap w:val="0"/>
                  <w:vAlign w:val="center"/>
                </w:tcPr>
                <w:p w14:paraId="0688B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7.89</w:t>
                  </w:r>
                </w:p>
              </w:tc>
              <w:tc>
                <w:tcPr>
                  <w:tcW w:w="1149" w:type="pct"/>
                  <w:tcBorders>
                    <w:tl2br w:val="nil"/>
                    <w:tr2bl w:val="nil"/>
                  </w:tcBorders>
                  <w:noWrap w:val="0"/>
                  <w:vAlign w:val="center"/>
                </w:tcPr>
                <w:p w14:paraId="02AE5CD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3.95</w:t>
                  </w:r>
                </w:p>
              </w:tc>
              <w:tc>
                <w:tcPr>
                  <w:tcW w:w="1209" w:type="pct"/>
                  <w:vMerge w:val="continue"/>
                  <w:tcBorders>
                    <w:tl2br w:val="nil"/>
                    <w:tr2bl w:val="nil"/>
                  </w:tcBorders>
                  <w:noWrap w:val="0"/>
                  <w:vAlign w:val="center"/>
                </w:tcPr>
                <w:p w14:paraId="7364E27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E407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BE17DA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乙酸丁酯</w:t>
                  </w:r>
                </w:p>
              </w:tc>
              <w:tc>
                <w:tcPr>
                  <w:tcW w:w="1213" w:type="pct"/>
                  <w:tcBorders>
                    <w:tl2br w:val="nil"/>
                    <w:tr2bl w:val="nil"/>
                  </w:tcBorders>
                  <w:noWrap w:val="0"/>
                  <w:vAlign w:val="center"/>
                </w:tcPr>
                <w:p w14:paraId="217009B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0.88</w:t>
                  </w:r>
                </w:p>
              </w:tc>
              <w:tc>
                <w:tcPr>
                  <w:tcW w:w="1149" w:type="pct"/>
                  <w:tcBorders>
                    <w:tl2br w:val="nil"/>
                    <w:tr2bl w:val="nil"/>
                  </w:tcBorders>
                  <w:noWrap w:val="0"/>
                  <w:vAlign w:val="center"/>
                </w:tcPr>
                <w:p w14:paraId="253CF8B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0.44</w:t>
                  </w:r>
                </w:p>
              </w:tc>
              <w:tc>
                <w:tcPr>
                  <w:tcW w:w="1209" w:type="pct"/>
                  <w:vMerge w:val="continue"/>
                  <w:tcBorders>
                    <w:tl2br w:val="nil"/>
                    <w:tr2bl w:val="nil"/>
                  </w:tcBorders>
                  <w:noWrap w:val="0"/>
                  <w:vAlign w:val="center"/>
                </w:tcPr>
                <w:p w14:paraId="70B2B8E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8022A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D68AF9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乙酸乙酯</w:t>
                  </w:r>
                </w:p>
              </w:tc>
              <w:tc>
                <w:tcPr>
                  <w:tcW w:w="1213" w:type="pct"/>
                  <w:tcBorders>
                    <w:tl2br w:val="nil"/>
                    <w:tr2bl w:val="nil"/>
                  </w:tcBorders>
                  <w:noWrap w:val="0"/>
                  <w:vAlign w:val="center"/>
                </w:tcPr>
                <w:p w14:paraId="613A188D">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0.90</w:t>
                  </w:r>
                </w:p>
              </w:tc>
              <w:tc>
                <w:tcPr>
                  <w:tcW w:w="1149" w:type="pct"/>
                  <w:tcBorders>
                    <w:tl2br w:val="nil"/>
                    <w:tr2bl w:val="nil"/>
                  </w:tcBorders>
                  <w:noWrap w:val="0"/>
                  <w:vAlign w:val="center"/>
                </w:tcPr>
                <w:p w14:paraId="382D386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0.45</w:t>
                  </w:r>
                </w:p>
              </w:tc>
              <w:tc>
                <w:tcPr>
                  <w:tcW w:w="1209" w:type="pct"/>
                  <w:vMerge w:val="continue"/>
                  <w:tcBorders>
                    <w:tl2br w:val="nil"/>
                    <w:tr2bl w:val="nil"/>
                  </w:tcBorders>
                  <w:noWrap w:val="0"/>
                  <w:vAlign w:val="center"/>
                </w:tcPr>
                <w:p w14:paraId="23868FD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3A7C6B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28D2CE3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正十六烷</w:t>
                  </w:r>
                </w:p>
              </w:tc>
              <w:tc>
                <w:tcPr>
                  <w:tcW w:w="1213" w:type="pct"/>
                  <w:tcBorders>
                    <w:tl2br w:val="nil"/>
                    <w:tr2bl w:val="nil"/>
                  </w:tcBorders>
                  <w:noWrap w:val="0"/>
                  <w:vAlign w:val="center"/>
                </w:tcPr>
                <w:p w14:paraId="0F7D4C6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0.77</w:t>
                  </w:r>
                </w:p>
              </w:tc>
              <w:tc>
                <w:tcPr>
                  <w:tcW w:w="1149" w:type="pct"/>
                  <w:tcBorders>
                    <w:tl2br w:val="nil"/>
                    <w:tr2bl w:val="nil"/>
                  </w:tcBorders>
                  <w:noWrap w:val="0"/>
                  <w:vAlign w:val="center"/>
                </w:tcPr>
                <w:p w14:paraId="27DCF2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0.39</w:t>
                  </w:r>
                </w:p>
              </w:tc>
              <w:tc>
                <w:tcPr>
                  <w:tcW w:w="1209" w:type="pct"/>
                  <w:vMerge w:val="continue"/>
                  <w:tcBorders>
                    <w:tl2br w:val="nil"/>
                    <w:tr2bl w:val="nil"/>
                  </w:tcBorders>
                  <w:noWrap w:val="0"/>
                  <w:vAlign w:val="center"/>
                </w:tcPr>
                <w:p w14:paraId="4E185A9F">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A57B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4" w:hRule="exact"/>
              </w:trPr>
              <w:tc>
                <w:tcPr>
                  <w:tcW w:w="1427" w:type="pct"/>
                  <w:tcBorders>
                    <w:tl2br w:val="nil"/>
                    <w:tr2bl w:val="nil"/>
                  </w:tcBorders>
                  <w:noWrap w:val="0"/>
                  <w:vAlign w:val="center"/>
                </w:tcPr>
                <w:p w14:paraId="74AE300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异辛烷</w:t>
                  </w:r>
                </w:p>
              </w:tc>
              <w:tc>
                <w:tcPr>
                  <w:tcW w:w="1213" w:type="pct"/>
                  <w:tcBorders>
                    <w:tl2br w:val="nil"/>
                    <w:tr2bl w:val="nil"/>
                  </w:tcBorders>
                  <w:noWrap w:val="0"/>
                  <w:vAlign w:val="center"/>
                </w:tcPr>
                <w:p w14:paraId="6A082A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0.69</w:t>
                  </w:r>
                </w:p>
              </w:tc>
              <w:tc>
                <w:tcPr>
                  <w:tcW w:w="1149" w:type="pct"/>
                  <w:tcBorders>
                    <w:tl2br w:val="nil"/>
                    <w:tr2bl w:val="nil"/>
                  </w:tcBorders>
                  <w:noWrap w:val="0"/>
                  <w:vAlign w:val="center"/>
                </w:tcPr>
                <w:p w14:paraId="59BEA3D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0.35</w:t>
                  </w:r>
                </w:p>
              </w:tc>
              <w:tc>
                <w:tcPr>
                  <w:tcW w:w="1209" w:type="pct"/>
                  <w:vMerge w:val="continue"/>
                  <w:tcBorders>
                    <w:tl2br w:val="nil"/>
                    <w:tr2bl w:val="nil"/>
                  </w:tcBorders>
                  <w:noWrap w:val="0"/>
                  <w:vAlign w:val="center"/>
                </w:tcPr>
                <w:p w14:paraId="10C79139">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0F56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AFF0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甲亚胺</w:t>
                  </w:r>
                </w:p>
              </w:tc>
              <w:tc>
                <w:tcPr>
                  <w:tcW w:w="1213" w:type="pct"/>
                  <w:tcBorders>
                    <w:tl2br w:val="nil"/>
                    <w:tr2bl w:val="nil"/>
                  </w:tcBorders>
                  <w:noWrap w:val="0"/>
                  <w:vAlign w:val="center"/>
                </w:tcPr>
                <w:p w14:paraId="0536D41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0.50</w:t>
                  </w:r>
                </w:p>
              </w:tc>
              <w:tc>
                <w:tcPr>
                  <w:tcW w:w="1149" w:type="pct"/>
                  <w:tcBorders>
                    <w:tl2br w:val="nil"/>
                    <w:tr2bl w:val="nil"/>
                  </w:tcBorders>
                  <w:noWrap w:val="0"/>
                  <w:vAlign w:val="center"/>
                </w:tcPr>
                <w:p w14:paraId="6EF3EFC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209" w:type="pct"/>
                  <w:vMerge w:val="continue"/>
                  <w:tcBorders>
                    <w:tl2br w:val="nil"/>
                    <w:tr2bl w:val="nil"/>
                  </w:tcBorders>
                  <w:noWrap w:val="0"/>
                  <w:vAlign w:val="center"/>
                </w:tcPr>
                <w:p w14:paraId="1BF238E8">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7A5A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F35DBA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乙醛</w:t>
                  </w:r>
                </w:p>
              </w:tc>
              <w:tc>
                <w:tcPr>
                  <w:tcW w:w="1213" w:type="pct"/>
                  <w:tcBorders>
                    <w:tl2br w:val="nil"/>
                    <w:tr2bl w:val="nil"/>
                  </w:tcBorders>
                  <w:noWrap w:val="0"/>
                  <w:vAlign w:val="center"/>
                </w:tcPr>
                <w:p w14:paraId="3E4BC92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1.57</w:t>
                  </w:r>
                </w:p>
              </w:tc>
              <w:tc>
                <w:tcPr>
                  <w:tcW w:w="1149" w:type="pct"/>
                  <w:tcBorders>
                    <w:tl2br w:val="nil"/>
                    <w:tr2bl w:val="nil"/>
                  </w:tcBorders>
                  <w:noWrap w:val="0"/>
                  <w:vAlign w:val="center"/>
                </w:tcPr>
                <w:p w14:paraId="2ADBB4B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0.79</w:t>
                  </w:r>
                </w:p>
              </w:tc>
              <w:tc>
                <w:tcPr>
                  <w:tcW w:w="1209" w:type="pct"/>
                  <w:vMerge w:val="continue"/>
                  <w:tcBorders>
                    <w:tl2br w:val="nil"/>
                    <w:tr2bl w:val="nil"/>
                  </w:tcBorders>
                  <w:noWrap w:val="0"/>
                  <w:vAlign w:val="center"/>
                </w:tcPr>
                <w:p w14:paraId="75E2234D">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98534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418D68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异戊醇</w:t>
                  </w:r>
                </w:p>
              </w:tc>
              <w:tc>
                <w:tcPr>
                  <w:tcW w:w="1213" w:type="pct"/>
                  <w:tcBorders>
                    <w:tl2br w:val="nil"/>
                    <w:tr2bl w:val="nil"/>
                  </w:tcBorders>
                  <w:noWrap w:val="0"/>
                  <w:vAlign w:val="center"/>
                </w:tcPr>
                <w:p w14:paraId="663CFFC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0.81</w:t>
                  </w:r>
                </w:p>
              </w:tc>
              <w:tc>
                <w:tcPr>
                  <w:tcW w:w="1149" w:type="pct"/>
                  <w:tcBorders>
                    <w:tl2br w:val="nil"/>
                    <w:tr2bl w:val="nil"/>
                  </w:tcBorders>
                  <w:noWrap w:val="0"/>
                  <w:vAlign w:val="center"/>
                </w:tcPr>
                <w:p w14:paraId="080FC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0.40</w:t>
                  </w:r>
                </w:p>
              </w:tc>
              <w:tc>
                <w:tcPr>
                  <w:tcW w:w="1209" w:type="pct"/>
                  <w:vMerge w:val="continue"/>
                  <w:tcBorders>
                    <w:tl2br w:val="nil"/>
                    <w:tr2bl w:val="nil"/>
                  </w:tcBorders>
                  <w:noWrap w:val="0"/>
                  <w:vAlign w:val="center"/>
                </w:tcPr>
                <w:p w14:paraId="2BCF4FE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CCCB1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3E2D0F3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异丙醇</w:t>
                  </w:r>
                </w:p>
              </w:tc>
              <w:tc>
                <w:tcPr>
                  <w:tcW w:w="1213" w:type="pct"/>
                  <w:tcBorders>
                    <w:tl2br w:val="nil"/>
                    <w:tr2bl w:val="nil"/>
                  </w:tcBorders>
                  <w:noWrap w:val="0"/>
                  <w:vAlign w:val="center"/>
                </w:tcPr>
                <w:p w14:paraId="3865EA0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1.57</w:t>
                  </w:r>
                </w:p>
              </w:tc>
              <w:tc>
                <w:tcPr>
                  <w:tcW w:w="1149" w:type="pct"/>
                  <w:tcBorders>
                    <w:tl2br w:val="nil"/>
                    <w:tr2bl w:val="nil"/>
                  </w:tcBorders>
                  <w:noWrap w:val="0"/>
                  <w:vAlign w:val="center"/>
                </w:tcPr>
                <w:p w14:paraId="1C850F0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0.79</w:t>
                  </w:r>
                </w:p>
              </w:tc>
              <w:tc>
                <w:tcPr>
                  <w:tcW w:w="1209" w:type="pct"/>
                  <w:vMerge w:val="continue"/>
                  <w:tcBorders>
                    <w:tl2br w:val="nil"/>
                    <w:tr2bl w:val="nil"/>
                  </w:tcBorders>
                  <w:noWrap w:val="0"/>
                  <w:vAlign w:val="center"/>
                </w:tcPr>
                <w:p w14:paraId="4CF9D62A">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174F0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2253504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石油醚</w:t>
                  </w:r>
                </w:p>
              </w:tc>
              <w:tc>
                <w:tcPr>
                  <w:tcW w:w="1213" w:type="pct"/>
                  <w:tcBorders>
                    <w:tl2br w:val="nil"/>
                    <w:tr2bl w:val="nil"/>
                  </w:tcBorders>
                  <w:noWrap w:val="0"/>
                  <w:vAlign w:val="center"/>
                </w:tcPr>
                <w:p w14:paraId="491CCBC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0.77</w:t>
                  </w:r>
                </w:p>
              </w:tc>
              <w:tc>
                <w:tcPr>
                  <w:tcW w:w="1149" w:type="pct"/>
                  <w:tcBorders>
                    <w:tl2br w:val="nil"/>
                    <w:tr2bl w:val="nil"/>
                  </w:tcBorders>
                  <w:noWrap w:val="0"/>
                  <w:vAlign w:val="center"/>
                </w:tcPr>
                <w:p w14:paraId="6F12F0C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0.39</w:t>
                  </w:r>
                </w:p>
              </w:tc>
              <w:tc>
                <w:tcPr>
                  <w:tcW w:w="1209" w:type="pct"/>
                  <w:vMerge w:val="continue"/>
                  <w:tcBorders>
                    <w:tl2br w:val="nil"/>
                    <w:tr2bl w:val="nil"/>
                  </w:tcBorders>
                  <w:noWrap w:val="0"/>
                  <w:vAlign w:val="center"/>
                </w:tcPr>
                <w:p w14:paraId="22D734F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4816B8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73A5F3F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五氯苯酚</w:t>
                  </w:r>
                </w:p>
              </w:tc>
              <w:tc>
                <w:tcPr>
                  <w:tcW w:w="1213" w:type="pct"/>
                  <w:tcBorders>
                    <w:tl2br w:val="nil"/>
                    <w:tr2bl w:val="nil"/>
                  </w:tcBorders>
                  <w:noWrap w:val="0"/>
                  <w:vAlign w:val="center"/>
                </w:tcPr>
                <w:p w14:paraId="784D2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0.10</w:t>
                  </w:r>
                </w:p>
              </w:tc>
              <w:tc>
                <w:tcPr>
                  <w:tcW w:w="1149" w:type="pct"/>
                  <w:tcBorders>
                    <w:tl2br w:val="nil"/>
                    <w:tr2bl w:val="nil"/>
                  </w:tcBorders>
                  <w:noWrap w:val="0"/>
                  <w:vAlign w:val="center"/>
                </w:tcPr>
                <w:p w14:paraId="5C24AB57">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0.05</w:t>
                  </w:r>
                </w:p>
              </w:tc>
              <w:tc>
                <w:tcPr>
                  <w:tcW w:w="1209" w:type="pct"/>
                  <w:vMerge w:val="continue"/>
                  <w:tcBorders>
                    <w:tl2br w:val="nil"/>
                    <w:tr2bl w:val="nil"/>
                  </w:tcBorders>
                  <w:noWrap w:val="0"/>
                  <w:vAlign w:val="center"/>
                </w:tcPr>
                <w:p w14:paraId="719261E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E753B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exact"/>
              </w:trPr>
              <w:tc>
                <w:tcPr>
                  <w:tcW w:w="1427" w:type="pct"/>
                  <w:tcBorders>
                    <w:tl2br w:val="nil"/>
                    <w:tr2bl w:val="nil"/>
                  </w:tcBorders>
                  <w:noWrap w:val="0"/>
                  <w:vAlign w:val="center"/>
                </w:tcPr>
                <w:p w14:paraId="650285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cs="Times New Roman"/>
                      <w:b/>
                      <w:bCs/>
                      <w:i w:val="0"/>
                      <w:iCs w:val="0"/>
                      <w:color w:val="auto"/>
                      <w:kern w:val="0"/>
                      <w:sz w:val="22"/>
                      <w:szCs w:val="22"/>
                      <w:u w:val="none"/>
                      <w:lang w:val="en-US" w:eastAsia="zh-CN" w:bidi="ar"/>
                    </w:rPr>
                    <w:t>合计</w:t>
                  </w:r>
                </w:p>
              </w:tc>
              <w:tc>
                <w:tcPr>
                  <w:tcW w:w="1213" w:type="pct"/>
                  <w:tcBorders>
                    <w:tl2br w:val="nil"/>
                    <w:tr2bl w:val="nil"/>
                  </w:tcBorders>
                  <w:noWrap w:val="0"/>
                  <w:vAlign w:val="center"/>
                </w:tcPr>
                <w:p w14:paraId="0B9FB5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cs="Times New Roman"/>
                      <w:b/>
                      <w:bCs/>
                      <w:i w:val="0"/>
                      <w:iCs w:val="0"/>
                      <w:color w:val="auto"/>
                      <w:kern w:val="0"/>
                      <w:sz w:val="22"/>
                      <w:szCs w:val="22"/>
                      <w:u w:val="none"/>
                      <w:lang w:val="en-US" w:eastAsia="zh-CN" w:bidi="ar"/>
                    </w:rPr>
                    <w:t>52.04</w:t>
                  </w:r>
                </w:p>
              </w:tc>
              <w:tc>
                <w:tcPr>
                  <w:tcW w:w="1149" w:type="pct"/>
                  <w:tcBorders>
                    <w:tl2br w:val="nil"/>
                    <w:tr2bl w:val="nil"/>
                  </w:tcBorders>
                  <w:noWrap w:val="0"/>
                  <w:vAlign w:val="center"/>
                </w:tcPr>
                <w:p w14:paraId="014820FA">
                  <w:pPr>
                    <w:pStyle w:val="37"/>
                    <w:keepNext w:val="0"/>
                    <w:keepLines w:val="0"/>
                    <w:widowControl/>
                    <w:suppressLineNumbers w:val="0"/>
                    <w:bidi w:val="0"/>
                    <w:spacing w:before="0" w:beforeAutospacing="0" w:after="0" w:afterAutospacing="0"/>
                    <w:ind w:right="0"/>
                    <w:jc w:val="center"/>
                    <w:rPr>
                      <w:rFonts w:hint="default" w:ascii="Times New Roman" w:hAnsi="Times New Roman" w:cs="Times New Roman"/>
                      <w:b/>
                      <w:bCs/>
                      <w:color w:val="auto"/>
                      <w:szCs w:val="20"/>
                      <w:lang w:val="en-US" w:eastAsia="zh-CN"/>
                    </w:rPr>
                  </w:pPr>
                  <w:r>
                    <w:rPr>
                      <w:rFonts w:hint="default" w:ascii="Times New Roman" w:hAnsi="Times New Roman" w:cs="Times New Roman"/>
                      <w:b/>
                      <w:bCs/>
                      <w:color w:val="auto"/>
                      <w:szCs w:val="20"/>
                      <w:lang w:val="en-US" w:eastAsia="zh-CN"/>
                    </w:rPr>
                    <w:t>26.02</w:t>
                  </w:r>
                </w:p>
              </w:tc>
              <w:tc>
                <w:tcPr>
                  <w:tcW w:w="1209" w:type="pct"/>
                  <w:vMerge w:val="continue"/>
                  <w:tcBorders>
                    <w:tl2br w:val="nil"/>
                    <w:tr2bl w:val="nil"/>
                  </w:tcBorders>
                  <w:noWrap w:val="0"/>
                  <w:vAlign w:val="center"/>
                </w:tcPr>
                <w:p w14:paraId="234D3A4F">
                  <w:pPr>
                    <w:pStyle w:val="37"/>
                    <w:keepNext w:val="0"/>
                    <w:keepLines w:val="0"/>
                    <w:widowControl/>
                    <w:suppressLineNumbers w:val="0"/>
                    <w:bidi w:val="0"/>
                    <w:spacing w:before="0" w:beforeAutospacing="0" w:after="0" w:afterAutospacing="0"/>
                    <w:ind w:right="0"/>
                    <w:rPr>
                      <w:rFonts w:hint="default"/>
                      <w:b/>
                      <w:bCs/>
                      <w:color w:val="auto"/>
                      <w:szCs w:val="20"/>
                      <w:lang w:val="en-US" w:eastAsia="zh-CN"/>
                    </w:rPr>
                  </w:pPr>
                </w:p>
              </w:tc>
            </w:tr>
          </w:tbl>
          <w:p w14:paraId="6DF75F42">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cs="Times New Roman"/>
                <w:color w:val="auto"/>
                <w:lang w:val="en-US" w:eastAsia="zh-CN"/>
              </w:rPr>
            </w:pPr>
            <w:r>
              <w:rPr>
                <w:rFonts w:hint="eastAsia" w:cs="Times New Roman"/>
                <w:color w:val="auto"/>
                <w:lang w:val="en-US" w:eastAsia="zh-CN"/>
              </w:rPr>
              <w:t>②酸性废气</w:t>
            </w:r>
          </w:p>
          <w:p w14:paraId="47BB813A">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本项目实验过程中用到</w:t>
            </w:r>
            <w:r>
              <w:rPr>
                <w:rFonts w:hint="eastAsia" w:cs="Times New Roman"/>
                <w:color w:val="auto"/>
                <w:lang w:val="en-US" w:eastAsia="zh-CN"/>
              </w:rPr>
              <w:t>酸性</w:t>
            </w:r>
            <w:r>
              <w:rPr>
                <w:rFonts w:hint="eastAsia" w:ascii="Times New Roman" w:hAnsi="Times New Roman" w:eastAsia="宋体" w:cs="Times New Roman"/>
                <w:color w:val="auto"/>
                <w:lang w:val="en-US" w:eastAsia="zh-CN"/>
              </w:rPr>
              <w:t>试剂为硫酸、盐酸、硝酸，高氯酸等，根据建设项目提供试剂使用情况，项目试剂</w:t>
            </w:r>
            <w:r>
              <w:rPr>
                <w:rFonts w:hint="eastAsia" w:cs="Times New Roman"/>
                <w:color w:val="auto"/>
                <w:lang w:val="en-US" w:eastAsia="zh-CN"/>
              </w:rPr>
              <w:t>酸性</w:t>
            </w:r>
            <w:r>
              <w:rPr>
                <w:rFonts w:hint="eastAsia" w:ascii="Times New Roman" w:hAnsi="Times New Roman" w:eastAsia="宋体" w:cs="Times New Roman"/>
                <w:color w:val="auto"/>
                <w:lang w:val="en-US" w:eastAsia="zh-CN"/>
              </w:rPr>
              <w:t>废气</w:t>
            </w:r>
            <w:r>
              <w:rPr>
                <w:rFonts w:hint="eastAsia" w:cs="Times New Roman"/>
                <w:color w:val="auto"/>
                <w:lang w:val="en-US" w:eastAsia="zh-CN"/>
              </w:rPr>
              <w:t>产生</w:t>
            </w:r>
            <w:r>
              <w:rPr>
                <w:rFonts w:hint="eastAsia" w:ascii="Times New Roman" w:hAnsi="Times New Roman" w:eastAsia="宋体" w:cs="Times New Roman"/>
                <w:color w:val="auto"/>
                <w:lang w:val="en-US" w:eastAsia="zh-CN"/>
              </w:rPr>
              <w:t>情况如下表所示。</w:t>
            </w:r>
          </w:p>
          <w:p w14:paraId="4D3257D9">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酸性试剂</w:t>
            </w:r>
            <w:r>
              <w:rPr>
                <w:rFonts w:hint="default" w:ascii="Times New Roman" w:hAnsi="Times New Roman" w:cs="Times New Roman"/>
                <w:color w:val="auto"/>
                <w:highlight w:val="none"/>
                <w:lang w:val="en-US" w:eastAsia="zh-CN"/>
              </w:rPr>
              <w:t>挥发量计算一览表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775"/>
              <w:gridCol w:w="1962"/>
              <w:gridCol w:w="2230"/>
            </w:tblGrid>
            <w:tr w14:paraId="4CC7E8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1331" w:type="pct"/>
                  <w:tcBorders>
                    <w:tl2br w:val="nil"/>
                    <w:tr2bl w:val="nil"/>
                  </w:tcBorders>
                  <w:noWrap w:val="0"/>
                  <w:vAlign w:val="center"/>
                </w:tcPr>
                <w:p w14:paraId="2CE73984">
                  <w:pPr>
                    <w:pStyle w:val="37"/>
                    <w:keepNext w:val="0"/>
                    <w:keepLines w:val="0"/>
                    <w:widowControl/>
                    <w:suppressLineNumbers w:val="0"/>
                    <w:bidi w:val="0"/>
                    <w:spacing w:before="0" w:beforeAutospacing="0" w:after="0" w:afterAutospacing="0"/>
                    <w:ind w:right="0"/>
                    <w:rPr>
                      <w:rFonts w:hint="default"/>
                      <w:b w:val="0"/>
                      <w:bCs w:val="0"/>
                      <w:color w:val="auto"/>
                      <w:sz w:val="21"/>
                      <w:szCs w:val="21"/>
                      <w:lang w:val="en-US" w:eastAsia="zh-CN"/>
                    </w:rPr>
                  </w:pPr>
                  <w:r>
                    <w:rPr>
                      <w:rFonts w:hint="eastAsia" w:cs="宋体"/>
                      <w:b w:val="0"/>
                      <w:bCs w:val="0"/>
                      <w:color w:val="auto"/>
                      <w:kern w:val="0"/>
                      <w:sz w:val="21"/>
                      <w:szCs w:val="21"/>
                      <w:lang w:val="en-US" w:eastAsia="zh-CN" w:bidi="ar"/>
                    </w:rPr>
                    <w:t>试剂</w:t>
                  </w:r>
                  <w:r>
                    <w:rPr>
                      <w:rFonts w:hint="eastAsia" w:cs="宋体"/>
                      <w:b w:val="0"/>
                      <w:bCs w:val="0"/>
                      <w:color w:val="auto"/>
                      <w:kern w:val="0"/>
                      <w:sz w:val="21"/>
                      <w:szCs w:val="21"/>
                      <w:lang w:bidi="ar"/>
                    </w:rPr>
                    <w:t>名称</w:t>
                  </w:r>
                </w:p>
              </w:tc>
              <w:tc>
                <w:tcPr>
                  <w:tcW w:w="1091" w:type="pct"/>
                  <w:tcBorders>
                    <w:tl2br w:val="nil"/>
                    <w:tr2bl w:val="nil"/>
                  </w:tcBorders>
                  <w:noWrap w:val="0"/>
                  <w:vAlign w:val="center"/>
                </w:tcPr>
                <w:p w14:paraId="60D023BA">
                  <w:pPr>
                    <w:pStyle w:val="37"/>
                    <w:keepNext w:val="0"/>
                    <w:keepLines w:val="0"/>
                    <w:widowControl/>
                    <w:suppressLineNumbers w:val="0"/>
                    <w:bidi w:val="0"/>
                    <w:spacing w:before="0" w:beforeAutospacing="0" w:after="0" w:afterAutospacing="0"/>
                    <w:ind w:right="0"/>
                    <w:rPr>
                      <w:rFonts w:hint="eastAsia" w:eastAsia="宋体"/>
                      <w:b w:val="0"/>
                      <w:bCs w:val="0"/>
                      <w:color w:val="auto"/>
                      <w:sz w:val="21"/>
                      <w:szCs w:val="21"/>
                      <w:lang w:val="en-US" w:eastAsia="zh-CN"/>
                    </w:rPr>
                  </w:pPr>
                  <w:r>
                    <w:rPr>
                      <w:rFonts w:hint="eastAsia" w:cs="宋体"/>
                      <w:b w:val="0"/>
                      <w:bCs w:val="0"/>
                      <w:color w:val="auto"/>
                      <w:kern w:val="0"/>
                      <w:sz w:val="21"/>
                      <w:szCs w:val="21"/>
                      <w:lang w:bidi="ar"/>
                    </w:rPr>
                    <w:t>用量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206" w:type="pct"/>
                  <w:tcBorders>
                    <w:tl2br w:val="nil"/>
                    <w:tr2bl w:val="nil"/>
                  </w:tcBorders>
                  <w:shd w:val="clear" w:color="auto" w:fill="auto"/>
                  <w:noWrap w:val="0"/>
                  <w:vAlign w:val="center"/>
                </w:tcPr>
                <w:p w14:paraId="7584EE83">
                  <w:pPr>
                    <w:pStyle w:val="37"/>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sz w:val="21"/>
                      <w:szCs w:val="21"/>
                      <w:lang w:val="en-US" w:eastAsia="zh-CN"/>
                    </w:rPr>
                  </w:pPr>
                  <w:r>
                    <w:rPr>
                      <w:rFonts w:hint="eastAsia" w:cs="宋体"/>
                      <w:b w:val="0"/>
                      <w:bCs w:val="0"/>
                      <w:color w:val="auto"/>
                      <w:kern w:val="0"/>
                      <w:sz w:val="21"/>
                      <w:szCs w:val="21"/>
                      <w:lang w:val="en-US" w:eastAsia="zh-CN" w:bidi="ar"/>
                    </w:rPr>
                    <w:t>挥发量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371" w:type="pct"/>
                  <w:tcBorders>
                    <w:tl2br w:val="nil"/>
                    <w:tr2bl w:val="nil"/>
                  </w:tcBorders>
                  <w:noWrap w:val="0"/>
                  <w:vAlign w:val="center"/>
                </w:tcPr>
                <w:p w14:paraId="0777D0B3">
                  <w:pPr>
                    <w:pStyle w:val="37"/>
                    <w:keepNext w:val="0"/>
                    <w:keepLines w:val="0"/>
                    <w:widowControl/>
                    <w:suppressLineNumbers w:val="0"/>
                    <w:bidi w:val="0"/>
                    <w:spacing w:before="0" w:beforeAutospacing="0" w:after="0" w:afterAutospacing="0"/>
                    <w:ind w:right="0"/>
                    <w:rPr>
                      <w:rFonts w:hint="default"/>
                      <w:b w:val="0"/>
                      <w:bCs w:val="0"/>
                      <w:color w:val="auto"/>
                      <w:szCs w:val="20"/>
                      <w:lang w:val="en-US" w:eastAsia="zh-CN"/>
                    </w:rPr>
                  </w:pPr>
                  <w:r>
                    <w:rPr>
                      <w:rFonts w:hint="eastAsia" w:cs="宋体"/>
                      <w:b w:val="0"/>
                      <w:bCs w:val="0"/>
                      <w:color w:val="auto"/>
                      <w:kern w:val="0"/>
                      <w:sz w:val="21"/>
                      <w:szCs w:val="21"/>
                      <w:lang w:val="en-US" w:eastAsia="zh-CN" w:bidi="ar"/>
                    </w:rPr>
                    <w:t>备注</w:t>
                  </w:r>
                </w:p>
              </w:tc>
            </w:tr>
            <w:tr w14:paraId="794765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4336B22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高氯酸</w:t>
                  </w:r>
                </w:p>
              </w:tc>
              <w:tc>
                <w:tcPr>
                  <w:tcW w:w="1091" w:type="pct"/>
                  <w:tcBorders>
                    <w:tl2br w:val="nil"/>
                    <w:tr2bl w:val="nil"/>
                  </w:tcBorders>
                  <w:noWrap w:val="0"/>
                  <w:vAlign w:val="center"/>
                </w:tcPr>
                <w:p w14:paraId="2E188A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4.41 </w:t>
                  </w:r>
                </w:p>
              </w:tc>
              <w:tc>
                <w:tcPr>
                  <w:tcW w:w="1206" w:type="pct"/>
                  <w:tcBorders>
                    <w:tl2br w:val="nil"/>
                    <w:tr2bl w:val="nil"/>
                  </w:tcBorders>
                  <w:noWrap w:val="0"/>
                  <w:vAlign w:val="center"/>
                </w:tcPr>
                <w:p w14:paraId="204120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0.44 </w:t>
                  </w:r>
                </w:p>
              </w:tc>
              <w:tc>
                <w:tcPr>
                  <w:tcW w:w="1371" w:type="pct"/>
                  <w:vMerge w:val="restart"/>
                  <w:tcBorders>
                    <w:tl2br w:val="nil"/>
                    <w:tr2bl w:val="nil"/>
                  </w:tcBorders>
                  <w:noWrap w:val="0"/>
                  <w:vAlign w:val="center"/>
                </w:tcPr>
                <w:p w14:paraId="2E2AF1EC">
                  <w:pPr>
                    <w:pStyle w:val="37"/>
                    <w:keepNext w:val="0"/>
                    <w:keepLines w:val="0"/>
                    <w:widowControl/>
                    <w:suppressLineNumbers w:val="0"/>
                    <w:bidi w:val="0"/>
                    <w:spacing w:before="0" w:beforeAutospacing="0" w:after="0" w:afterAutospacing="0"/>
                    <w:ind w:right="0"/>
                    <w:rPr>
                      <w:rFonts w:hint="default" w:eastAsia="宋体"/>
                      <w:color w:val="auto"/>
                      <w:szCs w:val="20"/>
                      <w:lang w:val="en-US" w:eastAsia="zh-CN"/>
                    </w:rPr>
                  </w:pPr>
                  <w:r>
                    <w:rPr>
                      <w:rFonts w:hint="default" w:ascii="Times New Roman" w:hAnsi="Times New Roman" w:eastAsia="宋体" w:cs="Times New Roman"/>
                      <w:i w:val="0"/>
                      <w:iCs w:val="0"/>
                      <w:color w:val="auto"/>
                      <w:kern w:val="0"/>
                      <w:sz w:val="22"/>
                      <w:szCs w:val="22"/>
                      <w:u w:val="none"/>
                      <w:lang w:val="en-US" w:eastAsia="zh-CN" w:bidi="ar"/>
                    </w:rPr>
                    <w:t>实验室</w:t>
                  </w:r>
                  <w:r>
                    <w:rPr>
                      <w:rFonts w:hint="eastAsia" w:cs="Times New Roman"/>
                      <w:i w:val="0"/>
                      <w:iCs w:val="0"/>
                      <w:color w:val="auto"/>
                      <w:kern w:val="0"/>
                      <w:sz w:val="22"/>
                      <w:szCs w:val="22"/>
                      <w:u w:val="none"/>
                      <w:lang w:val="en-US" w:eastAsia="zh-CN" w:bidi="ar"/>
                    </w:rPr>
                    <w:t>酸性</w:t>
                  </w:r>
                  <w:r>
                    <w:rPr>
                      <w:rFonts w:hint="default" w:ascii="Times New Roman" w:hAnsi="Times New Roman" w:eastAsia="宋体" w:cs="Times New Roman"/>
                      <w:i w:val="0"/>
                      <w:iCs w:val="0"/>
                      <w:color w:val="auto"/>
                      <w:kern w:val="0"/>
                      <w:sz w:val="22"/>
                      <w:szCs w:val="22"/>
                      <w:u w:val="none"/>
                      <w:lang w:val="en-US" w:eastAsia="zh-CN" w:bidi="ar"/>
                    </w:rPr>
                    <w:t>废气产生量与其使用的</w:t>
                  </w:r>
                  <w:r>
                    <w:rPr>
                      <w:rFonts w:hint="eastAsia" w:cs="Times New Roman"/>
                      <w:i w:val="0"/>
                      <w:iCs w:val="0"/>
                      <w:color w:val="auto"/>
                      <w:kern w:val="0"/>
                      <w:sz w:val="22"/>
                      <w:szCs w:val="22"/>
                      <w:u w:val="none"/>
                      <w:lang w:val="en-US" w:eastAsia="zh-CN" w:bidi="ar"/>
                    </w:rPr>
                    <w:t>酸性</w:t>
                  </w:r>
                  <w:r>
                    <w:rPr>
                      <w:rFonts w:hint="default" w:ascii="Times New Roman" w:hAnsi="Times New Roman" w:eastAsia="宋体" w:cs="Times New Roman"/>
                      <w:i w:val="0"/>
                      <w:iCs w:val="0"/>
                      <w:color w:val="auto"/>
                      <w:kern w:val="0"/>
                      <w:sz w:val="22"/>
                      <w:szCs w:val="22"/>
                      <w:u w:val="none"/>
                      <w:lang w:val="en-US" w:eastAsia="zh-CN" w:bidi="ar"/>
                    </w:rPr>
                    <w:t>试剂量有关，本次评价实验</w:t>
                  </w:r>
                  <w:r>
                    <w:rPr>
                      <w:rFonts w:hint="eastAsia" w:cs="Times New Roman"/>
                      <w:i w:val="0"/>
                      <w:iCs w:val="0"/>
                      <w:color w:val="auto"/>
                      <w:kern w:val="0"/>
                      <w:sz w:val="22"/>
                      <w:szCs w:val="22"/>
                      <w:u w:val="none"/>
                      <w:lang w:val="en-US" w:eastAsia="zh-CN" w:bidi="ar"/>
                    </w:rPr>
                    <w:t>酸性</w:t>
                  </w:r>
                  <w:r>
                    <w:rPr>
                      <w:rFonts w:hint="default" w:ascii="Times New Roman" w:hAnsi="Times New Roman" w:eastAsia="宋体" w:cs="Times New Roman"/>
                      <w:i w:val="0"/>
                      <w:iCs w:val="0"/>
                      <w:color w:val="auto"/>
                      <w:kern w:val="0"/>
                      <w:sz w:val="22"/>
                      <w:szCs w:val="22"/>
                      <w:u w:val="none"/>
                      <w:lang w:val="en-US" w:eastAsia="zh-CN" w:bidi="ar"/>
                    </w:rPr>
                    <w:t>废气按</w:t>
                  </w:r>
                  <w:r>
                    <w:rPr>
                      <w:rFonts w:hint="eastAsia" w:cs="Times New Roman"/>
                      <w:i w:val="0"/>
                      <w:iCs w:val="0"/>
                      <w:color w:val="auto"/>
                      <w:kern w:val="0"/>
                      <w:sz w:val="22"/>
                      <w:szCs w:val="22"/>
                      <w:u w:val="none"/>
                      <w:lang w:val="en-US" w:eastAsia="zh-CN" w:bidi="ar"/>
                    </w:rPr>
                    <w:t>酸性</w:t>
                  </w:r>
                  <w:r>
                    <w:rPr>
                      <w:rFonts w:hint="default" w:ascii="Times New Roman" w:hAnsi="Times New Roman" w:eastAsia="宋体" w:cs="Times New Roman"/>
                      <w:i w:val="0"/>
                      <w:iCs w:val="0"/>
                      <w:color w:val="auto"/>
                      <w:kern w:val="0"/>
                      <w:sz w:val="22"/>
                      <w:szCs w:val="22"/>
                      <w:u w:val="none"/>
                      <w:lang w:val="en-US" w:eastAsia="zh-CN" w:bidi="ar"/>
                    </w:rPr>
                    <w:t>试剂使用量</w:t>
                  </w:r>
                  <w:r>
                    <w:rPr>
                      <w:rFonts w:hint="eastAsia" w:cs="Times New Roman"/>
                      <w:i w:val="0"/>
                      <w:iCs w:val="0"/>
                      <w:color w:val="auto"/>
                      <w:kern w:val="0"/>
                      <w:sz w:val="22"/>
                      <w:szCs w:val="22"/>
                      <w:u w:val="none"/>
                      <w:lang w:val="en-US" w:eastAsia="zh-CN" w:bidi="ar"/>
                    </w:rPr>
                    <w:t>1</w:t>
                  </w:r>
                  <w:r>
                    <w:rPr>
                      <w:rFonts w:hint="default" w:ascii="Times New Roman" w:hAnsi="Times New Roman" w:eastAsia="宋体" w:cs="Times New Roman"/>
                      <w:i w:val="0"/>
                      <w:iCs w:val="0"/>
                      <w:color w:val="auto"/>
                      <w:kern w:val="0"/>
                      <w:sz w:val="22"/>
                      <w:szCs w:val="22"/>
                      <w:u w:val="none"/>
                      <w:lang w:val="en-US" w:eastAsia="zh-CN" w:bidi="ar"/>
                    </w:rPr>
                    <w:t>0%计算</w:t>
                  </w:r>
                  <w:r>
                    <w:rPr>
                      <w:rFonts w:hint="eastAsia"/>
                      <w:color w:val="auto"/>
                      <w:szCs w:val="20"/>
                      <w:lang w:eastAsia="zh-CN"/>
                    </w:rPr>
                    <w:t>；</w:t>
                  </w:r>
                  <w:r>
                    <w:rPr>
                      <w:rFonts w:hint="eastAsia" w:ascii="Times New Roman" w:hAnsi="Times New Roman" w:eastAsia="宋体" w:cs="Times New Roman"/>
                      <w:i w:val="0"/>
                      <w:iCs w:val="0"/>
                      <w:color w:val="auto"/>
                      <w:kern w:val="0"/>
                      <w:sz w:val="22"/>
                      <w:szCs w:val="22"/>
                      <w:u w:val="none"/>
                      <w:lang w:val="en-US" w:eastAsia="zh-CN" w:bidi="ar"/>
                    </w:rPr>
                    <w:t>硝酸使用量预计仅为0.056t/a，受热分解成氮氧化物量少，不做定量分析。</w:t>
                  </w:r>
                </w:p>
              </w:tc>
            </w:tr>
            <w:tr w14:paraId="644E28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099EDA19">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硝酸</w:t>
                  </w:r>
                </w:p>
              </w:tc>
              <w:tc>
                <w:tcPr>
                  <w:tcW w:w="1091" w:type="pct"/>
                  <w:tcBorders>
                    <w:tl2br w:val="nil"/>
                    <w:tr2bl w:val="nil"/>
                  </w:tcBorders>
                  <w:noWrap w:val="0"/>
                  <w:vAlign w:val="center"/>
                </w:tcPr>
                <w:p w14:paraId="1D4B4B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56.40 </w:t>
                  </w:r>
                </w:p>
              </w:tc>
              <w:tc>
                <w:tcPr>
                  <w:tcW w:w="1206" w:type="pct"/>
                  <w:tcBorders>
                    <w:tl2br w:val="nil"/>
                    <w:tr2bl w:val="nil"/>
                  </w:tcBorders>
                  <w:noWrap w:val="0"/>
                  <w:vAlign w:val="center"/>
                </w:tcPr>
                <w:p w14:paraId="243B98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5.64 </w:t>
                  </w:r>
                </w:p>
              </w:tc>
              <w:tc>
                <w:tcPr>
                  <w:tcW w:w="1371" w:type="pct"/>
                  <w:vMerge w:val="continue"/>
                  <w:tcBorders>
                    <w:tl2br w:val="nil"/>
                    <w:tr2bl w:val="nil"/>
                  </w:tcBorders>
                  <w:noWrap w:val="0"/>
                  <w:vAlign w:val="center"/>
                </w:tcPr>
                <w:p w14:paraId="7BC36B62">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13B3D7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39DD0415">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硫酸</w:t>
                  </w:r>
                </w:p>
              </w:tc>
              <w:tc>
                <w:tcPr>
                  <w:tcW w:w="1091" w:type="pct"/>
                  <w:tcBorders>
                    <w:tl2br w:val="nil"/>
                    <w:tr2bl w:val="nil"/>
                  </w:tcBorders>
                  <w:noWrap w:val="0"/>
                  <w:vAlign w:val="center"/>
                </w:tcPr>
                <w:p w14:paraId="0EEA8E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73.60 </w:t>
                  </w:r>
                </w:p>
              </w:tc>
              <w:tc>
                <w:tcPr>
                  <w:tcW w:w="1206" w:type="pct"/>
                  <w:tcBorders>
                    <w:tl2br w:val="nil"/>
                    <w:tr2bl w:val="nil"/>
                  </w:tcBorders>
                  <w:noWrap w:val="0"/>
                  <w:vAlign w:val="center"/>
                </w:tcPr>
                <w:p w14:paraId="25D80B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7.36 </w:t>
                  </w:r>
                </w:p>
              </w:tc>
              <w:tc>
                <w:tcPr>
                  <w:tcW w:w="1371" w:type="pct"/>
                  <w:vMerge w:val="continue"/>
                  <w:tcBorders>
                    <w:tl2br w:val="nil"/>
                    <w:tr2bl w:val="nil"/>
                  </w:tcBorders>
                  <w:noWrap w:val="0"/>
                  <w:vAlign w:val="center"/>
                </w:tcPr>
                <w:p w14:paraId="737606BE">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0F7F99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4FFC4CC0">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盐酸</w:t>
                  </w:r>
                </w:p>
              </w:tc>
              <w:tc>
                <w:tcPr>
                  <w:tcW w:w="1091" w:type="pct"/>
                  <w:tcBorders>
                    <w:tl2br w:val="nil"/>
                    <w:tr2bl w:val="nil"/>
                  </w:tcBorders>
                  <w:noWrap w:val="0"/>
                  <w:vAlign w:val="center"/>
                </w:tcPr>
                <w:p w14:paraId="4C687D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35.70 </w:t>
                  </w:r>
                </w:p>
              </w:tc>
              <w:tc>
                <w:tcPr>
                  <w:tcW w:w="1206" w:type="pct"/>
                  <w:tcBorders>
                    <w:tl2br w:val="nil"/>
                    <w:tr2bl w:val="nil"/>
                  </w:tcBorders>
                  <w:noWrap w:val="0"/>
                  <w:vAlign w:val="center"/>
                </w:tcPr>
                <w:p w14:paraId="290C65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3.57 </w:t>
                  </w:r>
                </w:p>
              </w:tc>
              <w:tc>
                <w:tcPr>
                  <w:tcW w:w="1371" w:type="pct"/>
                  <w:vMerge w:val="continue"/>
                  <w:tcBorders>
                    <w:tl2br w:val="nil"/>
                    <w:tr2bl w:val="nil"/>
                  </w:tcBorders>
                  <w:noWrap w:val="0"/>
                  <w:vAlign w:val="center"/>
                </w:tcPr>
                <w:p w14:paraId="1255B378">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74A8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3E22D5C1">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磷酸</w:t>
                  </w:r>
                </w:p>
              </w:tc>
              <w:tc>
                <w:tcPr>
                  <w:tcW w:w="1091" w:type="pct"/>
                  <w:tcBorders>
                    <w:tl2br w:val="nil"/>
                    <w:tr2bl w:val="nil"/>
                  </w:tcBorders>
                  <w:noWrap w:val="0"/>
                  <w:vAlign w:val="center"/>
                </w:tcPr>
                <w:p w14:paraId="553C78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4.69 </w:t>
                  </w:r>
                </w:p>
              </w:tc>
              <w:tc>
                <w:tcPr>
                  <w:tcW w:w="1206" w:type="pct"/>
                  <w:tcBorders>
                    <w:tl2br w:val="nil"/>
                    <w:tr2bl w:val="nil"/>
                  </w:tcBorders>
                  <w:noWrap w:val="0"/>
                  <w:vAlign w:val="center"/>
                </w:tcPr>
                <w:p w14:paraId="6C31D0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0.47 </w:t>
                  </w:r>
                </w:p>
              </w:tc>
              <w:tc>
                <w:tcPr>
                  <w:tcW w:w="1371" w:type="pct"/>
                  <w:vMerge w:val="continue"/>
                  <w:tcBorders>
                    <w:tl2br w:val="nil"/>
                    <w:tr2bl w:val="nil"/>
                  </w:tcBorders>
                  <w:noWrap w:val="0"/>
                  <w:vAlign w:val="center"/>
                </w:tcPr>
                <w:p w14:paraId="72A415CF">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4CFA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7C582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冰乙酸</w:t>
                  </w:r>
                </w:p>
              </w:tc>
              <w:tc>
                <w:tcPr>
                  <w:tcW w:w="1091" w:type="pct"/>
                  <w:tcBorders>
                    <w:tl2br w:val="nil"/>
                    <w:tr2bl w:val="nil"/>
                  </w:tcBorders>
                  <w:noWrap w:val="0"/>
                  <w:vAlign w:val="center"/>
                </w:tcPr>
                <w:p w14:paraId="0D4FFB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5.25 </w:t>
                  </w:r>
                </w:p>
              </w:tc>
              <w:tc>
                <w:tcPr>
                  <w:tcW w:w="1206" w:type="pct"/>
                  <w:tcBorders>
                    <w:tl2br w:val="nil"/>
                    <w:tr2bl w:val="nil"/>
                  </w:tcBorders>
                  <w:noWrap w:val="0"/>
                  <w:vAlign w:val="center"/>
                </w:tcPr>
                <w:p w14:paraId="47C71A4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0.52 </w:t>
                  </w:r>
                </w:p>
              </w:tc>
              <w:tc>
                <w:tcPr>
                  <w:tcW w:w="1371" w:type="pct"/>
                  <w:vMerge w:val="continue"/>
                  <w:tcBorders>
                    <w:tl2br w:val="nil"/>
                    <w:tr2bl w:val="nil"/>
                  </w:tcBorders>
                  <w:noWrap w:val="0"/>
                  <w:vAlign w:val="center"/>
                </w:tcPr>
                <w:p w14:paraId="591AA3D6">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53E435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5E428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甲酸</w:t>
                  </w:r>
                </w:p>
              </w:tc>
              <w:tc>
                <w:tcPr>
                  <w:tcW w:w="1091" w:type="pct"/>
                  <w:tcBorders>
                    <w:tl2br w:val="nil"/>
                    <w:tr2bl w:val="nil"/>
                  </w:tcBorders>
                  <w:noWrap w:val="0"/>
                  <w:vAlign w:val="center"/>
                </w:tcPr>
                <w:p w14:paraId="571400A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1.22 </w:t>
                  </w:r>
                </w:p>
              </w:tc>
              <w:tc>
                <w:tcPr>
                  <w:tcW w:w="1206" w:type="pct"/>
                  <w:tcBorders>
                    <w:tl2br w:val="nil"/>
                    <w:tr2bl w:val="nil"/>
                  </w:tcBorders>
                  <w:noWrap w:val="0"/>
                  <w:vAlign w:val="center"/>
                </w:tcPr>
                <w:p w14:paraId="1D84E8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0.12 </w:t>
                  </w:r>
                </w:p>
              </w:tc>
              <w:tc>
                <w:tcPr>
                  <w:tcW w:w="1371" w:type="pct"/>
                  <w:vMerge w:val="continue"/>
                  <w:tcBorders>
                    <w:tl2br w:val="nil"/>
                    <w:tr2bl w:val="nil"/>
                  </w:tcBorders>
                  <w:noWrap w:val="0"/>
                  <w:vAlign w:val="center"/>
                </w:tcPr>
                <w:p w14:paraId="458E10C3">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74E1CF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1B0E2996">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0"/>
                      <w:lang w:val="en-US" w:eastAsia="zh-CN"/>
                    </w:rPr>
                  </w:pPr>
                  <w:r>
                    <w:rPr>
                      <w:rFonts w:hint="eastAsia" w:ascii="宋体" w:hAnsi="宋体" w:eastAsia="宋体" w:cs="宋体"/>
                      <w:i w:val="0"/>
                      <w:iCs w:val="0"/>
                      <w:color w:val="auto"/>
                      <w:kern w:val="0"/>
                      <w:sz w:val="22"/>
                      <w:szCs w:val="22"/>
                      <w:u w:val="none"/>
                      <w:lang w:val="en-US" w:eastAsia="zh-CN" w:bidi="ar"/>
                    </w:rPr>
                    <w:t>草酸</w:t>
                  </w:r>
                </w:p>
              </w:tc>
              <w:tc>
                <w:tcPr>
                  <w:tcW w:w="1091" w:type="pct"/>
                  <w:tcBorders>
                    <w:tl2br w:val="nil"/>
                    <w:tr2bl w:val="nil"/>
                  </w:tcBorders>
                  <w:noWrap w:val="0"/>
                  <w:vAlign w:val="center"/>
                </w:tcPr>
                <w:p w14:paraId="3ED238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1.00 </w:t>
                  </w:r>
                </w:p>
              </w:tc>
              <w:tc>
                <w:tcPr>
                  <w:tcW w:w="1206" w:type="pct"/>
                  <w:tcBorders>
                    <w:tl2br w:val="nil"/>
                    <w:tr2bl w:val="nil"/>
                  </w:tcBorders>
                  <w:noWrap w:val="0"/>
                  <w:vAlign w:val="center"/>
                </w:tcPr>
                <w:p w14:paraId="4CFEE4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0.10 </w:t>
                  </w:r>
                </w:p>
              </w:tc>
              <w:tc>
                <w:tcPr>
                  <w:tcW w:w="1371" w:type="pct"/>
                  <w:vMerge w:val="continue"/>
                  <w:tcBorders>
                    <w:tl2br w:val="nil"/>
                    <w:tr2bl w:val="nil"/>
                  </w:tcBorders>
                  <w:noWrap w:val="0"/>
                  <w:vAlign w:val="center"/>
                </w:tcPr>
                <w:p w14:paraId="5E734EC1">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p>
              </w:tc>
            </w:tr>
            <w:tr w14:paraId="25695F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331" w:type="pct"/>
                  <w:tcBorders>
                    <w:tl2br w:val="nil"/>
                    <w:tr2bl w:val="nil"/>
                  </w:tcBorders>
                  <w:noWrap w:val="0"/>
                  <w:vAlign w:val="center"/>
                </w:tcPr>
                <w:p w14:paraId="280FA4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2"/>
                      <w:szCs w:val="22"/>
                      <w:u w:val="none"/>
                      <w:lang w:val="en-US" w:eastAsia="zh-CN" w:bidi="ar"/>
                    </w:rPr>
                  </w:pPr>
                  <w:r>
                    <w:rPr>
                      <w:rFonts w:hint="default" w:ascii="Times New Roman" w:hAnsi="Times New Roman" w:cs="Times New Roman"/>
                      <w:b/>
                      <w:bCs/>
                      <w:i w:val="0"/>
                      <w:iCs w:val="0"/>
                      <w:color w:val="auto"/>
                      <w:kern w:val="0"/>
                      <w:sz w:val="22"/>
                      <w:szCs w:val="22"/>
                      <w:u w:val="none"/>
                      <w:lang w:val="en-US" w:eastAsia="zh-CN" w:bidi="ar"/>
                    </w:rPr>
                    <w:t>合计</w:t>
                  </w:r>
                </w:p>
              </w:tc>
              <w:tc>
                <w:tcPr>
                  <w:tcW w:w="1091" w:type="pct"/>
                  <w:tcBorders>
                    <w:tl2br w:val="nil"/>
                    <w:tr2bl w:val="nil"/>
                  </w:tcBorders>
                  <w:noWrap w:val="0"/>
                  <w:vAlign w:val="center"/>
                </w:tcPr>
                <w:p w14:paraId="297FD46C">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182.26</w:t>
                  </w:r>
                </w:p>
              </w:tc>
              <w:tc>
                <w:tcPr>
                  <w:tcW w:w="1206" w:type="pct"/>
                  <w:tcBorders>
                    <w:tl2br w:val="nil"/>
                    <w:tr2bl w:val="nil"/>
                  </w:tcBorders>
                  <w:noWrap w:val="0"/>
                  <w:vAlign w:val="center"/>
                </w:tcPr>
                <w:p w14:paraId="1D72B21E">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 xml:space="preserve">18.23 </w:t>
                  </w:r>
                </w:p>
              </w:tc>
              <w:tc>
                <w:tcPr>
                  <w:tcW w:w="1371" w:type="pct"/>
                  <w:vMerge w:val="continue"/>
                  <w:tcBorders>
                    <w:tl2br w:val="nil"/>
                    <w:tr2bl w:val="nil"/>
                  </w:tcBorders>
                  <w:noWrap w:val="0"/>
                  <w:vAlign w:val="center"/>
                </w:tcPr>
                <w:p w14:paraId="3ADEFB8E">
                  <w:pPr>
                    <w:pStyle w:val="37"/>
                    <w:keepNext w:val="0"/>
                    <w:keepLines w:val="0"/>
                    <w:widowControl/>
                    <w:suppressLineNumbers w:val="0"/>
                    <w:bidi w:val="0"/>
                    <w:spacing w:before="0" w:beforeAutospacing="0" w:after="0" w:afterAutospacing="0"/>
                    <w:ind w:right="0"/>
                    <w:rPr>
                      <w:rFonts w:hint="default"/>
                      <w:b/>
                      <w:bCs/>
                      <w:color w:val="auto"/>
                      <w:szCs w:val="20"/>
                      <w:lang w:val="en-US" w:eastAsia="zh-CN"/>
                    </w:rPr>
                  </w:pPr>
                </w:p>
              </w:tc>
            </w:tr>
          </w:tbl>
          <w:p w14:paraId="4C049E7A">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由上表可知其中高氯酸与盐酸</w:t>
            </w:r>
            <w:r>
              <w:rPr>
                <w:rFonts w:hint="eastAsia" w:ascii="Times New Roman" w:hAnsi="Times New Roman" w:eastAsia="宋体" w:cs="Times New Roman"/>
                <w:color w:val="auto"/>
                <w:shd w:val="clear" w:fill="FFFFFF"/>
                <w:lang w:val="en-US" w:eastAsia="zh-CN"/>
              </w:rPr>
              <w:t>试验</w:t>
            </w:r>
            <w:r>
              <w:rPr>
                <w:rFonts w:hint="eastAsia" w:ascii="Times New Roman" w:hAnsi="Times New Roman" w:eastAsia="宋体" w:cs="Times New Roman"/>
                <w:color w:val="auto"/>
                <w:lang w:val="en-US" w:eastAsia="zh-CN"/>
              </w:rPr>
              <w:t>过程共产生氯化氢4.01kg/a；硫酸雾为7.36kg/a。</w:t>
            </w:r>
          </w:p>
          <w:p w14:paraId="75C13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③恶臭废气</w:t>
            </w:r>
          </w:p>
          <w:p w14:paraId="1A7DC576">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本项目实验过程中用到</w:t>
            </w:r>
            <w:r>
              <w:rPr>
                <w:rFonts w:hint="eastAsia" w:cs="Times New Roman"/>
                <w:color w:val="auto"/>
                <w:lang w:val="en-US" w:eastAsia="zh-CN"/>
              </w:rPr>
              <w:t>产生恶臭气体（氨）的试剂</w:t>
            </w:r>
            <w:r>
              <w:rPr>
                <w:rFonts w:hint="eastAsia" w:ascii="Times New Roman" w:hAnsi="Times New Roman" w:eastAsia="宋体" w:cs="Times New Roman"/>
                <w:color w:val="auto"/>
                <w:lang w:val="en-US" w:eastAsia="zh-CN"/>
              </w:rPr>
              <w:t>为</w:t>
            </w:r>
            <w:r>
              <w:rPr>
                <w:rFonts w:hint="eastAsia" w:cs="Times New Roman"/>
                <w:color w:val="auto"/>
                <w:lang w:val="en-US" w:eastAsia="zh-CN"/>
              </w:rPr>
              <w:t>氨水</w:t>
            </w:r>
            <w:r>
              <w:rPr>
                <w:rFonts w:hint="eastAsia" w:ascii="Times New Roman" w:hAnsi="Times New Roman" w:eastAsia="宋体" w:cs="Times New Roman"/>
                <w:color w:val="auto"/>
                <w:lang w:val="en-US" w:eastAsia="zh-CN"/>
              </w:rPr>
              <w:t>、</w:t>
            </w:r>
            <w:r>
              <w:rPr>
                <w:rFonts w:hint="eastAsia" w:cs="Times New Roman"/>
                <w:color w:val="auto"/>
                <w:lang w:val="en-US" w:eastAsia="zh-CN"/>
              </w:rPr>
              <w:t>尿素</w:t>
            </w:r>
            <w:r>
              <w:rPr>
                <w:rFonts w:hint="eastAsia" w:ascii="Times New Roman" w:hAnsi="Times New Roman" w:eastAsia="宋体" w:cs="Times New Roman"/>
                <w:color w:val="auto"/>
                <w:lang w:val="en-US" w:eastAsia="zh-CN"/>
              </w:rPr>
              <w:t>等，根据建设项目提供试剂使用情况，项目试剂</w:t>
            </w:r>
            <w:r>
              <w:rPr>
                <w:rFonts w:hint="eastAsia" w:cs="Times New Roman"/>
                <w:color w:val="auto"/>
                <w:sz w:val="24"/>
                <w:szCs w:val="24"/>
                <w:lang w:val="en-US" w:eastAsia="zh-CN"/>
              </w:rPr>
              <w:t>恶臭刺激性</w:t>
            </w:r>
            <w:r>
              <w:rPr>
                <w:rFonts w:hint="eastAsia" w:ascii="Times New Roman" w:hAnsi="Times New Roman" w:eastAsia="宋体" w:cs="Times New Roman"/>
                <w:color w:val="auto"/>
                <w:lang w:val="en-US" w:eastAsia="zh-CN"/>
              </w:rPr>
              <w:t>废气</w:t>
            </w:r>
            <w:r>
              <w:rPr>
                <w:rFonts w:hint="eastAsia" w:cs="Times New Roman"/>
                <w:color w:val="auto"/>
                <w:lang w:val="en-US" w:eastAsia="zh-CN"/>
              </w:rPr>
              <w:t>产生</w:t>
            </w:r>
            <w:r>
              <w:rPr>
                <w:rFonts w:hint="eastAsia" w:ascii="Times New Roman" w:hAnsi="Times New Roman" w:eastAsia="宋体" w:cs="Times New Roman"/>
                <w:color w:val="auto"/>
                <w:lang w:val="en-US" w:eastAsia="zh-CN"/>
              </w:rPr>
              <w:t>情况如下表所示。</w:t>
            </w:r>
          </w:p>
          <w:p w14:paraId="0D4274CA">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eastAsia" w:cs="Times New Roman"/>
                <w:color w:val="auto"/>
                <w:highlight w:val="none"/>
                <w:lang w:val="en-US" w:eastAsia="zh-CN"/>
              </w:rPr>
              <w:t>酸性试剂</w:t>
            </w:r>
            <w:r>
              <w:rPr>
                <w:rFonts w:hint="default" w:ascii="Times New Roman" w:hAnsi="Times New Roman" w:cs="Times New Roman"/>
                <w:color w:val="auto"/>
                <w:highlight w:val="none"/>
                <w:lang w:val="en-US" w:eastAsia="zh-CN"/>
              </w:rPr>
              <w:t>挥发量计算一览表</w:t>
            </w:r>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7"/>
              <w:gridCol w:w="1776"/>
              <w:gridCol w:w="1847"/>
              <w:gridCol w:w="2822"/>
            </w:tblGrid>
            <w:tr w14:paraId="46C1D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037" w:type="pct"/>
                  <w:tcBorders>
                    <w:tl2br w:val="nil"/>
                    <w:tr2bl w:val="nil"/>
                  </w:tcBorders>
                  <w:noWrap w:val="0"/>
                  <w:vAlign w:val="center"/>
                </w:tcPr>
                <w:p w14:paraId="1BEE7247">
                  <w:pPr>
                    <w:pStyle w:val="37"/>
                    <w:keepNext w:val="0"/>
                    <w:keepLines w:val="0"/>
                    <w:widowControl/>
                    <w:suppressLineNumbers w:val="0"/>
                    <w:bidi w:val="0"/>
                    <w:spacing w:before="0" w:beforeAutospacing="0" w:after="0" w:afterAutospacing="0"/>
                    <w:ind w:right="0"/>
                    <w:rPr>
                      <w:rFonts w:hint="default"/>
                      <w:b w:val="0"/>
                      <w:bCs w:val="0"/>
                      <w:color w:val="auto"/>
                      <w:sz w:val="21"/>
                      <w:szCs w:val="21"/>
                      <w:lang w:val="en-US" w:eastAsia="zh-CN"/>
                    </w:rPr>
                  </w:pPr>
                  <w:r>
                    <w:rPr>
                      <w:rFonts w:hint="eastAsia" w:cs="宋体"/>
                      <w:b w:val="0"/>
                      <w:bCs w:val="0"/>
                      <w:color w:val="auto"/>
                      <w:kern w:val="0"/>
                      <w:sz w:val="21"/>
                      <w:szCs w:val="21"/>
                      <w:lang w:val="en-US" w:eastAsia="zh-CN" w:bidi="ar"/>
                    </w:rPr>
                    <w:t>试剂</w:t>
                  </w:r>
                  <w:r>
                    <w:rPr>
                      <w:rFonts w:hint="eastAsia" w:cs="宋体"/>
                      <w:b w:val="0"/>
                      <w:bCs w:val="0"/>
                      <w:color w:val="auto"/>
                      <w:kern w:val="0"/>
                      <w:sz w:val="21"/>
                      <w:szCs w:val="21"/>
                      <w:lang w:bidi="ar"/>
                    </w:rPr>
                    <w:t>名称</w:t>
                  </w:r>
                </w:p>
              </w:tc>
              <w:tc>
                <w:tcPr>
                  <w:tcW w:w="1091" w:type="pct"/>
                  <w:tcBorders>
                    <w:tl2br w:val="nil"/>
                    <w:tr2bl w:val="nil"/>
                  </w:tcBorders>
                  <w:noWrap w:val="0"/>
                  <w:vAlign w:val="center"/>
                </w:tcPr>
                <w:p w14:paraId="3FD4B4A0">
                  <w:pPr>
                    <w:pStyle w:val="37"/>
                    <w:keepNext w:val="0"/>
                    <w:keepLines w:val="0"/>
                    <w:widowControl/>
                    <w:suppressLineNumbers w:val="0"/>
                    <w:bidi w:val="0"/>
                    <w:spacing w:before="0" w:beforeAutospacing="0" w:after="0" w:afterAutospacing="0"/>
                    <w:ind w:right="0"/>
                    <w:rPr>
                      <w:rFonts w:hint="eastAsia" w:eastAsia="宋体"/>
                      <w:b w:val="0"/>
                      <w:bCs w:val="0"/>
                      <w:color w:val="auto"/>
                      <w:sz w:val="21"/>
                      <w:szCs w:val="21"/>
                      <w:lang w:val="en-US" w:eastAsia="zh-CN"/>
                    </w:rPr>
                  </w:pPr>
                  <w:r>
                    <w:rPr>
                      <w:rFonts w:hint="eastAsia" w:cs="宋体"/>
                      <w:b w:val="0"/>
                      <w:bCs w:val="0"/>
                      <w:color w:val="auto"/>
                      <w:kern w:val="0"/>
                      <w:sz w:val="21"/>
                      <w:szCs w:val="21"/>
                      <w:lang w:bidi="ar"/>
                    </w:rPr>
                    <w:t>用量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135" w:type="pct"/>
                  <w:tcBorders>
                    <w:tl2br w:val="nil"/>
                    <w:tr2bl w:val="nil"/>
                  </w:tcBorders>
                  <w:shd w:val="clear" w:color="auto" w:fill="auto"/>
                  <w:noWrap w:val="0"/>
                  <w:vAlign w:val="center"/>
                </w:tcPr>
                <w:p w14:paraId="58A8781D">
                  <w:pPr>
                    <w:pStyle w:val="37"/>
                    <w:keepNext w:val="0"/>
                    <w:keepLines w:val="0"/>
                    <w:widowControl/>
                    <w:suppressLineNumbers w:val="0"/>
                    <w:bidi w:val="0"/>
                    <w:spacing w:before="0" w:beforeAutospacing="0" w:after="0" w:afterAutospacing="0"/>
                    <w:ind w:left="0" w:leftChars="0" w:right="0" w:rightChars="0" w:firstLine="0" w:firstLineChars="0"/>
                    <w:rPr>
                      <w:rFonts w:hint="default" w:ascii="Times New Roman" w:hAnsi="Times New Roman" w:eastAsia="宋体" w:cs="Times New Roman"/>
                      <w:b w:val="0"/>
                      <w:bCs w:val="0"/>
                      <w:color w:val="auto"/>
                      <w:sz w:val="21"/>
                      <w:szCs w:val="21"/>
                      <w:lang w:val="en-US" w:eastAsia="zh-CN"/>
                    </w:rPr>
                  </w:pPr>
                  <w:r>
                    <w:rPr>
                      <w:rFonts w:hint="eastAsia" w:cs="宋体"/>
                      <w:b w:val="0"/>
                      <w:bCs w:val="0"/>
                      <w:color w:val="auto"/>
                      <w:kern w:val="0"/>
                      <w:sz w:val="21"/>
                      <w:szCs w:val="21"/>
                      <w:lang w:val="en-US" w:eastAsia="zh-CN" w:bidi="ar"/>
                    </w:rPr>
                    <w:t>挥发量</w:t>
                  </w:r>
                  <w:r>
                    <w:rPr>
                      <w:rFonts w:hint="eastAsia" w:cs="宋体"/>
                      <w:b w:val="0"/>
                      <w:bCs w:val="0"/>
                      <w:color w:val="auto"/>
                      <w:kern w:val="0"/>
                      <w:sz w:val="21"/>
                      <w:szCs w:val="21"/>
                      <w:lang w:eastAsia="zh-CN" w:bidi="ar"/>
                    </w:rPr>
                    <w:t>（</w:t>
                  </w:r>
                  <w:r>
                    <w:rPr>
                      <w:rFonts w:hint="eastAsia" w:cs="宋体"/>
                      <w:b w:val="0"/>
                      <w:bCs w:val="0"/>
                      <w:color w:val="auto"/>
                      <w:kern w:val="0"/>
                      <w:sz w:val="21"/>
                      <w:szCs w:val="21"/>
                      <w:lang w:val="en-US" w:eastAsia="zh-CN" w:bidi="ar"/>
                    </w:rPr>
                    <w:t>kg/a</w:t>
                  </w:r>
                  <w:r>
                    <w:rPr>
                      <w:rFonts w:hint="eastAsia" w:cs="宋体"/>
                      <w:b w:val="0"/>
                      <w:bCs w:val="0"/>
                      <w:color w:val="auto"/>
                      <w:kern w:val="0"/>
                      <w:sz w:val="21"/>
                      <w:szCs w:val="21"/>
                      <w:lang w:eastAsia="zh-CN" w:bidi="ar"/>
                    </w:rPr>
                    <w:t>）</w:t>
                  </w:r>
                </w:p>
              </w:tc>
              <w:tc>
                <w:tcPr>
                  <w:tcW w:w="1735" w:type="pct"/>
                  <w:tcBorders>
                    <w:tl2br w:val="nil"/>
                    <w:tr2bl w:val="nil"/>
                  </w:tcBorders>
                  <w:noWrap w:val="0"/>
                  <w:vAlign w:val="center"/>
                </w:tcPr>
                <w:p w14:paraId="29BC6974">
                  <w:pPr>
                    <w:pStyle w:val="37"/>
                    <w:keepNext w:val="0"/>
                    <w:keepLines w:val="0"/>
                    <w:widowControl/>
                    <w:suppressLineNumbers w:val="0"/>
                    <w:bidi w:val="0"/>
                    <w:spacing w:before="0" w:beforeAutospacing="0" w:after="0" w:afterAutospacing="0"/>
                    <w:ind w:right="0"/>
                    <w:rPr>
                      <w:rFonts w:hint="default"/>
                      <w:b w:val="0"/>
                      <w:bCs w:val="0"/>
                      <w:color w:val="auto"/>
                      <w:sz w:val="21"/>
                      <w:szCs w:val="21"/>
                      <w:lang w:val="en-US" w:eastAsia="zh-CN"/>
                    </w:rPr>
                  </w:pPr>
                  <w:r>
                    <w:rPr>
                      <w:rFonts w:hint="eastAsia" w:cs="宋体"/>
                      <w:b w:val="0"/>
                      <w:bCs w:val="0"/>
                      <w:color w:val="auto"/>
                      <w:kern w:val="0"/>
                      <w:sz w:val="21"/>
                      <w:szCs w:val="21"/>
                      <w:lang w:val="en-US" w:eastAsia="zh-CN" w:bidi="ar"/>
                    </w:rPr>
                    <w:t>备注</w:t>
                  </w:r>
                </w:p>
              </w:tc>
            </w:tr>
            <w:tr w14:paraId="330F2B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37" w:type="pct"/>
                  <w:tcBorders>
                    <w:tl2br w:val="nil"/>
                    <w:tr2bl w:val="nil"/>
                  </w:tcBorders>
                  <w:noWrap w:val="0"/>
                  <w:vAlign w:val="center"/>
                </w:tcPr>
                <w:p w14:paraId="7EF65552">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ascii="宋体" w:hAnsi="宋体" w:cs="宋体"/>
                      <w:i w:val="0"/>
                      <w:iCs w:val="0"/>
                      <w:color w:val="auto"/>
                      <w:kern w:val="0"/>
                      <w:sz w:val="21"/>
                      <w:szCs w:val="21"/>
                      <w:u w:val="none"/>
                      <w:lang w:val="en-US" w:eastAsia="zh-CN" w:bidi="ar"/>
                    </w:rPr>
                    <w:t>氨水</w:t>
                  </w:r>
                  <w:r>
                    <w:rPr>
                      <w:rFonts w:hint="default" w:ascii="Times New Roman" w:hAnsi="Times New Roman" w:cs="Times New Roman"/>
                      <w:i w:val="0"/>
                      <w:iCs w:val="0"/>
                      <w:color w:val="auto"/>
                      <w:kern w:val="0"/>
                      <w:sz w:val="21"/>
                      <w:szCs w:val="21"/>
                      <w:u w:val="none"/>
                      <w:lang w:val="en-US" w:eastAsia="zh-CN" w:bidi="ar"/>
                    </w:rPr>
                    <w:t>（25%）</w:t>
                  </w:r>
                </w:p>
              </w:tc>
              <w:tc>
                <w:tcPr>
                  <w:tcW w:w="1776" w:type="dxa"/>
                  <w:tcBorders>
                    <w:tl2br w:val="nil"/>
                    <w:tr2bl w:val="nil"/>
                  </w:tcBorders>
                  <w:noWrap w:val="0"/>
                  <w:vAlign w:val="center"/>
                </w:tcPr>
                <w:p w14:paraId="5F6836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1.14 </w:t>
                  </w:r>
                </w:p>
              </w:tc>
              <w:tc>
                <w:tcPr>
                  <w:tcW w:w="1847" w:type="dxa"/>
                  <w:tcBorders>
                    <w:tl2br w:val="nil"/>
                    <w:tr2bl w:val="nil"/>
                  </w:tcBorders>
                  <w:noWrap w:val="0"/>
                  <w:vAlign w:val="center"/>
                </w:tcPr>
                <w:p w14:paraId="075063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0.11 </w:t>
                  </w:r>
                </w:p>
              </w:tc>
              <w:tc>
                <w:tcPr>
                  <w:tcW w:w="1735" w:type="pct"/>
                  <w:vMerge w:val="restart"/>
                  <w:tcBorders>
                    <w:tl2br w:val="nil"/>
                    <w:tr2bl w:val="nil"/>
                  </w:tcBorders>
                  <w:noWrap w:val="0"/>
                  <w:vAlign w:val="center"/>
                </w:tcPr>
                <w:p w14:paraId="30683495">
                  <w:pPr>
                    <w:pStyle w:val="37"/>
                    <w:keepNext w:val="0"/>
                    <w:keepLines w:val="0"/>
                    <w:widowControl/>
                    <w:suppressLineNumbers w:val="0"/>
                    <w:bidi w:val="0"/>
                    <w:spacing w:before="0" w:beforeAutospacing="0" w:after="0" w:afterAutospacing="0"/>
                    <w:ind w:right="0"/>
                    <w:rPr>
                      <w:rFonts w:hint="default"/>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本次评价实验</w:t>
                  </w:r>
                  <w:r>
                    <w:rPr>
                      <w:rFonts w:hint="eastAsia" w:ascii="Times New Roman" w:hAnsi="Times New Roman" w:eastAsia="宋体" w:cs="Times New Roman"/>
                      <w:i w:val="0"/>
                      <w:iCs w:val="0"/>
                      <w:color w:val="auto"/>
                      <w:kern w:val="0"/>
                      <w:sz w:val="21"/>
                      <w:szCs w:val="21"/>
                      <w:u w:val="none"/>
                      <w:lang w:val="en-US" w:eastAsia="zh-CN" w:bidi="ar"/>
                    </w:rPr>
                    <w:t>恶臭</w:t>
                  </w:r>
                  <w:r>
                    <w:rPr>
                      <w:rFonts w:hint="default" w:ascii="Times New Roman" w:hAnsi="Times New Roman" w:eastAsia="宋体" w:cs="Times New Roman"/>
                      <w:i w:val="0"/>
                      <w:iCs w:val="0"/>
                      <w:color w:val="auto"/>
                      <w:kern w:val="0"/>
                      <w:sz w:val="21"/>
                      <w:szCs w:val="21"/>
                      <w:u w:val="none"/>
                      <w:lang w:val="en-US" w:eastAsia="zh-CN" w:bidi="ar"/>
                    </w:rPr>
                    <w:t>废气按</w:t>
                  </w:r>
                  <w:r>
                    <w:rPr>
                      <w:rFonts w:hint="eastAsia" w:cs="Times New Roman"/>
                      <w:i w:val="0"/>
                      <w:iCs w:val="0"/>
                      <w:color w:val="auto"/>
                      <w:kern w:val="0"/>
                      <w:sz w:val="21"/>
                      <w:szCs w:val="21"/>
                      <w:u w:val="none"/>
                      <w:lang w:val="en-US" w:eastAsia="zh-CN" w:bidi="ar"/>
                    </w:rPr>
                    <w:t>氨水、尿素</w:t>
                  </w:r>
                  <w:r>
                    <w:rPr>
                      <w:rFonts w:hint="default" w:ascii="Times New Roman" w:hAnsi="Times New Roman" w:eastAsia="宋体" w:cs="Times New Roman"/>
                      <w:i w:val="0"/>
                      <w:iCs w:val="0"/>
                      <w:color w:val="auto"/>
                      <w:kern w:val="0"/>
                      <w:sz w:val="21"/>
                      <w:szCs w:val="21"/>
                      <w:u w:val="none"/>
                      <w:lang w:val="en-US" w:eastAsia="zh-CN" w:bidi="ar"/>
                    </w:rPr>
                    <w:t>试剂使用量</w:t>
                  </w: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0%计算。</w:t>
                  </w:r>
                </w:p>
              </w:tc>
            </w:tr>
            <w:tr w14:paraId="2306A9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37" w:type="pct"/>
                  <w:tcBorders>
                    <w:tl2br w:val="nil"/>
                    <w:tr2bl w:val="nil"/>
                  </w:tcBorders>
                  <w:noWrap w:val="0"/>
                  <w:vAlign w:val="center"/>
                </w:tcPr>
                <w:p w14:paraId="2A1CBA3B">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ascii="宋体" w:hAnsi="宋体" w:cs="宋体"/>
                      <w:i w:val="0"/>
                      <w:iCs w:val="0"/>
                      <w:color w:val="auto"/>
                      <w:kern w:val="0"/>
                      <w:sz w:val="21"/>
                      <w:szCs w:val="21"/>
                      <w:u w:val="none"/>
                      <w:lang w:val="en-US" w:eastAsia="zh-CN" w:bidi="ar"/>
                    </w:rPr>
                    <w:t>尿素</w:t>
                  </w:r>
                </w:p>
              </w:tc>
              <w:tc>
                <w:tcPr>
                  <w:tcW w:w="1776" w:type="dxa"/>
                  <w:tcBorders>
                    <w:tl2br w:val="nil"/>
                    <w:tr2bl w:val="nil"/>
                  </w:tcBorders>
                  <w:noWrap w:val="0"/>
                  <w:vAlign w:val="center"/>
                </w:tcPr>
                <w:p w14:paraId="11FEBD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0.50 </w:t>
                  </w:r>
                </w:p>
              </w:tc>
              <w:tc>
                <w:tcPr>
                  <w:tcW w:w="1847" w:type="dxa"/>
                  <w:tcBorders>
                    <w:tl2br w:val="nil"/>
                    <w:tr2bl w:val="nil"/>
                  </w:tcBorders>
                  <w:noWrap w:val="0"/>
                  <w:vAlign w:val="center"/>
                </w:tcPr>
                <w:p w14:paraId="193CA1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ascii="Times New Roman" w:hAnsi="Times New Roman" w:eastAsia="宋体" w:cs="Times New Roman"/>
                      <w:i w:val="0"/>
                      <w:iCs w:val="0"/>
                      <w:color w:val="auto"/>
                      <w:kern w:val="0"/>
                      <w:sz w:val="22"/>
                      <w:szCs w:val="22"/>
                      <w:u w:val="none"/>
                      <w:lang w:val="en-US" w:eastAsia="zh-CN" w:bidi="ar"/>
                    </w:rPr>
                    <w:t xml:space="preserve">0.05 </w:t>
                  </w:r>
                </w:p>
              </w:tc>
              <w:tc>
                <w:tcPr>
                  <w:tcW w:w="1735" w:type="pct"/>
                  <w:vMerge w:val="continue"/>
                  <w:tcBorders>
                    <w:tl2br w:val="nil"/>
                    <w:tr2bl w:val="nil"/>
                  </w:tcBorders>
                  <w:noWrap w:val="0"/>
                  <w:vAlign w:val="center"/>
                </w:tcPr>
                <w:p w14:paraId="7F50F5C4">
                  <w:pPr>
                    <w:pStyle w:val="37"/>
                    <w:keepNext w:val="0"/>
                    <w:keepLines w:val="0"/>
                    <w:widowControl/>
                    <w:suppressLineNumbers w:val="0"/>
                    <w:bidi w:val="0"/>
                    <w:spacing w:before="0" w:beforeAutospacing="0" w:after="0" w:afterAutospacing="0"/>
                    <w:ind w:right="0"/>
                    <w:rPr>
                      <w:rFonts w:hint="default"/>
                      <w:color w:val="auto"/>
                      <w:sz w:val="21"/>
                      <w:szCs w:val="21"/>
                      <w:lang w:val="en-US" w:eastAsia="zh-CN"/>
                    </w:rPr>
                  </w:pPr>
                </w:p>
              </w:tc>
            </w:tr>
            <w:tr w14:paraId="380AF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exact"/>
              </w:trPr>
              <w:tc>
                <w:tcPr>
                  <w:tcW w:w="1037" w:type="pct"/>
                  <w:tcBorders>
                    <w:tl2br w:val="nil"/>
                    <w:tr2bl w:val="nil"/>
                  </w:tcBorders>
                  <w:noWrap w:val="0"/>
                  <w:vAlign w:val="center"/>
                </w:tcPr>
                <w:p w14:paraId="7152CD2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cs="Times New Roman"/>
                      <w:b/>
                      <w:bCs/>
                      <w:i w:val="0"/>
                      <w:iCs w:val="0"/>
                      <w:color w:val="auto"/>
                      <w:kern w:val="0"/>
                      <w:sz w:val="21"/>
                      <w:szCs w:val="21"/>
                      <w:u w:val="none"/>
                      <w:lang w:val="en-US" w:eastAsia="zh-CN" w:bidi="ar"/>
                    </w:rPr>
                    <w:t>合计</w:t>
                  </w:r>
                </w:p>
              </w:tc>
              <w:tc>
                <w:tcPr>
                  <w:tcW w:w="1776" w:type="dxa"/>
                  <w:tcBorders>
                    <w:tl2br w:val="nil"/>
                    <w:tr2bl w:val="nil"/>
                  </w:tcBorders>
                  <w:noWrap w:val="0"/>
                  <w:vAlign w:val="center"/>
                </w:tcPr>
                <w:p w14:paraId="66BA3524">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 xml:space="preserve">1.64 </w:t>
                  </w:r>
                </w:p>
              </w:tc>
              <w:tc>
                <w:tcPr>
                  <w:tcW w:w="1847" w:type="dxa"/>
                  <w:tcBorders>
                    <w:tl2br w:val="nil"/>
                    <w:tr2bl w:val="nil"/>
                  </w:tcBorders>
                  <w:noWrap w:val="0"/>
                  <w:vAlign w:val="center"/>
                </w:tcPr>
                <w:p w14:paraId="03CCF4C3">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
                      <w:bCs/>
                      <w:i w:val="0"/>
                      <w:iCs w:val="0"/>
                      <w:color w:val="auto"/>
                      <w:kern w:val="0"/>
                      <w:sz w:val="22"/>
                      <w:szCs w:val="22"/>
                      <w:u w:val="none"/>
                      <w:lang w:val="en-US" w:eastAsia="zh-CN" w:bidi="ar"/>
                    </w:rPr>
                  </w:pPr>
                  <w:r>
                    <w:rPr>
                      <w:rFonts w:hint="eastAsia" w:ascii="Times New Roman" w:hAnsi="Times New Roman" w:cs="Times New Roman"/>
                      <w:b/>
                      <w:bCs/>
                      <w:i w:val="0"/>
                      <w:iCs w:val="0"/>
                      <w:color w:val="auto"/>
                      <w:kern w:val="0"/>
                      <w:sz w:val="22"/>
                      <w:szCs w:val="22"/>
                      <w:u w:val="none"/>
                      <w:lang w:val="en-US" w:eastAsia="zh-CN" w:bidi="ar"/>
                    </w:rPr>
                    <w:t xml:space="preserve">0.16 </w:t>
                  </w:r>
                </w:p>
              </w:tc>
              <w:tc>
                <w:tcPr>
                  <w:tcW w:w="1735" w:type="pct"/>
                  <w:vMerge w:val="continue"/>
                  <w:tcBorders>
                    <w:tl2br w:val="nil"/>
                    <w:tr2bl w:val="nil"/>
                  </w:tcBorders>
                  <w:noWrap w:val="0"/>
                  <w:vAlign w:val="center"/>
                </w:tcPr>
                <w:p w14:paraId="3428645F">
                  <w:pPr>
                    <w:pStyle w:val="37"/>
                    <w:keepNext w:val="0"/>
                    <w:keepLines w:val="0"/>
                    <w:widowControl/>
                    <w:suppressLineNumbers w:val="0"/>
                    <w:bidi w:val="0"/>
                    <w:spacing w:before="0" w:beforeAutospacing="0" w:after="0" w:afterAutospacing="0"/>
                    <w:ind w:right="0"/>
                    <w:rPr>
                      <w:rFonts w:hint="default"/>
                      <w:b/>
                      <w:bCs/>
                      <w:color w:val="auto"/>
                      <w:sz w:val="21"/>
                      <w:szCs w:val="21"/>
                      <w:lang w:val="en-US" w:eastAsia="zh-CN"/>
                    </w:rPr>
                  </w:pPr>
                </w:p>
              </w:tc>
            </w:tr>
          </w:tbl>
          <w:p w14:paraId="25F77211">
            <w:pPr>
              <w:pStyle w:val="36"/>
              <w:keepNext w:val="0"/>
              <w:keepLines w:val="0"/>
              <w:numPr>
                <w:ilvl w:val="0"/>
                <w:numId w:val="0"/>
              </w:numPr>
              <w:suppressLineNumbers w:val="0"/>
              <w:bidi w:val="0"/>
              <w:spacing w:before="0" w:beforeAutospacing="0" w:after="0" w:afterAutospacing="0"/>
              <w:ind w:left="420" w:leftChars="200" w:right="0" w:rightChars="0"/>
              <w:rPr>
                <w:rFonts w:hint="default" w:cs="Times New Roman"/>
                <w:b/>
                <w:bCs/>
                <w:color w:val="auto"/>
                <w:kern w:val="2"/>
                <w:sz w:val="24"/>
                <w:szCs w:val="24"/>
                <w:lang w:val="en-US" w:eastAsia="zh-CN" w:bidi="ar-SA"/>
              </w:rPr>
            </w:pPr>
            <w:r>
              <w:rPr>
                <w:rFonts w:hint="eastAsia" w:cs="Times New Roman"/>
                <w:b/>
                <w:bCs/>
                <w:color w:val="auto"/>
                <w:kern w:val="2"/>
                <w:sz w:val="24"/>
                <w:szCs w:val="24"/>
                <w:lang w:val="en-US" w:eastAsia="zh-CN" w:bidi="ar-SA"/>
              </w:rPr>
              <w:t>（2）废气治理措施</w:t>
            </w:r>
          </w:p>
          <w:p w14:paraId="3B35AF8A">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eastAsia" w:cs="Times New Roman"/>
                <w:color w:val="auto"/>
                <w:lang w:val="en-US" w:eastAsia="zh-CN"/>
              </w:rPr>
              <w:t>①废气处理工艺及其可行性</w:t>
            </w:r>
          </w:p>
          <w:p w14:paraId="5B0CD820">
            <w:pPr>
              <w:pStyle w:val="36"/>
              <w:keepNext w:val="0"/>
              <w:keepLines w:val="0"/>
              <w:numPr>
                <w:ilvl w:val="0"/>
                <w:numId w:val="0"/>
              </w:numPr>
              <w:suppressLineNumbers w:val="0"/>
              <w:bidi w:val="0"/>
              <w:spacing w:before="0" w:beforeAutospacing="0" w:after="0" w:afterAutospacing="0"/>
              <w:ind w:left="0" w:right="0" w:rightChars="0" w:firstLine="48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废气经实验室内通风橱柜</w:t>
            </w:r>
            <w:r>
              <w:rPr>
                <w:rFonts w:hint="eastAsia" w:cs="Times New Roman"/>
                <w:color w:val="auto"/>
                <w:lang w:val="en-US" w:eastAsia="zh-CN"/>
              </w:rPr>
              <w:t>、</w:t>
            </w:r>
            <w:r>
              <w:rPr>
                <w:rFonts w:hint="eastAsia" w:cs="Times New Roman"/>
                <w:color w:val="auto"/>
                <w:highlight w:val="none"/>
                <w:lang w:val="en-US" w:eastAsia="zh-CN"/>
              </w:rPr>
              <w:t>集气罩</w:t>
            </w:r>
            <w:r>
              <w:rPr>
                <w:rFonts w:hint="default" w:ascii="Times New Roman" w:hAnsi="Times New Roman" w:eastAsia="宋体" w:cs="Times New Roman"/>
                <w:color w:val="auto"/>
                <w:lang w:val="en-US" w:eastAsia="zh-CN"/>
              </w:rPr>
              <w:t>收集后</w:t>
            </w:r>
            <w:r>
              <w:rPr>
                <w:rFonts w:hint="eastAsia" w:ascii="Times New Roman" w:hAnsi="Times New Roman" w:eastAsia="宋体" w:cs="Times New Roman"/>
                <w:color w:val="auto"/>
                <w:lang w:val="en-US" w:eastAsia="zh-CN"/>
              </w:rPr>
              <w:t>，酸性废气采用碱液喷淋塔处理达标后通过</w:t>
            </w:r>
            <w:r>
              <w:rPr>
                <w:rFonts w:hint="default" w:ascii="Times New Roman" w:hAnsi="Times New Roman" w:eastAsia="宋体" w:cs="Times New Roman"/>
                <w:color w:val="auto"/>
                <w:lang w:val="en-US" w:eastAsia="zh-CN"/>
              </w:rPr>
              <w:t>屋顶排气筒（DA001</w:t>
            </w:r>
            <w:r>
              <w:rPr>
                <w:rFonts w:hint="eastAsia" w:cs="Times New Roman"/>
                <w:color w:val="auto"/>
                <w:lang w:val="en-US" w:eastAsia="zh-CN"/>
              </w:rPr>
              <w:t>、</w:t>
            </w:r>
            <w:r>
              <w:rPr>
                <w:rFonts w:hint="default" w:ascii="Times New Roman" w:hAnsi="Times New Roman" w:eastAsia="宋体" w:cs="Times New Roman"/>
                <w:color w:val="auto"/>
                <w:lang w:val="en-US" w:eastAsia="zh-CN"/>
              </w:rPr>
              <w:t>DA00</w:t>
            </w:r>
            <w:r>
              <w:rPr>
                <w:rFonts w:hint="eastAsia" w:ascii="Times New Roman" w:hAnsi="Times New Roman" w:eastAsia="宋体" w:cs="Times New Roman"/>
                <w:color w:val="auto"/>
                <w:lang w:val="en-US" w:eastAsia="zh-CN"/>
              </w:rPr>
              <w:t>2</w:t>
            </w:r>
            <w:r>
              <w:rPr>
                <w:rFonts w:hint="default" w:ascii="Times New Roman" w:hAnsi="Times New Roman" w:eastAsia="宋体" w:cs="Times New Roman"/>
                <w:color w:val="auto"/>
                <w:lang w:val="en-US" w:eastAsia="zh-CN"/>
              </w:rPr>
              <w:t>）排放，排放高度</w:t>
            </w:r>
            <w:r>
              <w:rPr>
                <w:rFonts w:hint="eastAsia" w:cs="Times New Roman"/>
                <w:color w:val="auto"/>
                <w:lang w:val="en-US" w:eastAsia="zh-CN"/>
              </w:rPr>
              <w:t>25m</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有机废气</w:t>
            </w:r>
            <w:r>
              <w:rPr>
                <w:rFonts w:hint="eastAsia" w:cs="Times New Roman"/>
                <w:color w:val="auto"/>
                <w:lang w:val="en-US" w:eastAsia="zh-CN"/>
              </w:rPr>
              <w:t>及</w:t>
            </w:r>
            <w:r>
              <w:rPr>
                <w:rFonts w:hint="eastAsia" w:cs="Times New Roman"/>
                <w:color w:val="auto"/>
                <w:sz w:val="24"/>
                <w:szCs w:val="24"/>
                <w:lang w:val="en-US" w:eastAsia="zh-CN"/>
              </w:rPr>
              <w:t>恶臭废气</w:t>
            </w:r>
            <w:r>
              <w:rPr>
                <w:rFonts w:hint="default" w:ascii="Times New Roman" w:hAnsi="Times New Roman" w:eastAsia="宋体" w:cs="Times New Roman"/>
                <w:color w:val="auto"/>
                <w:lang w:val="en-US" w:eastAsia="zh-CN"/>
              </w:rPr>
              <w:t>经实验室内通风橱柜</w:t>
            </w:r>
            <w:r>
              <w:rPr>
                <w:rFonts w:hint="eastAsia" w:cs="Times New Roman"/>
                <w:color w:val="auto"/>
                <w:lang w:val="en-US" w:eastAsia="zh-CN"/>
              </w:rPr>
              <w:t>、</w:t>
            </w:r>
            <w:r>
              <w:rPr>
                <w:rFonts w:hint="eastAsia" w:cs="Times New Roman"/>
                <w:color w:val="auto"/>
                <w:highlight w:val="none"/>
                <w:lang w:val="en-US" w:eastAsia="zh-CN"/>
              </w:rPr>
              <w:t>集气罩</w:t>
            </w:r>
            <w:r>
              <w:rPr>
                <w:rFonts w:hint="default" w:ascii="Times New Roman" w:hAnsi="Times New Roman" w:eastAsia="宋体" w:cs="Times New Roman"/>
                <w:color w:val="auto"/>
                <w:lang w:val="en-US" w:eastAsia="zh-CN"/>
              </w:rPr>
              <w:t>收集后</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通过活性炭吸附设备处理</w:t>
            </w:r>
            <w:r>
              <w:rPr>
                <w:rFonts w:hint="eastAsia" w:ascii="Times New Roman" w:hAnsi="Times New Roman" w:eastAsia="宋体" w:cs="Times New Roman"/>
                <w:color w:val="auto"/>
                <w:lang w:val="en-US" w:eastAsia="zh-CN"/>
              </w:rPr>
              <w:t>达标</w:t>
            </w:r>
            <w:r>
              <w:rPr>
                <w:rFonts w:hint="default" w:ascii="Times New Roman" w:hAnsi="Times New Roman" w:eastAsia="宋体" w:cs="Times New Roman"/>
                <w:color w:val="auto"/>
                <w:lang w:val="en-US" w:eastAsia="zh-CN"/>
              </w:rPr>
              <w:t>后引屋顶排气筒（DA00</w:t>
            </w:r>
            <w:r>
              <w:rPr>
                <w:rFonts w:hint="eastAsia" w:cs="Times New Roman"/>
                <w:color w:val="auto"/>
                <w:lang w:val="en-US" w:eastAsia="zh-CN"/>
              </w:rPr>
              <w:t>3、</w:t>
            </w:r>
            <w:r>
              <w:rPr>
                <w:rFonts w:hint="default" w:ascii="Times New Roman" w:hAnsi="Times New Roman" w:eastAsia="宋体" w:cs="Times New Roman"/>
                <w:color w:val="auto"/>
                <w:lang w:val="en-US" w:eastAsia="zh-CN"/>
              </w:rPr>
              <w:t>DA00</w:t>
            </w:r>
            <w:r>
              <w:rPr>
                <w:rFonts w:hint="eastAsia" w:cs="Times New Roman"/>
                <w:color w:val="auto"/>
                <w:lang w:val="en-US" w:eastAsia="zh-CN"/>
              </w:rPr>
              <w:t>4</w:t>
            </w:r>
            <w:r>
              <w:rPr>
                <w:rFonts w:hint="default" w:ascii="Times New Roman" w:hAnsi="Times New Roman" w:eastAsia="宋体" w:cs="Times New Roman"/>
                <w:color w:val="auto"/>
                <w:lang w:val="en-US" w:eastAsia="zh-CN"/>
              </w:rPr>
              <w:t>）排放，排放高度</w:t>
            </w:r>
            <w:r>
              <w:rPr>
                <w:rFonts w:hint="eastAsia" w:cs="Times New Roman"/>
                <w:color w:val="auto"/>
                <w:lang w:val="en-US" w:eastAsia="zh-CN"/>
              </w:rPr>
              <w:t>25m</w:t>
            </w:r>
            <w:r>
              <w:rPr>
                <w:rFonts w:hint="default" w:ascii="Times New Roman" w:hAnsi="Times New Roman" w:eastAsia="宋体" w:cs="Times New Roman"/>
                <w:color w:val="auto"/>
                <w:lang w:val="en-US" w:eastAsia="zh-CN"/>
              </w:rPr>
              <w:t>。</w:t>
            </w:r>
            <w:r>
              <w:rPr>
                <w:rFonts w:hint="eastAsia" w:cs="Times New Roman"/>
                <w:color w:val="auto"/>
                <w:lang w:val="en-US" w:eastAsia="zh-CN"/>
              </w:rPr>
              <w:t>废气处理设备运行原理如下：</w:t>
            </w:r>
          </w:p>
          <w:p w14:paraId="37456766">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r>
              <w:rPr>
                <w:rFonts w:hint="default" w:ascii="Times New Roman" w:hAnsi="Times New Roman" w:cs="Times New Roman"/>
                <w:color w:val="auto"/>
                <w:highlight w:val="none"/>
                <w:lang w:val="en-US" w:eastAsia="zh-CN"/>
              </w:rPr>
              <w:t>通风柜</w:t>
            </w:r>
            <w:r>
              <w:rPr>
                <w:rFonts w:hint="eastAsia" w:cs="Times New Roman"/>
                <w:color w:val="auto"/>
                <w:highlight w:val="none"/>
                <w:lang w:val="en-US" w:eastAsia="zh-CN"/>
              </w:rPr>
              <w:t>、集气罩</w:t>
            </w:r>
          </w:p>
          <w:p w14:paraId="10EF4717">
            <w:pPr>
              <w:pStyle w:val="3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lang w:val="en-US" w:eastAsia="zh-CN"/>
              </w:rPr>
              <w:t>本项目使用挥发性酸、有机物的前处理配制环节均在通风橱</w:t>
            </w:r>
            <w:r>
              <w:rPr>
                <w:rFonts w:hint="eastAsia"/>
                <w:color w:val="auto"/>
                <w:lang w:val="en-US" w:eastAsia="zh-CN"/>
              </w:rPr>
              <w:t>、集气罩</w:t>
            </w:r>
            <w:r>
              <w:rPr>
                <w:rFonts w:hint="default"/>
                <w:color w:val="auto"/>
                <w:lang w:val="en-US" w:eastAsia="zh-CN"/>
              </w:rPr>
              <w:t>进行，配制过程会产生酸雾（以氯化氢、硫酸雾计）</w:t>
            </w:r>
            <w:r>
              <w:rPr>
                <w:rFonts w:hint="eastAsia"/>
                <w:color w:val="auto"/>
                <w:lang w:val="en-US" w:eastAsia="zh-CN"/>
              </w:rPr>
              <w:t>、</w:t>
            </w:r>
            <w:r>
              <w:rPr>
                <w:rFonts w:hint="default"/>
                <w:color w:val="auto"/>
                <w:lang w:val="en-US" w:eastAsia="zh-CN"/>
              </w:rPr>
              <w:t>挥发性有机物（以非甲烷总烃计）</w:t>
            </w:r>
            <w:r>
              <w:rPr>
                <w:rFonts w:hint="eastAsia"/>
                <w:color w:val="auto"/>
                <w:lang w:val="en-US" w:eastAsia="zh-CN"/>
              </w:rPr>
              <w:t>及恶臭废气</w:t>
            </w:r>
            <w:r>
              <w:rPr>
                <w:rFonts w:hint="default"/>
                <w:color w:val="auto"/>
                <w:lang w:val="en-US" w:eastAsia="zh-CN"/>
              </w:rPr>
              <w:t>。本项目共有</w:t>
            </w:r>
            <w:r>
              <w:rPr>
                <w:rFonts w:hint="eastAsia"/>
                <w:color w:val="auto"/>
                <w:lang w:val="en-US" w:eastAsia="zh-CN"/>
              </w:rPr>
              <w:t>18</w:t>
            </w:r>
            <w:r>
              <w:rPr>
                <w:rFonts w:hint="default"/>
                <w:color w:val="auto"/>
                <w:lang w:val="en-US" w:eastAsia="zh-CN"/>
              </w:rPr>
              <w:t>台</w:t>
            </w:r>
            <w:r>
              <w:rPr>
                <w:rFonts w:hint="default" w:ascii="Times New Roman" w:hAnsi="Times New Roman" w:cs="Times New Roman"/>
                <w:color w:val="auto"/>
                <w:highlight w:val="none"/>
                <w:lang w:val="en-US" w:eastAsia="zh-CN"/>
              </w:rPr>
              <w:t>通风柜</w:t>
            </w:r>
            <w:r>
              <w:rPr>
                <w:rFonts w:hint="eastAsia"/>
                <w:color w:val="auto"/>
                <w:lang w:val="en-US" w:eastAsia="zh-CN"/>
              </w:rPr>
              <w:t>40个集气罩</w:t>
            </w:r>
            <w:r>
              <w:rPr>
                <w:rFonts w:hint="default"/>
                <w:color w:val="auto"/>
                <w:lang w:val="en-US" w:eastAsia="zh-CN"/>
              </w:rPr>
              <w:t>，</w:t>
            </w:r>
            <w:r>
              <w:rPr>
                <w:rFonts w:hint="eastAsia"/>
                <w:color w:val="auto"/>
                <w:lang w:val="en-US" w:eastAsia="zh-CN"/>
              </w:rPr>
              <w:t>酸性废气经碱液喷淋装置处理达标后排放，</w:t>
            </w:r>
            <w:r>
              <w:rPr>
                <w:rFonts w:hint="default"/>
                <w:color w:val="auto"/>
                <w:lang w:val="en-US" w:eastAsia="zh-CN"/>
              </w:rPr>
              <w:t>有机废气</w:t>
            </w:r>
            <w:r>
              <w:rPr>
                <w:rFonts w:hint="eastAsia"/>
                <w:color w:val="auto"/>
                <w:lang w:val="en-US" w:eastAsia="zh-CN"/>
              </w:rPr>
              <w:t>与恶臭气体</w:t>
            </w:r>
            <w:r>
              <w:rPr>
                <w:rFonts w:hint="default"/>
                <w:color w:val="auto"/>
                <w:lang w:val="en-US" w:eastAsia="zh-CN"/>
              </w:rPr>
              <w:t>经实验室内通风橱柜收集后通过活性炭吸附处理达标后排放</w:t>
            </w:r>
            <w:r>
              <w:rPr>
                <w:rFonts w:hint="default"/>
                <w:color w:val="auto"/>
                <w:highlight w:val="none"/>
                <w:lang w:val="en-US" w:eastAsia="zh-CN"/>
              </w:rPr>
              <w:t>。</w:t>
            </w:r>
          </w:p>
          <w:p w14:paraId="17E66AC0">
            <w:pPr>
              <w:pStyle w:val="36"/>
              <w:keepNext w:val="0"/>
              <w:keepLines w:val="0"/>
              <w:suppressLineNumbers w:val="0"/>
              <w:bidi w:val="0"/>
              <w:spacing w:before="0" w:beforeAutospacing="0" w:after="0" w:afterAutospacing="0"/>
              <w:ind w:left="0" w:right="0"/>
              <w:rPr>
                <w:rFonts w:hint="eastAsia"/>
                <w:color w:val="auto"/>
                <w:highlight w:val="cyan"/>
                <w:lang w:val="en-US" w:eastAsia="zh-CN"/>
              </w:rPr>
            </w:pPr>
            <w:r>
              <w:rPr>
                <w:rFonts w:hint="default"/>
                <w:color w:val="auto"/>
                <w:lang w:val="en-US" w:eastAsia="zh-CN"/>
              </w:rPr>
              <w:t>本项目</w:t>
            </w:r>
            <w:r>
              <w:rPr>
                <w:rFonts w:hint="default" w:ascii="Times New Roman" w:hAnsi="Times New Roman" w:cs="Times New Roman"/>
                <w:color w:val="auto"/>
                <w:lang w:val="en-US" w:eastAsia="zh-CN"/>
              </w:rPr>
              <w:t>所用</w:t>
            </w:r>
            <w:r>
              <w:rPr>
                <w:rFonts w:hint="default" w:ascii="Times New Roman" w:hAnsi="Times New Roman" w:cs="Times New Roman"/>
                <w:color w:val="auto"/>
                <w:highlight w:val="none"/>
                <w:lang w:val="en-US" w:eastAsia="zh-CN"/>
              </w:rPr>
              <w:t>通风柜</w:t>
            </w:r>
            <w:r>
              <w:rPr>
                <w:rFonts w:hint="default" w:ascii="Times New Roman" w:hAnsi="Times New Roman" w:cs="Times New Roman"/>
                <w:color w:val="auto"/>
                <w:lang w:val="en-US" w:eastAsia="zh-CN"/>
              </w:rPr>
              <w:t>可视为半封闭废气收集系统，参照《主要污染物总量减排核算技术指南（2022年修订）》（环办综合函〔2022〕350号），半封闭集气系统废气收集效率取65%</w:t>
            </w:r>
            <w:r>
              <w:rPr>
                <w:rFonts w:hint="eastAsia"/>
                <w:color w:val="auto"/>
                <w:lang w:val="en-US" w:eastAsia="zh-CN"/>
              </w:rPr>
              <w:t>计。</w:t>
            </w:r>
          </w:p>
          <w:p w14:paraId="0C36DA0B">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sz w:val="20"/>
              </w:rPr>
              <w:drawing>
                <wp:inline distT="0" distB="0" distL="114300" distR="114300">
                  <wp:extent cx="5156200" cy="3173730"/>
                  <wp:effectExtent l="0" t="0" r="6350" b="7620"/>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26"/>
                          <a:stretch>
                            <a:fillRect/>
                          </a:stretch>
                        </pic:blipFill>
                        <pic:spPr>
                          <a:xfrm>
                            <a:off x="0" y="0"/>
                            <a:ext cx="5156200" cy="3173730"/>
                          </a:xfrm>
                          <a:prstGeom prst="rect">
                            <a:avLst/>
                          </a:prstGeom>
                          <a:noFill/>
                          <a:ln>
                            <a:noFill/>
                          </a:ln>
                        </pic:spPr>
                      </pic:pic>
                    </a:graphicData>
                  </a:graphic>
                </wp:inline>
              </w:drawing>
            </w:r>
          </w:p>
          <w:p w14:paraId="09403C3E">
            <w:pPr>
              <w:pStyle w:val="38"/>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157" w:beforeLines="50" w:beforeAutospacing="0" w:after="0" w:afterAutospacing="0"/>
              <w:ind w:left="1582" w:right="0" w:hanging="1582"/>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通风柜内部工艺流程图</w:t>
            </w:r>
          </w:p>
          <w:p w14:paraId="3826355D">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r>
              <w:rPr>
                <w:rFonts w:hint="default"/>
                <w:color w:val="auto"/>
                <w:lang w:val="en-US" w:eastAsia="zh-CN"/>
              </w:rPr>
              <w:t>碱液喷淋装置</w:t>
            </w:r>
          </w:p>
          <w:p w14:paraId="347ADEE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当有一定进气速度的酸性气体经进气管进入碱液喷淋装置后，气体由下向上，吸收液由耐酸泵打入塔顶通过布液装置均匀向下喷淋，形成逆流吸收，废气中</w:t>
            </w:r>
            <w:r>
              <w:rPr>
                <w:rFonts w:hint="eastAsia"/>
                <w:color w:val="auto"/>
                <w:lang w:val="en-US" w:eastAsia="zh-CN"/>
              </w:rPr>
              <w:t>氯化氢</w:t>
            </w:r>
            <w:r>
              <w:rPr>
                <w:rFonts w:hint="default"/>
                <w:color w:val="auto"/>
                <w:lang w:val="en-US" w:eastAsia="zh-CN"/>
              </w:rPr>
              <w:t>、</w:t>
            </w:r>
            <w:r>
              <w:rPr>
                <w:rFonts w:hint="eastAsia"/>
                <w:color w:val="auto"/>
                <w:lang w:val="en-US" w:eastAsia="zh-CN"/>
              </w:rPr>
              <w:t>硫酸雾</w:t>
            </w:r>
            <w:r>
              <w:rPr>
                <w:rFonts w:hint="default"/>
                <w:color w:val="auto"/>
                <w:lang w:val="en-US" w:eastAsia="zh-CN"/>
              </w:rPr>
              <w:t>等物质与吸收液充分混合</w:t>
            </w:r>
            <w:r>
              <w:rPr>
                <w:rFonts w:hint="default"/>
                <w:color w:val="auto"/>
                <w:shd w:val="clear" w:fill="FFFFFF"/>
                <w:lang w:val="en-US" w:eastAsia="zh-CN"/>
              </w:rPr>
              <w:t>发生中</w:t>
            </w:r>
            <w:r>
              <w:rPr>
                <w:rFonts w:hint="default"/>
                <w:color w:val="auto"/>
                <w:lang w:val="en-US" w:eastAsia="zh-CN"/>
              </w:rPr>
              <w:t>和反应，同时易溶于水的物质被吸附在吸收液上，起到理想的吸收净化效果，净化后的气体会</w:t>
            </w:r>
            <w:r>
              <w:rPr>
                <w:rFonts w:hint="eastAsia"/>
                <w:color w:val="auto"/>
                <w:lang w:val="en-US" w:eastAsia="zh-CN"/>
              </w:rPr>
              <w:t>饱含水分</w:t>
            </w:r>
            <w:r>
              <w:rPr>
                <w:rFonts w:hint="default"/>
                <w:color w:val="auto"/>
                <w:lang w:val="en-US" w:eastAsia="zh-CN"/>
              </w:rPr>
              <w:t>，经过塔顶的除雾装置</w:t>
            </w:r>
            <w:r>
              <w:rPr>
                <w:rFonts w:hint="eastAsia"/>
                <w:color w:val="auto"/>
                <w:lang w:val="en-US" w:eastAsia="zh-CN"/>
              </w:rPr>
              <w:t>去除水分</w:t>
            </w:r>
            <w:r>
              <w:rPr>
                <w:rFonts w:hint="default"/>
                <w:color w:val="auto"/>
                <w:lang w:val="en-US" w:eastAsia="zh-CN"/>
              </w:rPr>
              <w:t>，净化后气体直接排放大气中。</w:t>
            </w:r>
            <w:r>
              <w:rPr>
                <w:rFonts w:hint="eastAsia"/>
                <w:color w:val="auto"/>
                <w:lang w:val="en-US" w:eastAsia="zh-CN"/>
              </w:rPr>
              <w:t>本次评价</w:t>
            </w:r>
            <w:r>
              <w:rPr>
                <w:rFonts w:hint="default"/>
                <w:color w:val="auto"/>
                <w:lang w:val="en-US" w:eastAsia="zh-CN"/>
              </w:rPr>
              <w:t>碱液喷淋装置</w:t>
            </w:r>
            <w:r>
              <w:rPr>
                <w:rFonts w:hint="eastAsia"/>
                <w:color w:val="auto"/>
                <w:lang w:val="en-US" w:eastAsia="zh-CN"/>
              </w:rPr>
              <w:t>对酸性废气处理效率按80%计。</w:t>
            </w:r>
          </w:p>
          <w:p w14:paraId="33FD1A44">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3）活性炭吸附装置</w:t>
            </w:r>
          </w:p>
          <w:p w14:paraId="3918953C">
            <w:pPr>
              <w:pStyle w:val="36"/>
              <w:keepNext w:val="0"/>
              <w:keepLines w:val="0"/>
              <w:suppressLineNumbers w:val="0"/>
              <w:spacing w:before="0" w:beforeAutospacing="0" w:after="0" w:afterAutospacing="0"/>
              <w:ind w:left="0" w:right="0" w:firstLine="480"/>
              <w:rPr>
                <w:rFonts w:hint="eastAsia"/>
                <w:color w:val="auto"/>
                <w:u w:val="none"/>
              </w:rPr>
            </w:pPr>
            <w:r>
              <w:rPr>
                <w:rFonts w:hint="eastAsia"/>
                <w:color w:val="auto"/>
                <w:u w:val="none"/>
              </w:rPr>
              <w:t>活性炭，是一种具有多孔结构和大的内部比表面积的材料。由于其大的比表面积、微孔结构、高的吸附能力和很高的表面活性而成为独特的多功能吸附剂，且其价廉易得，可再生活化，同时它可有效去除废水、废气中的大部分有机物和某些无机物，所以它被世界各国广泛地应用于污水及废气的处理、空气净化、回收溶剂等环境保护和资源回收等领域。</w:t>
            </w:r>
          </w:p>
          <w:p w14:paraId="4A8E07F6">
            <w:pPr>
              <w:pStyle w:val="36"/>
              <w:keepNext w:val="0"/>
              <w:keepLines w:val="0"/>
              <w:suppressLineNumbers w:val="0"/>
              <w:bidi w:val="0"/>
              <w:spacing w:before="0" w:beforeAutospacing="0" w:after="0" w:afterAutospacing="0"/>
              <w:ind w:left="0" w:right="0"/>
              <w:rPr>
                <w:rFonts w:hint="default"/>
                <w:color w:val="auto"/>
                <w:highlight w:val="none"/>
                <w:u w:val="none"/>
              </w:rPr>
            </w:pPr>
            <w:r>
              <w:rPr>
                <w:rFonts w:hint="default"/>
                <w:color w:val="auto"/>
                <w:highlight w:val="none"/>
                <w:u w:val="none"/>
              </w:rPr>
              <w:t>活性炭分为粉末活性炭、粒状活性炭及活性炭纤维，但是由于粉末活性炭产生二次污染且不能再生而被限制使用。</w:t>
            </w:r>
            <w:r>
              <w:rPr>
                <w:rFonts w:hint="eastAsia"/>
                <w:color w:val="auto"/>
                <w:highlight w:val="none"/>
                <w:u w:val="none"/>
                <w:lang w:val="en-US" w:eastAsia="zh-CN"/>
              </w:rPr>
              <w:t>项目采用颗粒</w:t>
            </w:r>
            <w:r>
              <w:rPr>
                <w:rFonts w:hint="default"/>
                <w:color w:val="auto"/>
                <w:highlight w:val="none"/>
                <w:u w:val="none"/>
              </w:rPr>
              <w:t>活性炭，其碘值不宜低于</w:t>
            </w:r>
            <w:r>
              <w:rPr>
                <w:rFonts w:hint="eastAsia"/>
                <w:color w:val="auto"/>
                <w:highlight w:val="none"/>
                <w:u w:val="none"/>
                <w:lang w:val="en-US" w:eastAsia="zh-CN"/>
              </w:rPr>
              <w:t>800</w:t>
            </w:r>
            <w:r>
              <w:rPr>
                <w:rFonts w:hint="default"/>
                <w:color w:val="auto"/>
                <w:highlight w:val="none"/>
                <w:u w:val="none"/>
              </w:rPr>
              <w:t>毫克/克的活性炭，有机废气通过吸附床，与活性炭接触，废气中的有机污染物被吸附在活性炭表面，从而从气流中脱离出来，达到净化效果。</w:t>
            </w:r>
          </w:p>
          <w:p w14:paraId="23B161D4">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参考</w:t>
            </w:r>
            <w:r>
              <w:rPr>
                <w:rFonts w:hint="eastAsia"/>
                <w:color w:val="auto"/>
              </w:rPr>
              <w:t>《挥发性有机物治理实用手册》（生态环境部，2020年7月）</w:t>
            </w:r>
            <w:r>
              <w:rPr>
                <w:rFonts w:hint="eastAsia"/>
                <w:color w:val="auto"/>
                <w:lang w:eastAsia="zh-CN"/>
              </w:rPr>
              <w:t>，</w:t>
            </w:r>
            <w:r>
              <w:rPr>
                <w:rFonts w:hint="eastAsia"/>
                <w:color w:val="auto"/>
                <w:lang w:val="en-US" w:eastAsia="zh-CN"/>
              </w:rPr>
              <w:t>本项目有机废气的特点为</w:t>
            </w:r>
            <w:r>
              <w:rPr>
                <w:rFonts w:hint="eastAsia"/>
                <w:color w:val="auto"/>
              </w:rPr>
              <w:t>气量小、浓度低，</w:t>
            </w:r>
            <w:r>
              <w:rPr>
                <w:rFonts w:hint="eastAsia"/>
                <w:color w:val="auto"/>
                <w:lang w:val="en-US" w:eastAsia="zh-CN"/>
              </w:rPr>
              <w:t>活性炭吸附法属于其推荐的治理技术，因此本项目有机废气采用活性炭吸附是可行的。参考</w:t>
            </w:r>
            <w:r>
              <w:rPr>
                <w:rFonts w:hint="default" w:ascii="Times New Roman" w:hAnsi="Times New Roman" w:cs="Times New Roman"/>
                <w:color w:val="auto"/>
                <w:lang w:val="en-US" w:eastAsia="zh-CN"/>
              </w:rPr>
              <w:t>《深圳市工业有机废气治理用活性炭更换技术指引</w:t>
            </w:r>
            <w:r>
              <w:rPr>
                <w:rFonts w:hint="default" w:ascii="Times New Roman" w:hAnsi="Times New Roman" w:cs="Times New Roman"/>
                <w:color w:val="auto"/>
                <w:shd w:val="clear" w:fill="FFFFFF"/>
                <w:lang w:val="en-US" w:eastAsia="zh-CN"/>
              </w:rPr>
              <w:t>(</w:t>
            </w:r>
            <w:r>
              <w:rPr>
                <w:rFonts w:hint="default" w:ascii="Times New Roman" w:hAnsi="Times New Roman" w:cs="Times New Roman"/>
                <w:color w:val="auto"/>
                <w:lang w:val="en-US" w:eastAsia="zh-CN"/>
              </w:rPr>
              <w:t>试行</w:t>
            </w:r>
            <w:r>
              <w:rPr>
                <w:rFonts w:hint="default" w:ascii="Times New Roman" w:hAnsi="Times New Roman" w:cs="Times New Roman"/>
                <w:color w:val="auto"/>
                <w:shd w:val="clear" w:fill="FFFFFF"/>
                <w:lang w:val="en-US" w:eastAsia="zh-CN"/>
              </w:rPr>
              <w:t>)</w:t>
            </w:r>
            <w:r>
              <w:rPr>
                <w:rFonts w:hint="default" w:ascii="Times New Roman" w:hAnsi="Times New Roman" w:cs="Times New Roman"/>
                <w:color w:val="auto"/>
                <w:lang w:val="en-US" w:eastAsia="zh-CN"/>
              </w:rPr>
              <w:t>》</w:t>
            </w:r>
            <w:r>
              <w:rPr>
                <w:rFonts w:hint="eastAsia" w:cs="Times New Roman"/>
                <w:color w:val="auto"/>
                <w:lang w:val="en-US" w:eastAsia="zh-CN"/>
              </w:rPr>
              <w:t>（深圳市生态环境局，</w:t>
            </w:r>
            <w:r>
              <w:rPr>
                <w:rFonts w:hint="eastAsia"/>
                <w:color w:val="auto"/>
              </w:rPr>
              <w:t>202</w:t>
            </w:r>
            <w:r>
              <w:rPr>
                <w:rFonts w:hint="eastAsia"/>
                <w:color w:val="auto"/>
                <w:lang w:val="en-US" w:eastAsia="zh-CN"/>
              </w:rPr>
              <w:t>3</w:t>
            </w:r>
            <w:r>
              <w:rPr>
                <w:rFonts w:hint="eastAsia"/>
                <w:color w:val="auto"/>
              </w:rPr>
              <w:t>年</w:t>
            </w:r>
            <w:r>
              <w:rPr>
                <w:rFonts w:hint="eastAsia"/>
                <w:color w:val="auto"/>
                <w:lang w:val="en-US" w:eastAsia="zh-CN"/>
              </w:rPr>
              <w:t>5</w:t>
            </w:r>
            <w:r>
              <w:rPr>
                <w:rFonts w:hint="eastAsia"/>
                <w:color w:val="auto"/>
              </w:rPr>
              <w:t>月</w:t>
            </w:r>
            <w:r>
              <w:rPr>
                <w:rFonts w:hint="eastAsia" w:cs="Times New Roman"/>
                <w:color w:val="auto"/>
                <w:lang w:val="en-US" w:eastAsia="zh-CN"/>
              </w:rPr>
              <w:t>），活性炭去除效率按60%计</w:t>
            </w:r>
            <w:r>
              <w:rPr>
                <w:rFonts w:hint="eastAsia"/>
                <w:color w:val="auto"/>
                <w:lang w:val="en-US" w:eastAsia="zh-CN"/>
              </w:rPr>
              <w:t>。</w:t>
            </w:r>
          </w:p>
          <w:p w14:paraId="7C72C9AC">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②无组织排放控制措施</w:t>
            </w:r>
          </w:p>
          <w:p w14:paraId="1D95BCF5">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项目无组织废气为通风橱未收集部分废气，因此，需定期对通风橱等集气及配套设备定期巡检，保证其运行稳定，保障集气效率。</w:t>
            </w:r>
          </w:p>
          <w:p w14:paraId="7A28C459">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的废气主要来源于人员检验试剂使用过程中试剂挥发产生的污染物，本次环评要求实验人员应按照检测规范流程使用试剂，减少试剂瓶口敞开时间，减少污染物产生。按照相关要求，定时对实验室换风系统进行检查，保证实验室内换风系统正常运行，避免室内污染物浓度累积。</w:t>
            </w:r>
          </w:p>
          <w:p w14:paraId="75DC250D">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综上所述，在采取上述措施后，可有效减少无组织废气的产生，减少对周边环境及室内工作人员的影响，措施有效可行。</w:t>
            </w:r>
          </w:p>
          <w:p w14:paraId="5CF1DD9E">
            <w:pPr>
              <w:pStyle w:val="36"/>
              <w:keepNext w:val="0"/>
              <w:keepLines w:val="0"/>
              <w:suppressLineNumbers w:val="0"/>
              <w:bidi w:val="0"/>
              <w:spacing w:before="0" w:beforeAutospacing="0" w:after="0" w:afterAutospacing="0" w:line="360" w:lineRule="auto"/>
              <w:ind w:left="0" w:right="0"/>
              <w:rPr>
                <w:rFonts w:hint="eastAsia" w:cs="Times New Roman"/>
                <w:color w:val="auto"/>
                <w:lang w:val="en-US" w:eastAsia="zh-CN"/>
              </w:rPr>
            </w:pPr>
          </w:p>
          <w:p w14:paraId="22DFD1D3">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tc>
      </w:tr>
    </w:tbl>
    <w:p w14:paraId="080539B8">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50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4"/>
        <w:gridCol w:w="12773"/>
      </w:tblGrid>
      <w:tr w14:paraId="3F4778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610" w:type="dxa"/>
            <w:tcMar>
              <w:left w:w="28" w:type="dxa"/>
              <w:right w:w="28" w:type="dxa"/>
            </w:tcMar>
            <w:vAlign w:val="center"/>
          </w:tcPr>
          <w:p w14:paraId="2E3104A1">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p>
        </w:tc>
        <w:tc>
          <w:tcPr>
            <w:tcW w:w="12696" w:type="dxa"/>
            <w:tcBorders>
              <w:top w:val="single" w:color="auto" w:sz="4" w:space="0"/>
              <w:bottom w:val="single" w:color="auto" w:sz="4" w:space="0"/>
              <w:right w:val="single" w:color="auto" w:sz="4" w:space="0"/>
            </w:tcBorders>
            <w:vAlign w:val="top"/>
          </w:tcPr>
          <w:p w14:paraId="14135BCC">
            <w:pPr>
              <w:pStyle w:val="36"/>
              <w:keepNext w:val="0"/>
              <w:keepLines w:val="0"/>
              <w:suppressLineNumbers w:val="0"/>
              <w:bidi w:val="0"/>
              <w:spacing w:before="0" w:beforeAutospacing="0" w:after="0" w:afterAutospacing="0" w:line="360" w:lineRule="auto"/>
              <w:ind w:left="0" w:right="0"/>
              <w:rPr>
                <w:rFonts w:hint="default" w:cs="Times New Roman"/>
                <w:color w:val="auto"/>
                <w:lang w:val="en-US" w:eastAsia="zh-CN"/>
              </w:rPr>
            </w:pPr>
            <w:r>
              <w:rPr>
                <w:rFonts w:hint="eastAsia" w:cs="Times New Roman"/>
                <w:color w:val="auto"/>
                <w:lang w:val="en-US" w:eastAsia="zh-CN"/>
              </w:rPr>
              <w:t>③配套风机风量核算</w:t>
            </w:r>
          </w:p>
          <w:p w14:paraId="49357784">
            <w:pPr>
              <w:pStyle w:val="36"/>
              <w:keepNext w:val="0"/>
              <w:keepLines w:val="0"/>
              <w:suppressLineNumbers w:val="0"/>
              <w:bidi w:val="0"/>
              <w:spacing w:before="0" w:beforeAutospacing="0" w:after="0" w:afterAutospacing="0" w:line="360" w:lineRule="auto"/>
              <w:ind w:left="0" w:right="0"/>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lang w:val="en-US" w:eastAsia="zh-CN"/>
              </w:rPr>
              <w:t>根据《局部排风设施控制风速检测与评估技术规范》（AQ/T 4274-2016）、《废气处理工程技术手册》（2012版）</w:t>
            </w:r>
            <w:r>
              <w:rPr>
                <w:rFonts w:hint="eastAsia" w:cs="Times New Roman"/>
                <w:color w:val="auto"/>
                <w:lang w:val="en-US" w:eastAsia="zh-CN"/>
              </w:rPr>
              <w:t>，</w:t>
            </w:r>
            <w:r>
              <w:rPr>
                <w:rFonts w:hint="default" w:ascii="Times New Roman" w:hAnsi="Times New Roman" w:cs="Times New Roman"/>
                <w:color w:val="auto"/>
                <w:highlight w:val="none"/>
                <w:lang w:val="en-US" w:eastAsia="zh-CN"/>
              </w:rPr>
              <w:t>对本项目各配套风机风量进行核算，具体核算过程见下表。</w:t>
            </w:r>
          </w:p>
          <w:p w14:paraId="2290978A">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eastAsia" w:ascii="Times New Roman" w:hAnsi="Times New Roman" w:cs="Times New Roman"/>
                <w:color w:val="auto"/>
                <w:highlight w:val="none"/>
                <w:lang w:val="en-US" w:eastAsia="zh-CN"/>
              </w:rPr>
              <w:t>配套风机风量核算一览</w:t>
            </w:r>
          </w:p>
          <w:tbl>
            <w:tblPr>
              <w:tblStyle w:val="29"/>
              <w:tblW w:w="12557"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980"/>
              <w:gridCol w:w="625"/>
              <w:gridCol w:w="2214"/>
              <w:gridCol w:w="3098"/>
              <w:gridCol w:w="1260"/>
              <w:gridCol w:w="1351"/>
              <w:gridCol w:w="1182"/>
              <w:gridCol w:w="666"/>
            </w:tblGrid>
            <w:tr w14:paraId="3348A8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81" w:type="dxa"/>
                  <w:tcBorders>
                    <w:tl2br w:val="nil"/>
                    <w:tr2bl w:val="nil"/>
                  </w:tcBorders>
                  <w:tcMar>
                    <w:top w:w="0" w:type="dxa"/>
                    <w:left w:w="51" w:type="dxa"/>
                    <w:bottom w:w="0" w:type="dxa"/>
                    <w:right w:w="51" w:type="dxa"/>
                  </w:tcMar>
                  <w:vAlign w:val="center"/>
                </w:tcPr>
                <w:p w14:paraId="21907D8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废气处理系统</w:t>
                  </w:r>
                </w:p>
              </w:tc>
              <w:tc>
                <w:tcPr>
                  <w:tcW w:w="980" w:type="dxa"/>
                  <w:tcBorders>
                    <w:tl2br w:val="nil"/>
                    <w:tr2bl w:val="nil"/>
                  </w:tcBorders>
                  <w:tcMar>
                    <w:top w:w="0" w:type="dxa"/>
                    <w:left w:w="51" w:type="dxa"/>
                    <w:bottom w:w="0" w:type="dxa"/>
                    <w:right w:w="51" w:type="dxa"/>
                  </w:tcMar>
                  <w:vAlign w:val="center"/>
                </w:tcPr>
                <w:p w14:paraId="3145E7E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w:t>
                  </w:r>
                </w:p>
                <w:p w14:paraId="2A77E3E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方式</w:t>
                  </w:r>
                </w:p>
              </w:tc>
              <w:tc>
                <w:tcPr>
                  <w:tcW w:w="625" w:type="dxa"/>
                  <w:tcBorders>
                    <w:tl2br w:val="nil"/>
                    <w:tr2bl w:val="nil"/>
                  </w:tcBorders>
                  <w:tcMar>
                    <w:top w:w="0" w:type="dxa"/>
                    <w:left w:w="51" w:type="dxa"/>
                    <w:bottom w:w="0" w:type="dxa"/>
                    <w:right w:w="51" w:type="dxa"/>
                  </w:tcMar>
                  <w:vAlign w:val="center"/>
                </w:tcPr>
                <w:p w14:paraId="21349E16">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设施数量</w:t>
                  </w:r>
                </w:p>
              </w:tc>
              <w:tc>
                <w:tcPr>
                  <w:tcW w:w="2214" w:type="dxa"/>
                  <w:tcBorders>
                    <w:tl2br w:val="nil"/>
                    <w:tr2bl w:val="nil"/>
                  </w:tcBorders>
                  <w:tcMar>
                    <w:top w:w="0" w:type="dxa"/>
                    <w:left w:w="51" w:type="dxa"/>
                    <w:bottom w:w="0" w:type="dxa"/>
                    <w:right w:w="51" w:type="dxa"/>
                  </w:tcMar>
                  <w:vAlign w:val="center"/>
                </w:tcPr>
                <w:p w14:paraId="23C6ADF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图例</w:t>
                  </w:r>
                </w:p>
              </w:tc>
              <w:tc>
                <w:tcPr>
                  <w:tcW w:w="3098" w:type="dxa"/>
                  <w:tcBorders>
                    <w:tl2br w:val="nil"/>
                    <w:tr2bl w:val="nil"/>
                  </w:tcBorders>
                  <w:tcMar>
                    <w:top w:w="0" w:type="dxa"/>
                    <w:left w:w="51" w:type="dxa"/>
                    <w:bottom w:w="0" w:type="dxa"/>
                    <w:right w:w="51" w:type="dxa"/>
                  </w:tcMar>
                  <w:vAlign w:val="center"/>
                </w:tcPr>
                <w:p w14:paraId="6C09E88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计算公式</w:t>
                  </w:r>
                </w:p>
              </w:tc>
              <w:tc>
                <w:tcPr>
                  <w:tcW w:w="1260" w:type="dxa"/>
                  <w:tcBorders>
                    <w:tl2br w:val="nil"/>
                    <w:tr2bl w:val="nil"/>
                  </w:tcBorders>
                  <w:tcMar>
                    <w:top w:w="0" w:type="dxa"/>
                    <w:left w:w="51" w:type="dxa"/>
                    <w:bottom w:w="0" w:type="dxa"/>
                    <w:right w:w="51" w:type="dxa"/>
                  </w:tcMar>
                  <w:vAlign w:val="center"/>
                </w:tcPr>
                <w:p w14:paraId="16A8D0ED">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参数取值</w:t>
                  </w:r>
                </w:p>
              </w:tc>
              <w:tc>
                <w:tcPr>
                  <w:tcW w:w="1351" w:type="dxa"/>
                  <w:tcBorders>
                    <w:tl2br w:val="nil"/>
                    <w:tr2bl w:val="nil"/>
                  </w:tcBorders>
                  <w:tcMar>
                    <w:top w:w="0" w:type="dxa"/>
                    <w:left w:w="51" w:type="dxa"/>
                    <w:bottom w:w="0" w:type="dxa"/>
                    <w:right w:w="51" w:type="dxa"/>
                  </w:tcMar>
                  <w:vAlign w:val="center"/>
                </w:tcPr>
                <w:p w14:paraId="6AEA15C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计算结果（m³/h）</w:t>
                  </w:r>
                </w:p>
              </w:tc>
              <w:tc>
                <w:tcPr>
                  <w:tcW w:w="1182" w:type="dxa"/>
                  <w:tcBorders>
                    <w:tl2br w:val="nil"/>
                    <w:tr2bl w:val="nil"/>
                  </w:tcBorders>
                  <w:tcMar>
                    <w:top w:w="0" w:type="dxa"/>
                    <w:left w:w="51" w:type="dxa"/>
                    <w:bottom w:w="0" w:type="dxa"/>
                    <w:right w:w="51" w:type="dxa"/>
                  </w:tcMar>
                  <w:vAlign w:val="center"/>
                </w:tcPr>
                <w:p w14:paraId="7AF83EB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设计风量（m³/h）</w:t>
                  </w:r>
                </w:p>
              </w:tc>
              <w:tc>
                <w:tcPr>
                  <w:tcW w:w="666" w:type="dxa"/>
                  <w:tcBorders>
                    <w:tl2br w:val="nil"/>
                    <w:tr2bl w:val="nil"/>
                  </w:tcBorders>
                  <w:tcMar>
                    <w:top w:w="0" w:type="dxa"/>
                    <w:left w:w="51" w:type="dxa"/>
                    <w:bottom w:w="0" w:type="dxa"/>
                    <w:right w:w="51" w:type="dxa"/>
                  </w:tcMar>
                  <w:vAlign w:val="center"/>
                </w:tcPr>
                <w:p w14:paraId="6FD3B52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是否满足</w:t>
                  </w:r>
                </w:p>
              </w:tc>
            </w:tr>
            <w:tr w14:paraId="56D557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1181" w:type="dxa"/>
                  <w:vMerge w:val="restart"/>
                  <w:tcBorders>
                    <w:tl2br w:val="nil"/>
                    <w:tr2bl w:val="nil"/>
                  </w:tcBorders>
                  <w:tcMar>
                    <w:top w:w="0" w:type="dxa"/>
                    <w:left w:w="51" w:type="dxa"/>
                    <w:bottom w:w="0" w:type="dxa"/>
                    <w:right w:w="51" w:type="dxa"/>
                  </w:tcMar>
                  <w:vAlign w:val="center"/>
                </w:tcPr>
                <w:p w14:paraId="3156577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碱液喷淋</w:t>
                  </w:r>
                </w:p>
              </w:tc>
              <w:tc>
                <w:tcPr>
                  <w:tcW w:w="980" w:type="dxa"/>
                  <w:tcBorders>
                    <w:tl2br w:val="nil"/>
                    <w:tr2bl w:val="nil"/>
                  </w:tcBorders>
                  <w:tcMar>
                    <w:top w:w="0" w:type="dxa"/>
                    <w:left w:w="51" w:type="dxa"/>
                    <w:bottom w:w="0" w:type="dxa"/>
                    <w:right w:w="51" w:type="dxa"/>
                  </w:tcMar>
                  <w:vAlign w:val="center"/>
                </w:tcPr>
                <w:p w14:paraId="7C0AD10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通风柜</w:t>
                  </w:r>
                </w:p>
              </w:tc>
              <w:tc>
                <w:tcPr>
                  <w:tcW w:w="625" w:type="dxa"/>
                  <w:tcBorders>
                    <w:tl2br w:val="nil"/>
                    <w:tr2bl w:val="nil"/>
                  </w:tcBorders>
                  <w:tcMar>
                    <w:top w:w="0" w:type="dxa"/>
                    <w:left w:w="51" w:type="dxa"/>
                    <w:bottom w:w="0" w:type="dxa"/>
                    <w:right w:w="51" w:type="dxa"/>
                  </w:tcMar>
                  <w:vAlign w:val="center"/>
                </w:tcPr>
                <w:p w14:paraId="21BBF4D9">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ascii="Times New Roman" w:hAnsi="Times New Roman" w:cs="Times New Roman"/>
                      <w:color w:val="auto"/>
                      <w:sz w:val="21"/>
                      <w:szCs w:val="21"/>
                      <w:highlight w:val="none"/>
                      <w:lang w:val="en-US" w:eastAsia="zh-CN"/>
                    </w:rPr>
                    <w:t>2</w:t>
                  </w:r>
                </w:p>
              </w:tc>
              <w:tc>
                <w:tcPr>
                  <w:tcW w:w="2214" w:type="dxa"/>
                  <w:tcBorders>
                    <w:tl2br w:val="nil"/>
                    <w:tr2bl w:val="nil"/>
                  </w:tcBorders>
                  <w:tcMar>
                    <w:top w:w="0" w:type="dxa"/>
                    <w:left w:w="51" w:type="dxa"/>
                    <w:bottom w:w="0" w:type="dxa"/>
                    <w:right w:w="51" w:type="dxa"/>
                  </w:tcMar>
                  <w:vAlign w:val="center"/>
                </w:tcPr>
                <w:p w14:paraId="12864DDC">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575945" cy="894715"/>
                        <wp:effectExtent l="0" t="0" r="14605" b="635"/>
                        <wp:docPr id="18" name="图片 18" descr="微信图片_2025011814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50118141125(1)"/>
                                <pic:cNvPicPr>
                                  <a:picLocks noChangeAspect="1"/>
                                </pic:cNvPicPr>
                              </pic:nvPicPr>
                              <pic:blipFill>
                                <a:blip r:embed="rId27"/>
                                <a:stretch>
                                  <a:fillRect/>
                                </a:stretch>
                              </pic:blipFill>
                              <pic:spPr>
                                <a:xfrm>
                                  <a:off x="0" y="0"/>
                                  <a:ext cx="575945" cy="894715"/>
                                </a:xfrm>
                                <a:prstGeom prst="rect">
                                  <a:avLst/>
                                </a:prstGeom>
                              </pic:spPr>
                            </pic:pic>
                          </a:graphicData>
                        </a:graphic>
                      </wp:inline>
                    </w:drawing>
                  </w:r>
                </w:p>
              </w:tc>
              <w:tc>
                <w:tcPr>
                  <w:tcW w:w="3098" w:type="dxa"/>
                  <w:tcBorders>
                    <w:tl2br w:val="nil"/>
                    <w:tr2bl w:val="nil"/>
                  </w:tcBorders>
                  <w:tcMar>
                    <w:top w:w="0" w:type="dxa"/>
                    <w:left w:w="51" w:type="dxa"/>
                    <w:bottom w:w="0" w:type="dxa"/>
                    <w:right w:w="51" w:type="dxa"/>
                  </w:tcMar>
                  <w:vAlign w:val="center"/>
                </w:tcPr>
                <w:p w14:paraId="3063768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bidi="ar-SA"/>
                    </w:rPr>
                  </w:pPr>
                  <m:oMath>
                    <m:r>
                      <m:rPr>
                        <m:sty m:val="p"/>
                      </m:rPr>
                      <w:rPr>
                        <w:rFonts w:hint="default" w:ascii="Cambria Math" w:hAnsi="Cambria Math" w:cs="Times New Roman"/>
                        <w:snapToGrid w:val="0"/>
                        <w:color w:val="auto"/>
                        <w:spacing w:val="4"/>
                        <w:sz w:val="21"/>
                        <w:szCs w:val="21"/>
                        <w:highlight w:val="none"/>
                        <w:lang w:val="en-US" w:eastAsia="zh-CN" w:bidi="ar-SA"/>
                      </w:rPr>
                      <m:t>Q=3600</m:t>
                    </m:r>
                    <m:r>
                      <m:rPr>
                        <m:sty m:val="p"/>
                      </m:rPr>
                      <w:rPr>
                        <w:rFonts w:hint="default" w:ascii="Cambria Math" w:hAnsi="Cambria Math" w:cs="Times New Roman"/>
                        <w:snapToGrid w:val="0"/>
                        <w:color w:val="auto"/>
                        <w:spacing w:val="4"/>
                        <w:sz w:val="21"/>
                        <w:szCs w:val="21"/>
                        <w:highlight w:val="none"/>
                        <w:lang w:val="en-US" w:bidi="ar-SA"/>
                      </w:rPr>
                      <m:t>×</m:t>
                    </m:r>
                    <m:r>
                      <m:rPr>
                        <m:sty m:val="p"/>
                      </m:rPr>
                      <w:rPr>
                        <w:rFonts w:hint="default" w:ascii="Cambria Math" w:hAnsi="Cambria Math" w:cs="Times New Roman"/>
                        <w:snapToGrid w:val="0"/>
                        <w:color w:val="auto"/>
                        <w:spacing w:val="4"/>
                        <w:sz w:val="21"/>
                        <w:szCs w:val="21"/>
                        <w:highlight w:val="none"/>
                        <w:lang w:val="en-US" w:eastAsia="zh-CN" w:bidi="ar-SA"/>
                      </w:rPr>
                      <m:t>F</m:t>
                    </m:r>
                    <m:r>
                      <m:rPr>
                        <m:sty m:val="p"/>
                      </m:rPr>
                      <w:rPr>
                        <w:rFonts w:hint="default" w:ascii="Cambria Math" w:hAnsi="Cambria Math" w:cs="Times New Roman"/>
                        <w:snapToGrid w:val="0"/>
                        <w:color w:val="auto"/>
                        <w:spacing w:val="4"/>
                        <w:sz w:val="21"/>
                        <w:szCs w:val="21"/>
                        <w:highlight w:val="none"/>
                        <w:lang w:val="en-US" w:bidi="ar-SA"/>
                      </w:rPr>
                      <m:t>×</m:t>
                    </m:r>
                  </m:oMath>
                  <w:r>
                    <w:rPr>
                      <w:rFonts w:hint="default" w:ascii="Times New Roman" w:hAnsi="Times New Roman" w:cs="Times New Roman"/>
                      <w:b w:val="0"/>
                      <w:i w:val="0"/>
                      <w:snapToGrid w:val="0"/>
                      <w:color w:val="auto"/>
                      <w:spacing w:val="4"/>
                      <w:sz w:val="21"/>
                      <w:szCs w:val="21"/>
                      <w:highlight w:val="none"/>
                      <w:lang w:val="en-US" w:eastAsia="zh-CN" w:bidi="ar-SA"/>
                    </w:rPr>
                    <w:t>v</w:t>
                  </w:r>
                  <m:oMath>
                    <m:r>
                      <m:rPr>
                        <m:sty m:val="p"/>
                      </m:rPr>
                      <w:rPr>
                        <w:rFonts w:hint="default" w:ascii="Cambria Math" w:hAnsi="Cambria Math" w:cs="Times New Roman"/>
                        <w:snapToGrid w:val="0"/>
                        <w:color w:val="auto"/>
                        <w:spacing w:val="4"/>
                        <w:sz w:val="21"/>
                        <w:szCs w:val="21"/>
                        <w:highlight w:val="none"/>
                        <w:lang w:val="en-US" w:bidi="ar-SA"/>
                      </w:rPr>
                      <m:t>×β</m:t>
                    </m:r>
                  </m:oMath>
                </w:p>
                <w:p w14:paraId="1CCE430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bidi="ar-SA"/>
                    </w:rPr>
                  </w:pPr>
                </w:p>
                <w:p w14:paraId="21513AB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F：操作口面积；</w:t>
                  </w:r>
                </w:p>
                <w:p w14:paraId="088B11AB">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V：设计风速；</w:t>
                  </w:r>
                </w:p>
                <w:p w14:paraId="4C126BB4">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Cambria Math" w:hAnsi="Cambria Math" w:cs="Times New Roman"/>
                      <w:b w:val="0"/>
                      <w:i w:val="0"/>
                      <w:snapToGrid w:val="0"/>
                      <w:color w:val="auto"/>
                      <w:spacing w:val="4"/>
                      <w:sz w:val="21"/>
                      <w:szCs w:val="21"/>
                      <w:highlight w:val="none"/>
                      <w:lang w:val="en-US" w:eastAsia="zh-CN" w:bidi="ar-SA"/>
                      <w:oMath/>
                    </w:rPr>
                  </w:pPr>
                  <w:r>
                    <w:rPr>
                      <w:rFonts w:hint="default" w:ascii="Times New Roman" w:hAnsi="Times New Roman" w:cs="Times New Roman"/>
                      <w:b w:val="0"/>
                      <w:i w:val="0"/>
                      <w:snapToGrid w:val="0"/>
                      <w:color w:val="auto"/>
                      <w:spacing w:val="4"/>
                      <w:sz w:val="21"/>
                      <w:szCs w:val="21"/>
                      <w:highlight w:val="none"/>
                      <w:lang w:val="en-US" w:eastAsia="zh-CN" w:bidi="ar-SA"/>
                    </w:rPr>
                    <w:t>β：安全系数</w:t>
                  </w:r>
                </w:p>
              </w:tc>
              <w:tc>
                <w:tcPr>
                  <w:tcW w:w="1260" w:type="dxa"/>
                  <w:tcBorders>
                    <w:tl2br w:val="nil"/>
                    <w:tr2bl w:val="nil"/>
                  </w:tcBorders>
                  <w:tcMar>
                    <w:top w:w="0" w:type="dxa"/>
                    <w:left w:w="51" w:type="dxa"/>
                    <w:bottom w:w="0" w:type="dxa"/>
                    <w:right w:w="51" w:type="dxa"/>
                  </w:tcMar>
                  <w:vAlign w:val="center"/>
                </w:tcPr>
                <w:p w14:paraId="2AC64FF8">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w:t>
                  </w:r>
                  <w:r>
                    <w:rPr>
                      <w:rFonts w:hint="eastAsia" w:ascii="Times New Roman" w:hAnsi="Times New Roman" w:cs="Times New Roman"/>
                      <w:b w:val="0"/>
                      <w:i w:val="0"/>
                      <w:snapToGrid w:val="0"/>
                      <w:color w:val="auto"/>
                      <w:spacing w:val="4"/>
                      <w:sz w:val="21"/>
                      <w:szCs w:val="21"/>
                      <w:highlight w:val="none"/>
                      <w:lang w:val="en-US" w:eastAsia="zh-CN" w:bidi="ar-SA"/>
                    </w:rPr>
                    <w:t>0.72;</w:t>
                  </w:r>
                </w:p>
                <w:p w14:paraId="49EFA8BC">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eastAsia" w:ascii="Times New Roman" w:hAnsi="Times New Roman" w:cs="Times New Roman"/>
                      <w:b w:val="0"/>
                      <w:i w:val="0"/>
                      <w:snapToGrid w:val="0"/>
                      <w:color w:val="auto"/>
                      <w:spacing w:val="4"/>
                      <w:sz w:val="21"/>
                      <w:szCs w:val="21"/>
                      <w:highlight w:val="none"/>
                      <w:lang w:val="en-US" w:eastAsia="zh-CN" w:bidi="ar-SA"/>
                    </w:rPr>
                    <w:t>0.5;</w:t>
                  </w:r>
                </w:p>
                <w:p w14:paraId="04805ED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β=1.1</w:t>
                  </w:r>
                </w:p>
              </w:tc>
              <w:tc>
                <w:tcPr>
                  <w:tcW w:w="1351" w:type="dxa"/>
                  <w:tcBorders>
                    <w:tl2br w:val="nil"/>
                    <w:tr2bl w:val="nil"/>
                  </w:tcBorders>
                  <w:tcMar>
                    <w:top w:w="0" w:type="dxa"/>
                    <w:left w:w="51" w:type="dxa"/>
                    <w:bottom w:w="0" w:type="dxa"/>
                    <w:right w:w="51" w:type="dxa"/>
                  </w:tcMar>
                  <w:vAlign w:val="center"/>
                </w:tcPr>
                <w:p w14:paraId="4339F66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1425.6</w:t>
                  </w:r>
                  <w:r>
                    <w:rPr>
                      <w:rFonts w:hint="default" w:ascii="Times New Roman" w:hAnsi="Times New Roman"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17107.2</w:t>
                  </w:r>
                </w:p>
              </w:tc>
              <w:tc>
                <w:tcPr>
                  <w:tcW w:w="1182" w:type="dxa"/>
                  <w:vMerge w:val="restart"/>
                  <w:tcBorders>
                    <w:tl2br w:val="nil"/>
                    <w:tr2bl w:val="nil"/>
                  </w:tcBorders>
                  <w:tcMar>
                    <w:top w:w="0" w:type="dxa"/>
                    <w:left w:w="51" w:type="dxa"/>
                    <w:bottom w:w="0" w:type="dxa"/>
                    <w:right w:w="51" w:type="dxa"/>
                  </w:tcMar>
                  <w:vAlign w:val="center"/>
                </w:tcPr>
                <w:p w14:paraId="3E129958">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23000</w:t>
                  </w:r>
                </w:p>
              </w:tc>
              <w:tc>
                <w:tcPr>
                  <w:tcW w:w="666" w:type="dxa"/>
                  <w:vMerge w:val="restart"/>
                  <w:tcBorders>
                    <w:tl2br w:val="nil"/>
                    <w:tr2bl w:val="nil"/>
                  </w:tcBorders>
                  <w:tcMar>
                    <w:top w:w="0" w:type="dxa"/>
                    <w:left w:w="51" w:type="dxa"/>
                    <w:bottom w:w="0" w:type="dxa"/>
                    <w:right w:w="51" w:type="dxa"/>
                  </w:tcMar>
                  <w:vAlign w:val="center"/>
                </w:tcPr>
                <w:p w14:paraId="16A75E5C">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r>
            <w:tr w14:paraId="13AA4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5" w:hRule="atLeast"/>
              </w:trPr>
              <w:tc>
                <w:tcPr>
                  <w:tcW w:w="1181" w:type="dxa"/>
                  <w:vMerge w:val="continue"/>
                  <w:tcBorders>
                    <w:tl2br w:val="nil"/>
                    <w:tr2bl w:val="nil"/>
                  </w:tcBorders>
                  <w:tcMar>
                    <w:top w:w="0" w:type="dxa"/>
                    <w:left w:w="51" w:type="dxa"/>
                    <w:bottom w:w="0" w:type="dxa"/>
                    <w:right w:w="51" w:type="dxa"/>
                  </w:tcMar>
                  <w:vAlign w:val="center"/>
                </w:tcPr>
                <w:p w14:paraId="1FD4864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0" w:type="dxa"/>
                  <w:tcBorders>
                    <w:tl2br w:val="nil"/>
                    <w:tr2bl w:val="nil"/>
                  </w:tcBorders>
                  <w:tcMar>
                    <w:top w:w="0" w:type="dxa"/>
                    <w:left w:w="51" w:type="dxa"/>
                    <w:bottom w:w="0" w:type="dxa"/>
                    <w:right w:w="51" w:type="dxa"/>
                  </w:tcMar>
                  <w:vAlign w:val="center"/>
                </w:tcPr>
                <w:p w14:paraId="6F8F183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w:t>
                  </w:r>
                </w:p>
              </w:tc>
              <w:tc>
                <w:tcPr>
                  <w:tcW w:w="625" w:type="dxa"/>
                  <w:tcBorders>
                    <w:tl2br w:val="nil"/>
                    <w:tr2bl w:val="nil"/>
                  </w:tcBorders>
                  <w:tcMar>
                    <w:top w:w="0" w:type="dxa"/>
                    <w:left w:w="51" w:type="dxa"/>
                    <w:bottom w:w="0" w:type="dxa"/>
                    <w:right w:w="51" w:type="dxa"/>
                  </w:tcMar>
                  <w:vAlign w:val="center"/>
                </w:tcPr>
                <w:p w14:paraId="7CAF5BFC">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w:t>
                  </w:r>
                </w:p>
              </w:tc>
              <w:tc>
                <w:tcPr>
                  <w:tcW w:w="2214" w:type="dxa"/>
                  <w:tcBorders>
                    <w:tl2br w:val="nil"/>
                    <w:tr2bl w:val="nil"/>
                  </w:tcBorders>
                  <w:tcMar>
                    <w:top w:w="0" w:type="dxa"/>
                    <w:left w:w="51" w:type="dxa"/>
                    <w:bottom w:w="0" w:type="dxa"/>
                    <w:right w:w="51" w:type="dxa"/>
                  </w:tcMar>
                  <w:vAlign w:val="center"/>
                </w:tcPr>
                <w:p w14:paraId="5D75497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rPr>
                    <w:drawing>
                      <wp:inline distT="0" distB="0" distL="114300" distR="114300">
                        <wp:extent cx="1120140" cy="681990"/>
                        <wp:effectExtent l="0" t="0" r="3810" b="381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28"/>
                                <a:srcRect l="14339" r="7107"/>
                                <a:stretch>
                                  <a:fillRect/>
                                </a:stretch>
                              </pic:blipFill>
                              <pic:spPr>
                                <a:xfrm>
                                  <a:off x="0" y="0"/>
                                  <a:ext cx="1120140" cy="681990"/>
                                </a:xfrm>
                                <a:prstGeom prst="rect">
                                  <a:avLst/>
                                </a:prstGeom>
                                <a:noFill/>
                                <a:ln>
                                  <a:noFill/>
                                </a:ln>
                              </pic:spPr>
                            </pic:pic>
                          </a:graphicData>
                        </a:graphic>
                      </wp:inline>
                    </w:drawing>
                  </w:r>
                </w:p>
              </w:tc>
              <w:tc>
                <w:tcPr>
                  <w:tcW w:w="3098" w:type="dxa"/>
                  <w:tcBorders>
                    <w:tl2br w:val="nil"/>
                    <w:tr2bl w:val="nil"/>
                  </w:tcBorders>
                  <w:tcMar>
                    <w:top w:w="0" w:type="dxa"/>
                    <w:left w:w="51" w:type="dxa"/>
                    <w:bottom w:w="0" w:type="dxa"/>
                    <w:right w:w="51" w:type="dxa"/>
                  </w:tcMar>
                  <w:vAlign w:val="center"/>
                </w:tcPr>
                <w:p w14:paraId="34A4DFA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snapToGrid w:val="0"/>
                      <w:color w:val="auto"/>
                      <w:spacing w:val="4"/>
                      <w:sz w:val="21"/>
                      <w:szCs w:val="21"/>
                      <w:highlight w:val="none"/>
                      <w:lang w:val="en-US" w:eastAsia="zh-CN" w:bidi="ar-SA"/>
                    </w:rPr>
                  </w:pPr>
                  <m:oMathPara>
                    <m:oMath>
                      <m:r>
                        <m:rPr>
                          <m:sty m:val="p"/>
                        </m:rPr>
                        <w:rPr>
                          <w:rFonts w:hint="default" w:ascii="Cambria Math" w:hAnsi="Cambria Math" w:cs="Times New Roman"/>
                          <w:snapToGrid w:val="0"/>
                          <w:color w:val="auto"/>
                          <w:spacing w:val="4"/>
                          <w:sz w:val="21"/>
                          <w:szCs w:val="21"/>
                          <w:highlight w:val="none"/>
                          <w:lang w:val="en-US" w:eastAsia="zh-CN" w:bidi="ar-SA"/>
                        </w:rPr>
                        <m:t>Q=3600</m:t>
                      </m:r>
                      <m:r>
                        <m:rPr>
                          <m:sty m:val="p"/>
                        </m:rPr>
                        <w:rPr>
                          <w:rFonts w:hint="default" w:ascii="Cambria Math" w:hAnsi="Cambria Math" w:cs="Times New Roman"/>
                          <w:snapToGrid w:val="0"/>
                          <w:color w:val="auto"/>
                          <w:spacing w:val="4"/>
                          <w:sz w:val="21"/>
                          <w:szCs w:val="21"/>
                          <w:highlight w:val="none"/>
                          <w:lang w:val="en-US" w:bidi="ar-SA"/>
                        </w:rPr>
                        <m:t>×</m:t>
                      </m:r>
                      <m:r>
                        <m:rPr>
                          <m:sty m:val="p"/>
                        </m:rPr>
                        <w:rPr>
                          <w:rFonts w:hint="default" w:ascii="Cambria Math" w:hAnsi="Cambria Math" w:cs="Times New Roman"/>
                          <w:snapToGrid w:val="0"/>
                          <w:color w:val="auto"/>
                          <w:spacing w:val="4"/>
                          <w:sz w:val="21"/>
                          <w:szCs w:val="21"/>
                          <w:highlight w:val="none"/>
                          <w:lang w:val="en-US" w:eastAsia="zh-CN" w:bidi="ar-SA"/>
                        </w:rPr>
                        <m:t>(10</m:t>
                      </m:r>
                      <m:sSup>
                        <m:sSupPr>
                          <m:ctrlPr>
                            <w:rPr>
                              <w:rFonts w:hint="default" w:ascii="Cambria Math" w:hAnsi="Cambria Math" w:cs="Times New Roman"/>
                              <w:snapToGrid w:val="0"/>
                              <w:color w:val="auto"/>
                              <w:spacing w:val="4"/>
                              <w:sz w:val="21"/>
                              <w:szCs w:val="21"/>
                              <w:highlight w:val="none"/>
                              <w:lang w:val="en-US" w:eastAsia="zh-CN" w:bidi="ar-SA"/>
                            </w:rPr>
                          </m:ctrlPr>
                        </m:sSupPr>
                        <m:e>
                          <m:r>
                            <m:rPr>
                              <m:sty m:val="p"/>
                            </m:rPr>
                            <w:rPr>
                              <w:rFonts w:hint="default" w:ascii="Cambria Math" w:hAnsi="Cambria Math" w:cs="Times New Roman"/>
                              <w:snapToGrid w:val="0"/>
                              <w:color w:val="auto"/>
                              <w:spacing w:val="4"/>
                              <w:sz w:val="21"/>
                              <w:szCs w:val="21"/>
                              <w:highlight w:val="none"/>
                              <w:lang w:val="en-US" w:eastAsia="zh-CN" w:bidi="ar-SA"/>
                            </w:rPr>
                            <m:t>x</m:t>
                          </m:r>
                          <m:ctrlPr>
                            <w:rPr>
                              <w:rFonts w:hint="default" w:ascii="Cambria Math" w:hAnsi="Cambria Math" w:cs="Times New Roman"/>
                              <w:snapToGrid w:val="0"/>
                              <w:color w:val="auto"/>
                              <w:spacing w:val="4"/>
                              <w:sz w:val="21"/>
                              <w:szCs w:val="21"/>
                              <w:highlight w:val="none"/>
                              <w:lang w:val="en-US" w:eastAsia="zh-CN" w:bidi="ar-SA"/>
                            </w:rPr>
                          </m:ctrlPr>
                        </m:e>
                        <m:sup>
                          <m:r>
                            <m:rPr>
                              <m:sty m:val="p"/>
                            </m:rPr>
                            <w:rPr>
                              <w:rFonts w:hint="default" w:ascii="Cambria Math" w:hAnsi="Cambria Math" w:cs="Times New Roman"/>
                              <w:snapToGrid w:val="0"/>
                              <w:color w:val="auto"/>
                              <w:spacing w:val="4"/>
                              <w:sz w:val="21"/>
                              <w:szCs w:val="21"/>
                              <w:highlight w:val="none"/>
                              <w:lang w:val="en-US" w:eastAsia="zh-CN" w:bidi="ar-SA"/>
                            </w:rPr>
                            <m:t>2</m:t>
                          </m:r>
                          <m:ctrlPr>
                            <w:rPr>
                              <w:rFonts w:hint="default" w:ascii="Cambria Math" w:hAnsi="Cambria Math" w:cs="Times New Roman"/>
                              <w:snapToGrid w:val="0"/>
                              <w:color w:val="auto"/>
                              <w:spacing w:val="4"/>
                              <w:sz w:val="21"/>
                              <w:szCs w:val="21"/>
                              <w:highlight w:val="none"/>
                              <w:lang w:val="en-US" w:eastAsia="zh-CN" w:bidi="ar-SA"/>
                            </w:rPr>
                          </m:ctrlPr>
                        </m:sup>
                      </m:sSup>
                      <m:r>
                        <m:rPr>
                          <m:sty m:val="p"/>
                        </m:rPr>
                        <w:rPr>
                          <w:rFonts w:hint="default" w:ascii="Cambria Math" w:hAnsi="Cambria Math" w:cs="Times New Roman"/>
                          <w:snapToGrid w:val="0"/>
                          <w:color w:val="auto"/>
                          <w:spacing w:val="4"/>
                          <w:sz w:val="21"/>
                          <w:szCs w:val="21"/>
                          <w:highlight w:val="none"/>
                          <w:lang w:val="en-US" w:eastAsia="zh-CN" w:bidi="ar-SA"/>
                        </w:rPr>
                        <m:t>+F)</m:t>
                      </m:r>
                      <m:sSub>
                        <m:sSubPr>
                          <m:ctrlPr>
                            <w:rPr>
                              <w:rFonts w:hint="default" w:ascii="Cambria Math" w:hAnsi="Cambria Math" w:cs="Times New Roman"/>
                              <w:snapToGrid w:val="0"/>
                              <w:color w:val="auto"/>
                              <w:spacing w:val="4"/>
                              <w:sz w:val="21"/>
                              <w:szCs w:val="21"/>
                              <w:highlight w:val="none"/>
                              <w:lang w:val="en-US" w:eastAsia="zh-CN" w:bidi="ar-SA"/>
                            </w:rPr>
                          </m:ctrlPr>
                        </m:sSubPr>
                        <m:e>
                          <m:r>
                            <m:rPr>
                              <m:sty m:val="p"/>
                            </m:rPr>
                            <w:rPr>
                              <w:rFonts w:hint="default" w:ascii="Cambria Math" w:hAnsi="Cambria Math" w:cs="Times New Roman"/>
                              <w:snapToGrid w:val="0"/>
                              <w:color w:val="auto"/>
                              <w:spacing w:val="4"/>
                              <w:sz w:val="21"/>
                              <w:szCs w:val="21"/>
                              <w:highlight w:val="none"/>
                              <w:lang w:val="en-US" w:eastAsia="zh-CN" w:bidi="ar-SA"/>
                            </w:rPr>
                            <m:t>v</m:t>
                          </m:r>
                          <m:ctrlPr>
                            <w:rPr>
                              <w:rFonts w:hint="default" w:ascii="Cambria Math" w:hAnsi="Cambria Math" w:cs="Times New Roman"/>
                              <w:snapToGrid w:val="0"/>
                              <w:color w:val="auto"/>
                              <w:spacing w:val="4"/>
                              <w:sz w:val="21"/>
                              <w:szCs w:val="21"/>
                              <w:highlight w:val="none"/>
                              <w:lang w:val="en-US" w:eastAsia="zh-CN" w:bidi="ar-SA"/>
                            </w:rPr>
                          </m:ctrlPr>
                        </m:e>
                        <m:sub>
                          <m:r>
                            <m:rPr>
                              <m:sty m:val="p"/>
                            </m:rPr>
                            <w:rPr>
                              <w:rFonts w:hint="default" w:ascii="Cambria Math" w:hAnsi="Cambria Math" w:cs="Times New Roman"/>
                              <w:snapToGrid w:val="0"/>
                              <w:color w:val="auto"/>
                              <w:spacing w:val="4"/>
                              <w:sz w:val="21"/>
                              <w:szCs w:val="21"/>
                              <w:highlight w:val="none"/>
                              <w:lang w:val="en-US" w:eastAsia="zh-CN" w:bidi="ar-SA"/>
                            </w:rPr>
                            <m:t>x</m:t>
                          </m:r>
                          <m:ctrlPr>
                            <w:rPr>
                              <w:rFonts w:hint="default" w:ascii="Cambria Math" w:hAnsi="Cambria Math" w:cs="Times New Roman"/>
                              <w:snapToGrid w:val="0"/>
                              <w:color w:val="auto"/>
                              <w:spacing w:val="4"/>
                              <w:sz w:val="21"/>
                              <w:szCs w:val="21"/>
                              <w:highlight w:val="none"/>
                              <w:lang w:val="en-US" w:eastAsia="zh-CN" w:bidi="ar-SA"/>
                            </w:rPr>
                          </m:ctrlPr>
                        </m:sub>
                      </m:sSub>
                    </m:oMath>
                  </m:oMathPara>
                </w:p>
                <w:p w14:paraId="45B5862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snapToGrid w:val="0"/>
                      <w:color w:val="auto"/>
                      <w:spacing w:val="4"/>
                      <w:sz w:val="21"/>
                      <w:szCs w:val="21"/>
                      <w:highlight w:val="none"/>
                      <w:lang w:val="en-US" w:eastAsia="zh-CN" w:bidi="ar-SA"/>
                    </w:rPr>
                  </w:pPr>
                </w:p>
                <w:p w14:paraId="5E954623">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x：集气罩至产气点距离；</w:t>
                  </w:r>
                </w:p>
                <w:p w14:paraId="5FB8FD5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F：集气罩面积；</w:t>
                  </w:r>
                </w:p>
                <w:p w14:paraId="714ACC6C">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：设计风速</w:t>
                  </w:r>
                </w:p>
              </w:tc>
              <w:tc>
                <w:tcPr>
                  <w:tcW w:w="1260" w:type="dxa"/>
                  <w:tcBorders>
                    <w:tl2br w:val="nil"/>
                    <w:tr2bl w:val="nil"/>
                  </w:tcBorders>
                  <w:tcMar>
                    <w:top w:w="0" w:type="dxa"/>
                    <w:left w:w="51" w:type="dxa"/>
                    <w:bottom w:w="0" w:type="dxa"/>
                    <w:right w:w="51" w:type="dxa"/>
                  </w:tcMar>
                  <w:vAlign w:val="center"/>
                </w:tcPr>
                <w:p w14:paraId="1EE86AF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x=0.</w:t>
                  </w:r>
                  <w:r>
                    <w:rPr>
                      <w:rFonts w:hint="eastAsia" w:ascii="Times New Roman" w:hAnsi="Times New Roman" w:cs="Times New Roman"/>
                      <w:b w:val="0"/>
                      <w:i w:val="0"/>
                      <w:snapToGrid w:val="0"/>
                      <w:color w:val="auto"/>
                      <w:spacing w:val="4"/>
                      <w:sz w:val="21"/>
                      <w:szCs w:val="21"/>
                      <w:highlight w:val="none"/>
                      <w:lang w:val="en-US" w:eastAsia="zh-CN" w:bidi="ar-SA"/>
                    </w:rPr>
                    <w:t>1;</w:t>
                  </w:r>
                </w:p>
                <w:p w14:paraId="5D93A7D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F=0.</w:t>
                  </w:r>
                  <w:r>
                    <w:rPr>
                      <w:rFonts w:hint="eastAsia" w:ascii="Times New Roman" w:hAnsi="Times New Roman" w:cs="Times New Roman"/>
                      <w:b w:val="0"/>
                      <w:i w:val="0"/>
                      <w:snapToGrid w:val="0"/>
                      <w:color w:val="auto"/>
                      <w:spacing w:val="4"/>
                      <w:sz w:val="21"/>
                      <w:szCs w:val="21"/>
                      <w:highlight w:val="none"/>
                      <w:lang w:val="en-US" w:eastAsia="zh-CN" w:bidi="ar-SA"/>
                    </w:rPr>
                    <w:t>071;</w:t>
                  </w:r>
                </w:p>
                <w:p w14:paraId="06E28FF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=0.5</w:t>
                  </w:r>
                </w:p>
              </w:tc>
              <w:tc>
                <w:tcPr>
                  <w:tcW w:w="1351" w:type="dxa"/>
                  <w:tcBorders>
                    <w:tl2br w:val="nil"/>
                    <w:tr2bl w:val="nil"/>
                  </w:tcBorders>
                  <w:tcMar>
                    <w:top w:w="0" w:type="dxa"/>
                    <w:left w:w="51" w:type="dxa"/>
                    <w:bottom w:w="0" w:type="dxa"/>
                    <w:right w:w="51" w:type="dxa"/>
                  </w:tcMar>
                  <w:vAlign w:val="center"/>
                </w:tcPr>
                <w:p w14:paraId="1C9AB07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307.8</w:t>
                  </w:r>
                  <w:r>
                    <w:rPr>
                      <w:rFonts w:hint="default" w:ascii="Times New Roman" w:hAnsi="Times New Roman"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12</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3693.6</w:t>
                  </w:r>
                </w:p>
              </w:tc>
              <w:tc>
                <w:tcPr>
                  <w:tcW w:w="1182" w:type="dxa"/>
                  <w:vMerge w:val="continue"/>
                  <w:tcBorders>
                    <w:tl2br w:val="nil"/>
                    <w:tr2bl w:val="nil"/>
                  </w:tcBorders>
                  <w:tcMar>
                    <w:top w:w="0" w:type="dxa"/>
                    <w:left w:w="51" w:type="dxa"/>
                    <w:bottom w:w="0" w:type="dxa"/>
                    <w:right w:w="51" w:type="dxa"/>
                  </w:tcMar>
                  <w:vAlign w:val="center"/>
                </w:tcPr>
                <w:p w14:paraId="269DE15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66" w:type="dxa"/>
                  <w:vMerge w:val="continue"/>
                  <w:tcBorders>
                    <w:tl2br w:val="nil"/>
                    <w:tr2bl w:val="nil"/>
                  </w:tcBorders>
                  <w:tcMar>
                    <w:top w:w="0" w:type="dxa"/>
                    <w:left w:w="51" w:type="dxa"/>
                    <w:bottom w:w="0" w:type="dxa"/>
                    <w:right w:w="51" w:type="dxa"/>
                  </w:tcMar>
                  <w:vAlign w:val="center"/>
                </w:tcPr>
                <w:p w14:paraId="21B0DF4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r>
            <w:tr w14:paraId="64D604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1181" w:type="dxa"/>
                  <w:vMerge w:val="continue"/>
                  <w:tcBorders>
                    <w:tl2br w:val="nil"/>
                    <w:tr2bl w:val="nil"/>
                  </w:tcBorders>
                  <w:tcMar>
                    <w:top w:w="0" w:type="dxa"/>
                    <w:left w:w="51" w:type="dxa"/>
                    <w:bottom w:w="0" w:type="dxa"/>
                    <w:right w:w="51" w:type="dxa"/>
                  </w:tcMar>
                  <w:vAlign w:val="center"/>
                </w:tcPr>
                <w:p w14:paraId="0C05BD0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0" w:type="dxa"/>
                  <w:tcBorders>
                    <w:tl2br w:val="nil"/>
                    <w:tr2bl w:val="nil"/>
                  </w:tcBorders>
                  <w:tcMar>
                    <w:top w:w="0" w:type="dxa"/>
                    <w:left w:w="51" w:type="dxa"/>
                    <w:bottom w:w="0" w:type="dxa"/>
                    <w:right w:w="51" w:type="dxa"/>
                  </w:tcMar>
                  <w:vAlign w:val="center"/>
                </w:tcPr>
                <w:p w14:paraId="5F6D8A68">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通风柜</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集气罩</w:t>
                  </w:r>
                </w:p>
              </w:tc>
              <w:tc>
                <w:tcPr>
                  <w:tcW w:w="625" w:type="dxa"/>
                  <w:tcBorders>
                    <w:tl2br w:val="nil"/>
                    <w:tr2bl w:val="nil"/>
                  </w:tcBorders>
                  <w:tcMar>
                    <w:top w:w="0" w:type="dxa"/>
                    <w:left w:w="51" w:type="dxa"/>
                    <w:bottom w:w="0" w:type="dxa"/>
                    <w:right w:w="51" w:type="dxa"/>
                  </w:tcMar>
                  <w:vAlign w:val="center"/>
                </w:tcPr>
                <w:p w14:paraId="144EDF22">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24</w:t>
                  </w:r>
                </w:p>
              </w:tc>
              <w:tc>
                <w:tcPr>
                  <w:tcW w:w="2214" w:type="dxa"/>
                  <w:tcBorders>
                    <w:tl2br w:val="nil"/>
                    <w:tr2bl w:val="nil"/>
                  </w:tcBorders>
                  <w:tcMar>
                    <w:top w:w="0" w:type="dxa"/>
                    <w:left w:w="51" w:type="dxa"/>
                    <w:bottom w:w="0" w:type="dxa"/>
                    <w:right w:w="51" w:type="dxa"/>
                  </w:tcMar>
                  <w:vAlign w:val="center"/>
                </w:tcPr>
                <w:p w14:paraId="3B018EBD">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098" w:type="dxa"/>
                  <w:tcBorders>
                    <w:tl2br w:val="nil"/>
                    <w:tr2bl w:val="nil"/>
                  </w:tcBorders>
                  <w:tcMar>
                    <w:top w:w="0" w:type="dxa"/>
                    <w:left w:w="51" w:type="dxa"/>
                    <w:bottom w:w="0" w:type="dxa"/>
                    <w:right w:w="51" w:type="dxa"/>
                  </w:tcMar>
                  <w:vAlign w:val="center"/>
                </w:tcPr>
                <w:p w14:paraId="576F5F80">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260" w:type="dxa"/>
                  <w:tcBorders>
                    <w:tl2br w:val="nil"/>
                    <w:tr2bl w:val="nil"/>
                  </w:tcBorders>
                  <w:tcMar>
                    <w:top w:w="0" w:type="dxa"/>
                    <w:left w:w="51" w:type="dxa"/>
                    <w:bottom w:w="0" w:type="dxa"/>
                    <w:right w:w="51" w:type="dxa"/>
                  </w:tcMar>
                  <w:vAlign w:val="center"/>
                </w:tcPr>
                <w:p w14:paraId="4014008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351" w:type="dxa"/>
                  <w:tcBorders>
                    <w:tl2br w:val="nil"/>
                    <w:tr2bl w:val="nil"/>
                  </w:tcBorders>
                  <w:tcMar>
                    <w:top w:w="0" w:type="dxa"/>
                    <w:left w:w="51" w:type="dxa"/>
                    <w:bottom w:w="0" w:type="dxa"/>
                    <w:right w:w="51" w:type="dxa"/>
                  </w:tcMar>
                  <w:vAlign w:val="center"/>
                </w:tcPr>
                <w:p w14:paraId="1B2E7B7A">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小</w:t>
                  </w:r>
                  <w:r>
                    <w:rPr>
                      <w:rFonts w:hint="default" w:ascii="Times New Roman" w:hAnsi="Times New Roman" w:cs="Times New Roman"/>
                      <w:b/>
                      <w:bCs/>
                      <w:color w:val="auto"/>
                      <w:sz w:val="21"/>
                      <w:szCs w:val="21"/>
                      <w:highlight w:val="none"/>
                      <w:lang w:val="en-US" w:eastAsia="zh-CN"/>
                    </w:rPr>
                    <w:t>计</w:t>
                  </w:r>
                  <w:r>
                    <w:rPr>
                      <w:rFonts w:hint="eastAsia" w:ascii="Times New Roman" w:hAnsi="Times New Roman" w:cs="Times New Roman"/>
                      <w:b/>
                      <w:bCs/>
                      <w:color w:val="auto"/>
                      <w:sz w:val="21"/>
                      <w:szCs w:val="21"/>
                      <w:highlight w:val="none"/>
                      <w:lang w:val="en-US" w:eastAsia="zh-CN"/>
                    </w:rPr>
                    <w:t>20800.8</w:t>
                  </w:r>
                </w:p>
              </w:tc>
              <w:tc>
                <w:tcPr>
                  <w:tcW w:w="1182" w:type="dxa"/>
                  <w:vMerge w:val="continue"/>
                  <w:tcBorders>
                    <w:tl2br w:val="nil"/>
                    <w:tr2bl w:val="nil"/>
                  </w:tcBorders>
                  <w:tcMar>
                    <w:top w:w="0" w:type="dxa"/>
                    <w:left w:w="51" w:type="dxa"/>
                    <w:bottom w:w="0" w:type="dxa"/>
                    <w:right w:w="51" w:type="dxa"/>
                  </w:tcMar>
                  <w:vAlign w:val="center"/>
                </w:tcPr>
                <w:p w14:paraId="28A85E88">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66" w:type="dxa"/>
                  <w:vMerge w:val="continue"/>
                  <w:tcBorders>
                    <w:tl2br w:val="nil"/>
                    <w:tr2bl w:val="nil"/>
                  </w:tcBorders>
                  <w:tcMar>
                    <w:top w:w="0" w:type="dxa"/>
                    <w:left w:w="51" w:type="dxa"/>
                    <w:bottom w:w="0" w:type="dxa"/>
                    <w:right w:w="51" w:type="dxa"/>
                  </w:tcMar>
                  <w:vAlign w:val="center"/>
                </w:tcPr>
                <w:p w14:paraId="21C7E07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r>
            <w:tr w14:paraId="1201B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8" w:hRule="atLeast"/>
              </w:trPr>
              <w:tc>
                <w:tcPr>
                  <w:tcW w:w="1181" w:type="dxa"/>
                  <w:vMerge w:val="restart"/>
                  <w:tcBorders>
                    <w:tl2br w:val="nil"/>
                    <w:tr2bl w:val="nil"/>
                  </w:tcBorders>
                  <w:tcMar>
                    <w:top w:w="0" w:type="dxa"/>
                    <w:left w:w="51" w:type="dxa"/>
                    <w:bottom w:w="0" w:type="dxa"/>
                    <w:right w:w="51" w:type="dxa"/>
                  </w:tcMar>
                  <w:vAlign w:val="center"/>
                </w:tcPr>
                <w:p w14:paraId="647F7719">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活性炭吸附</w:t>
                  </w:r>
                </w:p>
              </w:tc>
              <w:tc>
                <w:tcPr>
                  <w:tcW w:w="980" w:type="dxa"/>
                  <w:tcBorders>
                    <w:tl2br w:val="nil"/>
                    <w:tr2bl w:val="nil"/>
                  </w:tcBorders>
                  <w:tcMar>
                    <w:top w:w="0" w:type="dxa"/>
                    <w:left w:w="51" w:type="dxa"/>
                    <w:bottom w:w="0" w:type="dxa"/>
                    <w:right w:w="51" w:type="dxa"/>
                  </w:tcMar>
                  <w:vAlign w:val="center"/>
                </w:tcPr>
                <w:p w14:paraId="2716F3E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通风柜</w:t>
                  </w:r>
                </w:p>
              </w:tc>
              <w:tc>
                <w:tcPr>
                  <w:tcW w:w="625" w:type="dxa"/>
                  <w:tcBorders>
                    <w:tl2br w:val="nil"/>
                    <w:tr2bl w:val="nil"/>
                  </w:tcBorders>
                  <w:tcMar>
                    <w:top w:w="0" w:type="dxa"/>
                    <w:left w:w="51" w:type="dxa"/>
                    <w:bottom w:w="0" w:type="dxa"/>
                    <w:right w:w="51" w:type="dxa"/>
                  </w:tcMar>
                  <w:vAlign w:val="center"/>
                </w:tcPr>
                <w:p w14:paraId="3CBDC02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w:t>
                  </w:r>
                </w:p>
              </w:tc>
              <w:tc>
                <w:tcPr>
                  <w:tcW w:w="2214" w:type="dxa"/>
                  <w:tcBorders>
                    <w:tl2br w:val="nil"/>
                    <w:tr2bl w:val="nil"/>
                  </w:tcBorders>
                  <w:tcMar>
                    <w:top w:w="0" w:type="dxa"/>
                    <w:left w:w="51" w:type="dxa"/>
                    <w:bottom w:w="0" w:type="dxa"/>
                    <w:right w:w="51" w:type="dxa"/>
                  </w:tcMar>
                  <w:vAlign w:val="center"/>
                </w:tcPr>
                <w:p w14:paraId="3862B97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drawing>
                      <wp:inline distT="0" distB="0" distL="114300" distR="114300">
                        <wp:extent cx="575945" cy="894715"/>
                        <wp:effectExtent l="0" t="0" r="14605" b="635"/>
                        <wp:docPr id="21" name="图片 21" descr="微信图片_20250118141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信图片_20250118141125(1)"/>
                                <pic:cNvPicPr>
                                  <a:picLocks noChangeAspect="1"/>
                                </pic:cNvPicPr>
                              </pic:nvPicPr>
                              <pic:blipFill>
                                <a:blip r:embed="rId27"/>
                                <a:stretch>
                                  <a:fillRect/>
                                </a:stretch>
                              </pic:blipFill>
                              <pic:spPr>
                                <a:xfrm>
                                  <a:off x="0" y="0"/>
                                  <a:ext cx="575945" cy="894715"/>
                                </a:xfrm>
                                <a:prstGeom prst="rect">
                                  <a:avLst/>
                                </a:prstGeom>
                              </pic:spPr>
                            </pic:pic>
                          </a:graphicData>
                        </a:graphic>
                      </wp:inline>
                    </w:drawing>
                  </w:r>
                </w:p>
              </w:tc>
              <w:tc>
                <w:tcPr>
                  <w:tcW w:w="3098" w:type="dxa"/>
                  <w:tcBorders>
                    <w:tl2br w:val="nil"/>
                    <w:tr2bl w:val="nil"/>
                  </w:tcBorders>
                  <w:tcMar>
                    <w:top w:w="0" w:type="dxa"/>
                    <w:left w:w="51" w:type="dxa"/>
                    <w:bottom w:w="0" w:type="dxa"/>
                    <w:right w:w="51" w:type="dxa"/>
                  </w:tcMar>
                  <w:vAlign w:val="center"/>
                </w:tcPr>
                <w:p w14:paraId="2B793A6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bidi="ar-SA"/>
                    </w:rPr>
                  </w:pPr>
                  <m:oMath>
                    <m:r>
                      <m:rPr>
                        <m:sty m:val="p"/>
                      </m:rPr>
                      <w:rPr>
                        <w:rFonts w:hint="default" w:ascii="Cambria Math" w:hAnsi="Cambria Math" w:cs="Times New Roman"/>
                        <w:snapToGrid w:val="0"/>
                        <w:color w:val="auto"/>
                        <w:spacing w:val="4"/>
                        <w:sz w:val="21"/>
                        <w:szCs w:val="21"/>
                        <w:highlight w:val="none"/>
                        <w:lang w:val="en-US" w:eastAsia="zh-CN" w:bidi="ar-SA"/>
                      </w:rPr>
                      <m:t>Q=3600</m:t>
                    </m:r>
                    <m:r>
                      <m:rPr>
                        <m:sty m:val="p"/>
                      </m:rPr>
                      <w:rPr>
                        <w:rFonts w:hint="default" w:ascii="Cambria Math" w:hAnsi="Cambria Math" w:cs="Times New Roman"/>
                        <w:snapToGrid w:val="0"/>
                        <w:color w:val="auto"/>
                        <w:spacing w:val="4"/>
                        <w:sz w:val="21"/>
                        <w:szCs w:val="21"/>
                        <w:highlight w:val="none"/>
                        <w:lang w:val="en-US" w:bidi="ar-SA"/>
                      </w:rPr>
                      <m:t>×</m:t>
                    </m:r>
                    <m:r>
                      <m:rPr>
                        <m:sty m:val="p"/>
                      </m:rPr>
                      <w:rPr>
                        <w:rFonts w:hint="default" w:ascii="Cambria Math" w:hAnsi="Cambria Math" w:cs="Times New Roman"/>
                        <w:snapToGrid w:val="0"/>
                        <w:color w:val="auto"/>
                        <w:spacing w:val="4"/>
                        <w:sz w:val="21"/>
                        <w:szCs w:val="21"/>
                        <w:highlight w:val="none"/>
                        <w:lang w:val="en-US" w:eastAsia="zh-CN" w:bidi="ar-SA"/>
                      </w:rPr>
                      <m:t>F</m:t>
                    </m:r>
                    <m:r>
                      <m:rPr>
                        <m:sty m:val="p"/>
                      </m:rPr>
                      <w:rPr>
                        <w:rFonts w:hint="default" w:ascii="Cambria Math" w:hAnsi="Cambria Math" w:cs="Times New Roman"/>
                        <w:snapToGrid w:val="0"/>
                        <w:color w:val="auto"/>
                        <w:spacing w:val="4"/>
                        <w:sz w:val="21"/>
                        <w:szCs w:val="21"/>
                        <w:highlight w:val="none"/>
                        <w:lang w:val="en-US" w:bidi="ar-SA"/>
                      </w:rPr>
                      <m:t>×</m:t>
                    </m:r>
                  </m:oMath>
                  <w:r>
                    <w:rPr>
                      <w:rFonts w:hint="default" w:ascii="Times New Roman" w:hAnsi="Times New Roman" w:cs="Times New Roman"/>
                      <w:b w:val="0"/>
                      <w:i w:val="0"/>
                      <w:snapToGrid w:val="0"/>
                      <w:color w:val="auto"/>
                      <w:spacing w:val="4"/>
                      <w:sz w:val="21"/>
                      <w:szCs w:val="21"/>
                      <w:highlight w:val="none"/>
                      <w:lang w:val="en-US" w:eastAsia="zh-CN" w:bidi="ar-SA"/>
                    </w:rPr>
                    <w:t>v</w:t>
                  </w:r>
                  <m:oMath>
                    <m:r>
                      <m:rPr>
                        <m:sty m:val="p"/>
                      </m:rPr>
                      <w:rPr>
                        <w:rFonts w:hint="default" w:ascii="Cambria Math" w:hAnsi="Cambria Math" w:cs="Times New Roman"/>
                        <w:snapToGrid w:val="0"/>
                        <w:color w:val="auto"/>
                        <w:spacing w:val="4"/>
                        <w:sz w:val="21"/>
                        <w:szCs w:val="21"/>
                        <w:highlight w:val="none"/>
                        <w:lang w:val="en-US" w:bidi="ar-SA"/>
                      </w:rPr>
                      <m:t>×β</m:t>
                    </m:r>
                  </m:oMath>
                </w:p>
                <w:p w14:paraId="45B9E74C">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bidi="ar-SA"/>
                    </w:rPr>
                  </w:pPr>
                </w:p>
                <w:p w14:paraId="5C4A4EB2">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F：操作口面积；</w:t>
                  </w:r>
                </w:p>
                <w:p w14:paraId="317ECB4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V：设计风速；</w:t>
                  </w:r>
                </w:p>
                <w:p w14:paraId="5A939B41">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β：安全系数</w:t>
                  </w:r>
                </w:p>
              </w:tc>
              <w:tc>
                <w:tcPr>
                  <w:tcW w:w="1260" w:type="dxa"/>
                  <w:tcBorders>
                    <w:tl2br w:val="nil"/>
                    <w:tr2bl w:val="nil"/>
                  </w:tcBorders>
                  <w:tcMar>
                    <w:top w:w="0" w:type="dxa"/>
                    <w:left w:w="51" w:type="dxa"/>
                    <w:bottom w:w="0" w:type="dxa"/>
                    <w:right w:w="51" w:type="dxa"/>
                  </w:tcMar>
                  <w:vAlign w:val="center"/>
                </w:tcPr>
                <w:p w14:paraId="20048BD6">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w:t>
                  </w:r>
                  <w:r>
                    <w:rPr>
                      <w:rFonts w:hint="eastAsia" w:ascii="Times New Roman" w:hAnsi="Times New Roman" w:cs="Times New Roman"/>
                      <w:b w:val="0"/>
                      <w:i w:val="0"/>
                      <w:snapToGrid w:val="0"/>
                      <w:color w:val="auto"/>
                      <w:spacing w:val="4"/>
                      <w:sz w:val="21"/>
                      <w:szCs w:val="21"/>
                      <w:highlight w:val="none"/>
                      <w:lang w:val="en-US" w:eastAsia="zh-CN" w:bidi="ar-SA"/>
                    </w:rPr>
                    <w:t>0.72;</w:t>
                  </w:r>
                </w:p>
                <w:p w14:paraId="03A2CE1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eastAsia" w:ascii="Times New Roman" w:hAnsi="Times New Roman" w:cs="Times New Roman"/>
                      <w:b w:val="0"/>
                      <w:i w:val="0"/>
                      <w:snapToGrid w:val="0"/>
                      <w:color w:val="auto"/>
                      <w:spacing w:val="4"/>
                      <w:sz w:val="21"/>
                      <w:szCs w:val="21"/>
                      <w:highlight w:val="none"/>
                      <w:lang w:val="en-US" w:eastAsia="zh-CN" w:bidi="ar-SA"/>
                    </w:rPr>
                    <w:t>0.5;</w:t>
                  </w:r>
                </w:p>
                <w:p w14:paraId="6BB8776A">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β=1.1</w:t>
                  </w:r>
                </w:p>
              </w:tc>
              <w:tc>
                <w:tcPr>
                  <w:tcW w:w="1351" w:type="dxa"/>
                  <w:tcBorders>
                    <w:tl2br w:val="nil"/>
                    <w:tr2bl w:val="nil"/>
                  </w:tcBorders>
                  <w:tcMar>
                    <w:top w:w="0" w:type="dxa"/>
                    <w:left w:w="51" w:type="dxa"/>
                    <w:bottom w:w="0" w:type="dxa"/>
                    <w:right w:w="51" w:type="dxa"/>
                  </w:tcMar>
                  <w:vAlign w:val="center"/>
                </w:tcPr>
                <w:p w14:paraId="5DF5974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1425.6</w:t>
                  </w:r>
                  <w:r>
                    <w:rPr>
                      <w:rFonts w:hint="default" w:ascii="Times New Roman" w:hAnsi="Times New Roman"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8553.6</w:t>
                  </w:r>
                </w:p>
              </w:tc>
              <w:tc>
                <w:tcPr>
                  <w:tcW w:w="1182" w:type="dxa"/>
                  <w:vMerge w:val="restart"/>
                  <w:tcBorders>
                    <w:tl2br w:val="nil"/>
                    <w:tr2bl w:val="nil"/>
                  </w:tcBorders>
                  <w:tcMar>
                    <w:top w:w="0" w:type="dxa"/>
                    <w:left w:w="51" w:type="dxa"/>
                    <w:bottom w:w="0" w:type="dxa"/>
                    <w:right w:w="51" w:type="dxa"/>
                  </w:tcMar>
                  <w:vAlign w:val="center"/>
                </w:tcPr>
                <w:p w14:paraId="6EDD59E8">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b/>
                      <w:bCs/>
                      <w:color w:val="auto"/>
                      <w:sz w:val="21"/>
                      <w:szCs w:val="21"/>
                      <w:highlight w:val="none"/>
                      <w:lang w:val="en-US" w:eastAsia="zh-CN"/>
                    </w:rPr>
                    <w:t>18400</w:t>
                  </w:r>
                </w:p>
              </w:tc>
              <w:tc>
                <w:tcPr>
                  <w:tcW w:w="666" w:type="dxa"/>
                  <w:vMerge w:val="restart"/>
                  <w:tcBorders>
                    <w:tl2br w:val="nil"/>
                    <w:tr2bl w:val="nil"/>
                  </w:tcBorders>
                  <w:tcMar>
                    <w:top w:w="0" w:type="dxa"/>
                    <w:left w:w="51" w:type="dxa"/>
                    <w:bottom w:w="0" w:type="dxa"/>
                    <w:right w:w="51" w:type="dxa"/>
                  </w:tcMar>
                  <w:vAlign w:val="center"/>
                </w:tcPr>
                <w:p w14:paraId="2379520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是</w:t>
                  </w:r>
                </w:p>
              </w:tc>
            </w:tr>
            <w:tr w14:paraId="72E8D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6" w:hRule="atLeast"/>
              </w:trPr>
              <w:tc>
                <w:tcPr>
                  <w:tcW w:w="1181" w:type="dxa"/>
                  <w:vMerge w:val="continue"/>
                  <w:tcBorders>
                    <w:tl2br w:val="nil"/>
                    <w:tr2bl w:val="nil"/>
                  </w:tcBorders>
                  <w:tcMar>
                    <w:top w:w="0" w:type="dxa"/>
                    <w:left w:w="51" w:type="dxa"/>
                    <w:bottom w:w="0" w:type="dxa"/>
                    <w:right w:w="51" w:type="dxa"/>
                  </w:tcMar>
                  <w:vAlign w:val="center"/>
                </w:tcPr>
                <w:p w14:paraId="78BE856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0" w:type="dxa"/>
                  <w:tcBorders>
                    <w:tl2br w:val="nil"/>
                    <w:tr2bl w:val="nil"/>
                  </w:tcBorders>
                  <w:tcMar>
                    <w:top w:w="0" w:type="dxa"/>
                    <w:left w:w="51" w:type="dxa"/>
                    <w:bottom w:w="0" w:type="dxa"/>
                    <w:right w:w="51" w:type="dxa"/>
                  </w:tcMar>
                  <w:vAlign w:val="center"/>
                </w:tcPr>
                <w:p w14:paraId="791E66C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w:t>
                  </w:r>
                </w:p>
              </w:tc>
              <w:tc>
                <w:tcPr>
                  <w:tcW w:w="625" w:type="dxa"/>
                  <w:tcBorders>
                    <w:tl2br w:val="nil"/>
                    <w:tr2bl w:val="nil"/>
                  </w:tcBorders>
                  <w:tcMar>
                    <w:top w:w="0" w:type="dxa"/>
                    <w:left w:w="51" w:type="dxa"/>
                    <w:bottom w:w="0" w:type="dxa"/>
                    <w:right w:w="51" w:type="dxa"/>
                  </w:tcMar>
                  <w:vAlign w:val="center"/>
                </w:tcPr>
                <w:p w14:paraId="51FF21D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w:t>
                  </w:r>
                </w:p>
              </w:tc>
              <w:tc>
                <w:tcPr>
                  <w:tcW w:w="2214" w:type="dxa"/>
                  <w:tcBorders>
                    <w:tl2br w:val="nil"/>
                    <w:tr2bl w:val="nil"/>
                  </w:tcBorders>
                  <w:tcMar>
                    <w:top w:w="0" w:type="dxa"/>
                    <w:left w:w="51" w:type="dxa"/>
                    <w:bottom w:w="0" w:type="dxa"/>
                    <w:right w:w="51" w:type="dxa"/>
                  </w:tcMar>
                  <w:vAlign w:val="center"/>
                </w:tcPr>
                <w:p w14:paraId="528B3A0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rPr>
                    <w:drawing>
                      <wp:inline distT="0" distB="0" distL="114300" distR="114300">
                        <wp:extent cx="1034415" cy="873125"/>
                        <wp:effectExtent l="0" t="0" r="13335" b="3175"/>
                        <wp:docPr id="2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pic:cNvPicPr>
                                  <a:picLocks noChangeAspect="1"/>
                                </pic:cNvPicPr>
                              </pic:nvPicPr>
                              <pic:blipFill>
                                <a:blip r:embed="rId29"/>
                                <a:stretch>
                                  <a:fillRect/>
                                </a:stretch>
                              </pic:blipFill>
                              <pic:spPr>
                                <a:xfrm>
                                  <a:off x="0" y="0"/>
                                  <a:ext cx="1034415" cy="873125"/>
                                </a:xfrm>
                                <a:prstGeom prst="rect">
                                  <a:avLst/>
                                </a:prstGeom>
                                <a:noFill/>
                                <a:ln>
                                  <a:noFill/>
                                </a:ln>
                              </pic:spPr>
                            </pic:pic>
                          </a:graphicData>
                        </a:graphic>
                      </wp:inline>
                    </w:drawing>
                  </w:r>
                </w:p>
              </w:tc>
              <w:tc>
                <w:tcPr>
                  <w:tcW w:w="3098" w:type="dxa"/>
                  <w:tcBorders>
                    <w:tl2br w:val="nil"/>
                    <w:tr2bl w:val="nil"/>
                  </w:tcBorders>
                  <w:tcMar>
                    <w:top w:w="0" w:type="dxa"/>
                    <w:left w:w="51" w:type="dxa"/>
                    <w:bottom w:w="0" w:type="dxa"/>
                    <w:right w:w="51" w:type="dxa"/>
                  </w:tcMar>
                  <w:vAlign w:val="center"/>
                </w:tcPr>
                <w:p w14:paraId="645CBA99">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m:oMathPara>
                    <m:oMath>
                      <m:r>
                        <m:rPr>
                          <m:sty m:val="p"/>
                        </m:rPr>
                        <w:rPr>
                          <w:rFonts w:hint="default" w:ascii="Cambria Math" w:hAnsi="Cambria Math" w:cs="Times New Roman"/>
                          <w:snapToGrid w:val="0"/>
                          <w:color w:val="auto"/>
                          <w:spacing w:val="4"/>
                          <w:sz w:val="21"/>
                          <w:szCs w:val="21"/>
                          <w:highlight w:val="none"/>
                          <w:lang w:val="en-US" w:eastAsia="zh-CN" w:bidi="ar-SA"/>
                        </w:rPr>
                        <m:t>Q=3600</m:t>
                      </m:r>
                      <m:r>
                        <m:rPr>
                          <m:sty m:val="p"/>
                        </m:rPr>
                        <w:rPr>
                          <w:rFonts w:hint="default" w:ascii="Cambria Math" w:hAnsi="Cambria Math" w:cs="Times New Roman"/>
                          <w:snapToGrid w:val="0"/>
                          <w:color w:val="auto"/>
                          <w:spacing w:val="4"/>
                          <w:sz w:val="21"/>
                          <w:szCs w:val="21"/>
                          <w:highlight w:val="none"/>
                          <w:lang w:val="en-US" w:bidi="ar-SA"/>
                        </w:rPr>
                        <m:t>×</m:t>
                      </m:r>
                      <m:r>
                        <m:rPr>
                          <m:sty m:val="p"/>
                        </m:rPr>
                        <w:rPr>
                          <w:rFonts w:hint="default" w:ascii="Cambria Math" w:hAnsi="Cambria Math" w:cs="Times New Roman"/>
                          <w:snapToGrid w:val="0"/>
                          <w:color w:val="auto"/>
                          <w:spacing w:val="4"/>
                          <w:sz w:val="21"/>
                          <w:szCs w:val="21"/>
                          <w:highlight w:val="none"/>
                          <w:lang w:val="en-US" w:eastAsia="zh-CN" w:bidi="ar-SA"/>
                        </w:rPr>
                        <m:t>1.4×ρ×H</m:t>
                      </m:r>
                      <m:r>
                        <m:rPr>
                          <m:sty m:val="p"/>
                        </m:rPr>
                        <w:rPr>
                          <w:rFonts w:hint="default" w:ascii="Cambria Math" w:hAnsi="Cambria Math" w:cs="Times New Roman"/>
                          <w:snapToGrid w:val="0"/>
                          <w:color w:val="auto"/>
                          <w:spacing w:val="4"/>
                          <w:sz w:val="21"/>
                          <w:szCs w:val="21"/>
                          <w:highlight w:val="none"/>
                          <w:lang w:val="en-US" w:bidi="ar-SA"/>
                        </w:rPr>
                        <m:t>×</m:t>
                      </m:r>
                      <m:sSub>
                        <m:sSubPr>
                          <m:ctrlPr>
                            <w:rPr>
                              <w:rFonts w:hint="default" w:ascii="Cambria Math" w:hAnsi="Cambria Math" w:cs="Times New Roman"/>
                              <w:snapToGrid w:val="0"/>
                              <w:color w:val="auto"/>
                              <w:spacing w:val="4"/>
                              <w:sz w:val="21"/>
                              <w:szCs w:val="21"/>
                              <w:highlight w:val="none"/>
                              <w:lang w:val="en-US" w:bidi="ar-SA"/>
                            </w:rPr>
                          </m:ctrlPr>
                        </m:sSubPr>
                        <m:e>
                          <m:r>
                            <m:rPr>
                              <m:sty m:val="p"/>
                            </m:rPr>
                            <w:rPr>
                              <w:rFonts w:hint="default" w:ascii="Cambria Math" w:hAnsi="Cambria Math" w:cs="Times New Roman"/>
                              <w:snapToGrid w:val="0"/>
                              <w:color w:val="auto"/>
                              <w:spacing w:val="4"/>
                              <w:sz w:val="21"/>
                              <w:szCs w:val="21"/>
                              <w:highlight w:val="none"/>
                              <w:lang w:val="en-US" w:eastAsia="zh-CN" w:bidi="ar-SA"/>
                            </w:rPr>
                            <m:t>V</m:t>
                          </m:r>
                          <m:ctrlPr>
                            <w:rPr>
                              <w:rFonts w:hint="default" w:ascii="Cambria Math" w:hAnsi="Cambria Math" w:cs="Times New Roman"/>
                              <w:snapToGrid w:val="0"/>
                              <w:color w:val="auto"/>
                              <w:spacing w:val="4"/>
                              <w:sz w:val="21"/>
                              <w:szCs w:val="21"/>
                              <w:highlight w:val="none"/>
                              <w:lang w:val="en-US" w:bidi="ar-SA"/>
                            </w:rPr>
                          </m:ctrlPr>
                        </m:e>
                        <m:sub>
                          <m:r>
                            <m:rPr>
                              <m:sty m:val="p"/>
                            </m:rPr>
                            <w:rPr>
                              <w:rFonts w:hint="default" w:ascii="Cambria Math" w:hAnsi="Cambria Math" w:cs="Times New Roman"/>
                              <w:snapToGrid w:val="0"/>
                              <w:color w:val="auto"/>
                              <w:spacing w:val="4"/>
                              <w:sz w:val="21"/>
                              <w:szCs w:val="21"/>
                              <w:highlight w:val="none"/>
                              <w:lang w:val="en-US" w:eastAsia="zh-CN" w:bidi="ar-SA"/>
                            </w:rPr>
                            <m:t>x</m:t>
                          </m:r>
                          <m:ctrlPr>
                            <w:rPr>
                              <w:rFonts w:hint="default" w:ascii="Cambria Math" w:hAnsi="Cambria Math" w:cs="Times New Roman"/>
                              <w:snapToGrid w:val="0"/>
                              <w:color w:val="auto"/>
                              <w:spacing w:val="4"/>
                              <w:sz w:val="21"/>
                              <w:szCs w:val="21"/>
                              <w:highlight w:val="none"/>
                              <w:lang w:val="en-US" w:bidi="ar-SA"/>
                            </w:rPr>
                          </m:ctrlPr>
                        </m:sub>
                      </m:sSub>
                    </m:oMath>
                  </m:oMathPara>
                </w:p>
                <w:p w14:paraId="59BBC110">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color w:val="auto"/>
                      <w:sz w:val="21"/>
                      <w:szCs w:val="21"/>
                      <w:highlight w:val="none"/>
                      <w:lang w:val="en-US" w:eastAsia="zh-CN"/>
                    </w:rPr>
                  </w:pPr>
                </w:p>
                <w:p w14:paraId="0942553A">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ρ：集气罩周长；</w:t>
                  </w:r>
                </w:p>
                <w:p w14:paraId="43C70B0F">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H：污染源至</w:t>
                  </w:r>
                  <w:r>
                    <w:rPr>
                      <w:rFonts w:hint="default" w:ascii="Times New Roman" w:hAnsi="Times New Roman" w:cs="Times New Roman"/>
                      <w:b w:val="0"/>
                      <w:i w:val="0"/>
                      <w:snapToGrid w:val="0"/>
                      <w:color w:val="auto"/>
                      <w:spacing w:val="4"/>
                      <w:sz w:val="21"/>
                      <w:szCs w:val="21"/>
                      <w:highlight w:val="none"/>
                      <w:shd w:val="clear" w:fill="FFFFFF"/>
                      <w:lang w:val="en-US" w:eastAsia="zh-CN" w:bidi="ar-SA"/>
                    </w:rPr>
                    <w:t>罩口</w:t>
                  </w:r>
                  <w:r>
                    <w:rPr>
                      <w:rFonts w:hint="default" w:ascii="Times New Roman" w:hAnsi="Times New Roman" w:cs="Times New Roman"/>
                      <w:b w:val="0"/>
                      <w:i w:val="0"/>
                      <w:snapToGrid w:val="0"/>
                      <w:color w:val="auto"/>
                      <w:spacing w:val="4"/>
                      <w:sz w:val="21"/>
                      <w:szCs w:val="21"/>
                      <w:highlight w:val="none"/>
                      <w:lang w:val="en-US" w:eastAsia="zh-CN" w:bidi="ar-SA"/>
                    </w:rPr>
                    <w:t>距离；</w:t>
                  </w:r>
                </w:p>
                <w:p w14:paraId="7CB45984">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both"/>
                    <w:textAlignment w:val="baseline"/>
                    <w:rPr>
                      <w:rFonts w:hint="default" w:ascii="Times New Roman" w:hAnsi="Times New Roman" w:cs="Times New Roman"/>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：设计风速</w:t>
                  </w:r>
                </w:p>
              </w:tc>
              <w:tc>
                <w:tcPr>
                  <w:tcW w:w="1260" w:type="dxa"/>
                  <w:tcBorders>
                    <w:tl2br w:val="nil"/>
                    <w:tr2bl w:val="nil"/>
                  </w:tcBorders>
                  <w:tcMar>
                    <w:top w:w="0" w:type="dxa"/>
                    <w:left w:w="51" w:type="dxa"/>
                    <w:bottom w:w="0" w:type="dxa"/>
                    <w:right w:w="51" w:type="dxa"/>
                  </w:tcMar>
                  <w:vAlign w:val="center"/>
                </w:tcPr>
                <w:p w14:paraId="3405224A">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ρ=1.6</w:t>
                  </w:r>
                  <w:r>
                    <w:rPr>
                      <w:rFonts w:hint="eastAsia" w:ascii="Times New Roman" w:hAnsi="Times New Roman" w:cs="Times New Roman"/>
                      <w:b w:val="0"/>
                      <w:i w:val="0"/>
                      <w:snapToGrid w:val="0"/>
                      <w:color w:val="auto"/>
                      <w:spacing w:val="4"/>
                      <w:sz w:val="21"/>
                      <w:szCs w:val="21"/>
                      <w:highlight w:val="none"/>
                      <w:lang w:val="en-US" w:eastAsia="zh-CN" w:bidi="ar-SA"/>
                    </w:rPr>
                    <w:t>;</w:t>
                  </w:r>
                </w:p>
                <w:p w14:paraId="77BF1A4F">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H=0.</w:t>
                  </w:r>
                  <w:r>
                    <w:rPr>
                      <w:rFonts w:hint="eastAsia" w:ascii="Times New Roman" w:hAnsi="Times New Roman" w:cs="Times New Roman"/>
                      <w:b w:val="0"/>
                      <w:i w:val="0"/>
                      <w:snapToGrid w:val="0"/>
                      <w:color w:val="auto"/>
                      <w:spacing w:val="4"/>
                      <w:sz w:val="21"/>
                      <w:szCs w:val="21"/>
                      <w:highlight w:val="none"/>
                      <w:lang w:val="en-US" w:eastAsia="zh-CN" w:bidi="ar-SA"/>
                    </w:rPr>
                    <w:t>1;</w:t>
                  </w:r>
                </w:p>
                <w:p w14:paraId="64724DD5">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w:t>
                  </w:r>
                  <w:r>
                    <w:rPr>
                      <w:rFonts w:hint="eastAsia" w:ascii="Times New Roman" w:hAnsi="Times New Roman" w:cs="Times New Roman"/>
                      <w:b w:val="0"/>
                      <w:i w:val="0"/>
                      <w:snapToGrid w:val="0"/>
                      <w:color w:val="auto"/>
                      <w:spacing w:val="4"/>
                      <w:sz w:val="21"/>
                      <w:szCs w:val="21"/>
                      <w:highlight w:val="none"/>
                      <w:lang w:val="en-US" w:eastAsia="zh-CN" w:bidi="ar-SA"/>
                    </w:rPr>
                    <w:t>0.5</w:t>
                  </w:r>
                </w:p>
              </w:tc>
              <w:tc>
                <w:tcPr>
                  <w:tcW w:w="1351" w:type="dxa"/>
                  <w:tcBorders>
                    <w:tl2br w:val="nil"/>
                    <w:tr2bl w:val="nil"/>
                  </w:tcBorders>
                  <w:tcMar>
                    <w:top w:w="0" w:type="dxa"/>
                    <w:left w:w="51" w:type="dxa"/>
                    <w:bottom w:w="0" w:type="dxa"/>
                    <w:right w:w="51" w:type="dxa"/>
                  </w:tcMar>
                  <w:vAlign w:val="center"/>
                </w:tcPr>
                <w:p w14:paraId="68EBF6C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403.2</w:t>
                  </w:r>
                  <w:r>
                    <w:rPr>
                      <w:rFonts w:hint="default" w:ascii="Times New Roman" w:hAnsi="Times New Roman"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1612.8</w:t>
                  </w:r>
                </w:p>
              </w:tc>
              <w:tc>
                <w:tcPr>
                  <w:tcW w:w="1182" w:type="dxa"/>
                  <w:vMerge w:val="continue"/>
                  <w:tcBorders>
                    <w:tl2br w:val="nil"/>
                    <w:tr2bl w:val="nil"/>
                  </w:tcBorders>
                  <w:tcMar>
                    <w:top w:w="0" w:type="dxa"/>
                    <w:left w:w="51" w:type="dxa"/>
                    <w:bottom w:w="0" w:type="dxa"/>
                    <w:right w:w="51" w:type="dxa"/>
                  </w:tcMar>
                  <w:vAlign w:val="center"/>
                </w:tcPr>
                <w:p w14:paraId="2EA6671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66" w:type="dxa"/>
                  <w:vMerge w:val="continue"/>
                  <w:tcBorders>
                    <w:tl2br w:val="nil"/>
                    <w:tr2bl w:val="nil"/>
                  </w:tcBorders>
                  <w:tcMar>
                    <w:top w:w="0" w:type="dxa"/>
                    <w:left w:w="51" w:type="dxa"/>
                    <w:bottom w:w="0" w:type="dxa"/>
                    <w:right w:w="51" w:type="dxa"/>
                  </w:tcMar>
                  <w:vAlign w:val="center"/>
                </w:tcPr>
                <w:p w14:paraId="462E488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r>
            <w:tr w14:paraId="058949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65" w:hRule="atLeast"/>
              </w:trPr>
              <w:tc>
                <w:tcPr>
                  <w:tcW w:w="1181" w:type="dxa"/>
                  <w:vMerge w:val="continue"/>
                  <w:tcBorders>
                    <w:tl2br w:val="nil"/>
                    <w:tr2bl w:val="nil"/>
                  </w:tcBorders>
                  <w:tcMar>
                    <w:top w:w="0" w:type="dxa"/>
                    <w:left w:w="51" w:type="dxa"/>
                    <w:bottom w:w="0" w:type="dxa"/>
                    <w:right w:w="51" w:type="dxa"/>
                  </w:tcMar>
                  <w:vAlign w:val="center"/>
                </w:tcPr>
                <w:p w14:paraId="0F26FD2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0" w:type="dxa"/>
                  <w:tcBorders>
                    <w:tl2br w:val="nil"/>
                    <w:tr2bl w:val="nil"/>
                  </w:tcBorders>
                  <w:tcMar>
                    <w:top w:w="0" w:type="dxa"/>
                    <w:left w:w="51" w:type="dxa"/>
                    <w:bottom w:w="0" w:type="dxa"/>
                    <w:right w:w="51" w:type="dxa"/>
                  </w:tcMar>
                  <w:vAlign w:val="center"/>
                </w:tcPr>
                <w:p w14:paraId="2DE9895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w:t>
                  </w:r>
                </w:p>
              </w:tc>
              <w:tc>
                <w:tcPr>
                  <w:tcW w:w="625" w:type="dxa"/>
                  <w:tcBorders>
                    <w:tl2br w:val="nil"/>
                    <w:tr2bl w:val="nil"/>
                  </w:tcBorders>
                  <w:shd w:val="clear" w:color="auto" w:fill="auto"/>
                  <w:tcMar>
                    <w:top w:w="0" w:type="dxa"/>
                    <w:left w:w="51" w:type="dxa"/>
                    <w:bottom w:w="0" w:type="dxa"/>
                    <w:right w:w="51" w:type="dxa"/>
                  </w:tcMar>
                  <w:vAlign w:val="center"/>
                </w:tcPr>
                <w:p w14:paraId="7E2FDFE9">
                  <w:pPr>
                    <w:pStyle w:val="6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2</w:t>
                  </w:r>
                  <w:r>
                    <w:rPr>
                      <w:rFonts w:hint="eastAsia" w:ascii="Times New Roman" w:hAnsi="Times New Roman" w:cs="Times New Roman"/>
                      <w:color w:val="auto"/>
                      <w:sz w:val="21"/>
                      <w:szCs w:val="21"/>
                      <w:highlight w:val="none"/>
                      <w:lang w:val="en-US" w:eastAsia="zh-CN"/>
                    </w:rPr>
                    <w:t>4</w:t>
                  </w:r>
                </w:p>
              </w:tc>
              <w:tc>
                <w:tcPr>
                  <w:tcW w:w="2214" w:type="dxa"/>
                  <w:tcBorders>
                    <w:tl2br w:val="nil"/>
                    <w:tr2bl w:val="nil"/>
                  </w:tcBorders>
                  <w:shd w:val="clear" w:color="auto" w:fill="auto"/>
                  <w:tcMar>
                    <w:top w:w="0" w:type="dxa"/>
                    <w:left w:w="51" w:type="dxa"/>
                    <w:bottom w:w="0" w:type="dxa"/>
                    <w:right w:w="51" w:type="dxa"/>
                  </w:tcMar>
                  <w:vAlign w:val="center"/>
                </w:tcPr>
                <w:p w14:paraId="2C1A16B7">
                  <w:pPr>
                    <w:pStyle w:val="6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default" w:ascii="Times New Roman" w:hAnsi="Times New Roman" w:cs="Times New Roman"/>
                      <w:color w:val="auto"/>
                    </w:rPr>
                    <w:drawing>
                      <wp:inline distT="0" distB="0" distL="114300" distR="114300">
                        <wp:extent cx="1120140" cy="681990"/>
                        <wp:effectExtent l="0" t="0" r="3810" b="3810"/>
                        <wp:docPr id="5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0"/>
                                <pic:cNvPicPr>
                                  <a:picLocks noChangeAspect="1"/>
                                </pic:cNvPicPr>
                              </pic:nvPicPr>
                              <pic:blipFill>
                                <a:blip r:embed="rId28"/>
                                <a:srcRect l="14339" r="7107"/>
                                <a:stretch>
                                  <a:fillRect/>
                                </a:stretch>
                              </pic:blipFill>
                              <pic:spPr>
                                <a:xfrm>
                                  <a:off x="0" y="0"/>
                                  <a:ext cx="1120140" cy="681990"/>
                                </a:xfrm>
                                <a:prstGeom prst="rect">
                                  <a:avLst/>
                                </a:prstGeom>
                                <a:noFill/>
                                <a:ln>
                                  <a:noFill/>
                                </a:ln>
                              </pic:spPr>
                            </pic:pic>
                          </a:graphicData>
                        </a:graphic>
                      </wp:inline>
                    </w:drawing>
                  </w:r>
                </w:p>
              </w:tc>
              <w:tc>
                <w:tcPr>
                  <w:tcW w:w="3098" w:type="dxa"/>
                  <w:tcBorders>
                    <w:tl2br w:val="nil"/>
                    <w:tr2bl w:val="nil"/>
                  </w:tcBorders>
                  <w:shd w:val="clear" w:color="auto" w:fill="auto"/>
                  <w:tcMar>
                    <w:top w:w="0" w:type="dxa"/>
                    <w:left w:w="51" w:type="dxa"/>
                    <w:bottom w:w="0" w:type="dxa"/>
                    <w:right w:w="51" w:type="dxa"/>
                  </w:tcMar>
                  <w:vAlign w:val="center"/>
                </w:tcPr>
                <w:p w14:paraId="2FCFAF4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snapToGrid w:val="0"/>
                      <w:color w:val="auto"/>
                      <w:spacing w:val="4"/>
                      <w:sz w:val="21"/>
                      <w:szCs w:val="21"/>
                      <w:highlight w:val="none"/>
                      <w:lang w:val="en-US" w:eastAsia="zh-CN" w:bidi="ar-SA"/>
                    </w:rPr>
                  </w:pPr>
                  <m:oMathPara>
                    <m:oMath>
                      <m:r>
                        <m:rPr>
                          <m:sty m:val="p"/>
                        </m:rPr>
                        <w:rPr>
                          <w:rFonts w:hint="default" w:ascii="Cambria Math" w:hAnsi="Cambria Math" w:cs="Times New Roman"/>
                          <w:snapToGrid w:val="0"/>
                          <w:color w:val="auto"/>
                          <w:spacing w:val="4"/>
                          <w:sz w:val="21"/>
                          <w:szCs w:val="21"/>
                          <w:highlight w:val="none"/>
                          <w:lang w:val="en-US" w:eastAsia="zh-CN" w:bidi="ar-SA"/>
                        </w:rPr>
                        <m:t>Q=3600</m:t>
                      </m:r>
                      <m:r>
                        <m:rPr>
                          <m:sty m:val="p"/>
                        </m:rPr>
                        <w:rPr>
                          <w:rFonts w:hint="default" w:ascii="Cambria Math" w:hAnsi="Cambria Math" w:cs="Times New Roman"/>
                          <w:snapToGrid w:val="0"/>
                          <w:color w:val="auto"/>
                          <w:spacing w:val="4"/>
                          <w:sz w:val="21"/>
                          <w:szCs w:val="21"/>
                          <w:highlight w:val="none"/>
                          <w:lang w:val="en-US" w:bidi="ar-SA"/>
                        </w:rPr>
                        <m:t>×</m:t>
                      </m:r>
                      <m:r>
                        <m:rPr>
                          <m:sty m:val="p"/>
                        </m:rPr>
                        <w:rPr>
                          <w:rFonts w:hint="default" w:ascii="Cambria Math" w:hAnsi="Cambria Math" w:cs="Times New Roman"/>
                          <w:snapToGrid w:val="0"/>
                          <w:color w:val="auto"/>
                          <w:spacing w:val="4"/>
                          <w:sz w:val="21"/>
                          <w:szCs w:val="21"/>
                          <w:highlight w:val="none"/>
                          <w:lang w:val="en-US" w:eastAsia="zh-CN" w:bidi="ar-SA"/>
                        </w:rPr>
                        <m:t>(10</m:t>
                      </m:r>
                      <m:sSup>
                        <m:sSupPr>
                          <m:ctrlPr>
                            <w:rPr>
                              <w:rFonts w:hint="default" w:ascii="Cambria Math" w:hAnsi="Cambria Math" w:cs="Times New Roman"/>
                              <w:snapToGrid w:val="0"/>
                              <w:color w:val="auto"/>
                              <w:spacing w:val="4"/>
                              <w:sz w:val="21"/>
                              <w:szCs w:val="21"/>
                              <w:highlight w:val="none"/>
                              <w:lang w:val="en-US" w:eastAsia="zh-CN" w:bidi="ar-SA"/>
                            </w:rPr>
                          </m:ctrlPr>
                        </m:sSupPr>
                        <m:e>
                          <m:r>
                            <m:rPr>
                              <m:sty m:val="p"/>
                            </m:rPr>
                            <w:rPr>
                              <w:rFonts w:hint="default" w:ascii="Cambria Math" w:hAnsi="Cambria Math" w:cs="Times New Roman"/>
                              <w:snapToGrid w:val="0"/>
                              <w:color w:val="auto"/>
                              <w:spacing w:val="4"/>
                              <w:sz w:val="21"/>
                              <w:szCs w:val="21"/>
                              <w:highlight w:val="none"/>
                              <w:lang w:val="en-US" w:eastAsia="zh-CN" w:bidi="ar-SA"/>
                            </w:rPr>
                            <m:t>x</m:t>
                          </m:r>
                          <m:ctrlPr>
                            <w:rPr>
                              <w:rFonts w:hint="default" w:ascii="Cambria Math" w:hAnsi="Cambria Math" w:cs="Times New Roman"/>
                              <w:snapToGrid w:val="0"/>
                              <w:color w:val="auto"/>
                              <w:spacing w:val="4"/>
                              <w:sz w:val="21"/>
                              <w:szCs w:val="21"/>
                              <w:highlight w:val="none"/>
                              <w:lang w:val="en-US" w:eastAsia="zh-CN" w:bidi="ar-SA"/>
                            </w:rPr>
                          </m:ctrlPr>
                        </m:e>
                        <m:sup>
                          <m:r>
                            <m:rPr>
                              <m:sty m:val="p"/>
                            </m:rPr>
                            <w:rPr>
                              <w:rFonts w:hint="default" w:ascii="Cambria Math" w:hAnsi="Cambria Math" w:cs="Times New Roman"/>
                              <w:snapToGrid w:val="0"/>
                              <w:color w:val="auto"/>
                              <w:spacing w:val="4"/>
                              <w:sz w:val="21"/>
                              <w:szCs w:val="21"/>
                              <w:highlight w:val="none"/>
                              <w:lang w:val="en-US" w:eastAsia="zh-CN" w:bidi="ar-SA"/>
                            </w:rPr>
                            <m:t>2</m:t>
                          </m:r>
                          <m:ctrlPr>
                            <w:rPr>
                              <w:rFonts w:hint="default" w:ascii="Cambria Math" w:hAnsi="Cambria Math" w:cs="Times New Roman"/>
                              <w:snapToGrid w:val="0"/>
                              <w:color w:val="auto"/>
                              <w:spacing w:val="4"/>
                              <w:sz w:val="21"/>
                              <w:szCs w:val="21"/>
                              <w:highlight w:val="none"/>
                              <w:lang w:val="en-US" w:eastAsia="zh-CN" w:bidi="ar-SA"/>
                            </w:rPr>
                          </m:ctrlPr>
                        </m:sup>
                      </m:sSup>
                      <m:r>
                        <m:rPr>
                          <m:sty m:val="p"/>
                        </m:rPr>
                        <w:rPr>
                          <w:rFonts w:hint="default" w:ascii="Cambria Math" w:hAnsi="Cambria Math" w:cs="Times New Roman"/>
                          <w:snapToGrid w:val="0"/>
                          <w:color w:val="auto"/>
                          <w:spacing w:val="4"/>
                          <w:sz w:val="21"/>
                          <w:szCs w:val="21"/>
                          <w:highlight w:val="none"/>
                          <w:lang w:val="en-US" w:eastAsia="zh-CN" w:bidi="ar-SA"/>
                        </w:rPr>
                        <m:t>+F)</m:t>
                      </m:r>
                      <m:sSub>
                        <m:sSubPr>
                          <m:ctrlPr>
                            <w:rPr>
                              <w:rFonts w:hint="default" w:ascii="Cambria Math" w:hAnsi="Cambria Math" w:cs="Times New Roman"/>
                              <w:snapToGrid w:val="0"/>
                              <w:color w:val="auto"/>
                              <w:spacing w:val="4"/>
                              <w:sz w:val="21"/>
                              <w:szCs w:val="21"/>
                              <w:highlight w:val="none"/>
                              <w:lang w:val="en-US" w:eastAsia="zh-CN" w:bidi="ar-SA"/>
                            </w:rPr>
                          </m:ctrlPr>
                        </m:sSubPr>
                        <m:e>
                          <m:r>
                            <m:rPr>
                              <m:sty m:val="p"/>
                            </m:rPr>
                            <w:rPr>
                              <w:rFonts w:hint="default" w:ascii="Cambria Math" w:hAnsi="Cambria Math" w:cs="Times New Roman"/>
                              <w:snapToGrid w:val="0"/>
                              <w:color w:val="auto"/>
                              <w:spacing w:val="4"/>
                              <w:sz w:val="21"/>
                              <w:szCs w:val="21"/>
                              <w:highlight w:val="none"/>
                              <w:lang w:val="en-US" w:eastAsia="zh-CN" w:bidi="ar-SA"/>
                            </w:rPr>
                            <m:t>v</m:t>
                          </m:r>
                          <m:ctrlPr>
                            <w:rPr>
                              <w:rFonts w:hint="default" w:ascii="Cambria Math" w:hAnsi="Cambria Math" w:cs="Times New Roman"/>
                              <w:snapToGrid w:val="0"/>
                              <w:color w:val="auto"/>
                              <w:spacing w:val="4"/>
                              <w:sz w:val="21"/>
                              <w:szCs w:val="21"/>
                              <w:highlight w:val="none"/>
                              <w:lang w:val="en-US" w:eastAsia="zh-CN" w:bidi="ar-SA"/>
                            </w:rPr>
                          </m:ctrlPr>
                        </m:e>
                        <m:sub>
                          <m:r>
                            <m:rPr>
                              <m:sty m:val="p"/>
                            </m:rPr>
                            <w:rPr>
                              <w:rFonts w:hint="default" w:ascii="Cambria Math" w:hAnsi="Cambria Math" w:cs="Times New Roman"/>
                              <w:snapToGrid w:val="0"/>
                              <w:color w:val="auto"/>
                              <w:spacing w:val="4"/>
                              <w:sz w:val="21"/>
                              <w:szCs w:val="21"/>
                              <w:highlight w:val="none"/>
                              <w:lang w:val="en-US" w:eastAsia="zh-CN" w:bidi="ar-SA"/>
                            </w:rPr>
                            <m:t>x</m:t>
                          </m:r>
                          <m:ctrlPr>
                            <w:rPr>
                              <w:rFonts w:hint="default" w:ascii="Cambria Math" w:hAnsi="Cambria Math" w:cs="Times New Roman"/>
                              <w:snapToGrid w:val="0"/>
                              <w:color w:val="auto"/>
                              <w:spacing w:val="4"/>
                              <w:sz w:val="21"/>
                              <w:szCs w:val="21"/>
                              <w:highlight w:val="none"/>
                              <w:lang w:val="en-US" w:eastAsia="zh-CN" w:bidi="ar-SA"/>
                            </w:rPr>
                          </m:ctrlPr>
                        </m:sub>
                      </m:sSub>
                    </m:oMath>
                  </m:oMathPara>
                </w:p>
                <w:p w14:paraId="79B32699">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i w:val="0"/>
                      <w:snapToGrid w:val="0"/>
                      <w:color w:val="auto"/>
                      <w:spacing w:val="4"/>
                      <w:sz w:val="21"/>
                      <w:szCs w:val="21"/>
                      <w:highlight w:val="none"/>
                      <w:lang w:val="en-US" w:eastAsia="zh-CN" w:bidi="ar-SA"/>
                    </w:rPr>
                  </w:pPr>
                </w:p>
                <w:p w14:paraId="0AF88F98">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x：集气罩至产气点距离；</w:t>
                  </w:r>
                </w:p>
                <w:p w14:paraId="28CB0529">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F：集气罩面积；</w:t>
                  </w:r>
                </w:p>
                <w:p w14:paraId="0C48F51D">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36" w:firstLineChars="200"/>
                    <w:jc w:val="left"/>
                    <w:textAlignment w:val="baseline"/>
                    <w:rPr>
                      <w:rFonts w:hint="default" w:ascii="Times New Roman" w:hAnsi="Times New Roman" w:eastAsia="宋体" w:cs="Times New Roman"/>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：设计风速</w:t>
                  </w:r>
                </w:p>
              </w:tc>
              <w:tc>
                <w:tcPr>
                  <w:tcW w:w="1260" w:type="dxa"/>
                  <w:tcBorders>
                    <w:tl2br w:val="nil"/>
                    <w:tr2bl w:val="nil"/>
                  </w:tcBorders>
                  <w:shd w:val="clear" w:color="auto" w:fill="auto"/>
                  <w:tcMar>
                    <w:top w:w="0" w:type="dxa"/>
                    <w:left w:w="51" w:type="dxa"/>
                    <w:bottom w:w="0" w:type="dxa"/>
                    <w:right w:w="51" w:type="dxa"/>
                  </w:tcMar>
                  <w:vAlign w:val="center"/>
                </w:tcPr>
                <w:p w14:paraId="53177997">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x=0.</w:t>
                  </w:r>
                  <w:r>
                    <w:rPr>
                      <w:rFonts w:hint="eastAsia" w:ascii="Times New Roman" w:hAnsi="Times New Roman" w:cs="Times New Roman"/>
                      <w:b w:val="0"/>
                      <w:i w:val="0"/>
                      <w:snapToGrid w:val="0"/>
                      <w:color w:val="auto"/>
                      <w:spacing w:val="4"/>
                      <w:sz w:val="21"/>
                      <w:szCs w:val="21"/>
                      <w:highlight w:val="none"/>
                      <w:lang w:val="en-US" w:eastAsia="zh-CN" w:bidi="ar-SA"/>
                    </w:rPr>
                    <w:t>1;</w:t>
                  </w:r>
                </w:p>
                <w:p w14:paraId="435A7FC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F=0.</w:t>
                  </w:r>
                  <w:r>
                    <w:rPr>
                      <w:rFonts w:hint="eastAsia" w:ascii="Times New Roman" w:hAnsi="Times New Roman" w:cs="Times New Roman"/>
                      <w:b w:val="0"/>
                      <w:i w:val="0"/>
                      <w:snapToGrid w:val="0"/>
                      <w:color w:val="auto"/>
                      <w:spacing w:val="4"/>
                      <w:sz w:val="21"/>
                      <w:szCs w:val="21"/>
                      <w:highlight w:val="none"/>
                      <w:lang w:val="en-US" w:eastAsia="zh-CN" w:bidi="ar-SA"/>
                    </w:rPr>
                    <w:t>125;</w:t>
                  </w:r>
                </w:p>
                <w:p w14:paraId="2FB2A6B3">
                  <w:pPr>
                    <w:pStyle w:val="6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 w:val="0"/>
                      <w:i w:val="0"/>
                      <w:snapToGrid w:val="0"/>
                      <w:color w:val="auto"/>
                      <w:spacing w:val="4"/>
                      <w:sz w:val="21"/>
                      <w:szCs w:val="21"/>
                      <w:highlight w:val="none"/>
                      <w:lang w:val="en-US" w:eastAsia="zh-CN" w:bidi="ar-SA"/>
                    </w:rPr>
                  </w:pPr>
                  <w:r>
                    <w:rPr>
                      <w:rFonts w:hint="default" w:ascii="Times New Roman" w:hAnsi="Times New Roman" w:cs="Times New Roman"/>
                      <w:b w:val="0"/>
                      <w:i w:val="0"/>
                      <w:snapToGrid w:val="0"/>
                      <w:color w:val="auto"/>
                      <w:spacing w:val="4"/>
                      <w:sz w:val="21"/>
                      <w:szCs w:val="21"/>
                      <w:highlight w:val="none"/>
                      <w:lang w:val="en-US" w:eastAsia="zh-CN" w:bidi="ar-SA"/>
                    </w:rPr>
                    <w:t>V</w:t>
                  </w:r>
                  <w:r>
                    <w:rPr>
                      <w:rFonts w:hint="default" w:ascii="Times New Roman" w:hAnsi="Times New Roman" w:cs="Times New Roman"/>
                      <w:b w:val="0"/>
                      <w:i w:val="0"/>
                      <w:snapToGrid w:val="0"/>
                      <w:color w:val="auto"/>
                      <w:spacing w:val="4"/>
                      <w:sz w:val="21"/>
                      <w:szCs w:val="21"/>
                      <w:highlight w:val="none"/>
                      <w:vertAlign w:val="subscript"/>
                      <w:lang w:val="en-US" w:eastAsia="zh-CN" w:bidi="ar-SA"/>
                    </w:rPr>
                    <w:t>x</w:t>
                  </w:r>
                  <w:r>
                    <w:rPr>
                      <w:rFonts w:hint="default" w:ascii="Times New Roman" w:hAnsi="Times New Roman" w:cs="Times New Roman"/>
                      <w:b w:val="0"/>
                      <w:i w:val="0"/>
                      <w:snapToGrid w:val="0"/>
                      <w:color w:val="auto"/>
                      <w:spacing w:val="4"/>
                      <w:sz w:val="21"/>
                      <w:szCs w:val="21"/>
                      <w:highlight w:val="none"/>
                      <w:lang w:val="en-US" w:eastAsia="zh-CN" w:bidi="ar-SA"/>
                    </w:rPr>
                    <w:t>=0.5</w:t>
                  </w:r>
                </w:p>
              </w:tc>
              <w:tc>
                <w:tcPr>
                  <w:tcW w:w="1351" w:type="dxa"/>
                  <w:tcBorders>
                    <w:tl2br w:val="nil"/>
                    <w:tr2bl w:val="nil"/>
                  </w:tcBorders>
                  <w:shd w:val="clear" w:color="auto" w:fill="auto"/>
                  <w:tcMar>
                    <w:top w:w="0" w:type="dxa"/>
                    <w:left w:w="51" w:type="dxa"/>
                    <w:bottom w:w="0" w:type="dxa"/>
                    <w:right w:w="51" w:type="dxa"/>
                  </w:tcMar>
                  <w:vAlign w:val="center"/>
                </w:tcPr>
                <w:p w14:paraId="332E963A">
                  <w:pPr>
                    <w:pStyle w:val="68"/>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napToGrid w:val="0"/>
                      <w:color w:val="auto"/>
                      <w:spacing w:val="4"/>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307.8</w:t>
                  </w:r>
                  <w:r>
                    <w:rPr>
                      <w:rFonts w:hint="default" w:ascii="Times New Roman" w:hAnsi="Times New Roman" w:cs="Times New Roman"/>
                      <w:color w:val="auto"/>
                      <w:sz w:val="21"/>
                      <w:szCs w:val="21"/>
                      <w:highlight w:val="none"/>
                      <w:lang w:val="en-US" w:eastAsia="zh-CN"/>
                    </w:rPr>
                    <w:t>（单个）×</w:t>
                  </w:r>
                  <w:r>
                    <w:rPr>
                      <w:rFonts w:hint="eastAsia" w:ascii="Times New Roman" w:hAnsi="Times New Roman" w:cs="Times New Roman"/>
                      <w:color w:val="auto"/>
                      <w:sz w:val="21"/>
                      <w:szCs w:val="21"/>
                      <w:highlight w:val="none"/>
                      <w:lang w:val="en-US" w:eastAsia="zh-CN"/>
                    </w:rPr>
                    <w:t>24</w:t>
                  </w:r>
                  <w:r>
                    <w:rPr>
                      <w:rFonts w:hint="default" w:ascii="Times New Roman" w:hAnsi="Times New Roman" w:cs="Times New Roman"/>
                      <w:color w:val="auto"/>
                      <w:sz w:val="21"/>
                      <w:szCs w:val="21"/>
                      <w:highlight w:val="none"/>
                      <w:lang w:val="en-US" w:eastAsia="zh-CN"/>
                    </w:rPr>
                    <w:t>=</w:t>
                  </w:r>
                  <w:r>
                    <w:rPr>
                      <w:rFonts w:hint="eastAsia" w:ascii="Times New Roman" w:hAnsi="Times New Roman" w:cs="Times New Roman"/>
                      <w:color w:val="auto"/>
                      <w:sz w:val="21"/>
                      <w:szCs w:val="21"/>
                      <w:highlight w:val="none"/>
                      <w:lang w:val="en-US" w:eastAsia="zh-CN"/>
                    </w:rPr>
                    <w:t>7387.2</w:t>
                  </w:r>
                </w:p>
              </w:tc>
              <w:tc>
                <w:tcPr>
                  <w:tcW w:w="1182" w:type="dxa"/>
                  <w:vMerge w:val="continue"/>
                  <w:tcBorders>
                    <w:tl2br w:val="nil"/>
                    <w:tr2bl w:val="nil"/>
                  </w:tcBorders>
                  <w:tcMar>
                    <w:top w:w="0" w:type="dxa"/>
                    <w:left w:w="51" w:type="dxa"/>
                    <w:bottom w:w="0" w:type="dxa"/>
                    <w:right w:w="51" w:type="dxa"/>
                  </w:tcMar>
                  <w:vAlign w:val="center"/>
                </w:tcPr>
                <w:p w14:paraId="040AD5A3">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66" w:type="dxa"/>
                  <w:vMerge w:val="continue"/>
                  <w:tcBorders>
                    <w:tl2br w:val="nil"/>
                    <w:tr2bl w:val="nil"/>
                  </w:tcBorders>
                  <w:tcMar>
                    <w:top w:w="0" w:type="dxa"/>
                    <w:left w:w="51" w:type="dxa"/>
                    <w:bottom w:w="0" w:type="dxa"/>
                    <w:right w:w="51" w:type="dxa"/>
                  </w:tcMar>
                  <w:vAlign w:val="center"/>
                </w:tcPr>
                <w:p w14:paraId="34DD8F25">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r>
            <w:tr w14:paraId="643C63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181" w:type="dxa"/>
                  <w:vMerge w:val="continue"/>
                  <w:tcBorders>
                    <w:tl2br w:val="nil"/>
                    <w:tr2bl w:val="nil"/>
                  </w:tcBorders>
                  <w:tcMar>
                    <w:top w:w="0" w:type="dxa"/>
                    <w:left w:w="51" w:type="dxa"/>
                    <w:bottom w:w="0" w:type="dxa"/>
                    <w:right w:w="51" w:type="dxa"/>
                  </w:tcMar>
                  <w:vAlign w:val="center"/>
                </w:tcPr>
                <w:p w14:paraId="719853DA">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980" w:type="dxa"/>
                  <w:tcBorders>
                    <w:tl2br w:val="nil"/>
                    <w:tr2bl w:val="nil"/>
                  </w:tcBorders>
                  <w:tcMar>
                    <w:top w:w="0" w:type="dxa"/>
                    <w:left w:w="51" w:type="dxa"/>
                    <w:bottom w:w="0" w:type="dxa"/>
                    <w:right w:w="51" w:type="dxa"/>
                  </w:tcMar>
                  <w:vAlign w:val="center"/>
                </w:tcPr>
                <w:p w14:paraId="7340CA4B">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通风柜</w:t>
                  </w:r>
                  <w:r>
                    <w:rPr>
                      <w:rFonts w:hint="eastAsia" w:ascii="Times New Roman" w:hAnsi="Times New Roman"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集气罩</w:t>
                  </w:r>
                </w:p>
              </w:tc>
              <w:tc>
                <w:tcPr>
                  <w:tcW w:w="625" w:type="dxa"/>
                  <w:tcBorders>
                    <w:tl2br w:val="nil"/>
                    <w:tr2bl w:val="nil"/>
                  </w:tcBorders>
                  <w:shd w:val="clear" w:color="auto" w:fill="auto"/>
                  <w:tcMar>
                    <w:top w:w="0" w:type="dxa"/>
                    <w:left w:w="51" w:type="dxa"/>
                    <w:bottom w:w="0" w:type="dxa"/>
                    <w:right w:w="51" w:type="dxa"/>
                  </w:tcMar>
                  <w:vAlign w:val="center"/>
                </w:tcPr>
                <w:p w14:paraId="1682A93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34</w:t>
                  </w:r>
                </w:p>
              </w:tc>
              <w:tc>
                <w:tcPr>
                  <w:tcW w:w="2214" w:type="dxa"/>
                  <w:tcBorders>
                    <w:tl2br w:val="nil"/>
                    <w:tr2bl w:val="nil"/>
                  </w:tcBorders>
                  <w:shd w:val="clear" w:color="auto" w:fill="auto"/>
                  <w:tcMar>
                    <w:top w:w="0" w:type="dxa"/>
                    <w:left w:w="51" w:type="dxa"/>
                    <w:bottom w:w="0" w:type="dxa"/>
                    <w:right w:w="51" w:type="dxa"/>
                  </w:tcMar>
                  <w:vAlign w:val="center"/>
                </w:tcPr>
                <w:p w14:paraId="412F680E">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default" w:ascii="Times New Roman" w:hAnsi="Times New Roman" w:cs="Times New Roman"/>
                      <w:color w:val="auto"/>
                      <w:sz w:val="21"/>
                      <w:szCs w:val="21"/>
                      <w:highlight w:val="none"/>
                      <w:lang w:val="en-US" w:eastAsia="zh-CN"/>
                    </w:rPr>
                    <w:t>/</w:t>
                  </w:r>
                </w:p>
              </w:tc>
              <w:tc>
                <w:tcPr>
                  <w:tcW w:w="3098" w:type="dxa"/>
                  <w:tcBorders>
                    <w:tl2br w:val="nil"/>
                    <w:tr2bl w:val="nil"/>
                  </w:tcBorders>
                  <w:shd w:val="clear" w:color="auto" w:fill="auto"/>
                  <w:tcMar>
                    <w:top w:w="0" w:type="dxa"/>
                    <w:left w:w="51" w:type="dxa"/>
                    <w:bottom w:w="0" w:type="dxa"/>
                    <w:right w:w="51" w:type="dxa"/>
                  </w:tcMar>
                  <w:vAlign w:val="center"/>
                </w:tcPr>
                <w:p w14:paraId="24CCB721">
                  <w:pPr>
                    <w:pStyle w:val="6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baseline"/>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260" w:type="dxa"/>
                  <w:tcBorders>
                    <w:tl2br w:val="nil"/>
                    <w:tr2bl w:val="nil"/>
                  </w:tcBorders>
                  <w:shd w:val="clear" w:color="auto" w:fill="auto"/>
                  <w:tcMar>
                    <w:top w:w="0" w:type="dxa"/>
                    <w:left w:w="51" w:type="dxa"/>
                    <w:bottom w:w="0" w:type="dxa"/>
                    <w:right w:w="51" w:type="dxa"/>
                  </w:tcMar>
                  <w:vAlign w:val="center"/>
                </w:tcPr>
                <w:p w14:paraId="574B0D04">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b w:val="0"/>
                      <w:i w:val="0"/>
                      <w:snapToGrid w:val="0"/>
                      <w:color w:val="auto"/>
                      <w:spacing w:val="4"/>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1351" w:type="dxa"/>
                  <w:tcBorders>
                    <w:tl2br w:val="nil"/>
                    <w:tr2bl w:val="nil"/>
                  </w:tcBorders>
                  <w:shd w:val="clear" w:color="auto" w:fill="auto"/>
                  <w:tcMar>
                    <w:top w:w="0" w:type="dxa"/>
                    <w:left w:w="51" w:type="dxa"/>
                    <w:bottom w:w="0" w:type="dxa"/>
                    <w:right w:w="51" w:type="dxa"/>
                  </w:tcMar>
                  <w:vAlign w:val="center"/>
                </w:tcPr>
                <w:p w14:paraId="07549E86">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合计</w:t>
                  </w:r>
                  <w:r>
                    <w:rPr>
                      <w:rFonts w:hint="eastAsia" w:ascii="Times New Roman" w:hAnsi="Times New Roman" w:cs="Times New Roman"/>
                      <w:b/>
                      <w:bCs/>
                      <w:color w:val="auto"/>
                      <w:sz w:val="21"/>
                      <w:szCs w:val="21"/>
                      <w:highlight w:val="none"/>
                      <w:lang w:val="en-US" w:eastAsia="zh-CN"/>
                    </w:rPr>
                    <w:t>17553.6</w:t>
                  </w:r>
                </w:p>
              </w:tc>
              <w:tc>
                <w:tcPr>
                  <w:tcW w:w="1182" w:type="dxa"/>
                  <w:vMerge w:val="continue"/>
                  <w:tcBorders>
                    <w:tl2br w:val="nil"/>
                    <w:tr2bl w:val="nil"/>
                  </w:tcBorders>
                  <w:tcMar>
                    <w:top w:w="0" w:type="dxa"/>
                    <w:left w:w="51" w:type="dxa"/>
                    <w:bottom w:w="0" w:type="dxa"/>
                    <w:right w:w="51" w:type="dxa"/>
                  </w:tcMar>
                  <w:vAlign w:val="center"/>
                </w:tcPr>
                <w:p w14:paraId="1927B540">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c>
                <w:tcPr>
                  <w:tcW w:w="666" w:type="dxa"/>
                  <w:vMerge w:val="continue"/>
                  <w:tcBorders>
                    <w:tl2br w:val="nil"/>
                    <w:tr2bl w:val="nil"/>
                  </w:tcBorders>
                  <w:tcMar>
                    <w:top w:w="0" w:type="dxa"/>
                    <w:left w:w="51" w:type="dxa"/>
                    <w:bottom w:w="0" w:type="dxa"/>
                    <w:right w:w="51" w:type="dxa"/>
                  </w:tcMar>
                  <w:vAlign w:val="center"/>
                </w:tcPr>
                <w:p w14:paraId="250A2621">
                  <w:pPr>
                    <w:pStyle w:val="68"/>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highlight w:val="none"/>
                      <w:lang w:val="en-US" w:eastAsia="zh-CN"/>
                    </w:rPr>
                  </w:pPr>
                </w:p>
              </w:tc>
            </w:tr>
          </w:tbl>
          <w:p w14:paraId="7B6C061B">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p>
        </w:tc>
      </w:tr>
    </w:tbl>
    <w:p w14:paraId="7AFA68F0">
      <w:pPr>
        <w:rPr>
          <w:color w:val="auto"/>
        </w:rPr>
        <w:sectPr>
          <w:pgSz w:w="16840" w:h="11907" w:orient="landscape"/>
          <w:pgMar w:top="1531" w:right="1701" w:bottom="1531" w:left="2127" w:header="851" w:footer="851" w:gutter="0"/>
          <w:pgBorders>
            <w:top w:val="none" w:sz="0" w:space="0"/>
            <w:left w:val="none" w:sz="0" w:space="0"/>
            <w:bottom w:val="none" w:sz="0" w:space="0"/>
            <w:right w:val="none" w:sz="0" w:space="0"/>
          </w:pgBorders>
          <w:pgNumType w:fmt="numberInDash"/>
          <w:cols w:space="720" w:num="1"/>
          <w:docGrid w:linePitch="312" w:charSpace="0"/>
        </w:sectPr>
      </w:pPr>
    </w:p>
    <w:tbl>
      <w:tblPr>
        <w:tblStyle w:val="28"/>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30"/>
        <w:gridCol w:w="8351"/>
      </w:tblGrid>
      <w:tr w14:paraId="4AB3F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05" w:hRule="atLeast"/>
          <w:jc w:val="center"/>
        </w:trPr>
        <w:tc>
          <w:tcPr>
            <w:tcW w:w="630" w:type="dxa"/>
            <w:tcMar>
              <w:left w:w="28" w:type="dxa"/>
              <w:right w:w="28" w:type="dxa"/>
            </w:tcMar>
            <w:vAlign w:val="center"/>
          </w:tcPr>
          <w:p w14:paraId="0A3E4315">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 w:val="24"/>
                <w:szCs w:val="24"/>
                <w:highlight w:val="none"/>
              </w:rPr>
            </w:pPr>
          </w:p>
        </w:tc>
        <w:tc>
          <w:tcPr>
            <w:tcW w:w="8351" w:type="dxa"/>
            <w:tcBorders>
              <w:top w:val="single" w:color="auto" w:sz="4" w:space="0"/>
              <w:bottom w:val="single" w:color="auto" w:sz="4" w:space="0"/>
              <w:right w:val="single" w:color="auto" w:sz="4" w:space="0"/>
            </w:tcBorders>
            <w:vAlign w:val="top"/>
          </w:tcPr>
          <w:p w14:paraId="3361B0F7">
            <w:pPr>
              <w:pStyle w:val="6"/>
              <w:suppressLineNumbers w:val="0"/>
              <w:bidi w:val="0"/>
              <w:spacing w:beforeAutospacing="0" w:afterAutospacing="0"/>
              <w:ind w:right="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rPr>
              <w:t>非正常排放及防范措施</w:t>
            </w:r>
          </w:p>
          <w:p w14:paraId="20A1CFCD">
            <w:pPr>
              <w:keepNext w:val="0"/>
              <w:keepLines w:val="0"/>
              <w:suppressLineNumbers w:val="0"/>
              <w:spacing w:before="120" w:beforeLines="5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lang w:val="en-US" w:eastAsia="zh-CN"/>
              </w:rPr>
              <w:t>本项目非生产类型项目，使用检测过程产生的废气浓度低，对周边环境影响较小。</w:t>
            </w:r>
            <w:r>
              <w:rPr>
                <w:rFonts w:hint="eastAsia"/>
                <w:color w:val="auto"/>
                <w:sz w:val="24"/>
                <w:highlight w:val="none"/>
              </w:rPr>
              <w:t>在废气处理设备停止运行或出现故障时污染物的排放量</w:t>
            </w:r>
            <w:r>
              <w:rPr>
                <w:rFonts w:hint="eastAsia"/>
                <w:color w:val="auto"/>
                <w:sz w:val="24"/>
                <w:highlight w:val="none"/>
                <w:lang w:val="en-US" w:eastAsia="zh-CN"/>
              </w:rPr>
              <w:t>少量</w:t>
            </w:r>
            <w:r>
              <w:rPr>
                <w:rFonts w:hint="eastAsia"/>
                <w:color w:val="auto"/>
                <w:sz w:val="24"/>
                <w:highlight w:val="none"/>
              </w:rPr>
              <w:t>增加，为防止废气非正常排放，应采取以下措施确保废气达标排放：</w:t>
            </w:r>
          </w:p>
          <w:p w14:paraId="741555EA">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①安排专人负责环保设备的日常维护和管理，</w:t>
            </w:r>
            <w:r>
              <w:rPr>
                <w:rFonts w:hint="eastAsia"/>
                <w:color w:val="auto"/>
                <w:sz w:val="24"/>
                <w:highlight w:val="none"/>
                <w:lang w:eastAsia="zh-CN"/>
              </w:rPr>
              <w:t>每隔</w:t>
            </w:r>
            <w:r>
              <w:rPr>
                <w:rFonts w:hint="eastAsia"/>
                <w:color w:val="auto"/>
                <w:sz w:val="24"/>
                <w:highlight w:val="none"/>
              </w:rPr>
              <w:t>固定时间检查、汇报情况，及时发现废气处理设备的隐患，确保废气处理系统的正常运行；</w:t>
            </w:r>
          </w:p>
          <w:p w14:paraId="47E28B7C">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②建立健全的环保管理机构，对环保管理人员和技术人员进行岗位培训，对项目排放的各类污染物进行定期检测；</w:t>
            </w:r>
          </w:p>
          <w:p w14:paraId="576DBAB2">
            <w:pPr>
              <w:keepNext w:val="0"/>
              <w:keepLines w:val="0"/>
              <w:suppressLineNumbers w:val="0"/>
              <w:spacing w:before="0" w:beforeAutospacing="0" w:after="0" w:afterAutospacing="0" w:line="360" w:lineRule="auto"/>
              <w:ind w:left="0" w:right="0" w:firstLine="480" w:firstLineChars="200"/>
              <w:rPr>
                <w:rFonts w:hint="default"/>
                <w:color w:val="auto"/>
                <w:sz w:val="24"/>
                <w:highlight w:val="none"/>
              </w:rPr>
            </w:pPr>
            <w:r>
              <w:rPr>
                <w:rFonts w:hint="eastAsia"/>
                <w:color w:val="auto"/>
                <w:sz w:val="24"/>
                <w:highlight w:val="none"/>
              </w:rPr>
              <w:t>③应定期维护、检修废气净化装置，及时更换吸附材料，以保持废气处理装置的净化能力和净化容量。</w:t>
            </w:r>
          </w:p>
          <w:p w14:paraId="5311ED68">
            <w:pPr>
              <w:pStyle w:val="6"/>
              <w:suppressLineNumbers w:val="0"/>
              <w:bidi w:val="0"/>
              <w:spacing w:beforeAutospacing="0" w:afterAutospacing="0"/>
              <w:ind w:right="0"/>
              <w:rPr>
                <w:rFonts w:hint="default"/>
                <w:color w:val="auto"/>
                <w:highlight w:val="none"/>
              </w:rPr>
            </w:pPr>
            <w:r>
              <w:rPr>
                <w:rFonts w:hint="default"/>
                <w:color w:val="auto"/>
                <w:highlight w:val="none"/>
              </w:rPr>
              <w:t>大气环境影响分析</w:t>
            </w:r>
          </w:p>
          <w:p w14:paraId="229D2950">
            <w:pPr>
              <w:pStyle w:val="36"/>
              <w:keepNext w:val="0"/>
              <w:keepLines w:val="0"/>
              <w:suppressLineNumbers w:val="0"/>
              <w:bidi w:val="0"/>
              <w:spacing w:before="0" w:beforeAutospacing="0" w:after="0" w:afterAutospacing="0"/>
              <w:ind w:left="0" w:right="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根据废气污染源分析，项目</w:t>
            </w:r>
            <w:r>
              <w:rPr>
                <w:rFonts w:hint="default" w:ascii="Times New Roman" w:hAnsi="Times New Roman" w:cs="Times New Roman"/>
                <w:color w:val="auto"/>
                <w:highlight w:val="none"/>
                <w:lang w:val="en-US" w:eastAsia="zh-CN"/>
              </w:rPr>
              <w:t>试验过程中产生的酸雾经通风橱收集后</w:t>
            </w:r>
            <w:r>
              <w:rPr>
                <w:rFonts w:hint="eastAsia" w:cs="Times New Roman"/>
                <w:color w:val="auto"/>
                <w:highlight w:val="none"/>
                <w:lang w:val="en-US" w:eastAsia="zh-CN"/>
              </w:rPr>
              <w:t>，采用碱液喷淋塔处理后</w:t>
            </w:r>
            <w:r>
              <w:rPr>
                <w:rFonts w:hint="default" w:ascii="Times New Roman" w:hAnsi="Times New Roman" w:cs="Times New Roman"/>
                <w:color w:val="auto"/>
                <w:highlight w:val="none"/>
                <w:lang w:val="en-US" w:eastAsia="zh-CN"/>
              </w:rPr>
              <w:t>通过</w:t>
            </w:r>
            <w:r>
              <w:rPr>
                <w:rFonts w:hint="eastAsia" w:cs="Times New Roman"/>
                <w:color w:val="auto"/>
                <w:highlight w:val="none"/>
                <w:lang w:val="en-US" w:eastAsia="zh-CN"/>
              </w:rPr>
              <w:t>25m</w:t>
            </w:r>
            <w:r>
              <w:rPr>
                <w:rFonts w:hint="default" w:ascii="Times New Roman" w:hAnsi="Times New Roman" w:cs="Times New Roman"/>
                <w:color w:val="auto"/>
                <w:highlight w:val="none"/>
                <w:lang w:val="en-US" w:eastAsia="zh-CN"/>
              </w:rPr>
              <w:t>高排气筒排放（DA001</w:t>
            </w:r>
            <w:r>
              <w:rPr>
                <w:rFonts w:hint="eastAsia" w:cs="Times New Roman"/>
                <w:color w:val="auto"/>
                <w:highlight w:val="none"/>
                <w:lang w:val="en-US" w:eastAsia="zh-CN"/>
              </w:rPr>
              <w:t>、</w:t>
            </w:r>
            <w:r>
              <w:rPr>
                <w:rFonts w:hint="default" w:ascii="Times New Roman" w:hAnsi="Times New Roman" w:cs="Times New Roman"/>
                <w:color w:val="auto"/>
                <w:highlight w:val="none"/>
                <w:lang w:val="en-US" w:eastAsia="zh-CN"/>
              </w:rPr>
              <w:t>DA001）；产生的有机废气</w:t>
            </w:r>
            <w:r>
              <w:rPr>
                <w:rFonts w:hint="eastAsia" w:cs="Times New Roman"/>
                <w:color w:val="auto"/>
                <w:highlight w:val="none"/>
                <w:lang w:val="en-US" w:eastAsia="zh-CN"/>
              </w:rPr>
              <w:t>、恶臭气体</w:t>
            </w:r>
            <w:r>
              <w:rPr>
                <w:rFonts w:hint="default" w:ascii="Times New Roman" w:hAnsi="Times New Roman" w:cs="Times New Roman"/>
                <w:color w:val="auto"/>
                <w:highlight w:val="none"/>
                <w:lang w:val="en-US" w:eastAsia="zh-CN"/>
              </w:rPr>
              <w:t>经通风橱收集并由活性炭吸附装置处理后通过</w:t>
            </w:r>
            <w:r>
              <w:rPr>
                <w:rFonts w:hint="eastAsia" w:cs="Times New Roman"/>
                <w:color w:val="auto"/>
                <w:highlight w:val="none"/>
                <w:lang w:val="en-US" w:eastAsia="zh-CN"/>
              </w:rPr>
              <w:t>25m</w:t>
            </w:r>
            <w:r>
              <w:rPr>
                <w:rFonts w:hint="default" w:ascii="Times New Roman" w:hAnsi="Times New Roman" w:cs="Times New Roman"/>
                <w:color w:val="auto"/>
                <w:highlight w:val="none"/>
                <w:lang w:val="en-US" w:eastAsia="zh-CN"/>
              </w:rPr>
              <w:t>高排气筒排放（DA00</w:t>
            </w:r>
            <w:r>
              <w:rPr>
                <w:rFonts w:hint="eastAsia" w:cs="Times New Roman"/>
                <w:color w:val="auto"/>
                <w:highlight w:val="none"/>
                <w:lang w:val="en-US" w:eastAsia="zh-CN"/>
              </w:rPr>
              <w:t>3、</w:t>
            </w:r>
            <w:r>
              <w:rPr>
                <w:rFonts w:hint="default" w:ascii="Times New Roman" w:hAnsi="Times New Roman" w:cs="Times New Roman"/>
                <w:color w:val="auto"/>
                <w:highlight w:val="none"/>
                <w:lang w:val="en-US" w:eastAsia="zh-CN"/>
              </w:rPr>
              <w:t>DA00</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）。项目主要污染物有组织排放浓度分别为氯化氢</w:t>
            </w:r>
            <w:r>
              <w:rPr>
                <w:rFonts w:hint="default" w:ascii="Times New Roman" w:hAnsi="Times New Roman" w:eastAsia="宋体" w:cs="Times New Roman"/>
                <w:color w:val="auto"/>
                <w:sz w:val="24"/>
                <w:szCs w:val="24"/>
                <w:highlight w:val="none"/>
                <w:vertAlign w:val="baseline"/>
                <w:lang w:val="en-US" w:eastAsia="zh-CN"/>
              </w:rPr>
              <w:t>、硫酸雾、非甲烷总烃计</w:t>
            </w:r>
            <w:r>
              <w:rPr>
                <w:rFonts w:hint="default" w:ascii="Times New Roman" w:hAnsi="Times New Roman" w:cs="Times New Roman"/>
                <w:color w:val="auto"/>
                <w:highlight w:val="none"/>
                <w:lang w:val="en-US" w:eastAsia="zh-CN"/>
              </w:rPr>
              <w:t>均</w:t>
            </w:r>
            <w:r>
              <w:rPr>
                <w:rFonts w:hint="default" w:ascii="Times New Roman" w:hAnsi="Times New Roman" w:cs="Times New Roman"/>
                <w:color w:val="auto"/>
                <w:highlight w:val="none"/>
              </w:rPr>
              <w:t>满足</w:t>
            </w:r>
            <w:r>
              <w:rPr>
                <w:rFonts w:hint="eastAsia"/>
                <w:color w:val="auto"/>
                <w:szCs w:val="21"/>
              </w:rPr>
              <w:t>《工业企业挥发性有机物排放标准》(DB35/ 1782-2018)</w:t>
            </w:r>
            <w:r>
              <w:rPr>
                <w:rFonts w:hint="eastAsia"/>
                <w:color w:val="auto"/>
                <w:szCs w:val="21"/>
                <w:lang w:eastAsia="zh-CN"/>
              </w:rPr>
              <w:t>、</w:t>
            </w:r>
            <w:r>
              <w:rPr>
                <w:rFonts w:hint="eastAsia"/>
                <w:color w:val="auto"/>
                <w:szCs w:val="21"/>
              </w:rPr>
              <w:t>《挥发性有机物无组织排放控制标准》(GB 37822-2019</w:t>
            </w:r>
            <w:r>
              <w:rPr>
                <w:rFonts w:hint="eastAsia"/>
                <w:color w:val="auto"/>
                <w:szCs w:val="21"/>
                <w:shd w:val="clear" w:fill="FFFFFF"/>
              </w:rPr>
              <w:t>)</w:t>
            </w:r>
            <w:r>
              <w:rPr>
                <w:rFonts w:hint="eastAsia"/>
                <w:color w:val="auto"/>
                <w:szCs w:val="21"/>
                <w:lang w:val="en-US" w:eastAsia="zh-CN"/>
              </w:rPr>
              <w:t>中相关</w:t>
            </w:r>
            <w:r>
              <w:rPr>
                <w:rFonts w:hint="default" w:ascii="Times New Roman" w:hAnsi="Times New Roman" w:eastAsia="宋体" w:cs="Times New Roman"/>
                <w:color w:val="auto"/>
                <w:kern w:val="2"/>
                <w:sz w:val="24"/>
                <w:szCs w:val="24"/>
                <w:highlight w:val="none"/>
                <w:lang w:val="en-US" w:eastAsia="zh-CN" w:bidi="ar-SA"/>
              </w:rPr>
              <w:t>标准</w:t>
            </w:r>
            <w:r>
              <w:rPr>
                <w:rFonts w:hint="eastAsia" w:cs="Times New Roman"/>
                <w:color w:val="auto"/>
                <w:kern w:val="2"/>
                <w:sz w:val="24"/>
                <w:szCs w:val="24"/>
                <w:highlight w:val="none"/>
                <w:lang w:val="en-US" w:eastAsia="zh-CN" w:bidi="ar-SA"/>
              </w:rPr>
              <w:t>，恶臭满足</w:t>
            </w:r>
            <w:r>
              <w:rPr>
                <w:rFonts w:hint="eastAsia" w:ascii="宋体" w:hAnsi="宋体" w:eastAsia="宋体" w:cs="宋体"/>
                <w:color w:val="auto"/>
                <w:kern w:val="0"/>
                <w:sz w:val="24"/>
                <w:szCs w:val="24"/>
                <w:highlight w:val="none"/>
                <w:lang w:val="en-US" w:eastAsia="zh-CN" w:bidi="ar"/>
              </w:rPr>
              <w:t>《</w:t>
            </w:r>
            <w:r>
              <w:rPr>
                <w:rFonts w:hint="eastAsia" w:ascii="宋体" w:hAnsi="宋体" w:cs="宋体"/>
                <w:color w:val="auto"/>
                <w:kern w:val="0"/>
                <w:sz w:val="24"/>
                <w:szCs w:val="24"/>
                <w:highlight w:val="none"/>
                <w:lang w:val="en-US" w:eastAsia="zh-CN" w:bidi="ar"/>
              </w:rPr>
              <w:t>恶臭污染物排放标准</w:t>
            </w:r>
            <w:r>
              <w:rPr>
                <w:rFonts w:hint="eastAsia" w:ascii="宋体" w:hAnsi="宋体" w:eastAsia="宋体" w:cs="宋体"/>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GB14554-93</w:t>
            </w:r>
            <w:r>
              <w:rPr>
                <w:rFonts w:hint="eastAsia" w:ascii="宋体" w:hAnsi="宋体" w:eastAsia="宋体" w:cs="宋体"/>
                <w:color w:val="auto"/>
                <w:kern w:val="0"/>
                <w:sz w:val="24"/>
                <w:szCs w:val="24"/>
                <w:highlight w:val="none"/>
                <w:lang w:val="en-US" w:eastAsia="zh-CN" w:bidi="ar"/>
              </w:rPr>
              <w:t>）中的二级排放标准</w:t>
            </w:r>
            <w:r>
              <w:rPr>
                <w:rFonts w:hint="eastAsia" w:ascii="宋体" w:hAnsi="宋体" w:cs="宋体"/>
                <w:color w:val="auto"/>
                <w:kern w:val="0"/>
                <w:sz w:val="24"/>
                <w:szCs w:val="24"/>
                <w:highlight w:val="none"/>
                <w:lang w:val="en-US" w:eastAsia="zh-CN" w:bidi="ar"/>
              </w:rPr>
              <w:t>；</w:t>
            </w:r>
            <w:r>
              <w:rPr>
                <w:rFonts w:hint="default" w:ascii="Times New Roman" w:hAnsi="Times New Roman" w:cs="Times New Roman"/>
                <w:color w:val="auto"/>
                <w:kern w:val="2"/>
                <w:sz w:val="24"/>
                <w:szCs w:val="24"/>
                <w:highlight w:val="none"/>
                <w:lang w:val="en-US" w:eastAsia="zh-CN" w:bidi="ar-SA"/>
              </w:rPr>
              <w:t>无组织排放的氯化氢、硫酸雾</w:t>
            </w:r>
            <w:r>
              <w:rPr>
                <w:rFonts w:hint="eastAsia" w:cs="Times New Roman"/>
                <w:color w:val="auto"/>
                <w:kern w:val="2"/>
                <w:sz w:val="24"/>
                <w:szCs w:val="24"/>
                <w:highlight w:val="none"/>
                <w:lang w:val="en-US" w:eastAsia="zh-CN" w:bidi="ar-SA"/>
              </w:rPr>
              <w:t>、</w:t>
            </w:r>
            <w:r>
              <w:rPr>
                <w:rFonts w:hint="default" w:ascii="Times New Roman" w:hAnsi="Times New Roman" w:cs="Times New Roman"/>
                <w:color w:val="auto"/>
                <w:kern w:val="2"/>
                <w:sz w:val="24"/>
                <w:szCs w:val="24"/>
                <w:highlight w:val="none"/>
                <w:lang w:val="en-US" w:eastAsia="zh-CN" w:bidi="ar-SA"/>
              </w:rPr>
              <w:t>挥发性有机物（以非甲烷总烃计）</w:t>
            </w:r>
            <w:r>
              <w:rPr>
                <w:rFonts w:hint="eastAsia" w:cs="Times New Roman"/>
                <w:color w:val="auto"/>
                <w:kern w:val="2"/>
                <w:sz w:val="24"/>
                <w:szCs w:val="24"/>
                <w:highlight w:val="none"/>
                <w:lang w:val="en-US" w:eastAsia="zh-CN" w:bidi="ar-SA"/>
              </w:rPr>
              <w:t>和恶臭气体</w:t>
            </w:r>
            <w:r>
              <w:rPr>
                <w:rFonts w:hint="default" w:ascii="Times New Roman" w:hAnsi="Times New Roman" w:cs="Times New Roman"/>
                <w:color w:val="auto"/>
                <w:kern w:val="2"/>
                <w:sz w:val="24"/>
                <w:szCs w:val="24"/>
                <w:highlight w:val="none"/>
                <w:lang w:val="en-US" w:eastAsia="zh-CN" w:bidi="ar-SA"/>
              </w:rPr>
              <w:t>量很小，不会对区域大气环境质量造成显著的不利影响。</w:t>
            </w:r>
          </w:p>
          <w:p w14:paraId="3362D517">
            <w:pPr>
              <w:pStyle w:val="6"/>
              <w:suppressLineNumbers w:val="0"/>
              <w:bidi w:val="0"/>
              <w:spacing w:beforeAutospacing="0" w:afterAutospacing="0"/>
              <w:ind w:right="0"/>
              <w:rPr>
                <w:rFonts w:hint="default"/>
                <w:color w:val="auto"/>
                <w:highlight w:val="none"/>
              </w:rPr>
            </w:pPr>
            <w:bookmarkStart w:id="88" w:name="_Toc23616"/>
            <w:bookmarkStart w:id="89" w:name="_Toc3663"/>
            <w:bookmarkStart w:id="90" w:name="_Toc4828"/>
            <w:bookmarkStart w:id="91" w:name="_Toc23509"/>
            <w:r>
              <w:rPr>
                <w:rFonts w:hint="default"/>
                <w:color w:val="auto"/>
                <w:highlight w:val="none"/>
              </w:rPr>
              <w:t>污染源监测</w:t>
            </w:r>
            <w:bookmarkEnd w:id="88"/>
            <w:bookmarkEnd w:id="89"/>
            <w:bookmarkEnd w:id="90"/>
            <w:bookmarkEnd w:id="91"/>
            <w:r>
              <w:rPr>
                <w:rFonts w:hint="default"/>
                <w:color w:val="auto"/>
                <w:highlight w:val="none"/>
              </w:rPr>
              <w:t>计划</w:t>
            </w:r>
          </w:p>
          <w:p w14:paraId="2E46244D">
            <w:pPr>
              <w:pStyle w:val="36"/>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通过对照《排污单位自行监测技术指南 总则》（HJ819-2017）中相关规定，项目废气</w:t>
            </w:r>
            <w:r>
              <w:rPr>
                <w:rFonts w:hint="default"/>
                <w:color w:val="auto"/>
                <w:highlight w:val="none"/>
                <w:shd w:val="clear" w:fill="FFFFFF"/>
                <w:lang w:val="en-US" w:eastAsia="zh-CN"/>
              </w:rPr>
              <w:t>自行监测</w:t>
            </w:r>
            <w:r>
              <w:rPr>
                <w:rFonts w:hint="default"/>
                <w:color w:val="auto"/>
                <w:highlight w:val="none"/>
                <w:lang w:val="en-US" w:eastAsia="zh-CN"/>
              </w:rPr>
              <w:t>要求详见下表</w:t>
            </w:r>
            <w:r>
              <w:rPr>
                <w:rFonts w:hint="default"/>
                <w:color w:val="auto"/>
                <w:highlight w:val="none"/>
              </w:rPr>
              <w:t>。</w:t>
            </w:r>
          </w:p>
          <w:p w14:paraId="3D49D5F4">
            <w:pPr>
              <w:pStyle w:val="36"/>
              <w:keepNext w:val="0"/>
              <w:keepLines w:val="0"/>
              <w:suppressLineNumbers w:val="0"/>
              <w:bidi w:val="0"/>
              <w:spacing w:before="0" w:beforeAutospacing="0" w:after="0" w:afterAutospacing="0"/>
              <w:ind w:left="0" w:right="0"/>
              <w:rPr>
                <w:rFonts w:hint="default"/>
                <w:color w:val="auto"/>
                <w:highlight w:val="none"/>
              </w:rPr>
            </w:pPr>
          </w:p>
          <w:p w14:paraId="7569A6C5">
            <w:pPr>
              <w:pStyle w:val="36"/>
              <w:keepNext w:val="0"/>
              <w:keepLines w:val="0"/>
              <w:suppressLineNumbers w:val="0"/>
              <w:bidi w:val="0"/>
              <w:spacing w:before="0" w:beforeAutospacing="0" w:after="0" w:afterAutospacing="0"/>
              <w:ind w:left="0" w:right="0"/>
              <w:rPr>
                <w:rFonts w:hint="default"/>
                <w:color w:val="auto"/>
                <w:highlight w:val="none"/>
              </w:rPr>
            </w:pPr>
          </w:p>
          <w:p w14:paraId="7A2C7FE9">
            <w:pPr>
              <w:pStyle w:val="36"/>
              <w:keepNext w:val="0"/>
              <w:keepLines w:val="0"/>
              <w:suppressLineNumbers w:val="0"/>
              <w:bidi w:val="0"/>
              <w:spacing w:before="0" w:beforeAutospacing="0" w:after="0" w:afterAutospacing="0"/>
              <w:ind w:left="0" w:right="0"/>
              <w:rPr>
                <w:rFonts w:hint="default"/>
                <w:color w:val="auto"/>
                <w:highlight w:val="none"/>
              </w:rPr>
            </w:pPr>
          </w:p>
          <w:p w14:paraId="6D31EAF5">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157" w:beforeLines="50" w:beforeAutospacing="0" w:after="0" w:afterAutospacing="0"/>
              <w:ind w:right="0"/>
              <w:textAlignment w:val="auto"/>
              <w:rPr>
                <w:rFonts w:hint="default" w:ascii="Times New Roman" w:hAnsi="Times New Roman" w:eastAsia="宋体" w:cs="Times New Roman"/>
                <w:color w:val="auto"/>
                <w:highlight w:val="none"/>
                <w:lang w:val="en-US" w:eastAsia="zh-CN"/>
              </w:rPr>
            </w:pPr>
            <w:bookmarkStart w:id="92" w:name="_Ref3126"/>
            <w:r>
              <w:rPr>
                <w:rFonts w:hint="default" w:ascii="Times New Roman" w:hAnsi="Times New Roman" w:eastAsia="宋体" w:cs="Times New Roman"/>
                <w:color w:val="auto"/>
                <w:highlight w:val="none"/>
                <w:lang w:val="en-US" w:eastAsia="zh-CN"/>
              </w:rPr>
              <w:t>污染源监测计划</w:t>
            </w:r>
            <w:bookmarkEnd w:id="92"/>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047"/>
              <w:gridCol w:w="1155"/>
              <w:gridCol w:w="1980"/>
              <w:gridCol w:w="3004"/>
              <w:gridCol w:w="946"/>
            </w:tblGrid>
            <w:tr w14:paraId="44785BE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4" w:hRule="atLeast"/>
              </w:trPr>
              <w:tc>
                <w:tcPr>
                  <w:tcW w:w="643" w:type="pct"/>
                  <w:tcBorders>
                    <w:tl2br w:val="nil"/>
                    <w:tr2bl w:val="nil"/>
                  </w:tcBorders>
                  <w:vAlign w:val="center"/>
                </w:tcPr>
                <w:p w14:paraId="75A6BE04">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对象</w:t>
                  </w:r>
                </w:p>
              </w:tc>
              <w:tc>
                <w:tcPr>
                  <w:tcW w:w="710" w:type="pct"/>
                  <w:tcBorders>
                    <w:tl2br w:val="nil"/>
                    <w:tr2bl w:val="nil"/>
                  </w:tcBorders>
                  <w:tcMar>
                    <w:left w:w="6" w:type="dxa"/>
                    <w:right w:w="6" w:type="dxa"/>
                  </w:tcMar>
                  <w:vAlign w:val="center"/>
                </w:tcPr>
                <w:p w14:paraId="500E947B">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监测点位</w:t>
                  </w:r>
                </w:p>
              </w:tc>
              <w:tc>
                <w:tcPr>
                  <w:tcW w:w="1217" w:type="pct"/>
                  <w:tcBorders>
                    <w:tl2br w:val="nil"/>
                    <w:tr2bl w:val="nil"/>
                  </w:tcBorders>
                  <w:tcMar>
                    <w:left w:w="6" w:type="dxa"/>
                    <w:right w:w="6" w:type="dxa"/>
                  </w:tcMar>
                  <w:vAlign w:val="center"/>
                </w:tcPr>
                <w:p w14:paraId="7822CBC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监测项目</w:t>
                  </w:r>
                </w:p>
              </w:tc>
              <w:tc>
                <w:tcPr>
                  <w:tcW w:w="1847" w:type="pct"/>
                  <w:tcBorders>
                    <w:tl2br w:val="nil"/>
                    <w:tr2bl w:val="nil"/>
                  </w:tcBorders>
                  <w:tcMar>
                    <w:left w:w="6" w:type="dxa"/>
                    <w:right w:w="6" w:type="dxa"/>
                  </w:tcMar>
                  <w:vAlign w:val="center"/>
                </w:tcPr>
                <w:p w14:paraId="624FDB7B">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执行标准</w:t>
                  </w:r>
                </w:p>
              </w:tc>
              <w:tc>
                <w:tcPr>
                  <w:tcW w:w="581" w:type="pct"/>
                  <w:tcBorders>
                    <w:tl2br w:val="nil"/>
                    <w:tr2bl w:val="nil"/>
                  </w:tcBorders>
                  <w:tcMar>
                    <w:left w:w="6" w:type="dxa"/>
                    <w:right w:w="6" w:type="dxa"/>
                  </w:tcMar>
                  <w:vAlign w:val="center"/>
                </w:tcPr>
                <w:p w14:paraId="15DC1279">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监测频次</w:t>
                  </w:r>
                </w:p>
              </w:tc>
            </w:tr>
            <w:tr w14:paraId="563AEF3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19" w:hRule="atLeast"/>
              </w:trPr>
              <w:tc>
                <w:tcPr>
                  <w:tcW w:w="643" w:type="pct"/>
                  <w:vMerge w:val="restart"/>
                  <w:tcBorders>
                    <w:tl2br w:val="nil"/>
                    <w:tr2bl w:val="nil"/>
                  </w:tcBorders>
                  <w:vAlign w:val="center"/>
                </w:tcPr>
                <w:p w14:paraId="0E8337FF">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有组织废气</w:t>
                  </w:r>
                </w:p>
              </w:tc>
              <w:tc>
                <w:tcPr>
                  <w:tcW w:w="710" w:type="pct"/>
                  <w:tcBorders>
                    <w:bottom w:val="single" w:color="auto" w:sz="4" w:space="0"/>
                    <w:tl2br w:val="nil"/>
                    <w:tr2bl w:val="nil"/>
                  </w:tcBorders>
                  <w:tcMar>
                    <w:left w:w="6" w:type="dxa"/>
                    <w:right w:w="6" w:type="dxa"/>
                  </w:tcMar>
                  <w:vAlign w:val="center"/>
                </w:tcPr>
                <w:p w14:paraId="6E28BE41">
                  <w:pPr>
                    <w:pStyle w:val="37"/>
                    <w:keepNext w:val="0"/>
                    <w:keepLines w:val="0"/>
                    <w:widowControl/>
                    <w:suppressLineNumbers w:val="0"/>
                    <w:tabs>
                      <w:tab w:val="left" w:pos="0"/>
                    </w:tabs>
                    <w:spacing w:before="0" w:beforeAutospacing="0" w:after="0" w:afterAutospacing="0"/>
                    <w:ind w:right="0"/>
                    <w:rPr>
                      <w:rFonts w:hint="eastAsia" w:ascii="Times New Roman" w:hAnsi="Times New Roman" w:eastAsia="宋体" w:cs="Times New Roman"/>
                      <w:color w:val="auto"/>
                      <w:szCs w:val="20"/>
                      <w:highlight w:val="none"/>
                      <w:lang w:eastAsia="zh-CN"/>
                    </w:rPr>
                  </w:pPr>
                  <w:r>
                    <w:rPr>
                      <w:rFonts w:hint="default" w:ascii="Times New Roman" w:hAnsi="Times New Roman" w:cs="Times New Roman"/>
                      <w:color w:val="auto"/>
                      <w:szCs w:val="20"/>
                      <w:highlight w:val="none"/>
                    </w:rPr>
                    <w:t>DA001</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DA00</w:t>
                  </w:r>
                  <w:r>
                    <w:rPr>
                      <w:rFonts w:hint="eastAsia" w:cs="Times New Roman"/>
                      <w:color w:val="auto"/>
                      <w:szCs w:val="20"/>
                      <w:highlight w:val="none"/>
                      <w:lang w:val="en-US" w:eastAsia="zh-CN"/>
                    </w:rPr>
                    <w:t>2</w:t>
                  </w:r>
                </w:p>
              </w:tc>
              <w:tc>
                <w:tcPr>
                  <w:tcW w:w="1217" w:type="pct"/>
                  <w:tcBorders>
                    <w:bottom w:val="single" w:color="auto" w:sz="4" w:space="0"/>
                    <w:tl2br w:val="nil"/>
                    <w:tr2bl w:val="nil"/>
                  </w:tcBorders>
                  <w:tcMar>
                    <w:left w:w="6" w:type="dxa"/>
                    <w:right w:w="6" w:type="dxa"/>
                  </w:tcMar>
                  <w:vAlign w:val="center"/>
                </w:tcPr>
                <w:p w14:paraId="08972FBD">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left="63" w:leftChars="30" w:right="63" w:rightChars="3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氯化氢</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硫酸雾</w:t>
                  </w:r>
                </w:p>
              </w:tc>
              <w:tc>
                <w:tcPr>
                  <w:tcW w:w="1847" w:type="pct"/>
                  <w:tcBorders>
                    <w:tl2br w:val="nil"/>
                    <w:tr2bl w:val="nil"/>
                  </w:tcBorders>
                  <w:tcMar>
                    <w:left w:w="6" w:type="dxa"/>
                    <w:right w:w="6" w:type="dxa"/>
                  </w:tcMar>
                  <w:vAlign w:val="center"/>
                </w:tcPr>
                <w:p w14:paraId="6BBBA5A1">
                  <w:pPr>
                    <w:pStyle w:val="37"/>
                    <w:keepNext w:val="0"/>
                    <w:keepLines w:val="0"/>
                    <w:widowControl/>
                    <w:suppressLineNumbers w:val="0"/>
                    <w:tabs>
                      <w:tab w:val="left" w:pos="0"/>
                    </w:tabs>
                    <w:spacing w:before="0" w:beforeAutospacing="0" w:after="0" w:afterAutospacing="0"/>
                    <w:ind w:right="0"/>
                    <w:rPr>
                      <w:rFonts w:hint="default" w:ascii="Times New Roman" w:hAnsi="Times New Roman" w:eastAsia="宋体"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《大气污染物综合排放标准》</w:t>
                  </w:r>
                  <w:r>
                    <w:rPr>
                      <w:rFonts w:hint="default" w:ascii="Times New Roman" w:hAnsi="Times New Roman" w:cs="Times New Roman"/>
                      <w:color w:val="auto"/>
                      <w:szCs w:val="20"/>
                      <w:highlight w:val="none"/>
                      <w:lang w:val="en-US" w:eastAsia="zh-CN"/>
                    </w:rPr>
                    <w:t>（</w:t>
                  </w:r>
                  <w:r>
                    <w:rPr>
                      <w:rFonts w:hint="default" w:ascii="Times New Roman" w:hAnsi="Times New Roman" w:eastAsia="宋体" w:cs="Times New Roman"/>
                      <w:color w:val="auto"/>
                      <w:szCs w:val="20"/>
                      <w:highlight w:val="none"/>
                      <w:lang w:val="en-US" w:eastAsia="zh-CN"/>
                    </w:rPr>
                    <w:t>GB16297-1996</w:t>
                  </w:r>
                  <w:r>
                    <w:rPr>
                      <w:rFonts w:hint="default" w:ascii="Times New Roman" w:hAnsi="Times New Roman" w:cs="Times New Roman"/>
                      <w:color w:val="auto"/>
                      <w:szCs w:val="20"/>
                      <w:highlight w:val="none"/>
                      <w:lang w:val="en-US" w:eastAsia="zh-CN"/>
                    </w:rPr>
                    <w:t>）</w:t>
                  </w:r>
                </w:p>
              </w:tc>
              <w:tc>
                <w:tcPr>
                  <w:tcW w:w="581" w:type="pct"/>
                  <w:vMerge w:val="restart"/>
                  <w:tcBorders>
                    <w:tl2br w:val="nil"/>
                    <w:tr2bl w:val="nil"/>
                  </w:tcBorders>
                  <w:tcMar>
                    <w:left w:w="6" w:type="dxa"/>
                    <w:right w:w="6" w:type="dxa"/>
                  </w:tcMar>
                  <w:vAlign w:val="center"/>
                </w:tcPr>
                <w:p w14:paraId="4278B924">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1次/年</w:t>
                  </w:r>
                </w:p>
              </w:tc>
            </w:tr>
            <w:tr w14:paraId="2439F9A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5" w:hRule="atLeast"/>
              </w:trPr>
              <w:tc>
                <w:tcPr>
                  <w:tcW w:w="643" w:type="pct"/>
                  <w:vMerge w:val="continue"/>
                  <w:tcBorders>
                    <w:tl2br w:val="nil"/>
                    <w:tr2bl w:val="nil"/>
                  </w:tcBorders>
                  <w:vAlign w:val="center"/>
                </w:tcPr>
                <w:p w14:paraId="0901CC9D">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c>
                <w:tcPr>
                  <w:tcW w:w="710" w:type="pct"/>
                  <w:vMerge w:val="restart"/>
                  <w:tcBorders>
                    <w:tl2br w:val="nil"/>
                    <w:tr2bl w:val="nil"/>
                  </w:tcBorders>
                  <w:tcMar>
                    <w:left w:w="6" w:type="dxa"/>
                    <w:right w:w="6" w:type="dxa"/>
                  </w:tcMar>
                  <w:vAlign w:val="center"/>
                </w:tcPr>
                <w:p w14:paraId="1ED60CD0">
                  <w:pPr>
                    <w:pStyle w:val="37"/>
                    <w:keepNext w:val="0"/>
                    <w:keepLines w:val="0"/>
                    <w:widowControl/>
                    <w:suppressLineNumbers w:val="0"/>
                    <w:tabs>
                      <w:tab w:val="left" w:pos="0"/>
                    </w:tabs>
                    <w:spacing w:before="0" w:beforeAutospacing="0" w:after="0" w:afterAutospacing="0"/>
                    <w:ind w:right="0"/>
                    <w:rPr>
                      <w:rFonts w:hint="eastAsia" w:ascii="Times New Roman" w:hAnsi="Times New Roman" w:eastAsia="宋体" w:cs="Times New Roman"/>
                      <w:color w:val="auto"/>
                      <w:szCs w:val="20"/>
                      <w:highlight w:val="none"/>
                      <w:lang w:eastAsia="zh-CN"/>
                    </w:rPr>
                  </w:pPr>
                  <w:r>
                    <w:rPr>
                      <w:rFonts w:hint="default" w:ascii="Times New Roman" w:hAnsi="Times New Roman" w:cs="Times New Roman"/>
                      <w:color w:val="auto"/>
                      <w:szCs w:val="20"/>
                      <w:highlight w:val="none"/>
                    </w:rPr>
                    <w:t>DA00</w:t>
                  </w:r>
                  <w:r>
                    <w:rPr>
                      <w:rFonts w:hint="eastAsia" w:cs="Times New Roman"/>
                      <w:color w:val="auto"/>
                      <w:szCs w:val="20"/>
                      <w:highlight w:val="none"/>
                      <w:lang w:val="en-US" w:eastAsia="zh-CN"/>
                    </w:rPr>
                    <w:t>3</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DA00</w:t>
                  </w:r>
                  <w:r>
                    <w:rPr>
                      <w:rFonts w:hint="eastAsia" w:cs="Times New Roman"/>
                      <w:color w:val="auto"/>
                      <w:szCs w:val="20"/>
                      <w:highlight w:val="none"/>
                      <w:lang w:val="en-US" w:eastAsia="zh-CN"/>
                    </w:rPr>
                    <w:t>4</w:t>
                  </w:r>
                </w:p>
              </w:tc>
              <w:tc>
                <w:tcPr>
                  <w:tcW w:w="1217" w:type="pct"/>
                  <w:tcBorders>
                    <w:bottom w:val="single" w:color="auto" w:sz="4" w:space="0"/>
                    <w:tl2br w:val="nil"/>
                    <w:tr2bl w:val="nil"/>
                  </w:tcBorders>
                  <w:tcMar>
                    <w:left w:w="6" w:type="dxa"/>
                    <w:right w:w="6" w:type="dxa"/>
                  </w:tcMar>
                  <w:vAlign w:val="center"/>
                </w:tcPr>
                <w:p w14:paraId="7BB034C1">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left="63" w:leftChars="30" w:right="63" w:rightChars="3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非甲烷总烃</w:t>
                  </w:r>
                </w:p>
              </w:tc>
              <w:tc>
                <w:tcPr>
                  <w:tcW w:w="1847" w:type="pct"/>
                  <w:tcBorders>
                    <w:tl2br w:val="nil"/>
                    <w:tr2bl w:val="nil"/>
                  </w:tcBorders>
                  <w:tcMar>
                    <w:left w:w="6" w:type="dxa"/>
                    <w:right w:w="6" w:type="dxa"/>
                  </w:tcMar>
                  <w:vAlign w:val="center"/>
                </w:tcPr>
                <w:p w14:paraId="496831B7">
                  <w:pPr>
                    <w:pStyle w:val="37"/>
                    <w:keepNext w:val="0"/>
                    <w:keepLines w:val="0"/>
                    <w:widowControl/>
                    <w:suppressLineNumbers w:val="0"/>
                    <w:tabs>
                      <w:tab w:val="left" w:pos="0"/>
                    </w:tabs>
                    <w:spacing w:before="0" w:beforeAutospacing="0" w:after="0" w:afterAutospacing="0"/>
                    <w:ind w:right="0"/>
                    <w:rPr>
                      <w:rFonts w:hint="default" w:ascii="Times New Roman" w:hAnsi="Times New Roman" w:eastAsia="宋体" w:cs="Times New Roman"/>
                      <w:color w:val="auto"/>
                      <w:szCs w:val="20"/>
                      <w:highlight w:val="none"/>
                      <w:lang w:val="en-US" w:eastAsia="zh-CN"/>
                    </w:rPr>
                  </w:pPr>
                  <w:r>
                    <w:rPr>
                      <w:rFonts w:hint="eastAsia"/>
                      <w:bCs/>
                      <w:color w:val="auto"/>
                      <w:szCs w:val="21"/>
                    </w:rPr>
                    <w:t>《工业企业挥发性有机物排放标准》</w:t>
                  </w:r>
                  <w:r>
                    <w:rPr>
                      <w:rFonts w:hint="eastAsia"/>
                      <w:bCs/>
                      <w:color w:val="auto"/>
                      <w:szCs w:val="21"/>
                      <w:lang w:eastAsia="zh-CN"/>
                    </w:rPr>
                    <w:t>（</w:t>
                  </w:r>
                  <w:r>
                    <w:rPr>
                      <w:rFonts w:hint="eastAsia"/>
                      <w:bCs/>
                      <w:color w:val="auto"/>
                      <w:szCs w:val="21"/>
                    </w:rPr>
                    <w:t>DB35/ 1782-2018</w:t>
                  </w:r>
                  <w:r>
                    <w:rPr>
                      <w:rFonts w:hint="eastAsia"/>
                      <w:bCs/>
                      <w:color w:val="auto"/>
                      <w:szCs w:val="21"/>
                      <w:lang w:eastAsia="zh-CN"/>
                    </w:rPr>
                    <w:t>）</w:t>
                  </w:r>
                </w:p>
              </w:tc>
              <w:tc>
                <w:tcPr>
                  <w:tcW w:w="581" w:type="pct"/>
                  <w:vMerge w:val="continue"/>
                  <w:tcBorders>
                    <w:tl2br w:val="nil"/>
                    <w:tr2bl w:val="nil"/>
                  </w:tcBorders>
                  <w:tcMar>
                    <w:left w:w="6" w:type="dxa"/>
                    <w:right w:w="6" w:type="dxa"/>
                  </w:tcMar>
                  <w:vAlign w:val="center"/>
                </w:tcPr>
                <w:p w14:paraId="5901F583">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r>
            <w:tr w14:paraId="0C2C7C5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8" w:hRule="atLeast"/>
              </w:trPr>
              <w:tc>
                <w:tcPr>
                  <w:tcW w:w="643" w:type="pct"/>
                  <w:vMerge w:val="continue"/>
                  <w:tcBorders>
                    <w:tl2br w:val="nil"/>
                    <w:tr2bl w:val="nil"/>
                  </w:tcBorders>
                  <w:vAlign w:val="center"/>
                </w:tcPr>
                <w:p w14:paraId="354394FC">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c>
                <w:tcPr>
                  <w:tcW w:w="710" w:type="pct"/>
                  <w:vMerge w:val="continue"/>
                  <w:tcBorders>
                    <w:tl2br w:val="nil"/>
                    <w:tr2bl w:val="nil"/>
                  </w:tcBorders>
                  <w:tcMar>
                    <w:left w:w="6" w:type="dxa"/>
                    <w:right w:w="6" w:type="dxa"/>
                  </w:tcMar>
                  <w:vAlign w:val="center"/>
                </w:tcPr>
                <w:p w14:paraId="3AFA101D">
                  <w:pPr>
                    <w:pStyle w:val="37"/>
                    <w:keepNext w:val="0"/>
                    <w:keepLines w:val="0"/>
                    <w:widowControl/>
                    <w:suppressLineNumbers w:val="0"/>
                    <w:tabs>
                      <w:tab w:val="left" w:pos="0"/>
                    </w:tabs>
                    <w:spacing w:before="0" w:beforeAutospacing="0" w:after="0" w:afterAutospacing="0"/>
                    <w:ind w:right="0"/>
                    <w:rPr>
                      <w:rFonts w:hint="eastAsia" w:ascii="Times New Roman" w:hAnsi="Times New Roman" w:eastAsia="宋体" w:cs="Times New Roman"/>
                      <w:color w:val="auto"/>
                      <w:szCs w:val="20"/>
                      <w:highlight w:val="none"/>
                      <w:lang w:eastAsia="zh-CN"/>
                    </w:rPr>
                  </w:pPr>
                </w:p>
              </w:tc>
              <w:tc>
                <w:tcPr>
                  <w:tcW w:w="1217" w:type="pct"/>
                  <w:tcBorders>
                    <w:top w:val="single" w:color="auto" w:sz="4" w:space="0"/>
                    <w:tl2br w:val="nil"/>
                    <w:tr2bl w:val="nil"/>
                  </w:tcBorders>
                  <w:tcMar>
                    <w:left w:w="6" w:type="dxa"/>
                    <w:right w:w="6" w:type="dxa"/>
                  </w:tcMar>
                  <w:vAlign w:val="center"/>
                </w:tcPr>
                <w:p w14:paraId="3949428B">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right="63" w:rightChars="30"/>
                    <w:jc w:val="center"/>
                    <w:textAlignment w:val="auto"/>
                    <w:rPr>
                      <w:rFonts w:hint="default"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氨、</w:t>
                  </w:r>
                  <w:r>
                    <w:rPr>
                      <w:rFonts w:hint="eastAsia" w:cs="Times New Roman"/>
                      <w:color w:val="auto"/>
                      <w:szCs w:val="20"/>
                      <w:highlight w:val="none"/>
                      <w:shd w:val="clear" w:fill="FFFFFF"/>
                      <w:lang w:val="en-US" w:eastAsia="zh-CN"/>
                    </w:rPr>
                    <w:t>臭气浓度</w:t>
                  </w:r>
                </w:p>
              </w:tc>
              <w:tc>
                <w:tcPr>
                  <w:tcW w:w="1847" w:type="pct"/>
                  <w:tcBorders>
                    <w:tl2br w:val="nil"/>
                    <w:tr2bl w:val="nil"/>
                  </w:tcBorders>
                  <w:tcMar>
                    <w:left w:w="6" w:type="dxa"/>
                    <w:right w:w="6" w:type="dxa"/>
                  </w:tcMar>
                  <w:vAlign w:val="center"/>
                </w:tcPr>
                <w:p w14:paraId="5799BD8F">
                  <w:pPr>
                    <w:pStyle w:val="37"/>
                    <w:keepNext w:val="0"/>
                    <w:keepLines w:val="0"/>
                    <w:widowControl/>
                    <w:suppressLineNumbers w:val="0"/>
                    <w:tabs>
                      <w:tab w:val="left" w:pos="0"/>
                    </w:tabs>
                    <w:spacing w:before="0" w:beforeAutospacing="0" w:after="0" w:afterAutospacing="0"/>
                    <w:ind w:right="0"/>
                    <w:rPr>
                      <w:rFonts w:hint="default" w:ascii="Times New Roman" w:hAnsi="Times New Roman" w:eastAsia="宋体" w:cs="Times New Roman"/>
                      <w:color w:val="auto"/>
                      <w:szCs w:val="20"/>
                      <w:highlight w:val="none"/>
                      <w:lang w:val="en-US" w:eastAsia="zh-CN"/>
                    </w:rPr>
                  </w:pPr>
                  <w:r>
                    <w:rPr>
                      <w:rFonts w:hint="eastAsia"/>
                      <w:color w:val="auto"/>
                      <w:szCs w:val="20"/>
                      <w:highlight w:val="none"/>
                      <w:lang w:val="en-US" w:eastAsia="zh-CN"/>
                    </w:rPr>
                    <w:t>《恶臭污染物排放标准》（</w:t>
                  </w:r>
                  <w:r>
                    <w:rPr>
                      <w:rFonts w:hint="default"/>
                      <w:color w:val="auto"/>
                      <w:szCs w:val="20"/>
                      <w:highlight w:val="none"/>
                      <w:lang w:val="en-US" w:eastAsia="zh-CN"/>
                    </w:rPr>
                    <w:t>GB14554-93</w:t>
                  </w:r>
                  <w:r>
                    <w:rPr>
                      <w:rFonts w:hint="eastAsia"/>
                      <w:color w:val="auto"/>
                      <w:szCs w:val="20"/>
                      <w:highlight w:val="none"/>
                      <w:lang w:val="en-US" w:eastAsia="zh-CN"/>
                    </w:rPr>
                    <w:t>）</w:t>
                  </w:r>
                </w:p>
              </w:tc>
              <w:tc>
                <w:tcPr>
                  <w:tcW w:w="581" w:type="pct"/>
                  <w:vMerge w:val="continue"/>
                  <w:tcBorders>
                    <w:tl2br w:val="nil"/>
                    <w:tr2bl w:val="nil"/>
                  </w:tcBorders>
                  <w:tcMar>
                    <w:left w:w="6" w:type="dxa"/>
                    <w:right w:w="6" w:type="dxa"/>
                  </w:tcMar>
                  <w:vAlign w:val="center"/>
                </w:tcPr>
                <w:p w14:paraId="483B25C8">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r>
            <w:tr w14:paraId="62B629DA">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66" w:hRule="atLeast"/>
              </w:trPr>
              <w:tc>
                <w:tcPr>
                  <w:tcW w:w="643" w:type="pct"/>
                  <w:vMerge w:val="restart"/>
                  <w:tcBorders>
                    <w:tl2br w:val="nil"/>
                    <w:tr2bl w:val="nil"/>
                  </w:tcBorders>
                  <w:vAlign w:val="center"/>
                </w:tcPr>
                <w:p w14:paraId="6DE114A2">
                  <w:pPr>
                    <w:pStyle w:val="37"/>
                    <w:keepNext w:val="0"/>
                    <w:keepLines w:val="0"/>
                    <w:widowControl/>
                    <w:suppressLineNumbers w:val="0"/>
                    <w:tabs>
                      <w:tab w:val="left" w:pos="0"/>
                    </w:tabs>
                    <w:spacing w:before="0" w:beforeAutospacing="0" w:after="0" w:afterAutospacing="0"/>
                    <w:ind w:right="0"/>
                    <w:rPr>
                      <w:rFonts w:hint="default"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无组织废气</w:t>
                  </w:r>
                </w:p>
              </w:tc>
              <w:tc>
                <w:tcPr>
                  <w:tcW w:w="710" w:type="pct"/>
                  <w:vMerge w:val="restart"/>
                  <w:tcBorders>
                    <w:tl2br w:val="nil"/>
                    <w:tr2bl w:val="nil"/>
                  </w:tcBorders>
                  <w:tcMar>
                    <w:left w:w="6" w:type="dxa"/>
                    <w:right w:w="6" w:type="dxa"/>
                  </w:tcMar>
                  <w:vAlign w:val="center"/>
                </w:tcPr>
                <w:p w14:paraId="1A9A7949">
                  <w:pPr>
                    <w:pStyle w:val="37"/>
                    <w:keepNext w:val="0"/>
                    <w:keepLines w:val="0"/>
                    <w:widowControl/>
                    <w:suppressLineNumbers w:val="0"/>
                    <w:tabs>
                      <w:tab w:val="left" w:pos="0"/>
                    </w:tabs>
                    <w:spacing w:before="0" w:beforeAutospacing="0" w:after="0" w:afterAutospacing="0"/>
                    <w:ind w:right="0"/>
                    <w:rPr>
                      <w:rFonts w:hint="eastAsia"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厂界</w:t>
                  </w:r>
                </w:p>
              </w:tc>
              <w:tc>
                <w:tcPr>
                  <w:tcW w:w="1217" w:type="pct"/>
                  <w:tcBorders>
                    <w:tl2br w:val="nil"/>
                    <w:tr2bl w:val="nil"/>
                  </w:tcBorders>
                  <w:tcMar>
                    <w:left w:w="6" w:type="dxa"/>
                    <w:right w:w="6" w:type="dxa"/>
                  </w:tcMar>
                  <w:vAlign w:val="center"/>
                </w:tcPr>
                <w:p w14:paraId="5A6CA4D0">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left="63" w:leftChars="30" w:right="63" w:rightChars="30"/>
                    <w:textAlignment w:val="auto"/>
                    <w:rPr>
                      <w:rFonts w:hint="default" w:ascii="Times New Roman" w:hAnsi="Times New Roman" w:cs="Times New Roman"/>
                      <w:color w:val="auto"/>
                      <w:szCs w:val="20"/>
                      <w:highlight w:val="none"/>
                      <w:lang w:val="en-US" w:eastAsia="zh-CN"/>
                    </w:rPr>
                  </w:pPr>
                  <w:r>
                    <w:rPr>
                      <w:rFonts w:hint="default" w:ascii="Times New Roman" w:hAnsi="Times New Roman" w:eastAsia="宋体" w:cs="Times New Roman"/>
                      <w:color w:val="auto"/>
                      <w:szCs w:val="20"/>
                      <w:highlight w:val="none"/>
                      <w:lang w:val="en-US" w:eastAsia="zh-CN"/>
                    </w:rPr>
                    <w:t>氯化氢</w:t>
                  </w:r>
                  <w:r>
                    <w:rPr>
                      <w:rFonts w:hint="eastAsia" w:cs="Times New Roman"/>
                      <w:color w:val="auto"/>
                      <w:szCs w:val="20"/>
                      <w:highlight w:val="none"/>
                      <w:lang w:val="en-US" w:eastAsia="zh-CN"/>
                    </w:rPr>
                    <w:t>、</w:t>
                  </w:r>
                  <w:r>
                    <w:rPr>
                      <w:rFonts w:hint="default" w:ascii="Times New Roman" w:hAnsi="Times New Roman" w:cs="Times New Roman"/>
                      <w:color w:val="auto"/>
                      <w:szCs w:val="20"/>
                      <w:highlight w:val="none"/>
                      <w:lang w:val="en-US" w:eastAsia="zh-CN"/>
                    </w:rPr>
                    <w:t>硫酸雾</w:t>
                  </w:r>
                </w:p>
              </w:tc>
              <w:tc>
                <w:tcPr>
                  <w:tcW w:w="1847" w:type="pct"/>
                  <w:tcBorders>
                    <w:tl2br w:val="nil"/>
                    <w:tr2bl w:val="nil"/>
                  </w:tcBorders>
                  <w:tcMar>
                    <w:left w:w="6" w:type="dxa"/>
                    <w:right w:w="6" w:type="dxa"/>
                  </w:tcMar>
                  <w:vAlign w:val="center"/>
                </w:tcPr>
                <w:p w14:paraId="1BAE8F02">
                  <w:pPr>
                    <w:pStyle w:val="37"/>
                    <w:keepNext w:val="0"/>
                    <w:keepLines w:val="0"/>
                    <w:widowControl/>
                    <w:suppressLineNumbers w:val="0"/>
                    <w:tabs>
                      <w:tab w:val="left" w:pos="0"/>
                    </w:tabs>
                    <w:spacing w:before="0" w:beforeAutospacing="0" w:after="0" w:afterAutospacing="0"/>
                    <w:ind w:left="0" w:leftChars="0" w:right="0" w:rightChars="0" w:firstLine="0" w:firstLineChars="0"/>
                    <w:rPr>
                      <w:rFonts w:hint="default" w:ascii="Times New Roman" w:hAnsi="Times New Roman" w:cs="Times New Roman"/>
                      <w:color w:val="auto"/>
                      <w:szCs w:val="20"/>
                      <w:highlight w:val="none"/>
                      <w:lang w:val="en-US"/>
                    </w:rPr>
                  </w:pPr>
                  <w:r>
                    <w:rPr>
                      <w:rFonts w:hint="default" w:ascii="Times New Roman" w:hAnsi="Times New Roman" w:eastAsia="宋体" w:cs="Times New Roman"/>
                      <w:color w:val="auto"/>
                      <w:szCs w:val="20"/>
                      <w:highlight w:val="none"/>
                      <w:lang w:val="en-US" w:eastAsia="zh-CN"/>
                    </w:rPr>
                    <w:t>《大气污染物综合排放标准》</w:t>
                  </w:r>
                  <w:r>
                    <w:rPr>
                      <w:rFonts w:hint="default" w:ascii="Times New Roman" w:hAnsi="Times New Roman" w:cs="Times New Roman"/>
                      <w:color w:val="auto"/>
                      <w:szCs w:val="20"/>
                      <w:highlight w:val="none"/>
                      <w:lang w:val="en-US" w:eastAsia="zh-CN"/>
                    </w:rPr>
                    <w:t>（</w:t>
                  </w:r>
                  <w:r>
                    <w:rPr>
                      <w:rFonts w:hint="default" w:ascii="Times New Roman" w:hAnsi="Times New Roman" w:eastAsia="宋体" w:cs="Times New Roman"/>
                      <w:color w:val="auto"/>
                      <w:szCs w:val="20"/>
                      <w:highlight w:val="none"/>
                      <w:lang w:val="en-US" w:eastAsia="zh-CN"/>
                    </w:rPr>
                    <w:t>GB16297-1996</w:t>
                  </w:r>
                  <w:r>
                    <w:rPr>
                      <w:rFonts w:hint="default" w:ascii="Times New Roman" w:hAnsi="Times New Roman" w:cs="Times New Roman"/>
                      <w:color w:val="auto"/>
                      <w:szCs w:val="20"/>
                      <w:highlight w:val="none"/>
                      <w:lang w:val="en-US" w:eastAsia="zh-CN"/>
                    </w:rPr>
                    <w:t>）</w:t>
                  </w:r>
                </w:p>
              </w:tc>
              <w:tc>
                <w:tcPr>
                  <w:tcW w:w="581" w:type="pct"/>
                  <w:vMerge w:val="continue"/>
                  <w:tcBorders>
                    <w:tl2br w:val="nil"/>
                    <w:tr2bl w:val="nil"/>
                  </w:tcBorders>
                  <w:tcMar>
                    <w:left w:w="6" w:type="dxa"/>
                    <w:right w:w="6" w:type="dxa"/>
                  </w:tcMar>
                  <w:vAlign w:val="center"/>
                </w:tcPr>
                <w:p w14:paraId="6A49991E">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r>
            <w:tr w14:paraId="33FE3E3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629" w:hRule="atLeast"/>
              </w:trPr>
              <w:tc>
                <w:tcPr>
                  <w:tcW w:w="643" w:type="pct"/>
                  <w:vMerge w:val="continue"/>
                  <w:tcBorders>
                    <w:tl2br w:val="nil"/>
                    <w:tr2bl w:val="nil"/>
                  </w:tcBorders>
                  <w:vAlign w:val="center"/>
                </w:tcPr>
                <w:p w14:paraId="2DA9C0F3">
                  <w:pPr>
                    <w:pStyle w:val="37"/>
                    <w:keepNext w:val="0"/>
                    <w:keepLines w:val="0"/>
                    <w:widowControl/>
                    <w:suppressLineNumbers w:val="0"/>
                    <w:tabs>
                      <w:tab w:val="left" w:pos="0"/>
                    </w:tabs>
                    <w:spacing w:before="0" w:beforeAutospacing="0" w:after="0" w:afterAutospacing="0"/>
                    <w:ind w:right="0"/>
                    <w:rPr>
                      <w:rFonts w:hint="eastAsia" w:cs="Times New Roman"/>
                      <w:color w:val="auto"/>
                      <w:szCs w:val="20"/>
                      <w:highlight w:val="none"/>
                      <w:lang w:val="en-US" w:eastAsia="zh-CN"/>
                    </w:rPr>
                  </w:pPr>
                </w:p>
              </w:tc>
              <w:tc>
                <w:tcPr>
                  <w:tcW w:w="710" w:type="pct"/>
                  <w:vMerge w:val="continue"/>
                  <w:tcBorders>
                    <w:tl2br w:val="nil"/>
                    <w:tr2bl w:val="nil"/>
                  </w:tcBorders>
                  <w:tcMar>
                    <w:left w:w="6" w:type="dxa"/>
                    <w:right w:w="6" w:type="dxa"/>
                  </w:tcMar>
                  <w:vAlign w:val="center"/>
                </w:tcPr>
                <w:p w14:paraId="6F9DD15A">
                  <w:pPr>
                    <w:pStyle w:val="37"/>
                    <w:keepNext w:val="0"/>
                    <w:keepLines w:val="0"/>
                    <w:widowControl/>
                    <w:suppressLineNumbers w:val="0"/>
                    <w:tabs>
                      <w:tab w:val="left" w:pos="0"/>
                    </w:tabs>
                    <w:spacing w:before="0" w:beforeAutospacing="0" w:after="0" w:afterAutospacing="0"/>
                    <w:ind w:right="0"/>
                    <w:rPr>
                      <w:rFonts w:hint="eastAsia" w:cs="Times New Roman"/>
                      <w:color w:val="auto"/>
                      <w:szCs w:val="20"/>
                      <w:highlight w:val="none"/>
                      <w:lang w:val="en-US" w:eastAsia="zh-CN"/>
                    </w:rPr>
                  </w:pPr>
                </w:p>
              </w:tc>
              <w:tc>
                <w:tcPr>
                  <w:tcW w:w="1217" w:type="pct"/>
                  <w:tcBorders>
                    <w:tl2br w:val="nil"/>
                    <w:tr2bl w:val="nil"/>
                  </w:tcBorders>
                  <w:tcMar>
                    <w:left w:w="6" w:type="dxa"/>
                    <w:right w:w="6" w:type="dxa"/>
                  </w:tcMar>
                  <w:vAlign w:val="center"/>
                </w:tcPr>
                <w:p w14:paraId="4BDDF5AC">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left="63" w:leftChars="30" w:right="63" w:rightChars="30"/>
                    <w:textAlignment w:val="auto"/>
                    <w:rPr>
                      <w:rFonts w:hint="default" w:ascii="Times New Roman" w:hAnsi="Times New Roman" w:eastAsia="宋体" w:cs="Times New Roman"/>
                      <w:color w:val="auto"/>
                      <w:szCs w:val="20"/>
                      <w:highlight w:val="none"/>
                      <w:lang w:val="en-US" w:eastAsia="zh-CN"/>
                    </w:rPr>
                  </w:pPr>
                  <w:r>
                    <w:rPr>
                      <w:rFonts w:hint="default" w:ascii="Times New Roman" w:hAnsi="Times New Roman" w:cs="Times New Roman"/>
                      <w:color w:val="auto"/>
                      <w:szCs w:val="20"/>
                      <w:highlight w:val="none"/>
                      <w:lang w:val="en-US" w:eastAsia="zh-CN"/>
                    </w:rPr>
                    <w:t>非甲烷总烃</w:t>
                  </w:r>
                </w:p>
              </w:tc>
              <w:tc>
                <w:tcPr>
                  <w:tcW w:w="1847" w:type="pct"/>
                  <w:tcBorders>
                    <w:tl2br w:val="nil"/>
                    <w:tr2bl w:val="nil"/>
                  </w:tcBorders>
                  <w:tcMar>
                    <w:left w:w="6" w:type="dxa"/>
                    <w:right w:w="6" w:type="dxa"/>
                  </w:tcMar>
                  <w:vAlign w:val="center"/>
                </w:tcPr>
                <w:p w14:paraId="644B832E">
                  <w:pPr>
                    <w:pStyle w:val="37"/>
                    <w:keepNext w:val="0"/>
                    <w:keepLines w:val="0"/>
                    <w:widowControl/>
                    <w:suppressLineNumbers w:val="0"/>
                    <w:tabs>
                      <w:tab w:val="left" w:pos="0"/>
                    </w:tabs>
                    <w:spacing w:before="0" w:beforeAutospacing="0" w:after="0" w:afterAutospacing="0"/>
                    <w:ind w:left="0" w:leftChars="0" w:right="0" w:rightChars="0" w:firstLine="0" w:firstLineChars="0"/>
                    <w:rPr>
                      <w:rFonts w:hint="default" w:ascii="Times New Roman" w:hAnsi="Times New Roman" w:eastAsia="宋体" w:cs="Times New Roman"/>
                      <w:color w:val="auto"/>
                      <w:szCs w:val="20"/>
                      <w:highlight w:val="none"/>
                      <w:lang w:val="en-US" w:eastAsia="zh-CN"/>
                    </w:rPr>
                  </w:pPr>
                  <w:r>
                    <w:rPr>
                      <w:rFonts w:hint="eastAsia"/>
                      <w:bCs/>
                      <w:color w:val="auto"/>
                      <w:szCs w:val="21"/>
                    </w:rPr>
                    <w:t>《工业企业挥发性有机物排放标准》</w:t>
                  </w:r>
                  <w:r>
                    <w:rPr>
                      <w:rFonts w:hint="eastAsia"/>
                      <w:bCs/>
                      <w:color w:val="auto"/>
                      <w:szCs w:val="21"/>
                      <w:lang w:eastAsia="zh-CN"/>
                    </w:rPr>
                    <w:t>（</w:t>
                  </w:r>
                  <w:r>
                    <w:rPr>
                      <w:rFonts w:hint="eastAsia"/>
                      <w:bCs/>
                      <w:color w:val="auto"/>
                      <w:szCs w:val="21"/>
                    </w:rPr>
                    <w:t>DB35/ 1782-2018</w:t>
                  </w:r>
                  <w:r>
                    <w:rPr>
                      <w:rFonts w:hint="eastAsia"/>
                      <w:bCs/>
                      <w:color w:val="auto"/>
                      <w:szCs w:val="21"/>
                      <w:lang w:eastAsia="zh-CN"/>
                    </w:rPr>
                    <w:t>）、</w:t>
                  </w:r>
                  <w:r>
                    <w:rPr>
                      <w:rFonts w:hint="eastAsia"/>
                      <w:color w:val="auto"/>
                      <w:szCs w:val="21"/>
                    </w:rPr>
                    <w:t>《挥发性有机物无组织排放控制标准》</w:t>
                  </w:r>
                  <w:r>
                    <w:rPr>
                      <w:rFonts w:hint="eastAsia"/>
                      <w:color w:val="auto"/>
                      <w:szCs w:val="21"/>
                      <w:lang w:eastAsia="zh-CN"/>
                    </w:rPr>
                    <w:t>（</w:t>
                  </w:r>
                  <w:r>
                    <w:rPr>
                      <w:rFonts w:hint="eastAsia"/>
                      <w:color w:val="auto"/>
                      <w:szCs w:val="21"/>
                    </w:rPr>
                    <w:t>GB 37822-2019</w:t>
                  </w:r>
                  <w:r>
                    <w:rPr>
                      <w:rFonts w:hint="eastAsia"/>
                      <w:color w:val="auto"/>
                      <w:szCs w:val="21"/>
                      <w:lang w:eastAsia="zh-CN"/>
                    </w:rPr>
                    <w:t>）</w:t>
                  </w:r>
                </w:p>
              </w:tc>
              <w:tc>
                <w:tcPr>
                  <w:tcW w:w="581" w:type="pct"/>
                  <w:vMerge w:val="continue"/>
                  <w:tcBorders>
                    <w:tl2br w:val="nil"/>
                    <w:tr2bl w:val="nil"/>
                  </w:tcBorders>
                  <w:tcMar>
                    <w:left w:w="6" w:type="dxa"/>
                    <w:right w:w="6" w:type="dxa"/>
                  </w:tcMar>
                  <w:vAlign w:val="center"/>
                </w:tcPr>
                <w:p w14:paraId="04955D66">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r>
            <w:tr w14:paraId="6D996EC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547" w:hRule="atLeast"/>
              </w:trPr>
              <w:tc>
                <w:tcPr>
                  <w:tcW w:w="643" w:type="pct"/>
                  <w:vMerge w:val="continue"/>
                  <w:tcBorders>
                    <w:tl2br w:val="nil"/>
                    <w:tr2bl w:val="nil"/>
                  </w:tcBorders>
                  <w:vAlign w:val="center"/>
                </w:tcPr>
                <w:p w14:paraId="7813A871">
                  <w:pPr>
                    <w:pStyle w:val="37"/>
                    <w:keepNext w:val="0"/>
                    <w:keepLines w:val="0"/>
                    <w:widowControl/>
                    <w:suppressLineNumbers w:val="0"/>
                    <w:tabs>
                      <w:tab w:val="left" w:pos="0"/>
                    </w:tabs>
                    <w:spacing w:before="0" w:beforeAutospacing="0" w:after="0" w:afterAutospacing="0"/>
                    <w:ind w:right="0"/>
                    <w:rPr>
                      <w:rFonts w:hint="eastAsia" w:cs="Times New Roman"/>
                      <w:color w:val="auto"/>
                      <w:szCs w:val="20"/>
                      <w:highlight w:val="none"/>
                      <w:lang w:val="en-US" w:eastAsia="zh-CN"/>
                    </w:rPr>
                  </w:pPr>
                </w:p>
              </w:tc>
              <w:tc>
                <w:tcPr>
                  <w:tcW w:w="710" w:type="pct"/>
                  <w:vMerge w:val="continue"/>
                  <w:tcBorders>
                    <w:tl2br w:val="nil"/>
                    <w:tr2bl w:val="nil"/>
                  </w:tcBorders>
                  <w:tcMar>
                    <w:left w:w="6" w:type="dxa"/>
                    <w:right w:w="6" w:type="dxa"/>
                  </w:tcMar>
                  <w:vAlign w:val="center"/>
                </w:tcPr>
                <w:p w14:paraId="27722B64">
                  <w:pPr>
                    <w:pStyle w:val="37"/>
                    <w:keepNext w:val="0"/>
                    <w:keepLines w:val="0"/>
                    <w:widowControl/>
                    <w:suppressLineNumbers w:val="0"/>
                    <w:tabs>
                      <w:tab w:val="left" w:pos="0"/>
                    </w:tabs>
                    <w:spacing w:before="0" w:beforeAutospacing="0" w:after="0" w:afterAutospacing="0"/>
                    <w:ind w:right="0"/>
                    <w:rPr>
                      <w:rFonts w:hint="eastAsia" w:cs="Times New Roman"/>
                      <w:color w:val="auto"/>
                      <w:szCs w:val="20"/>
                      <w:highlight w:val="none"/>
                      <w:lang w:val="en-US" w:eastAsia="zh-CN"/>
                    </w:rPr>
                  </w:pPr>
                </w:p>
              </w:tc>
              <w:tc>
                <w:tcPr>
                  <w:tcW w:w="1217" w:type="pct"/>
                  <w:tcBorders>
                    <w:tl2br w:val="nil"/>
                    <w:tr2bl w:val="nil"/>
                  </w:tcBorders>
                  <w:tcMar>
                    <w:left w:w="6" w:type="dxa"/>
                    <w:right w:w="6" w:type="dxa"/>
                  </w:tcMar>
                  <w:vAlign w:val="center"/>
                </w:tcPr>
                <w:p w14:paraId="3035FDBF">
                  <w:pPr>
                    <w:pStyle w:val="37"/>
                    <w:keepNext w:val="0"/>
                    <w:keepLines w:val="0"/>
                    <w:pageBreakBefore w:val="0"/>
                    <w:widowControl/>
                    <w:suppressLineNumbers w:val="0"/>
                    <w:tabs>
                      <w:tab w:val="left" w:pos="0"/>
                    </w:tabs>
                    <w:kinsoku/>
                    <w:wordWrap/>
                    <w:overflowPunct/>
                    <w:topLinePunct w:val="0"/>
                    <w:autoSpaceDE/>
                    <w:autoSpaceDN/>
                    <w:bidi w:val="0"/>
                    <w:adjustRightInd/>
                    <w:snapToGrid/>
                    <w:spacing w:before="0" w:beforeAutospacing="0" w:after="0" w:afterAutospacing="0"/>
                    <w:ind w:left="63" w:leftChars="30" w:right="63" w:rightChars="30"/>
                    <w:textAlignment w:val="auto"/>
                    <w:rPr>
                      <w:rFonts w:hint="default" w:ascii="Times New Roman" w:hAnsi="Times New Roman" w:eastAsia="宋体" w:cs="Times New Roman"/>
                      <w:color w:val="auto"/>
                      <w:szCs w:val="20"/>
                      <w:highlight w:val="none"/>
                      <w:lang w:val="en-US" w:eastAsia="zh-CN"/>
                    </w:rPr>
                  </w:pPr>
                  <w:r>
                    <w:rPr>
                      <w:rFonts w:hint="eastAsia" w:cs="Times New Roman"/>
                      <w:color w:val="auto"/>
                      <w:szCs w:val="20"/>
                      <w:highlight w:val="none"/>
                      <w:lang w:val="en-US" w:eastAsia="zh-CN"/>
                    </w:rPr>
                    <w:t>氨、</w:t>
                  </w:r>
                  <w:r>
                    <w:rPr>
                      <w:rFonts w:hint="eastAsia" w:cs="Times New Roman"/>
                      <w:color w:val="auto"/>
                      <w:szCs w:val="20"/>
                      <w:highlight w:val="none"/>
                      <w:shd w:val="clear" w:fill="FFFFFF"/>
                      <w:lang w:val="en-US" w:eastAsia="zh-CN"/>
                    </w:rPr>
                    <w:t>臭气浓度</w:t>
                  </w:r>
                </w:p>
              </w:tc>
              <w:tc>
                <w:tcPr>
                  <w:tcW w:w="1847" w:type="pct"/>
                  <w:tcBorders>
                    <w:tl2br w:val="nil"/>
                    <w:tr2bl w:val="nil"/>
                  </w:tcBorders>
                  <w:tcMar>
                    <w:left w:w="6" w:type="dxa"/>
                    <w:right w:w="6" w:type="dxa"/>
                  </w:tcMar>
                  <w:vAlign w:val="center"/>
                </w:tcPr>
                <w:p w14:paraId="6444700F">
                  <w:pPr>
                    <w:pStyle w:val="37"/>
                    <w:keepNext w:val="0"/>
                    <w:keepLines w:val="0"/>
                    <w:widowControl/>
                    <w:suppressLineNumbers w:val="0"/>
                    <w:tabs>
                      <w:tab w:val="left" w:pos="0"/>
                    </w:tabs>
                    <w:spacing w:before="0" w:beforeAutospacing="0" w:after="0" w:afterAutospacing="0"/>
                    <w:ind w:left="0" w:leftChars="0" w:right="0" w:rightChars="0" w:firstLine="0" w:firstLineChars="0"/>
                    <w:rPr>
                      <w:rFonts w:hint="default" w:ascii="Times New Roman" w:hAnsi="Times New Roman" w:cs="Times New Roman"/>
                      <w:color w:val="auto"/>
                      <w:szCs w:val="20"/>
                      <w:highlight w:val="none"/>
                      <w:lang w:val="en-US"/>
                    </w:rPr>
                  </w:pPr>
                  <w:r>
                    <w:rPr>
                      <w:rFonts w:hint="eastAsia"/>
                      <w:color w:val="auto"/>
                      <w:szCs w:val="20"/>
                      <w:highlight w:val="none"/>
                      <w:lang w:val="en-US" w:eastAsia="zh-CN"/>
                    </w:rPr>
                    <w:t>《恶臭污染物排放标准》（</w:t>
                  </w:r>
                  <w:r>
                    <w:rPr>
                      <w:rFonts w:hint="default"/>
                      <w:color w:val="auto"/>
                      <w:szCs w:val="20"/>
                      <w:highlight w:val="none"/>
                      <w:lang w:val="en-US" w:eastAsia="zh-CN"/>
                    </w:rPr>
                    <w:t>GB14554-93</w:t>
                  </w:r>
                  <w:r>
                    <w:rPr>
                      <w:rFonts w:hint="eastAsia"/>
                      <w:color w:val="auto"/>
                      <w:szCs w:val="20"/>
                      <w:highlight w:val="none"/>
                      <w:lang w:val="en-US" w:eastAsia="zh-CN"/>
                    </w:rPr>
                    <w:t>）</w:t>
                  </w:r>
                </w:p>
              </w:tc>
              <w:tc>
                <w:tcPr>
                  <w:tcW w:w="581" w:type="pct"/>
                  <w:vMerge w:val="continue"/>
                  <w:tcBorders>
                    <w:tl2br w:val="nil"/>
                    <w:tr2bl w:val="nil"/>
                  </w:tcBorders>
                  <w:tcMar>
                    <w:left w:w="6" w:type="dxa"/>
                    <w:right w:w="6" w:type="dxa"/>
                  </w:tcMar>
                  <w:vAlign w:val="center"/>
                </w:tcPr>
                <w:p w14:paraId="0C755D98">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p>
              </w:tc>
            </w:tr>
          </w:tbl>
          <w:p w14:paraId="467F71C6">
            <w:pPr>
              <w:pStyle w:val="5"/>
              <w:suppressLineNumbers w:val="0"/>
              <w:bidi w:val="0"/>
              <w:spacing w:beforeAutospacing="0" w:afterAutospacing="0"/>
              <w:ind w:right="0"/>
              <w:rPr>
                <w:rFonts w:hint="default"/>
                <w:color w:val="auto"/>
                <w:highlight w:val="none"/>
              </w:rPr>
            </w:pPr>
            <w:bookmarkStart w:id="93" w:name="_Toc31761"/>
            <w:r>
              <w:rPr>
                <w:rFonts w:hint="eastAsia"/>
                <w:color w:val="auto"/>
                <w:highlight w:val="none"/>
                <w:lang w:val="en-US" w:eastAsia="zh-CN"/>
              </w:rPr>
              <w:t>运营期地表水环境</w:t>
            </w:r>
            <w:r>
              <w:rPr>
                <w:rFonts w:hint="default"/>
                <w:color w:val="auto"/>
                <w:highlight w:val="none"/>
                <w:lang w:val="en-US" w:eastAsia="zh-CN"/>
              </w:rPr>
              <w:t>影响和保护措施</w:t>
            </w:r>
            <w:bookmarkEnd w:id="93"/>
          </w:p>
          <w:p w14:paraId="2D66C38C">
            <w:pPr>
              <w:pStyle w:val="6"/>
              <w:suppressLineNumbers w:val="0"/>
              <w:bidi w:val="0"/>
              <w:spacing w:beforeAutospacing="0" w:afterAutospacing="0"/>
              <w:ind w:right="0"/>
              <w:rPr>
                <w:rFonts w:hint="default"/>
                <w:color w:val="auto"/>
                <w:highlight w:val="none"/>
                <w:lang w:val="en-US" w:eastAsia="zh-CN"/>
              </w:rPr>
            </w:pPr>
            <w:r>
              <w:rPr>
                <w:rFonts w:hint="eastAsia"/>
                <w:color w:val="auto"/>
                <w:highlight w:val="none"/>
                <w:lang w:val="en-US" w:eastAsia="zh-CN"/>
              </w:rPr>
              <w:t>废水污染源</w:t>
            </w:r>
            <w:r>
              <w:rPr>
                <w:rFonts w:hint="default"/>
                <w:color w:val="auto"/>
                <w:highlight w:val="none"/>
                <w:lang w:val="en-US" w:eastAsia="zh-CN"/>
              </w:rPr>
              <w:t>分析</w:t>
            </w:r>
          </w:p>
          <w:p w14:paraId="275C08DB">
            <w:pPr>
              <w:pStyle w:val="36"/>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本项目废水主要有实验器具清洗废水W1、仪器排水W2、水样排水W3、制纯浓水W4、生活污水W5。其中实验器具清洗废水W1先经过污水处理设施处理后再与其余废水一同排入化粪池，根据排水情况本项目平均排水约2.14</w:t>
            </w:r>
            <w:r>
              <w:rPr>
                <w:rFonts w:hint="eastAsia"/>
                <w:color w:val="auto"/>
                <w:szCs w:val="21"/>
                <w:highlight w:val="none"/>
                <w:lang w:val="en-US" w:eastAsia="zh-CN"/>
              </w:rPr>
              <w:t>m</w:t>
            </w:r>
            <w:r>
              <w:rPr>
                <w:rFonts w:hint="eastAsia"/>
                <w:color w:val="auto"/>
                <w:szCs w:val="21"/>
                <w:highlight w:val="none"/>
                <w:vertAlign w:val="superscript"/>
                <w:lang w:val="en-US" w:eastAsia="zh-CN"/>
              </w:rPr>
              <w:t>3</w:t>
            </w:r>
            <w:r>
              <w:rPr>
                <w:rFonts w:hint="eastAsia"/>
                <w:color w:val="auto"/>
                <w:highlight w:val="none"/>
                <w:lang w:val="en-US" w:eastAsia="zh-CN"/>
              </w:rPr>
              <w:t>/d，办公科研楼化粪池处理能力为20</w:t>
            </w:r>
            <w:r>
              <w:rPr>
                <w:rFonts w:hint="eastAsia"/>
                <w:color w:val="auto"/>
                <w:szCs w:val="21"/>
                <w:highlight w:val="none"/>
                <w:lang w:val="en-US" w:eastAsia="zh-CN"/>
              </w:rPr>
              <w:t>m</w:t>
            </w:r>
            <w:r>
              <w:rPr>
                <w:rFonts w:hint="eastAsia"/>
                <w:color w:val="auto"/>
                <w:szCs w:val="21"/>
                <w:highlight w:val="none"/>
                <w:vertAlign w:val="superscript"/>
                <w:lang w:val="en-US" w:eastAsia="zh-CN"/>
              </w:rPr>
              <w:t>3</w:t>
            </w:r>
            <w:r>
              <w:rPr>
                <w:rFonts w:hint="eastAsia"/>
                <w:color w:val="auto"/>
                <w:highlight w:val="none"/>
                <w:lang w:val="en-US" w:eastAsia="zh-CN"/>
              </w:rPr>
              <w:t>/d，可满足本项目废水处理需求。废水</w:t>
            </w:r>
            <w:r>
              <w:rPr>
                <w:rFonts w:hint="eastAsia"/>
                <w:color w:val="auto"/>
                <w:highlight w:val="none"/>
              </w:rPr>
              <w:t>治理设施</w:t>
            </w:r>
            <w:r>
              <w:rPr>
                <w:rFonts w:hint="eastAsia"/>
                <w:color w:val="auto"/>
                <w:highlight w:val="none"/>
                <w:lang w:eastAsia="zh-CN"/>
              </w:rPr>
              <w:t>、</w:t>
            </w:r>
            <w:r>
              <w:rPr>
                <w:rFonts w:hint="eastAsia"/>
                <w:color w:val="auto"/>
                <w:highlight w:val="none"/>
                <w:lang w:val="en-US" w:eastAsia="zh-CN"/>
              </w:rPr>
              <w:t>废水</w:t>
            </w:r>
            <w:r>
              <w:rPr>
                <w:rFonts w:hint="eastAsia"/>
                <w:color w:val="auto"/>
                <w:highlight w:val="none"/>
              </w:rPr>
              <w:t>污染物</w:t>
            </w:r>
            <w:r>
              <w:rPr>
                <w:rFonts w:hint="eastAsia"/>
                <w:color w:val="auto"/>
                <w:highlight w:val="none"/>
                <w:lang w:val="en-US" w:eastAsia="zh-CN"/>
              </w:rPr>
              <w:t>产排情况详见</w:t>
            </w:r>
            <w:r>
              <w:rPr>
                <w:rFonts w:hint="eastAsia"/>
                <w:color w:val="auto"/>
                <w:highlight w:val="none"/>
                <w:lang w:val="en-US" w:eastAsia="zh-CN"/>
              </w:rPr>
              <w:fldChar w:fldCharType="begin"/>
            </w:r>
            <w:r>
              <w:rPr>
                <w:rFonts w:hint="eastAsia"/>
                <w:color w:val="auto"/>
                <w:highlight w:val="none"/>
                <w:lang w:val="en-US" w:eastAsia="zh-CN"/>
              </w:rPr>
              <w:instrText xml:space="preserve"> REF _Ref22264 \n \h </w:instrText>
            </w:r>
            <w:r>
              <w:rPr>
                <w:rFonts w:hint="eastAsia"/>
                <w:color w:val="auto"/>
                <w:highlight w:val="none"/>
                <w:lang w:val="en-US" w:eastAsia="zh-CN"/>
              </w:rPr>
              <w:fldChar w:fldCharType="separate"/>
            </w:r>
            <w:r>
              <w:rPr>
                <w:rFonts w:hint="eastAsia"/>
                <w:color w:val="auto"/>
                <w:highlight w:val="none"/>
                <w:lang w:val="en-US" w:eastAsia="zh-CN"/>
              </w:rPr>
              <w:t>表4.3-1</w:t>
            </w:r>
            <w:r>
              <w:rPr>
                <w:rFonts w:hint="eastAsia"/>
                <w:color w:val="auto"/>
                <w:highlight w:val="none"/>
                <w:lang w:val="en-US" w:eastAsia="zh-CN"/>
              </w:rPr>
              <w:fldChar w:fldCharType="end"/>
            </w:r>
            <w:r>
              <w:rPr>
                <w:rFonts w:hint="eastAsia"/>
                <w:color w:val="auto"/>
                <w:highlight w:val="none"/>
                <w:lang w:val="en-US" w:eastAsia="zh-CN"/>
              </w:rPr>
              <w:t>、</w:t>
            </w:r>
            <w:r>
              <w:rPr>
                <w:rFonts w:hint="eastAsia"/>
                <w:color w:val="auto"/>
                <w:highlight w:val="none"/>
                <w:lang w:val="en-US" w:eastAsia="zh-CN"/>
              </w:rPr>
              <w:fldChar w:fldCharType="begin"/>
            </w:r>
            <w:r>
              <w:rPr>
                <w:rFonts w:hint="eastAsia"/>
                <w:color w:val="auto"/>
                <w:highlight w:val="none"/>
                <w:lang w:val="en-US" w:eastAsia="zh-CN"/>
              </w:rPr>
              <w:instrText xml:space="preserve"> REF _Ref32669 \n \h </w:instrText>
            </w:r>
            <w:r>
              <w:rPr>
                <w:rFonts w:hint="eastAsia"/>
                <w:color w:val="auto"/>
                <w:highlight w:val="none"/>
                <w:lang w:val="en-US" w:eastAsia="zh-CN"/>
              </w:rPr>
              <w:fldChar w:fldCharType="separate"/>
            </w:r>
            <w:r>
              <w:rPr>
                <w:rFonts w:hint="eastAsia"/>
                <w:color w:val="auto"/>
                <w:highlight w:val="none"/>
                <w:lang w:val="en-US" w:eastAsia="zh-CN"/>
              </w:rPr>
              <w:t>表4.3-2</w:t>
            </w:r>
            <w:r>
              <w:rPr>
                <w:rFonts w:hint="eastAsia"/>
                <w:color w:val="auto"/>
                <w:highlight w:val="none"/>
                <w:lang w:val="en-US" w:eastAsia="zh-CN"/>
              </w:rPr>
              <w:fldChar w:fldCharType="end"/>
            </w:r>
            <w:r>
              <w:rPr>
                <w:rFonts w:hint="eastAsia"/>
                <w:color w:val="auto"/>
                <w:highlight w:val="none"/>
                <w:lang w:val="en-US" w:eastAsia="zh-CN"/>
              </w:rPr>
              <w:t>。</w:t>
            </w:r>
          </w:p>
          <w:p w14:paraId="0138A5E3">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eastAsia" w:ascii="Times New Roman" w:hAnsi="Times New Roman" w:eastAsia="宋体" w:cs="Times New Roman"/>
                <w:color w:val="auto"/>
                <w:highlight w:val="none"/>
                <w:lang w:val="en-US" w:eastAsia="zh-CN"/>
              </w:rPr>
            </w:pPr>
            <w:bookmarkStart w:id="94" w:name="_Ref22264"/>
            <w:r>
              <w:rPr>
                <w:rFonts w:hint="eastAsia" w:ascii="Times New Roman" w:hAnsi="Times New Roman" w:eastAsia="宋体" w:cs="Times New Roman"/>
                <w:color w:val="auto"/>
                <w:highlight w:val="none"/>
                <w:lang w:val="en-US" w:eastAsia="zh-CN"/>
              </w:rPr>
              <w:t>项目废水治理设施一览表</w:t>
            </w:r>
            <w:bookmarkEnd w:id="94"/>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64"/>
              <w:gridCol w:w="957"/>
              <w:gridCol w:w="1049"/>
              <w:gridCol w:w="1177"/>
              <w:gridCol w:w="777"/>
              <w:gridCol w:w="2001"/>
              <w:gridCol w:w="1007"/>
            </w:tblGrid>
            <w:tr w14:paraId="641AE5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95" w:hRule="atLeast"/>
                <w:tblHeader/>
                <w:jc w:val="center"/>
              </w:trPr>
              <w:tc>
                <w:tcPr>
                  <w:tcW w:w="715" w:type="pct"/>
                  <w:vMerge w:val="restart"/>
                  <w:vAlign w:val="center"/>
                </w:tcPr>
                <w:p w14:paraId="51B75E44">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污染源</w:t>
                  </w:r>
                </w:p>
              </w:tc>
              <w:tc>
                <w:tcPr>
                  <w:tcW w:w="588" w:type="pct"/>
                  <w:vMerge w:val="restart"/>
                  <w:vAlign w:val="center"/>
                </w:tcPr>
                <w:p w14:paraId="54DACE1F">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废水排放量t/a</w:t>
                  </w:r>
                </w:p>
              </w:tc>
              <w:tc>
                <w:tcPr>
                  <w:tcW w:w="644" w:type="pct"/>
                  <w:vMerge w:val="restart"/>
                  <w:vAlign w:val="center"/>
                </w:tcPr>
                <w:p w14:paraId="0311953C">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污染物</w:t>
                  </w:r>
                </w:p>
                <w:p w14:paraId="18DAE66E">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szCs w:val="21"/>
                      <w:highlight w:val="none"/>
                      <w:lang w:val="en-US" w:eastAsia="zh-CN"/>
                    </w:rPr>
                    <w:t>种类</w:t>
                  </w:r>
                </w:p>
              </w:tc>
              <w:tc>
                <w:tcPr>
                  <w:tcW w:w="2431" w:type="pct"/>
                  <w:gridSpan w:val="3"/>
                  <w:vAlign w:val="center"/>
                </w:tcPr>
                <w:p w14:paraId="47C27EF4">
                  <w:pPr>
                    <w:keepNext w:val="0"/>
                    <w:keepLines w:val="0"/>
                    <w:suppressLineNumbers w:val="0"/>
                    <w:spacing w:before="0" w:beforeAutospacing="0" w:after="0" w:afterAutospacing="0"/>
                    <w:ind w:left="0" w:right="0"/>
                    <w:jc w:val="center"/>
                    <w:rPr>
                      <w:rFonts w:hint="default"/>
                      <w:color w:val="auto"/>
                      <w:highlight w:val="none"/>
                    </w:rPr>
                  </w:pPr>
                  <w:r>
                    <w:rPr>
                      <w:rFonts w:hint="default"/>
                      <w:color w:val="auto"/>
                      <w:highlight w:val="none"/>
                    </w:rPr>
                    <w:t>治理措施</w:t>
                  </w:r>
                </w:p>
              </w:tc>
              <w:tc>
                <w:tcPr>
                  <w:tcW w:w="619" w:type="pct"/>
                  <w:vMerge w:val="restart"/>
                  <w:vAlign w:val="center"/>
                </w:tcPr>
                <w:p w14:paraId="302A5F9F">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是否为可行技术</w:t>
                  </w:r>
                </w:p>
              </w:tc>
            </w:tr>
            <w:tr w14:paraId="5EADAA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30" w:hRule="atLeast"/>
                <w:tblHeader/>
                <w:jc w:val="center"/>
              </w:trPr>
              <w:tc>
                <w:tcPr>
                  <w:tcW w:w="715" w:type="pct"/>
                  <w:vMerge w:val="continue"/>
                  <w:vAlign w:val="center"/>
                </w:tcPr>
                <w:p w14:paraId="30DBFA98">
                  <w:pPr>
                    <w:keepNext w:val="0"/>
                    <w:keepLines w:val="0"/>
                    <w:suppressLineNumbers w:val="0"/>
                    <w:spacing w:before="0" w:beforeAutospacing="0" w:after="0" w:afterAutospacing="0"/>
                    <w:ind w:left="0" w:right="0"/>
                    <w:jc w:val="center"/>
                    <w:rPr>
                      <w:rFonts w:hint="default"/>
                      <w:color w:val="auto"/>
                      <w:highlight w:val="none"/>
                    </w:rPr>
                  </w:pPr>
                </w:p>
              </w:tc>
              <w:tc>
                <w:tcPr>
                  <w:tcW w:w="588" w:type="pct"/>
                  <w:vMerge w:val="continue"/>
                  <w:vAlign w:val="center"/>
                </w:tcPr>
                <w:p w14:paraId="76120E85">
                  <w:pPr>
                    <w:keepNext w:val="0"/>
                    <w:keepLines w:val="0"/>
                    <w:suppressLineNumbers w:val="0"/>
                    <w:spacing w:before="0" w:beforeAutospacing="0" w:after="0" w:afterAutospacing="0"/>
                    <w:ind w:left="0" w:right="0"/>
                    <w:jc w:val="center"/>
                    <w:rPr>
                      <w:rFonts w:hint="default"/>
                      <w:color w:val="auto"/>
                      <w:highlight w:val="none"/>
                    </w:rPr>
                  </w:pPr>
                </w:p>
              </w:tc>
              <w:tc>
                <w:tcPr>
                  <w:tcW w:w="644" w:type="pct"/>
                  <w:vMerge w:val="continue"/>
                  <w:vAlign w:val="center"/>
                </w:tcPr>
                <w:p w14:paraId="3FFB83AA">
                  <w:pPr>
                    <w:keepNext w:val="0"/>
                    <w:keepLines w:val="0"/>
                    <w:suppressLineNumbers w:val="0"/>
                    <w:spacing w:before="0" w:beforeAutospacing="0" w:after="0" w:afterAutospacing="0"/>
                    <w:ind w:left="0" w:right="0"/>
                    <w:jc w:val="center"/>
                    <w:rPr>
                      <w:rFonts w:hint="default"/>
                      <w:color w:val="auto"/>
                      <w:highlight w:val="none"/>
                    </w:rPr>
                  </w:pPr>
                </w:p>
              </w:tc>
              <w:tc>
                <w:tcPr>
                  <w:tcW w:w="723" w:type="pct"/>
                  <w:vAlign w:val="center"/>
                </w:tcPr>
                <w:p w14:paraId="7C45F02C">
                  <w:pPr>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处理设施</w:t>
                  </w:r>
                </w:p>
              </w:tc>
              <w:tc>
                <w:tcPr>
                  <w:tcW w:w="477" w:type="pct"/>
                  <w:vAlign w:val="center"/>
                </w:tcPr>
                <w:p w14:paraId="3F43E8CA">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规模</w:t>
                  </w:r>
                </w:p>
              </w:tc>
              <w:tc>
                <w:tcPr>
                  <w:tcW w:w="1230" w:type="pct"/>
                  <w:vAlign w:val="center"/>
                </w:tcPr>
                <w:p w14:paraId="27A87A3D">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lang w:val="en-US" w:eastAsia="zh-CN"/>
                    </w:rPr>
                    <w:t>工艺/</w:t>
                  </w:r>
                  <w:r>
                    <w:rPr>
                      <w:rFonts w:hint="eastAsia"/>
                      <w:color w:val="auto"/>
                      <w:highlight w:val="none"/>
                    </w:rPr>
                    <w:t>去除</w:t>
                  </w:r>
                  <w:r>
                    <w:rPr>
                      <w:rFonts w:hint="default"/>
                      <w:color w:val="auto"/>
                      <w:highlight w:val="none"/>
                    </w:rPr>
                    <w:t>效率%</w:t>
                  </w:r>
                </w:p>
              </w:tc>
              <w:tc>
                <w:tcPr>
                  <w:tcW w:w="619" w:type="pct"/>
                  <w:vMerge w:val="continue"/>
                  <w:vAlign w:val="center"/>
                </w:tcPr>
                <w:p w14:paraId="566F844A">
                  <w:pPr>
                    <w:keepNext w:val="0"/>
                    <w:keepLines w:val="0"/>
                    <w:suppressLineNumbers w:val="0"/>
                    <w:spacing w:before="0" w:beforeAutospacing="0" w:after="0" w:afterAutospacing="0"/>
                    <w:ind w:left="0" w:right="0"/>
                    <w:jc w:val="center"/>
                    <w:rPr>
                      <w:rFonts w:hint="default"/>
                      <w:color w:val="auto"/>
                      <w:highlight w:val="none"/>
                    </w:rPr>
                  </w:pPr>
                </w:p>
              </w:tc>
            </w:tr>
            <w:tr w14:paraId="77C082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15" w:type="pct"/>
                  <w:vMerge w:val="restart"/>
                  <w:vAlign w:val="center"/>
                </w:tcPr>
                <w:p w14:paraId="49216A8B">
                  <w:pPr>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实验室废水（W1~W4）</w:t>
                  </w:r>
                </w:p>
              </w:tc>
              <w:tc>
                <w:tcPr>
                  <w:tcW w:w="588" w:type="pct"/>
                  <w:vMerge w:val="restart"/>
                  <w:vAlign w:val="center"/>
                </w:tcPr>
                <w:p w14:paraId="1BD2B025">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282.85</w:t>
                  </w:r>
                </w:p>
              </w:tc>
              <w:tc>
                <w:tcPr>
                  <w:tcW w:w="644" w:type="pct"/>
                  <w:vAlign w:val="center"/>
                </w:tcPr>
                <w:p w14:paraId="1A83829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color w:val="auto"/>
                      <w:szCs w:val="21"/>
                      <w:highlight w:val="none"/>
                    </w:rPr>
                  </w:pPr>
                  <w:r>
                    <w:rPr>
                      <w:rFonts w:hint="eastAsia" w:ascii="Times New Roman" w:hAnsi="Times New Roman" w:eastAsia="宋体" w:cs="Times New Roman"/>
                      <w:color w:val="auto"/>
                      <w:szCs w:val="21"/>
                      <w:highlight w:val="none"/>
                      <w:lang w:val="en-US" w:eastAsia="zh-CN"/>
                    </w:rPr>
                    <w:t>COD</w:t>
                  </w:r>
                </w:p>
              </w:tc>
              <w:tc>
                <w:tcPr>
                  <w:tcW w:w="723" w:type="pct"/>
                  <w:vMerge w:val="restart"/>
                  <w:vAlign w:val="center"/>
                </w:tcPr>
                <w:p w14:paraId="687F05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污水处理设施</w:t>
                  </w:r>
                </w:p>
              </w:tc>
              <w:tc>
                <w:tcPr>
                  <w:tcW w:w="477" w:type="pct"/>
                  <w:vMerge w:val="restart"/>
                  <w:vAlign w:val="center"/>
                </w:tcPr>
                <w:p w14:paraId="64971803">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1.2m</w:t>
                  </w:r>
                  <w:r>
                    <w:rPr>
                      <w:rFonts w:hint="eastAsia"/>
                      <w:color w:val="auto"/>
                      <w:szCs w:val="21"/>
                      <w:highlight w:val="none"/>
                      <w:vertAlign w:val="superscript"/>
                      <w:lang w:val="en-US" w:eastAsia="zh-CN"/>
                    </w:rPr>
                    <w:t>3</w:t>
                  </w:r>
                </w:p>
              </w:tc>
              <w:tc>
                <w:tcPr>
                  <w:tcW w:w="1230" w:type="pct"/>
                  <w:vMerge w:val="restart"/>
                  <w:vAlign w:val="center"/>
                </w:tcPr>
                <w:p w14:paraId="1E6D579D">
                  <w:pPr>
                    <w:pStyle w:val="37"/>
                    <w:keepNext w:val="0"/>
                    <w:keepLines w:val="0"/>
                    <w:widowControl/>
                    <w:suppressLineNumbers w:val="0"/>
                    <w:bidi w:val="0"/>
                    <w:spacing w:before="0" w:beforeAutospacing="0" w:after="0" w:afterAutospacing="0"/>
                    <w:ind w:right="0"/>
                    <w:rPr>
                      <w:rFonts w:hint="eastAsia" w:eastAsia="宋体"/>
                      <w:color w:val="auto"/>
                      <w:szCs w:val="21"/>
                      <w:highlight w:val="none"/>
                      <w:lang w:val="en-US" w:eastAsia="zh-CN"/>
                    </w:rPr>
                  </w:pPr>
                  <w:r>
                    <w:rPr>
                      <w:rFonts w:hint="eastAsia"/>
                      <w:color w:val="auto"/>
                      <w:szCs w:val="20"/>
                      <w:highlight w:val="none"/>
                      <w:lang w:val="en-US" w:eastAsia="zh-CN"/>
                    </w:rPr>
                    <w:t>预处理，调节pH值，重金属吸附，高级氧化，过滤，消毒</w:t>
                  </w:r>
                  <w:r>
                    <w:rPr>
                      <w:rFonts w:hint="eastAsia"/>
                      <w:color w:val="auto"/>
                      <w:szCs w:val="20"/>
                      <w:highlight w:val="none"/>
                      <w:lang w:eastAsia="zh-CN"/>
                    </w:rPr>
                    <w:t>（</w:t>
                  </w:r>
                  <w:r>
                    <w:rPr>
                      <w:rFonts w:hint="eastAsia"/>
                      <w:color w:val="auto"/>
                      <w:szCs w:val="20"/>
                      <w:highlight w:val="none"/>
                      <w:lang w:val="en-US" w:eastAsia="zh-CN"/>
                    </w:rPr>
                    <w:t>具体见</w:t>
                  </w:r>
                  <w:r>
                    <w:rPr>
                      <w:rFonts w:hint="eastAsia"/>
                      <w:color w:val="auto"/>
                      <w:szCs w:val="20"/>
                      <w:highlight w:val="none"/>
                      <w:lang w:val="en-US" w:eastAsia="zh-CN"/>
                    </w:rPr>
                    <w:fldChar w:fldCharType="begin"/>
                  </w:r>
                  <w:r>
                    <w:rPr>
                      <w:rFonts w:hint="eastAsia"/>
                      <w:color w:val="auto"/>
                      <w:szCs w:val="20"/>
                      <w:highlight w:val="none"/>
                      <w:lang w:val="en-US" w:eastAsia="zh-CN"/>
                    </w:rPr>
                    <w:instrText xml:space="preserve"> REF _Ref1492 \r \h </w:instrText>
                  </w:r>
                  <w:r>
                    <w:rPr>
                      <w:rFonts w:hint="eastAsia"/>
                      <w:color w:val="auto"/>
                      <w:szCs w:val="20"/>
                      <w:highlight w:val="none"/>
                      <w:lang w:val="en-US" w:eastAsia="zh-CN"/>
                    </w:rPr>
                    <w:fldChar w:fldCharType="separate"/>
                  </w:r>
                  <w:r>
                    <w:rPr>
                      <w:rFonts w:hint="eastAsia"/>
                      <w:color w:val="auto"/>
                      <w:szCs w:val="20"/>
                      <w:highlight w:val="none"/>
                      <w:lang w:val="en-US" w:eastAsia="zh-CN"/>
                    </w:rPr>
                    <w:t>图4.3-1</w:t>
                  </w:r>
                  <w:r>
                    <w:rPr>
                      <w:rFonts w:hint="eastAsia"/>
                      <w:color w:val="auto"/>
                      <w:szCs w:val="20"/>
                      <w:highlight w:val="none"/>
                      <w:lang w:val="en-US" w:eastAsia="zh-CN"/>
                    </w:rPr>
                    <w:fldChar w:fldCharType="end"/>
                  </w:r>
                  <w:r>
                    <w:rPr>
                      <w:rFonts w:hint="eastAsia"/>
                      <w:color w:val="auto"/>
                      <w:szCs w:val="20"/>
                      <w:highlight w:val="none"/>
                      <w:lang w:eastAsia="zh-CN"/>
                    </w:rPr>
                    <w:t>）</w:t>
                  </w:r>
                </w:p>
              </w:tc>
              <w:tc>
                <w:tcPr>
                  <w:tcW w:w="619" w:type="pct"/>
                  <w:vMerge w:val="restart"/>
                  <w:vAlign w:val="center"/>
                </w:tcPr>
                <w:p w14:paraId="141DEE76">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是</w:t>
                  </w:r>
                </w:p>
              </w:tc>
            </w:tr>
            <w:tr w14:paraId="2A50C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15" w:type="pct"/>
                  <w:vMerge w:val="continue"/>
                  <w:vAlign w:val="center"/>
                </w:tcPr>
                <w:p w14:paraId="5F0E3E4D">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50F59ABA">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00E0EB1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Style w:val="48"/>
                      <w:rFonts w:hint="eastAsia"/>
                      <w:color w:val="auto"/>
                      <w:highlight w:val="none"/>
                      <w:lang w:val="en-US" w:eastAsia="zh-CN"/>
                    </w:rPr>
                  </w:pPr>
                  <w:r>
                    <w:rPr>
                      <w:rFonts w:hint="eastAsia" w:ascii="Times New Roman" w:hAnsi="Times New Roman" w:eastAsia="宋体" w:cs="Times New Roman"/>
                      <w:color w:val="auto"/>
                      <w:szCs w:val="21"/>
                      <w:highlight w:val="none"/>
                      <w:lang w:val="en-US" w:eastAsia="zh-CN"/>
                    </w:rPr>
                    <w:t>氨氮</w:t>
                  </w:r>
                </w:p>
              </w:tc>
              <w:tc>
                <w:tcPr>
                  <w:tcW w:w="723" w:type="pct"/>
                  <w:vMerge w:val="continue"/>
                  <w:vAlign w:val="center"/>
                </w:tcPr>
                <w:p w14:paraId="008032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7BD45D44">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Merge w:val="continue"/>
                  <w:vAlign w:val="center"/>
                </w:tcPr>
                <w:p w14:paraId="118E5FDC">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19" w:type="pct"/>
                  <w:vMerge w:val="continue"/>
                  <w:vAlign w:val="center"/>
                </w:tcPr>
                <w:p w14:paraId="5528DB3A">
                  <w:pPr>
                    <w:keepNext w:val="0"/>
                    <w:keepLines w:val="0"/>
                    <w:suppressLineNumbers w:val="0"/>
                    <w:spacing w:before="0" w:beforeAutospacing="0" w:after="0" w:afterAutospacing="0"/>
                    <w:ind w:left="0" w:right="0"/>
                    <w:jc w:val="center"/>
                    <w:rPr>
                      <w:rFonts w:hint="eastAsia"/>
                      <w:color w:val="auto"/>
                      <w:highlight w:val="none"/>
                    </w:rPr>
                  </w:pPr>
                </w:p>
              </w:tc>
            </w:tr>
            <w:tr w14:paraId="439A9A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15" w:type="pct"/>
                  <w:vMerge w:val="continue"/>
                  <w:vAlign w:val="center"/>
                </w:tcPr>
                <w:p w14:paraId="00EB94C8">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3F04CF4D">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40409F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Style w:val="48"/>
                      <w:rFonts w:hint="eastAsia"/>
                      <w:color w:val="auto"/>
                      <w:highlight w:val="none"/>
                      <w:lang w:val="en-US" w:eastAsia="zh-CN"/>
                    </w:rPr>
                  </w:pPr>
                  <w:r>
                    <w:rPr>
                      <w:rFonts w:hint="eastAsia" w:ascii="Times New Roman" w:hAnsi="Times New Roman" w:eastAsia="宋体" w:cs="Times New Roman"/>
                      <w:color w:val="auto"/>
                      <w:szCs w:val="21"/>
                      <w:highlight w:val="none"/>
                      <w:lang w:val="en-US" w:eastAsia="zh-CN"/>
                    </w:rPr>
                    <w:t>BOD</w:t>
                  </w:r>
                  <w:r>
                    <w:rPr>
                      <w:rFonts w:hint="eastAsia" w:ascii="Times New Roman" w:hAnsi="Times New Roman" w:eastAsia="宋体" w:cs="Times New Roman"/>
                      <w:color w:val="auto"/>
                      <w:szCs w:val="21"/>
                      <w:highlight w:val="none"/>
                      <w:vertAlign w:val="subscript"/>
                      <w:lang w:val="en-US" w:eastAsia="zh-CN"/>
                    </w:rPr>
                    <w:t>5</w:t>
                  </w:r>
                </w:p>
              </w:tc>
              <w:tc>
                <w:tcPr>
                  <w:tcW w:w="723" w:type="pct"/>
                  <w:vMerge w:val="continue"/>
                  <w:vAlign w:val="center"/>
                </w:tcPr>
                <w:p w14:paraId="5D7C9C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24914FBF">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Merge w:val="continue"/>
                  <w:vAlign w:val="center"/>
                </w:tcPr>
                <w:p w14:paraId="019DE3B6">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19" w:type="pct"/>
                  <w:vMerge w:val="continue"/>
                  <w:vAlign w:val="center"/>
                </w:tcPr>
                <w:p w14:paraId="4A009476">
                  <w:pPr>
                    <w:keepNext w:val="0"/>
                    <w:keepLines w:val="0"/>
                    <w:suppressLineNumbers w:val="0"/>
                    <w:spacing w:before="0" w:beforeAutospacing="0" w:after="0" w:afterAutospacing="0"/>
                    <w:ind w:left="0" w:right="0"/>
                    <w:jc w:val="center"/>
                    <w:rPr>
                      <w:rFonts w:hint="eastAsia"/>
                      <w:color w:val="auto"/>
                      <w:highlight w:val="none"/>
                    </w:rPr>
                  </w:pPr>
                </w:p>
              </w:tc>
            </w:tr>
            <w:tr w14:paraId="6704EA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715" w:type="pct"/>
                  <w:vMerge w:val="continue"/>
                  <w:vAlign w:val="center"/>
                </w:tcPr>
                <w:p w14:paraId="7C0B5349">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0CB15EA3">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2B85A3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Style w:val="48"/>
                      <w:rFonts w:hint="eastAsia"/>
                      <w:color w:val="auto"/>
                      <w:highlight w:val="none"/>
                      <w:lang w:val="en-US" w:eastAsia="zh-CN"/>
                    </w:rPr>
                  </w:pPr>
                  <w:r>
                    <w:rPr>
                      <w:rFonts w:hint="eastAsia" w:ascii="Times New Roman" w:hAnsi="Times New Roman" w:eastAsia="宋体" w:cs="Times New Roman"/>
                      <w:color w:val="auto"/>
                      <w:szCs w:val="21"/>
                      <w:highlight w:val="none"/>
                      <w:lang w:val="en-US" w:eastAsia="zh-CN"/>
                    </w:rPr>
                    <w:t>SS</w:t>
                  </w:r>
                </w:p>
              </w:tc>
              <w:tc>
                <w:tcPr>
                  <w:tcW w:w="723" w:type="pct"/>
                  <w:vMerge w:val="continue"/>
                  <w:vAlign w:val="center"/>
                </w:tcPr>
                <w:p w14:paraId="2815FD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4738F58B">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Merge w:val="continue"/>
                  <w:vAlign w:val="center"/>
                </w:tcPr>
                <w:p w14:paraId="03A51758">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p>
              </w:tc>
              <w:tc>
                <w:tcPr>
                  <w:tcW w:w="619" w:type="pct"/>
                  <w:vMerge w:val="continue"/>
                  <w:vAlign w:val="center"/>
                </w:tcPr>
                <w:p w14:paraId="17FCC759">
                  <w:pPr>
                    <w:keepNext w:val="0"/>
                    <w:keepLines w:val="0"/>
                    <w:suppressLineNumbers w:val="0"/>
                    <w:spacing w:before="0" w:beforeAutospacing="0" w:after="0" w:afterAutospacing="0"/>
                    <w:ind w:left="0" w:right="0"/>
                    <w:jc w:val="center"/>
                    <w:rPr>
                      <w:rFonts w:hint="eastAsia"/>
                      <w:color w:val="auto"/>
                      <w:highlight w:val="none"/>
                    </w:rPr>
                  </w:pPr>
                </w:p>
              </w:tc>
            </w:tr>
            <w:tr w14:paraId="13E61A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15" w:type="pct"/>
                  <w:vMerge w:val="restart"/>
                  <w:vAlign w:val="center"/>
                </w:tcPr>
                <w:p w14:paraId="22E1573F">
                  <w:pPr>
                    <w:keepNext w:val="0"/>
                    <w:keepLines w:val="0"/>
                    <w:suppressLineNumbers w:val="0"/>
                    <w:spacing w:before="0" w:beforeAutospacing="0" w:after="0" w:afterAutospacing="0"/>
                    <w:ind w:left="0" w:right="0"/>
                    <w:jc w:val="center"/>
                    <w:rPr>
                      <w:rFonts w:hint="default" w:eastAsia="宋体"/>
                      <w:color w:val="auto"/>
                      <w:highlight w:val="none"/>
                      <w:lang w:val="en-US" w:eastAsia="zh-CN"/>
                    </w:rPr>
                  </w:pPr>
                  <w:r>
                    <w:rPr>
                      <w:rFonts w:hint="eastAsia"/>
                      <w:color w:val="auto"/>
                      <w:highlight w:val="none"/>
                      <w:lang w:val="en-US" w:eastAsia="zh-CN"/>
                    </w:rPr>
                    <w:t>生活污水（W5）</w:t>
                  </w:r>
                </w:p>
              </w:tc>
              <w:tc>
                <w:tcPr>
                  <w:tcW w:w="588" w:type="pct"/>
                  <w:vMerge w:val="restart"/>
                  <w:vAlign w:val="center"/>
                </w:tcPr>
                <w:p w14:paraId="7E6E71BA">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360</w:t>
                  </w:r>
                </w:p>
              </w:tc>
              <w:tc>
                <w:tcPr>
                  <w:tcW w:w="644" w:type="pct"/>
                  <w:vAlign w:val="center"/>
                </w:tcPr>
                <w:p w14:paraId="028A94BB">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2" w:leftChars="20" w:right="42" w:rightChars="20"/>
                    <w:textAlignment w:val="auto"/>
                    <w:rPr>
                      <w:rFonts w:hint="default"/>
                      <w:color w:val="auto"/>
                      <w:szCs w:val="21"/>
                      <w:highlight w:val="none"/>
                    </w:rPr>
                  </w:pPr>
                  <w:r>
                    <w:rPr>
                      <w:rStyle w:val="48"/>
                      <w:rFonts w:hint="eastAsia" w:ascii="Times New Roman" w:hAnsi="Times New Roman" w:eastAsia="宋体" w:cs="Times New Roman"/>
                      <w:color w:val="auto"/>
                      <w:kern w:val="2"/>
                      <w:szCs w:val="24"/>
                      <w:highlight w:val="none"/>
                      <w:lang w:val="en-US" w:eastAsia="zh-CN" w:bidi="ar-SA"/>
                    </w:rPr>
                    <w:t>COD</w:t>
                  </w:r>
                </w:p>
              </w:tc>
              <w:tc>
                <w:tcPr>
                  <w:tcW w:w="723" w:type="pct"/>
                  <w:vMerge w:val="restart"/>
                  <w:vAlign w:val="center"/>
                </w:tcPr>
                <w:p w14:paraId="4323F8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default"/>
                      <w:color w:val="auto"/>
                      <w:szCs w:val="21"/>
                      <w:highlight w:val="none"/>
                      <w:lang w:val="en-US"/>
                    </w:rPr>
                  </w:pPr>
                  <w:r>
                    <w:rPr>
                      <w:rFonts w:hint="eastAsia"/>
                      <w:color w:val="auto"/>
                      <w:highlight w:val="none"/>
                      <w:lang w:val="en-US" w:eastAsia="zh-CN"/>
                    </w:rPr>
                    <w:t>化粪池</w:t>
                  </w:r>
                </w:p>
              </w:tc>
              <w:tc>
                <w:tcPr>
                  <w:tcW w:w="477" w:type="pct"/>
                  <w:vMerge w:val="restart"/>
                  <w:vAlign w:val="center"/>
                </w:tcPr>
                <w:p w14:paraId="13A48980">
                  <w:pPr>
                    <w:keepNext w:val="0"/>
                    <w:keepLines w:val="0"/>
                    <w:suppressLineNumbers w:val="0"/>
                    <w:adjustRightInd w:val="0"/>
                    <w:snapToGrid w:val="0"/>
                    <w:spacing w:before="0" w:beforeAutospacing="0" w:after="0" w:afterAutospacing="0"/>
                    <w:ind w:left="420" w:right="0" w:hanging="420"/>
                    <w:jc w:val="center"/>
                    <w:rPr>
                      <w:rFonts w:hint="default"/>
                      <w:color w:val="auto"/>
                      <w:szCs w:val="21"/>
                      <w:highlight w:val="none"/>
                    </w:rPr>
                  </w:pPr>
                  <w:r>
                    <w:rPr>
                      <w:rFonts w:hint="eastAsia"/>
                      <w:color w:val="auto"/>
                      <w:szCs w:val="21"/>
                      <w:highlight w:val="none"/>
                      <w:lang w:val="en-US" w:eastAsia="zh-CN"/>
                    </w:rPr>
                    <w:t>20m</w:t>
                  </w:r>
                  <w:r>
                    <w:rPr>
                      <w:rFonts w:hint="eastAsia"/>
                      <w:color w:val="auto"/>
                      <w:szCs w:val="21"/>
                      <w:highlight w:val="none"/>
                      <w:vertAlign w:val="superscript"/>
                      <w:lang w:val="en-US" w:eastAsia="zh-CN"/>
                    </w:rPr>
                    <w:t>3</w:t>
                  </w:r>
                </w:p>
              </w:tc>
              <w:tc>
                <w:tcPr>
                  <w:tcW w:w="1230" w:type="pct"/>
                  <w:vAlign w:val="center"/>
                </w:tcPr>
                <w:p w14:paraId="677E93AB">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15</w:t>
                  </w:r>
                </w:p>
              </w:tc>
              <w:tc>
                <w:tcPr>
                  <w:tcW w:w="619" w:type="pct"/>
                  <w:vMerge w:val="restart"/>
                  <w:vAlign w:val="center"/>
                </w:tcPr>
                <w:p w14:paraId="34684325">
                  <w:pPr>
                    <w:keepNext w:val="0"/>
                    <w:keepLines w:val="0"/>
                    <w:suppressLineNumbers w:val="0"/>
                    <w:spacing w:before="0" w:beforeAutospacing="0" w:after="0" w:afterAutospacing="0"/>
                    <w:ind w:left="0" w:right="0"/>
                    <w:jc w:val="center"/>
                    <w:rPr>
                      <w:rFonts w:hint="default"/>
                      <w:color w:val="auto"/>
                      <w:highlight w:val="none"/>
                    </w:rPr>
                  </w:pPr>
                  <w:r>
                    <w:rPr>
                      <w:rFonts w:hint="eastAsia"/>
                      <w:color w:val="auto"/>
                      <w:highlight w:val="none"/>
                    </w:rPr>
                    <w:t>是</w:t>
                  </w:r>
                </w:p>
              </w:tc>
            </w:tr>
            <w:tr w14:paraId="1E06FC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63" w:hRule="atLeast"/>
                <w:jc w:val="center"/>
              </w:trPr>
              <w:tc>
                <w:tcPr>
                  <w:tcW w:w="715" w:type="pct"/>
                  <w:vMerge w:val="continue"/>
                  <w:vAlign w:val="center"/>
                </w:tcPr>
                <w:p w14:paraId="01E68A83">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1423ACEF">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085BCE48">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2" w:leftChars="20" w:right="42" w:rightChars="20"/>
                    <w:textAlignment w:val="auto"/>
                    <w:rPr>
                      <w:rStyle w:val="48"/>
                      <w:rFonts w:hint="eastAsia" w:ascii="Times New Roman" w:hAnsi="Times New Roman" w:eastAsia="宋体" w:cs="Times New Roman"/>
                      <w:color w:val="auto"/>
                      <w:kern w:val="2"/>
                      <w:szCs w:val="24"/>
                      <w:highlight w:val="none"/>
                      <w:lang w:val="en-US" w:eastAsia="zh-CN" w:bidi="ar-SA"/>
                    </w:rPr>
                  </w:pPr>
                  <w:r>
                    <w:rPr>
                      <w:rStyle w:val="48"/>
                      <w:rFonts w:hint="eastAsia" w:ascii="Times New Roman" w:hAnsi="Times New Roman" w:eastAsia="宋体" w:cs="Times New Roman"/>
                      <w:color w:val="auto"/>
                      <w:kern w:val="2"/>
                      <w:szCs w:val="24"/>
                      <w:highlight w:val="none"/>
                      <w:lang w:val="en-US" w:eastAsia="zh-CN" w:bidi="ar-SA"/>
                    </w:rPr>
                    <w:t>氨氮</w:t>
                  </w:r>
                </w:p>
              </w:tc>
              <w:tc>
                <w:tcPr>
                  <w:tcW w:w="723" w:type="pct"/>
                  <w:vMerge w:val="continue"/>
                  <w:vAlign w:val="center"/>
                </w:tcPr>
                <w:p w14:paraId="7A57A0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407E2532">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Align w:val="center"/>
                </w:tcPr>
                <w:p w14:paraId="53F7F463">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3</w:t>
                  </w:r>
                </w:p>
              </w:tc>
              <w:tc>
                <w:tcPr>
                  <w:tcW w:w="619" w:type="pct"/>
                  <w:vMerge w:val="continue"/>
                  <w:vAlign w:val="center"/>
                </w:tcPr>
                <w:p w14:paraId="3D63BC07">
                  <w:pPr>
                    <w:keepNext w:val="0"/>
                    <w:keepLines w:val="0"/>
                    <w:suppressLineNumbers w:val="0"/>
                    <w:spacing w:before="0" w:beforeAutospacing="0" w:after="0" w:afterAutospacing="0"/>
                    <w:ind w:left="0" w:right="0"/>
                    <w:jc w:val="center"/>
                    <w:rPr>
                      <w:rFonts w:hint="eastAsia"/>
                      <w:color w:val="auto"/>
                      <w:highlight w:val="none"/>
                    </w:rPr>
                  </w:pPr>
                </w:p>
              </w:tc>
            </w:tr>
            <w:tr w14:paraId="39E4B0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715" w:type="pct"/>
                  <w:vMerge w:val="continue"/>
                  <w:vAlign w:val="center"/>
                </w:tcPr>
                <w:p w14:paraId="1A4D8435">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70F54FB8">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07F50F0D">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2" w:leftChars="20" w:right="42" w:rightChars="20"/>
                    <w:textAlignment w:val="auto"/>
                    <w:rPr>
                      <w:rStyle w:val="48"/>
                      <w:rFonts w:hint="eastAsia" w:ascii="Times New Roman" w:hAnsi="Times New Roman" w:eastAsia="宋体" w:cs="Times New Roman"/>
                      <w:color w:val="auto"/>
                      <w:kern w:val="2"/>
                      <w:szCs w:val="24"/>
                      <w:highlight w:val="none"/>
                      <w:lang w:val="en-US" w:eastAsia="zh-CN" w:bidi="ar-SA"/>
                    </w:rPr>
                  </w:pPr>
                  <w:r>
                    <w:rPr>
                      <w:rStyle w:val="48"/>
                      <w:rFonts w:hint="eastAsia" w:ascii="Times New Roman" w:hAnsi="Times New Roman" w:eastAsia="宋体" w:cs="Times New Roman"/>
                      <w:color w:val="auto"/>
                      <w:kern w:val="2"/>
                      <w:szCs w:val="24"/>
                      <w:highlight w:val="none"/>
                      <w:lang w:val="en-US" w:eastAsia="zh-CN" w:bidi="ar-SA"/>
                    </w:rPr>
                    <w:t>BOD</w:t>
                  </w:r>
                  <w:r>
                    <w:rPr>
                      <w:rStyle w:val="48"/>
                      <w:rFonts w:hint="eastAsia" w:ascii="Times New Roman" w:hAnsi="Times New Roman" w:eastAsia="宋体" w:cs="Times New Roman"/>
                      <w:color w:val="auto"/>
                      <w:kern w:val="2"/>
                      <w:szCs w:val="24"/>
                      <w:highlight w:val="none"/>
                      <w:vertAlign w:val="subscript"/>
                      <w:lang w:val="en-US" w:eastAsia="zh-CN" w:bidi="ar-SA"/>
                    </w:rPr>
                    <w:t>5</w:t>
                  </w:r>
                </w:p>
              </w:tc>
              <w:tc>
                <w:tcPr>
                  <w:tcW w:w="723" w:type="pct"/>
                  <w:vMerge w:val="continue"/>
                  <w:vAlign w:val="center"/>
                </w:tcPr>
                <w:p w14:paraId="25B692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5BAFC9B7">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Align w:val="center"/>
                </w:tcPr>
                <w:p w14:paraId="44F820E4">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9</w:t>
                  </w:r>
                </w:p>
              </w:tc>
              <w:tc>
                <w:tcPr>
                  <w:tcW w:w="619" w:type="pct"/>
                  <w:vMerge w:val="continue"/>
                  <w:vAlign w:val="center"/>
                </w:tcPr>
                <w:p w14:paraId="669DF155">
                  <w:pPr>
                    <w:keepNext w:val="0"/>
                    <w:keepLines w:val="0"/>
                    <w:suppressLineNumbers w:val="0"/>
                    <w:spacing w:before="0" w:beforeAutospacing="0" w:after="0" w:afterAutospacing="0"/>
                    <w:ind w:left="0" w:right="0"/>
                    <w:jc w:val="center"/>
                    <w:rPr>
                      <w:rFonts w:hint="eastAsia"/>
                      <w:color w:val="auto"/>
                      <w:highlight w:val="none"/>
                    </w:rPr>
                  </w:pPr>
                </w:p>
              </w:tc>
            </w:tr>
            <w:tr w14:paraId="557318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63" w:hRule="atLeast"/>
                <w:jc w:val="center"/>
              </w:trPr>
              <w:tc>
                <w:tcPr>
                  <w:tcW w:w="715" w:type="pct"/>
                  <w:vMerge w:val="continue"/>
                  <w:vAlign w:val="center"/>
                </w:tcPr>
                <w:p w14:paraId="70D1D33D">
                  <w:pPr>
                    <w:keepNext w:val="0"/>
                    <w:keepLines w:val="0"/>
                    <w:suppressLineNumbers w:val="0"/>
                    <w:spacing w:before="0" w:beforeAutospacing="0" w:after="0" w:afterAutospacing="0"/>
                    <w:ind w:left="0" w:right="0"/>
                    <w:jc w:val="center"/>
                    <w:rPr>
                      <w:rFonts w:hint="eastAsia"/>
                      <w:color w:val="auto"/>
                      <w:highlight w:val="none"/>
                      <w:lang w:val="en-US" w:eastAsia="zh-CN"/>
                    </w:rPr>
                  </w:pPr>
                </w:p>
              </w:tc>
              <w:tc>
                <w:tcPr>
                  <w:tcW w:w="588" w:type="pct"/>
                  <w:vMerge w:val="continue"/>
                  <w:vAlign w:val="center"/>
                </w:tcPr>
                <w:p w14:paraId="321752CF">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644" w:type="pct"/>
                  <w:vAlign w:val="center"/>
                </w:tcPr>
                <w:p w14:paraId="0B9AB3EF">
                  <w:pPr>
                    <w:pStyle w:val="3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42" w:leftChars="20" w:right="42" w:rightChars="20"/>
                    <w:textAlignment w:val="auto"/>
                    <w:rPr>
                      <w:rStyle w:val="48"/>
                      <w:rFonts w:hint="eastAsia" w:ascii="Times New Roman" w:hAnsi="Times New Roman" w:eastAsia="宋体" w:cs="Times New Roman"/>
                      <w:color w:val="auto"/>
                      <w:kern w:val="2"/>
                      <w:szCs w:val="24"/>
                      <w:highlight w:val="none"/>
                      <w:lang w:val="en-US" w:eastAsia="zh-CN" w:bidi="ar-SA"/>
                    </w:rPr>
                  </w:pPr>
                  <w:r>
                    <w:rPr>
                      <w:rStyle w:val="48"/>
                      <w:rFonts w:hint="eastAsia" w:ascii="Times New Roman" w:hAnsi="Times New Roman" w:eastAsia="宋体" w:cs="Times New Roman"/>
                      <w:color w:val="auto"/>
                      <w:kern w:val="2"/>
                      <w:szCs w:val="24"/>
                      <w:highlight w:val="none"/>
                      <w:lang w:val="en-US" w:eastAsia="zh-CN" w:bidi="ar-SA"/>
                    </w:rPr>
                    <w:t>SS</w:t>
                  </w:r>
                </w:p>
              </w:tc>
              <w:tc>
                <w:tcPr>
                  <w:tcW w:w="723" w:type="pct"/>
                  <w:vMerge w:val="continue"/>
                  <w:vAlign w:val="center"/>
                </w:tcPr>
                <w:p w14:paraId="5FF96E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63" w:leftChars="30" w:right="63" w:rightChars="30"/>
                    <w:jc w:val="center"/>
                    <w:textAlignment w:val="auto"/>
                    <w:rPr>
                      <w:rFonts w:hint="eastAsia"/>
                      <w:color w:val="auto"/>
                      <w:highlight w:val="none"/>
                      <w:lang w:val="en-US" w:eastAsia="zh-CN"/>
                    </w:rPr>
                  </w:pPr>
                </w:p>
              </w:tc>
              <w:tc>
                <w:tcPr>
                  <w:tcW w:w="477" w:type="pct"/>
                  <w:vMerge w:val="continue"/>
                  <w:vAlign w:val="center"/>
                </w:tcPr>
                <w:p w14:paraId="5B6CDF4E">
                  <w:pPr>
                    <w:keepNext w:val="0"/>
                    <w:keepLines w:val="0"/>
                    <w:suppressLineNumbers w:val="0"/>
                    <w:adjustRightInd w:val="0"/>
                    <w:snapToGrid w:val="0"/>
                    <w:spacing w:before="0" w:beforeAutospacing="0" w:after="0" w:afterAutospacing="0"/>
                    <w:ind w:left="420" w:right="0" w:hanging="420"/>
                    <w:jc w:val="center"/>
                    <w:rPr>
                      <w:rFonts w:hint="eastAsia"/>
                      <w:color w:val="auto"/>
                      <w:szCs w:val="21"/>
                      <w:highlight w:val="none"/>
                      <w:lang w:val="en-US" w:eastAsia="zh-CN"/>
                    </w:rPr>
                  </w:pPr>
                </w:p>
              </w:tc>
              <w:tc>
                <w:tcPr>
                  <w:tcW w:w="1230" w:type="pct"/>
                  <w:vAlign w:val="center"/>
                </w:tcPr>
                <w:p w14:paraId="6F8C1E79">
                  <w:pPr>
                    <w:keepNext w:val="0"/>
                    <w:keepLines w:val="0"/>
                    <w:suppressLineNumbers w:val="0"/>
                    <w:adjustRightInd w:val="0"/>
                    <w:snapToGrid w:val="0"/>
                    <w:spacing w:before="0" w:beforeAutospacing="0" w:after="0" w:afterAutospacing="0"/>
                    <w:ind w:left="420" w:right="0" w:hanging="420"/>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619" w:type="pct"/>
                  <w:vMerge w:val="continue"/>
                  <w:vAlign w:val="center"/>
                </w:tcPr>
                <w:p w14:paraId="41A7000F">
                  <w:pPr>
                    <w:keepNext w:val="0"/>
                    <w:keepLines w:val="0"/>
                    <w:suppressLineNumbers w:val="0"/>
                    <w:spacing w:before="0" w:beforeAutospacing="0" w:after="0" w:afterAutospacing="0"/>
                    <w:ind w:left="0" w:right="0"/>
                    <w:jc w:val="center"/>
                    <w:rPr>
                      <w:rFonts w:hint="eastAsia"/>
                      <w:color w:val="auto"/>
                      <w:highlight w:val="none"/>
                    </w:rPr>
                  </w:pPr>
                </w:p>
              </w:tc>
            </w:tr>
            <w:tr w14:paraId="04066C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69" w:hRule="exact"/>
                <w:jc w:val="center"/>
              </w:trPr>
              <w:tc>
                <w:tcPr>
                  <w:tcW w:w="5000" w:type="pct"/>
                  <w:gridSpan w:val="7"/>
                  <w:vAlign w:val="center"/>
                </w:tcPr>
                <w:p w14:paraId="0D73F281">
                  <w:pPr>
                    <w:keepNext w:val="0"/>
                    <w:keepLines w:val="0"/>
                    <w:suppressLineNumbers w:val="0"/>
                    <w:spacing w:before="0" w:beforeAutospacing="0" w:after="0" w:afterAutospacing="0"/>
                    <w:ind w:left="0" w:right="0"/>
                    <w:jc w:val="both"/>
                    <w:rPr>
                      <w:rFonts w:hint="eastAsia"/>
                      <w:b/>
                      <w:bCs/>
                      <w:color w:val="auto"/>
                      <w:sz w:val="18"/>
                      <w:szCs w:val="18"/>
                      <w:highlight w:val="none"/>
                      <w:lang w:val="en-US" w:eastAsia="zh-CN"/>
                    </w:rPr>
                  </w:pPr>
                  <w:bookmarkStart w:id="95" w:name="_Ref32669"/>
                  <w:r>
                    <w:rPr>
                      <w:rFonts w:hint="eastAsia"/>
                      <w:b/>
                      <w:bCs/>
                      <w:color w:val="auto"/>
                      <w:sz w:val="18"/>
                      <w:szCs w:val="21"/>
                      <w:highlight w:val="none"/>
                      <w:lang w:val="en-US" w:eastAsia="zh-CN"/>
                    </w:rPr>
                    <w:t>注：①</w:t>
                  </w:r>
                  <w:r>
                    <w:rPr>
                      <w:rFonts w:hint="eastAsia"/>
                      <w:b/>
                      <w:bCs/>
                      <w:color w:val="auto"/>
                      <w:sz w:val="18"/>
                      <w:szCs w:val="18"/>
                      <w:highlight w:val="none"/>
                    </w:rPr>
                    <w:t>实验室废水（W1~W4）</w:t>
                  </w:r>
                  <w:r>
                    <w:rPr>
                      <w:rFonts w:hint="eastAsia"/>
                      <w:b/>
                      <w:bCs/>
                      <w:color w:val="auto"/>
                      <w:sz w:val="18"/>
                      <w:szCs w:val="21"/>
                      <w:highlight w:val="none"/>
                      <w:lang w:val="en-US" w:eastAsia="zh-CN"/>
                    </w:rPr>
                    <w:t>先经过</w:t>
                  </w:r>
                  <w:r>
                    <w:rPr>
                      <w:rFonts w:hint="eastAsia"/>
                      <w:b/>
                      <w:bCs/>
                      <w:color w:val="auto"/>
                      <w:sz w:val="18"/>
                      <w:szCs w:val="18"/>
                      <w:highlight w:val="none"/>
                      <w:lang w:val="en-US" w:eastAsia="zh-CN"/>
                    </w:rPr>
                    <w:t>污水处理设施处理后再与生活污水（W5）一同排入化粪池。</w:t>
                  </w:r>
                </w:p>
                <w:p w14:paraId="77460F9E">
                  <w:pPr>
                    <w:pStyle w:val="2"/>
                    <w:keepNext w:val="0"/>
                    <w:keepLines w:val="0"/>
                    <w:suppressLineNumbers w:val="0"/>
                    <w:spacing w:before="0" w:beforeAutospacing="0" w:after="0" w:afterAutospacing="0"/>
                    <w:ind w:left="0" w:right="0" w:firstLine="361" w:firstLineChars="200"/>
                    <w:rPr>
                      <w:rFonts w:hint="default"/>
                      <w:color w:val="auto"/>
                      <w:lang w:val="en-US" w:eastAsia="zh-CN"/>
                    </w:rPr>
                  </w:pPr>
                  <w:r>
                    <w:rPr>
                      <w:rFonts w:hint="eastAsia"/>
                      <w:b/>
                      <w:bCs/>
                      <w:color w:val="auto"/>
                      <w:lang w:val="en-US" w:eastAsia="zh-CN"/>
                    </w:rPr>
                    <w:t>②项目实验主要为一般实验，不涉及重金属实验，清洗废水不含重金属。</w:t>
                  </w:r>
                </w:p>
              </w:tc>
            </w:tr>
          </w:tbl>
          <w:p w14:paraId="61F783CF">
            <w:pPr>
              <w:pStyle w:val="35"/>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ind w:right="0"/>
              <w:textAlignment w:val="auto"/>
              <w:rPr>
                <w:rFonts w:hint="default"/>
                <w:color w:val="auto"/>
                <w:highlight w:val="none"/>
              </w:rPr>
            </w:pPr>
            <w:r>
              <w:rPr>
                <w:rFonts w:hint="eastAsia"/>
                <w:color w:val="auto"/>
                <w:highlight w:val="none"/>
                <w:lang w:val="en-US" w:eastAsia="zh-CN"/>
              </w:rPr>
              <w:t>项目废水</w:t>
            </w:r>
            <w:r>
              <w:rPr>
                <w:rFonts w:hint="eastAsia"/>
                <w:color w:val="auto"/>
                <w:highlight w:val="none"/>
              </w:rPr>
              <w:t>污染物</w:t>
            </w:r>
            <w:r>
              <w:rPr>
                <w:rFonts w:hint="eastAsia"/>
                <w:color w:val="auto"/>
                <w:highlight w:val="none"/>
                <w:lang w:val="en-US" w:eastAsia="zh-CN"/>
              </w:rPr>
              <w:t>产排情况</w:t>
            </w:r>
            <w:r>
              <w:rPr>
                <w:rFonts w:hint="eastAsia"/>
                <w:color w:val="auto"/>
                <w:highlight w:val="none"/>
              </w:rPr>
              <w:t>一览表</w:t>
            </w:r>
            <w:bookmarkEnd w:id="95"/>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61"/>
              <w:gridCol w:w="1159"/>
              <w:gridCol w:w="1177"/>
              <w:gridCol w:w="1038"/>
              <w:gridCol w:w="1154"/>
              <w:gridCol w:w="1045"/>
              <w:gridCol w:w="1298"/>
            </w:tblGrid>
            <w:tr w14:paraId="0C0FAE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75" w:type="pct"/>
                  <w:vMerge w:val="restart"/>
                  <w:tcBorders>
                    <w:top w:val="single" w:color="auto" w:sz="12" w:space="0"/>
                    <w:bottom w:val="single" w:color="auto" w:sz="4" w:space="0"/>
                    <w:right w:val="single" w:color="auto" w:sz="4" w:space="0"/>
                  </w:tcBorders>
                  <w:vAlign w:val="center"/>
                </w:tcPr>
                <w:p w14:paraId="3A988E7A">
                  <w:pPr>
                    <w:keepNext w:val="0"/>
                    <w:keepLines w:val="0"/>
                    <w:suppressLineNumbers w:val="0"/>
                    <w:spacing w:before="0" w:beforeAutospacing="0" w:after="0" w:afterAutospacing="0"/>
                    <w:ind w:left="0" w:right="0"/>
                    <w:jc w:val="center"/>
                    <w:rPr>
                      <w:rFonts w:hint="default"/>
                      <w:b w:val="0"/>
                      <w:bCs w:val="0"/>
                      <w:color w:val="auto"/>
                      <w:szCs w:val="21"/>
                      <w:highlight w:val="none"/>
                    </w:rPr>
                  </w:pPr>
                  <w:r>
                    <w:rPr>
                      <w:rFonts w:hint="eastAsia"/>
                      <w:b w:val="0"/>
                      <w:bCs w:val="0"/>
                      <w:color w:val="auto"/>
                      <w:highlight w:val="none"/>
                    </w:rPr>
                    <w:t>污染源</w:t>
                  </w:r>
                </w:p>
              </w:tc>
              <w:tc>
                <w:tcPr>
                  <w:tcW w:w="712" w:type="pct"/>
                  <w:vMerge w:val="restart"/>
                  <w:tcBorders>
                    <w:top w:val="single" w:color="auto" w:sz="12" w:space="0"/>
                    <w:left w:val="single" w:color="auto" w:sz="4" w:space="0"/>
                    <w:bottom w:val="single" w:color="auto" w:sz="4" w:space="0"/>
                    <w:right w:val="single" w:color="auto" w:sz="4" w:space="0"/>
                  </w:tcBorders>
                  <w:vAlign w:val="center"/>
                </w:tcPr>
                <w:p w14:paraId="4538E86F">
                  <w:pPr>
                    <w:keepNext w:val="0"/>
                    <w:keepLines w:val="0"/>
                    <w:suppressLineNumbers w:val="0"/>
                    <w:spacing w:before="0" w:beforeAutospacing="0" w:after="0" w:afterAutospacing="0"/>
                    <w:ind w:left="0" w:right="0"/>
                    <w:jc w:val="center"/>
                    <w:rPr>
                      <w:rFonts w:hint="eastAsia"/>
                      <w:b w:val="0"/>
                      <w:bCs w:val="0"/>
                      <w:color w:val="auto"/>
                      <w:szCs w:val="21"/>
                      <w:highlight w:val="none"/>
                    </w:rPr>
                  </w:pPr>
                  <w:r>
                    <w:rPr>
                      <w:rFonts w:hint="eastAsia"/>
                      <w:b w:val="0"/>
                      <w:bCs w:val="0"/>
                      <w:color w:val="auto"/>
                      <w:szCs w:val="21"/>
                      <w:highlight w:val="none"/>
                    </w:rPr>
                    <w:t>污染物</w:t>
                  </w:r>
                </w:p>
                <w:p w14:paraId="07D4DC8A">
                  <w:pPr>
                    <w:keepNext w:val="0"/>
                    <w:keepLines w:val="0"/>
                    <w:suppressLineNumbers w:val="0"/>
                    <w:spacing w:before="0" w:beforeAutospacing="0" w:after="0" w:afterAutospacing="0"/>
                    <w:ind w:left="0" w:right="0"/>
                    <w:jc w:val="center"/>
                    <w:rPr>
                      <w:rFonts w:hint="eastAsia" w:eastAsia="宋体"/>
                      <w:b w:val="0"/>
                      <w:bCs w:val="0"/>
                      <w:color w:val="auto"/>
                      <w:szCs w:val="21"/>
                      <w:highlight w:val="none"/>
                      <w:lang w:val="en-US" w:eastAsia="zh-CN"/>
                    </w:rPr>
                  </w:pPr>
                  <w:r>
                    <w:rPr>
                      <w:rFonts w:hint="eastAsia"/>
                      <w:b w:val="0"/>
                      <w:bCs w:val="0"/>
                      <w:color w:val="auto"/>
                      <w:szCs w:val="21"/>
                      <w:highlight w:val="none"/>
                      <w:lang w:val="en-US" w:eastAsia="zh-CN"/>
                    </w:rPr>
                    <w:t>种类</w:t>
                  </w:r>
                </w:p>
              </w:tc>
              <w:tc>
                <w:tcPr>
                  <w:tcW w:w="1361" w:type="pct"/>
                  <w:gridSpan w:val="2"/>
                  <w:tcBorders>
                    <w:top w:val="single" w:color="auto" w:sz="12" w:space="0"/>
                    <w:left w:val="single" w:color="auto" w:sz="4" w:space="0"/>
                    <w:right w:val="single" w:color="auto" w:sz="4" w:space="0"/>
                  </w:tcBorders>
                  <w:vAlign w:val="center"/>
                </w:tcPr>
                <w:p w14:paraId="68207E1C">
                  <w:pPr>
                    <w:keepNext w:val="0"/>
                    <w:keepLines w:val="0"/>
                    <w:suppressLineNumbers w:val="0"/>
                    <w:spacing w:before="0" w:beforeAutospacing="0" w:after="0" w:afterAutospacing="0"/>
                    <w:ind w:left="0" w:right="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产生情况</w:t>
                  </w:r>
                </w:p>
              </w:tc>
              <w:tc>
                <w:tcPr>
                  <w:tcW w:w="1352" w:type="pct"/>
                  <w:gridSpan w:val="2"/>
                  <w:tcBorders>
                    <w:top w:val="single" w:color="auto" w:sz="12" w:space="0"/>
                    <w:left w:val="single" w:color="auto" w:sz="4" w:space="0"/>
                    <w:right w:val="single" w:color="auto" w:sz="4" w:space="0"/>
                  </w:tcBorders>
                  <w:vAlign w:val="center"/>
                </w:tcPr>
                <w:p w14:paraId="423F9A65">
                  <w:pPr>
                    <w:keepNext w:val="0"/>
                    <w:keepLines w:val="0"/>
                    <w:suppressLineNumbers w:val="0"/>
                    <w:spacing w:before="0" w:beforeAutospacing="0" w:after="0" w:afterAutospacing="0"/>
                    <w:ind w:left="0" w:right="0"/>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排放情况</w:t>
                  </w:r>
                </w:p>
              </w:tc>
              <w:tc>
                <w:tcPr>
                  <w:tcW w:w="798" w:type="pct"/>
                  <w:vMerge w:val="restart"/>
                  <w:tcBorders>
                    <w:top w:val="single" w:color="auto" w:sz="12" w:space="0"/>
                    <w:left w:val="single" w:color="auto" w:sz="4" w:space="0"/>
                    <w:right w:val="nil"/>
                  </w:tcBorders>
                  <w:vAlign w:val="center"/>
                </w:tcPr>
                <w:p w14:paraId="75C15147">
                  <w:pPr>
                    <w:keepNext w:val="0"/>
                    <w:keepLines w:val="0"/>
                    <w:suppressLineNumbers w:val="0"/>
                    <w:spacing w:before="0" w:beforeAutospacing="0" w:after="0" w:afterAutospacing="0"/>
                    <w:ind w:left="0" w:right="0"/>
                    <w:jc w:val="center"/>
                    <w:rPr>
                      <w:rFonts w:hint="eastAsia" w:eastAsia="宋体"/>
                      <w:b w:val="0"/>
                      <w:bCs w:val="0"/>
                      <w:color w:val="auto"/>
                      <w:szCs w:val="21"/>
                      <w:highlight w:val="none"/>
                      <w:lang w:eastAsia="zh-CN"/>
                    </w:rPr>
                  </w:pPr>
                  <w:r>
                    <w:rPr>
                      <w:rFonts w:hint="eastAsia"/>
                      <w:b w:val="0"/>
                      <w:bCs w:val="0"/>
                      <w:color w:val="auto"/>
                      <w:szCs w:val="21"/>
                      <w:highlight w:val="none"/>
                    </w:rPr>
                    <w:t>排放浓度</w:t>
                  </w:r>
                  <w:r>
                    <w:rPr>
                      <w:rFonts w:hint="eastAsia"/>
                      <w:b w:val="0"/>
                      <w:bCs w:val="0"/>
                      <w:color w:val="auto"/>
                      <w:szCs w:val="21"/>
                      <w:highlight w:val="none"/>
                      <w:lang w:val="en-US" w:eastAsia="zh-CN"/>
                    </w:rPr>
                    <w:t>限值</w:t>
                  </w:r>
                  <w:r>
                    <w:rPr>
                      <w:rFonts w:hint="default"/>
                      <w:b w:val="0"/>
                      <w:bCs w:val="0"/>
                      <w:color w:val="auto"/>
                      <w:szCs w:val="21"/>
                      <w:highlight w:val="none"/>
                    </w:rPr>
                    <w:t>mg/m</w:t>
                  </w:r>
                  <w:r>
                    <w:rPr>
                      <w:rFonts w:hint="default"/>
                      <w:b w:val="0"/>
                      <w:bCs w:val="0"/>
                      <w:color w:val="auto"/>
                      <w:szCs w:val="21"/>
                      <w:highlight w:val="none"/>
                      <w:vertAlign w:val="superscript"/>
                    </w:rPr>
                    <w:t>3</w:t>
                  </w:r>
                </w:p>
              </w:tc>
            </w:tr>
            <w:tr w14:paraId="339AD8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75" w:type="pct"/>
                  <w:vMerge w:val="continue"/>
                  <w:tcBorders>
                    <w:top w:val="single" w:color="auto" w:sz="12" w:space="0"/>
                    <w:bottom w:val="single" w:color="auto" w:sz="4" w:space="0"/>
                    <w:right w:val="single" w:color="auto" w:sz="4" w:space="0"/>
                  </w:tcBorders>
                  <w:vAlign w:val="center"/>
                </w:tcPr>
                <w:p w14:paraId="6A4C3DAC">
                  <w:pPr>
                    <w:keepNext w:val="0"/>
                    <w:keepLines w:val="0"/>
                    <w:widowControl/>
                    <w:suppressLineNumbers w:val="0"/>
                    <w:spacing w:before="0" w:beforeAutospacing="0" w:after="0" w:afterAutospacing="0"/>
                    <w:ind w:left="0" w:right="0"/>
                    <w:jc w:val="left"/>
                    <w:rPr>
                      <w:rFonts w:hint="default"/>
                      <w:b w:val="0"/>
                      <w:bCs w:val="0"/>
                      <w:color w:val="auto"/>
                      <w:spacing w:val="4"/>
                      <w:kern w:val="0"/>
                      <w:szCs w:val="21"/>
                      <w:highlight w:val="none"/>
                    </w:rPr>
                  </w:pPr>
                </w:p>
              </w:tc>
              <w:tc>
                <w:tcPr>
                  <w:tcW w:w="712" w:type="pct"/>
                  <w:vMerge w:val="continue"/>
                  <w:tcBorders>
                    <w:top w:val="single" w:color="auto" w:sz="12" w:space="0"/>
                    <w:left w:val="single" w:color="auto" w:sz="4" w:space="0"/>
                    <w:bottom w:val="single" w:color="auto" w:sz="4" w:space="0"/>
                    <w:right w:val="single" w:color="auto" w:sz="4" w:space="0"/>
                  </w:tcBorders>
                  <w:vAlign w:val="center"/>
                </w:tcPr>
                <w:p w14:paraId="2604095F">
                  <w:pPr>
                    <w:keepNext w:val="0"/>
                    <w:keepLines w:val="0"/>
                    <w:widowControl/>
                    <w:suppressLineNumbers w:val="0"/>
                    <w:spacing w:before="0" w:beforeAutospacing="0" w:after="0" w:afterAutospacing="0"/>
                    <w:ind w:left="0" w:right="0"/>
                    <w:jc w:val="left"/>
                    <w:rPr>
                      <w:rFonts w:hint="default"/>
                      <w:b w:val="0"/>
                      <w:bCs w:val="0"/>
                      <w:color w:val="auto"/>
                      <w:spacing w:val="4"/>
                      <w:kern w:val="0"/>
                      <w:szCs w:val="21"/>
                      <w:highlight w:val="none"/>
                    </w:rPr>
                  </w:pPr>
                </w:p>
              </w:tc>
              <w:tc>
                <w:tcPr>
                  <w:tcW w:w="723" w:type="pct"/>
                  <w:tcBorders>
                    <w:left w:val="single" w:color="auto" w:sz="4" w:space="0"/>
                    <w:bottom w:val="single" w:color="auto" w:sz="4" w:space="0"/>
                    <w:right w:val="single" w:color="auto" w:sz="4" w:space="0"/>
                  </w:tcBorders>
                  <w:vAlign w:val="center"/>
                </w:tcPr>
                <w:p w14:paraId="3CCED052">
                  <w:pPr>
                    <w:keepNext w:val="0"/>
                    <w:keepLines w:val="0"/>
                    <w:suppressLineNumbers w:val="0"/>
                    <w:spacing w:before="0" w:beforeAutospacing="0" w:after="0" w:afterAutospacing="0"/>
                    <w:ind w:left="0" w:right="0"/>
                    <w:jc w:val="center"/>
                    <w:rPr>
                      <w:rFonts w:hint="default"/>
                      <w:b w:val="0"/>
                      <w:bCs w:val="0"/>
                      <w:color w:val="auto"/>
                      <w:szCs w:val="21"/>
                      <w:highlight w:val="none"/>
                      <w:lang w:val="en-US"/>
                    </w:rPr>
                  </w:pPr>
                  <w:r>
                    <w:rPr>
                      <w:rFonts w:hint="eastAsia"/>
                      <w:b w:val="0"/>
                      <w:bCs w:val="0"/>
                      <w:color w:val="auto"/>
                      <w:szCs w:val="21"/>
                      <w:highlight w:val="none"/>
                      <w:lang w:val="en-US" w:eastAsia="zh-CN"/>
                    </w:rPr>
                    <w:t>产生浓度mg/L</w:t>
                  </w:r>
                </w:p>
              </w:tc>
              <w:tc>
                <w:tcPr>
                  <w:tcW w:w="638" w:type="pct"/>
                  <w:tcBorders>
                    <w:left w:val="single" w:color="auto" w:sz="4" w:space="0"/>
                    <w:bottom w:val="single" w:color="auto" w:sz="4" w:space="0"/>
                    <w:right w:val="single" w:color="auto" w:sz="4" w:space="0"/>
                  </w:tcBorders>
                  <w:vAlign w:val="center"/>
                </w:tcPr>
                <w:p w14:paraId="162D1E6A">
                  <w:pPr>
                    <w:keepNext w:val="0"/>
                    <w:keepLines w:val="0"/>
                    <w:suppressLineNumbers w:val="0"/>
                    <w:spacing w:before="0" w:beforeAutospacing="0" w:after="0" w:afterAutospacing="0"/>
                    <w:ind w:left="0" w:right="0"/>
                    <w:jc w:val="center"/>
                    <w:rPr>
                      <w:rFonts w:hint="eastAsia"/>
                      <w:b w:val="0"/>
                      <w:bCs w:val="0"/>
                      <w:color w:val="auto"/>
                      <w:szCs w:val="21"/>
                      <w:highlight w:val="none"/>
                      <w:lang w:val="en-US" w:eastAsia="zh-CN"/>
                    </w:rPr>
                  </w:pPr>
                  <w:r>
                    <w:rPr>
                      <w:rFonts w:hint="eastAsia"/>
                      <w:b w:val="0"/>
                      <w:bCs w:val="0"/>
                      <w:color w:val="auto"/>
                      <w:szCs w:val="21"/>
                      <w:highlight w:val="none"/>
                      <w:lang w:val="en-US" w:eastAsia="zh-CN"/>
                    </w:rPr>
                    <w:t>产生量</w:t>
                  </w:r>
                </w:p>
                <w:p w14:paraId="4EAF37BF">
                  <w:pPr>
                    <w:keepNext w:val="0"/>
                    <w:keepLines w:val="0"/>
                    <w:suppressLineNumbers w:val="0"/>
                    <w:spacing w:before="0" w:beforeAutospacing="0" w:after="0" w:afterAutospacing="0"/>
                    <w:ind w:left="0" w:right="0"/>
                    <w:jc w:val="center"/>
                    <w:rPr>
                      <w:rFonts w:hint="default" w:eastAsia="宋体"/>
                      <w:b w:val="0"/>
                      <w:bCs w:val="0"/>
                      <w:color w:val="auto"/>
                      <w:szCs w:val="21"/>
                      <w:highlight w:val="none"/>
                      <w:lang w:val="en-US" w:eastAsia="zh-CN"/>
                    </w:rPr>
                  </w:pPr>
                  <w:r>
                    <w:rPr>
                      <w:rFonts w:hint="eastAsia"/>
                      <w:b w:val="0"/>
                      <w:bCs w:val="0"/>
                      <w:color w:val="auto"/>
                      <w:szCs w:val="21"/>
                      <w:highlight w:val="none"/>
                      <w:lang w:val="en-US" w:eastAsia="zh-CN"/>
                    </w:rPr>
                    <w:t>t/a</w:t>
                  </w:r>
                </w:p>
              </w:tc>
              <w:tc>
                <w:tcPr>
                  <w:tcW w:w="709" w:type="pct"/>
                  <w:tcBorders>
                    <w:top w:val="single" w:color="auto" w:sz="4" w:space="0"/>
                    <w:left w:val="single" w:color="auto" w:sz="4" w:space="0"/>
                    <w:bottom w:val="single" w:color="auto" w:sz="4" w:space="0"/>
                    <w:right w:val="single" w:color="auto" w:sz="4" w:space="0"/>
                  </w:tcBorders>
                  <w:vAlign w:val="center"/>
                </w:tcPr>
                <w:p w14:paraId="6DD4A4A8">
                  <w:pPr>
                    <w:keepNext w:val="0"/>
                    <w:keepLines w:val="0"/>
                    <w:suppressLineNumbers w:val="0"/>
                    <w:spacing w:before="0" w:beforeAutospacing="0" w:after="0" w:afterAutospacing="0"/>
                    <w:ind w:left="0" w:right="0"/>
                    <w:jc w:val="center"/>
                    <w:rPr>
                      <w:rFonts w:hint="default" w:ascii="Times New Roman" w:hAnsi="Times New Roman" w:eastAsia="宋体" w:cs="Times New Roman"/>
                      <w:b w:val="0"/>
                      <w:bCs w:val="0"/>
                      <w:color w:val="auto"/>
                      <w:szCs w:val="21"/>
                      <w:highlight w:val="none"/>
                      <w:lang w:val="en-US" w:eastAsia="zh-CN"/>
                    </w:rPr>
                  </w:pPr>
                  <w:r>
                    <w:rPr>
                      <w:rFonts w:hint="eastAsia"/>
                      <w:b w:val="0"/>
                      <w:bCs w:val="0"/>
                      <w:color w:val="auto"/>
                      <w:szCs w:val="21"/>
                      <w:highlight w:val="none"/>
                      <w:lang w:val="en-US" w:eastAsia="zh-CN"/>
                    </w:rPr>
                    <w:t>排放浓度mg/L</w:t>
                  </w:r>
                </w:p>
              </w:tc>
              <w:tc>
                <w:tcPr>
                  <w:tcW w:w="642" w:type="pct"/>
                  <w:tcBorders>
                    <w:top w:val="single" w:color="auto" w:sz="4" w:space="0"/>
                    <w:left w:val="single" w:color="auto" w:sz="4" w:space="0"/>
                    <w:bottom w:val="single" w:color="auto" w:sz="4" w:space="0"/>
                    <w:right w:val="single" w:color="auto" w:sz="4" w:space="0"/>
                  </w:tcBorders>
                  <w:vAlign w:val="center"/>
                </w:tcPr>
                <w:p w14:paraId="701429DA">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排放量</w:t>
                  </w:r>
                </w:p>
                <w:p w14:paraId="50D00A13">
                  <w:pPr>
                    <w:keepNext w:val="0"/>
                    <w:keepLines w:val="0"/>
                    <w:suppressLineNumbers w:val="0"/>
                    <w:spacing w:before="0" w:beforeAutospacing="0" w:after="0" w:afterAutospacing="0"/>
                    <w:ind w:left="0" w:right="0"/>
                    <w:jc w:val="center"/>
                    <w:rPr>
                      <w:rFonts w:hint="eastAsia" w:ascii="Times New Roman" w:hAnsi="Times New Roman" w:eastAsia="宋体" w:cs="Times New Roman"/>
                      <w:b w:val="0"/>
                      <w:bCs w:val="0"/>
                      <w:color w:val="auto"/>
                      <w:szCs w:val="21"/>
                      <w:highlight w:val="none"/>
                    </w:rPr>
                  </w:pPr>
                  <w:r>
                    <w:rPr>
                      <w:rFonts w:hint="eastAsia" w:ascii="Times New Roman" w:hAnsi="Times New Roman" w:eastAsia="宋体" w:cs="Times New Roman"/>
                      <w:b w:val="0"/>
                      <w:bCs w:val="0"/>
                      <w:color w:val="auto"/>
                      <w:szCs w:val="21"/>
                      <w:highlight w:val="none"/>
                    </w:rPr>
                    <w:t>t/a</w:t>
                  </w:r>
                </w:p>
              </w:tc>
              <w:tc>
                <w:tcPr>
                  <w:tcW w:w="798" w:type="pct"/>
                  <w:vMerge w:val="continue"/>
                  <w:tcBorders>
                    <w:left w:val="single" w:color="auto" w:sz="4" w:space="0"/>
                    <w:bottom w:val="single" w:color="auto" w:sz="4" w:space="0"/>
                    <w:right w:val="nil"/>
                  </w:tcBorders>
                  <w:vAlign w:val="center"/>
                </w:tcPr>
                <w:p w14:paraId="7A7F2240">
                  <w:pPr>
                    <w:keepNext w:val="0"/>
                    <w:keepLines w:val="0"/>
                    <w:suppressLineNumbers w:val="0"/>
                    <w:spacing w:before="0" w:beforeAutospacing="0" w:after="0" w:afterAutospacing="0"/>
                    <w:ind w:left="0" w:right="0"/>
                    <w:jc w:val="center"/>
                    <w:rPr>
                      <w:rFonts w:hint="default" w:eastAsia="宋体"/>
                      <w:b w:val="0"/>
                      <w:bCs w:val="0"/>
                      <w:color w:val="auto"/>
                      <w:szCs w:val="21"/>
                      <w:highlight w:val="none"/>
                      <w:lang w:val="en-US" w:eastAsia="zh-CN"/>
                    </w:rPr>
                  </w:pPr>
                </w:p>
              </w:tc>
            </w:tr>
            <w:tr w14:paraId="6B642F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5" w:type="pct"/>
                  <w:vMerge w:val="restart"/>
                  <w:tcBorders>
                    <w:right w:val="single" w:color="auto" w:sz="4" w:space="0"/>
                  </w:tcBorders>
                  <w:vAlign w:val="center"/>
                </w:tcPr>
                <w:p w14:paraId="6C61B6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color w:val="auto"/>
                      <w:highlight w:val="none"/>
                      <w:lang w:val="en-US" w:eastAsia="zh-CN"/>
                    </w:rPr>
                    <w:t>综合废水</w:t>
                  </w:r>
                  <w:r>
                    <w:rPr>
                      <w:rFonts w:hint="eastAsia" w:ascii="Times New Roman" w:hAnsi="Times New Roman" w:eastAsia="宋体" w:cs="Times New Roman"/>
                      <w:b w:val="0"/>
                      <w:bCs w:val="0"/>
                      <w:color w:val="auto"/>
                      <w:szCs w:val="21"/>
                      <w:highlight w:val="none"/>
                      <w:lang w:val="en-US" w:eastAsia="zh-CN"/>
                    </w:rPr>
                    <w:t>DW001</w:t>
                  </w:r>
                </w:p>
              </w:tc>
              <w:tc>
                <w:tcPr>
                  <w:tcW w:w="712" w:type="pct"/>
                  <w:tcBorders>
                    <w:top w:val="single" w:color="auto" w:sz="4" w:space="0"/>
                    <w:left w:val="single" w:color="auto" w:sz="4" w:space="0"/>
                    <w:bottom w:val="single" w:color="auto" w:sz="4" w:space="0"/>
                    <w:right w:val="single" w:color="auto" w:sz="4" w:space="0"/>
                  </w:tcBorders>
                  <w:vAlign w:val="center"/>
                </w:tcPr>
                <w:p w14:paraId="7C9765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废水量</w:t>
                  </w:r>
                </w:p>
              </w:tc>
              <w:tc>
                <w:tcPr>
                  <w:tcW w:w="1177" w:type="dxa"/>
                  <w:tcBorders>
                    <w:top w:val="single" w:color="auto" w:sz="4" w:space="0"/>
                    <w:left w:val="single" w:color="auto" w:sz="4" w:space="0"/>
                    <w:bottom w:val="single" w:color="auto" w:sz="4" w:space="0"/>
                    <w:right w:val="single" w:color="auto" w:sz="4" w:space="0"/>
                  </w:tcBorders>
                  <w:vAlign w:val="center"/>
                </w:tcPr>
                <w:p w14:paraId="5951317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w:t>
                  </w:r>
                </w:p>
              </w:tc>
              <w:tc>
                <w:tcPr>
                  <w:tcW w:w="1038" w:type="dxa"/>
                  <w:tcBorders>
                    <w:top w:val="single" w:color="auto" w:sz="4" w:space="0"/>
                    <w:left w:val="single" w:color="auto" w:sz="4" w:space="0"/>
                    <w:bottom w:val="single" w:color="auto" w:sz="4" w:space="0"/>
                    <w:right w:val="single" w:color="auto" w:sz="4" w:space="0"/>
                  </w:tcBorders>
                  <w:vAlign w:val="center"/>
                </w:tcPr>
                <w:p w14:paraId="684D6D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642.85</w:t>
                  </w:r>
                </w:p>
              </w:tc>
              <w:tc>
                <w:tcPr>
                  <w:tcW w:w="709" w:type="pct"/>
                  <w:tcBorders>
                    <w:top w:val="single" w:color="auto" w:sz="4" w:space="0"/>
                    <w:left w:val="single" w:color="auto" w:sz="4" w:space="0"/>
                    <w:bottom w:val="single" w:color="auto" w:sz="4" w:space="0"/>
                    <w:right w:val="single" w:color="auto" w:sz="4" w:space="0"/>
                  </w:tcBorders>
                  <w:vAlign w:val="center"/>
                </w:tcPr>
                <w:p w14:paraId="058707BF">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b w:val="0"/>
                      <w:bCs w:val="0"/>
                      <w:i w:val="0"/>
                      <w:iCs w:val="0"/>
                      <w:color w:val="auto"/>
                      <w:kern w:val="0"/>
                      <w:sz w:val="21"/>
                      <w:szCs w:val="21"/>
                      <w:highlight w:val="none"/>
                      <w:u w:val="none"/>
                      <w:lang w:val="en-US" w:eastAsia="zh-CN" w:bidi="ar"/>
                    </w:rPr>
                    <w:t>/</w:t>
                  </w:r>
                </w:p>
              </w:tc>
              <w:tc>
                <w:tcPr>
                  <w:tcW w:w="642" w:type="pct"/>
                  <w:tcBorders>
                    <w:top w:val="single" w:color="auto" w:sz="4" w:space="0"/>
                    <w:left w:val="single" w:color="auto" w:sz="4" w:space="0"/>
                    <w:bottom w:val="single" w:color="auto" w:sz="4" w:space="0"/>
                    <w:right w:val="single" w:color="auto" w:sz="4" w:space="0"/>
                  </w:tcBorders>
                  <w:shd w:val="clear" w:color="auto" w:fill="auto"/>
                  <w:vAlign w:val="center"/>
                </w:tcPr>
                <w:p w14:paraId="5D5278C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eastAsia" w:cs="Times New Roman"/>
                      <w:b w:val="0"/>
                      <w:bCs w:val="0"/>
                      <w:i w:val="0"/>
                      <w:iCs w:val="0"/>
                      <w:color w:val="auto"/>
                      <w:kern w:val="0"/>
                      <w:sz w:val="21"/>
                      <w:szCs w:val="21"/>
                      <w:highlight w:val="none"/>
                      <w:u w:val="none"/>
                      <w:lang w:val="en-US" w:eastAsia="zh-CN" w:bidi="ar"/>
                    </w:rPr>
                    <w:t>642.85</w:t>
                  </w:r>
                </w:p>
              </w:tc>
              <w:tc>
                <w:tcPr>
                  <w:tcW w:w="798" w:type="pct"/>
                  <w:tcBorders>
                    <w:top w:val="single" w:color="auto" w:sz="4" w:space="0"/>
                    <w:left w:val="single" w:color="auto" w:sz="4" w:space="0"/>
                    <w:bottom w:val="single" w:color="auto" w:sz="4" w:space="0"/>
                    <w:right w:val="nil"/>
                  </w:tcBorders>
                  <w:vAlign w:val="center"/>
                </w:tcPr>
                <w:p w14:paraId="060BB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w:t>
                  </w:r>
                </w:p>
              </w:tc>
            </w:tr>
            <w:tr w14:paraId="6A8608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5" w:type="pct"/>
                  <w:vMerge w:val="continue"/>
                  <w:tcBorders>
                    <w:right w:val="single" w:color="auto" w:sz="4" w:space="0"/>
                  </w:tcBorders>
                  <w:vAlign w:val="center"/>
                </w:tcPr>
                <w:p w14:paraId="71726E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vAlign w:val="center"/>
                </w:tcPr>
                <w:p w14:paraId="6F37D4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COD</w:t>
                  </w:r>
                </w:p>
              </w:tc>
              <w:tc>
                <w:tcPr>
                  <w:tcW w:w="1177" w:type="dxa"/>
                  <w:tcBorders>
                    <w:top w:val="single" w:color="auto" w:sz="4" w:space="0"/>
                    <w:left w:val="single" w:color="auto" w:sz="4" w:space="0"/>
                    <w:bottom w:val="single" w:color="auto" w:sz="4" w:space="0"/>
                    <w:right w:val="single" w:color="auto" w:sz="4" w:space="0"/>
                  </w:tcBorders>
                  <w:vAlign w:val="center"/>
                </w:tcPr>
                <w:p w14:paraId="6F4BA35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289.3 </w:t>
                  </w:r>
                </w:p>
              </w:tc>
              <w:tc>
                <w:tcPr>
                  <w:tcW w:w="1038" w:type="dxa"/>
                  <w:tcBorders>
                    <w:top w:val="single" w:color="auto" w:sz="4" w:space="0"/>
                    <w:left w:val="single" w:color="auto" w:sz="4" w:space="0"/>
                    <w:bottom w:val="single" w:color="auto" w:sz="4" w:space="0"/>
                    <w:right w:val="single" w:color="auto" w:sz="4" w:space="0"/>
                  </w:tcBorders>
                  <w:vAlign w:val="center"/>
                </w:tcPr>
                <w:p w14:paraId="6A67C2E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0.186</w:t>
                  </w:r>
                </w:p>
              </w:tc>
              <w:tc>
                <w:tcPr>
                  <w:tcW w:w="1154" w:type="dxa"/>
                  <w:tcBorders>
                    <w:top w:val="single" w:color="auto" w:sz="4" w:space="0"/>
                    <w:left w:val="single" w:color="auto" w:sz="4" w:space="0"/>
                    <w:bottom w:val="single" w:color="auto" w:sz="4" w:space="0"/>
                    <w:right w:val="single" w:color="auto" w:sz="4" w:space="0"/>
                  </w:tcBorders>
                  <w:vAlign w:val="center"/>
                </w:tcPr>
                <w:p w14:paraId="2D6A3D9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245.9 </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5A0CDD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0.158 </w:t>
                  </w:r>
                </w:p>
              </w:tc>
              <w:tc>
                <w:tcPr>
                  <w:tcW w:w="798" w:type="pct"/>
                  <w:tcBorders>
                    <w:top w:val="single" w:color="auto" w:sz="4" w:space="0"/>
                    <w:left w:val="single" w:color="auto" w:sz="4" w:space="0"/>
                    <w:bottom w:val="single" w:color="auto" w:sz="4" w:space="0"/>
                    <w:right w:val="nil"/>
                  </w:tcBorders>
                  <w:vAlign w:val="center"/>
                </w:tcPr>
                <w:p w14:paraId="69840E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500</w:t>
                  </w:r>
                </w:p>
              </w:tc>
            </w:tr>
            <w:tr w14:paraId="1255B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5" w:type="pct"/>
                  <w:vMerge w:val="continue"/>
                  <w:tcBorders>
                    <w:right w:val="single" w:color="auto" w:sz="4" w:space="0"/>
                  </w:tcBorders>
                  <w:vAlign w:val="center"/>
                </w:tcPr>
                <w:p w14:paraId="521C7F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vAlign w:val="center"/>
                </w:tcPr>
                <w:p w14:paraId="6CEA467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氨氮</w:t>
                  </w:r>
                </w:p>
              </w:tc>
              <w:tc>
                <w:tcPr>
                  <w:tcW w:w="1177" w:type="dxa"/>
                  <w:tcBorders>
                    <w:top w:val="single" w:color="auto" w:sz="4" w:space="0"/>
                    <w:left w:val="single" w:color="auto" w:sz="4" w:space="0"/>
                    <w:bottom w:val="single" w:color="auto" w:sz="4" w:space="0"/>
                    <w:right w:val="single" w:color="auto" w:sz="4" w:space="0"/>
                  </w:tcBorders>
                  <w:vAlign w:val="center"/>
                </w:tcPr>
                <w:p w14:paraId="56F535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21.2 </w:t>
                  </w:r>
                </w:p>
              </w:tc>
              <w:tc>
                <w:tcPr>
                  <w:tcW w:w="1038" w:type="dxa"/>
                  <w:tcBorders>
                    <w:top w:val="single" w:color="auto" w:sz="4" w:space="0"/>
                    <w:left w:val="single" w:color="auto" w:sz="4" w:space="0"/>
                    <w:bottom w:val="single" w:color="auto" w:sz="4" w:space="0"/>
                    <w:right w:val="single" w:color="auto" w:sz="4" w:space="0"/>
                  </w:tcBorders>
                  <w:vAlign w:val="center"/>
                </w:tcPr>
                <w:p w14:paraId="0891A0C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0.0136</w:t>
                  </w:r>
                </w:p>
              </w:tc>
              <w:tc>
                <w:tcPr>
                  <w:tcW w:w="1154" w:type="dxa"/>
                  <w:tcBorders>
                    <w:top w:val="single" w:color="auto" w:sz="4" w:space="0"/>
                    <w:left w:val="single" w:color="auto" w:sz="4" w:space="0"/>
                    <w:bottom w:val="single" w:color="auto" w:sz="4" w:space="0"/>
                    <w:right w:val="single" w:color="auto" w:sz="4" w:space="0"/>
                  </w:tcBorders>
                  <w:vAlign w:val="center"/>
                </w:tcPr>
                <w:p w14:paraId="4F5E03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20.6 </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0E71BB9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798" w:type="pct"/>
                  <w:tcBorders>
                    <w:top w:val="single" w:color="auto" w:sz="4" w:space="0"/>
                    <w:left w:val="single" w:color="auto" w:sz="4" w:space="0"/>
                    <w:bottom w:val="single" w:color="auto" w:sz="4" w:space="0"/>
                    <w:right w:val="nil"/>
                  </w:tcBorders>
                  <w:vAlign w:val="center"/>
                </w:tcPr>
                <w:p w14:paraId="638C09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45</w:t>
                  </w:r>
                </w:p>
              </w:tc>
            </w:tr>
            <w:tr w14:paraId="289A59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5" w:type="pct"/>
                  <w:vMerge w:val="continue"/>
                  <w:tcBorders>
                    <w:right w:val="single" w:color="auto" w:sz="4" w:space="0"/>
                  </w:tcBorders>
                  <w:vAlign w:val="center"/>
                </w:tcPr>
                <w:p w14:paraId="082FD3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p>
              </w:tc>
              <w:tc>
                <w:tcPr>
                  <w:tcW w:w="712" w:type="pct"/>
                  <w:tcBorders>
                    <w:top w:val="single" w:color="auto" w:sz="4" w:space="0"/>
                    <w:left w:val="single" w:color="auto" w:sz="4" w:space="0"/>
                    <w:bottom w:val="single" w:color="auto" w:sz="4" w:space="0"/>
                    <w:right w:val="single" w:color="auto" w:sz="4" w:space="0"/>
                  </w:tcBorders>
                  <w:vAlign w:val="center"/>
                </w:tcPr>
                <w:p w14:paraId="43D835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BOD</w:t>
                  </w:r>
                  <w:r>
                    <w:rPr>
                      <w:rFonts w:hint="eastAsia" w:ascii="Times New Roman" w:hAnsi="Times New Roman" w:eastAsia="宋体" w:cs="Times New Roman"/>
                      <w:b w:val="0"/>
                      <w:bCs w:val="0"/>
                      <w:color w:val="auto"/>
                      <w:szCs w:val="21"/>
                      <w:highlight w:val="none"/>
                      <w:vertAlign w:val="subscript"/>
                      <w:lang w:val="en-US" w:eastAsia="zh-CN"/>
                    </w:rPr>
                    <w:t>5</w:t>
                  </w:r>
                </w:p>
              </w:tc>
              <w:tc>
                <w:tcPr>
                  <w:tcW w:w="1177" w:type="dxa"/>
                  <w:tcBorders>
                    <w:top w:val="single" w:color="auto" w:sz="4" w:space="0"/>
                    <w:left w:val="single" w:color="auto" w:sz="4" w:space="0"/>
                    <w:bottom w:val="single" w:color="auto" w:sz="4" w:space="0"/>
                    <w:right w:val="single" w:color="auto" w:sz="4" w:space="0"/>
                  </w:tcBorders>
                  <w:vAlign w:val="center"/>
                </w:tcPr>
                <w:p w14:paraId="04CE681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132.2 </w:t>
                  </w:r>
                </w:p>
              </w:tc>
              <w:tc>
                <w:tcPr>
                  <w:tcW w:w="1038" w:type="dxa"/>
                  <w:tcBorders>
                    <w:top w:val="single" w:color="auto" w:sz="4" w:space="0"/>
                    <w:left w:val="single" w:color="auto" w:sz="4" w:space="0"/>
                    <w:bottom w:val="single" w:color="auto" w:sz="4" w:space="0"/>
                    <w:right w:val="single" w:color="auto" w:sz="4" w:space="0"/>
                  </w:tcBorders>
                  <w:vAlign w:val="center"/>
                </w:tcPr>
                <w:p w14:paraId="0422E33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0.085</w:t>
                  </w:r>
                </w:p>
              </w:tc>
              <w:tc>
                <w:tcPr>
                  <w:tcW w:w="1154" w:type="dxa"/>
                  <w:tcBorders>
                    <w:top w:val="single" w:color="auto" w:sz="4" w:space="0"/>
                    <w:left w:val="single" w:color="auto" w:sz="4" w:space="0"/>
                    <w:bottom w:val="single" w:color="auto" w:sz="4" w:space="0"/>
                    <w:right w:val="single" w:color="auto" w:sz="4" w:space="0"/>
                  </w:tcBorders>
                  <w:vAlign w:val="center"/>
                </w:tcPr>
                <w:p w14:paraId="0DAD935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120.3 </w:t>
                  </w:r>
                </w:p>
              </w:tc>
              <w:tc>
                <w:tcPr>
                  <w:tcW w:w="1045" w:type="dxa"/>
                  <w:tcBorders>
                    <w:top w:val="single" w:color="auto" w:sz="4" w:space="0"/>
                    <w:left w:val="single" w:color="auto" w:sz="4" w:space="0"/>
                    <w:bottom w:val="single" w:color="auto" w:sz="4" w:space="0"/>
                    <w:right w:val="single" w:color="auto" w:sz="4" w:space="0"/>
                  </w:tcBorders>
                  <w:shd w:val="clear" w:color="auto" w:fill="auto"/>
                  <w:vAlign w:val="center"/>
                </w:tcPr>
                <w:p w14:paraId="56F2C9C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0.077 </w:t>
                  </w:r>
                </w:p>
              </w:tc>
              <w:tc>
                <w:tcPr>
                  <w:tcW w:w="798" w:type="pct"/>
                  <w:tcBorders>
                    <w:top w:val="single" w:color="auto" w:sz="4" w:space="0"/>
                    <w:left w:val="single" w:color="auto" w:sz="4" w:space="0"/>
                    <w:bottom w:val="single" w:color="auto" w:sz="4" w:space="0"/>
                    <w:right w:val="nil"/>
                  </w:tcBorders>
                  <w:vAlign w:val="center"/>
                </w:tcPr>
                <w:p w14:paraId="37943F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300</w:t>
                  </w:r>
                </w:p>
              </w:tc>
            </w:tr>
            <w:tr w14:paraId="42194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75" w:type="pct"/>
                  <w:vMerge w:val="continue"/>
                  <w:tcBorders>
                    <w:bottom w:val="single" w:color="auto" w:sz="12" w:space="0"/>
                    <w:right w:val="single" w:color="auto" w:sz="4" w:space="0"/>
                  </w:tcBorders>
                  <w:vAlign w:val="center"/>
                </w:tcPr>
                <w:p w14:paraId="32D727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p>
              </w:tc>
              <w:tc>
                <w:tcPr>
                  <w:tcW w:w="712" w:type="pct"/>
                  <w:tcBorders>
                    <w:top w:val="single" w:color="auto" w:sz="4" w:space="0"/>
                    <w:left w:val="single" w:color="auto" w:sz="4" w:space="0"/>
                    <w:bottom w:val="single" w:color="auto" w:sz="12" w:space="0"/>
                    <w:right w:val="single" w:color="auto" w:sz="4" w:space="0"/>
                  </w:tcBorders>
                  <w:vAlign w:val="center"/>
                </w:tcPr>
                <w:p w14:paraId="5B062F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SS</w:t>
                  </w:r>
                </w:p>
              </w:tc>
              <w:tc>
                <w:tcPr>
                  <w:tcW w:w="1177" w:type="dxa"/>
                  <w:tcBorders>
                    <w:top w:val="single" w:color="auto" w:sz="4" w:space="0"/>
                    <w:left w:val="single" w:color="auto" w:sz="4" w:space="0"/>
                    <w:bottom w:val="single" w:color="auto" w:sz="12" w:space="0"/>
                    <w:right w:val="single" w:color="auto" w:sz="4" w:space="0"/>
                  </w:tcBorders>
                  <w:vAlign w:val="center"/>
                </w:tcPr>
                <w:p w14:paraId="07CC4DE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140.3 </w:t>
                  </w:r>
                </w:p>
              </w:tc>
              <w:tc>
                <w:tcPr>
                  <w:tcW w:w="1038" w:type="dxa"/>
                  <w:tcBorders>
                    <w:top w:val="single" w:color="auto" w:sz="4" w:space="0"/>
                    <w:left w:val="single" w:color="auto" w:sz="4" w:space="0"/>
                    <w:bottom w:val="single" w:color="auto" w:sz="12" w:space="0"/>
                    <w:right w:val="single" w:color="auto" w:sz="4" w:space="0"/>
                  </w:tcBorders>
                  <w:vAlign w:val="center"/>
                </w:tcPr>
                <w:p w14:paraId="0E28B77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0.0902</w:t>
                  </w:r>
                </w:p>
              </w:tc>
              <w:tc>
                <w:tcPr>
                  <w:tcW w:w="1154" w:type="dxa"/>
                  <w:tcBorders>
                    <w:top w:val="single" w:color="auto" w:sz="4" w:space="0"/>
                    <w:left w:val="single" w:color="auto" w:sz="4" w:space="0"/>
                    <w:bottom w:val="single" w:color="auto" w:sz="12" w:space="0"/>
                    <w:right w:val="single" w:color="auto" w:sz="4" w:space="0"/>
                  </w:tcBorders>
                  <w:vAlign w:val="center"/>
                </w:tcPr>
                <w:p w14:paraId="1D5C74B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98.2 </w:t>
                  </w:r>
                </w:p>
              </w:tc>
              <w:tc>
                <w:tcPr>
                  <w:tcW w:w="1045" w:type="dxa"/>
                  <w:tcBorders>
                    <w:top w:val="single" w:color="auto" w:sz="4" w:space="0"/>
                    <w:left w:val="single" w:color="auto" w:sz="4" w:space="0"/>
                    <w:bottom w:val="single" w:color="auto" w:sz="12" w:space="0"/>
                    <w:right w:val="single" w:color="auto" w:sz="4" w:space="0"/>
                  </w:tcBorders>
                  <w:shd w:val="clear" w:color="auto" w:fill="auto"/>
                  <w:vAlign w:val="center"/>
                </w:tcPr>
                <w:p w14:paraId="6513BC0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 xml:space="preserve">0.063 </w:t>
                  </w:r>
                </w:p>
              </w:tc>
              <w:tc>
                <w:tcPr>
                  <w:tcW w:w="798" w:type="pct"/>
                  <w:tcBorders>
                    <w:top w:val="single" w:color="auto" w:sz="4" w:space="0"/>
                    <w:left w:val="single" w:color="auto" w:sz="4" w:space="0"/>
                    <w:bottom w:val="single" w:color="auto" w:sz="12" w:space="0"/>
                    <w:right w:val="nil"/>
                  </w:tcBorders>
                  <w:vAlign w:val="center"/>
                </w:tcPr>
                <w:p w14:paraId="5019C6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ascii="Times New Roman" w:hAnsi="Times New Roman" w:eastAsia="宋体" w:cs="Times New Roman"/>
                      <w:b w:val="0"/>
                      <w:bCs w:val="0"/>
                      <w:color w:val="auto"/>
                      <w:szCs w:val="21"/>
                      <w:highlight w:val="none"/>
                      <w:lang w:val="en-US" w:eastAsia="zh-CN"/>
                    </w:rPr>
                  </w:pPr>
                  <w:r>
                    <w:rPr>
                      <w:rFonts w:hint="eastAsia" w:ascii="Times New Roman" w:hAnsi="Times New Roman" w:eastAsia="宋体" w:cs="Times New Roman"/>
                      <w:b w:val="0"/>
                      <w:bCs w:val="0"/>
                      <w:color w:val="auto"/>
                      <w:szCs w:val="21"/>
                      <w:highlight w:val="none"/>
                      <w:lang w:val="en-US" w:eastAsia="zh-CN"/>
                    </w:rPr>
                    <w:t>400</w:t>
                  </w:r>
                </w:p>
              </w:tc>
            </w:tr>
          </w:tbl>
          <w:p w14:paraId="3DD3793C">
            <w:pPr>
              <w:pStyle w:val="6"/>
              <w:suppressLineNumbers w:val="0"/>
              <w:bidi w:val="0"/>
              <w:spacing w:beforeAutospacing="0" w:afterAutospacing="0"/>
              <w:ind w:right="0"/>
              <w:rPr>
                <w:rFonts w:hint="default"/>
                <w:color w:val="auto"/>
                <w:highlight w:val="none"/>
                <w:lang w:val="en-US" w:eastAsia="zh-CN"/>
              </w:rPr>
            </w:pPr>
            <w:r>
              <w:rPr>
                <w:rFonts w:hint="eastAsia"/>
                <w:color w:val="auto"/>
                <w:highlight w:val="none"/>
                <w:lang w:val="en-US" w:eastAsia="zh-CN"/>
              </w:rPr>
              <w:t>废水污染源强计算过程及治理措施</w:t>
            </w:r>
          </w:p>
          <w:p w14:paraId="7244DD79">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b w:val="0"/>
                <w:bCs w:val="0"/>
                <w:color w:val="auto"/>
                <w:highlight w:val="none"/>
                <w:lang w:val="en-US" w:eastAsia="zh-CN"/>
              </w:rPr>
              <w:t>（1）</w:t>
            </w:r>
            <w:r>
              <w:rPr>
                <w:rFonts w:hint="eastAsia" w:ascii="Times New Roman" w:hAnsi="Times New Roman" w:eastAsia="宋体" w:cs="宋体"/>
                <w:color w:val="auto"/>
                <w:highlight w:val="none"/>
                <w:lang w:val="en-US" w:eastAsia="zh-CN"/>
              </w:rPr>
              <w:t>实验废水</w:t>
            </w:r>
          </w:p>
          <w:p w14:paraId="13A5738D">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项目运营期产生的实验废水主要为实验器具清洗废水W1、仪器排水W2、样品排水W3、制纯浓水W4。根据项目水平衡分析，实验器具清洗废水W1排放量约为174t/a，实验仪器排水W2约为96t/a，样品排水W3约为2.85t/a，项目制纯浓水W4排放量约为</w:t>
            </w:r>
            <w:r>
              <w:rPr>
                <w:rFonts w:hint="eastAsia" w:cs="宋体"/>
                <w:color w:val="auto"/>
                <w:highlight w:val="none"/>
                <w:lang w:val="en-US" w:eastAsia="zh-CN"/>
              </w:rPr>
              <w:t>10</w:t>
            </w:r>
            <w:r>
              <w:rPr>
                <w:rFonts w:hint="eastAsia" w:ascii="Times New Roman" w:hAnsi="Times New Roman" w:eastAsia="宋体" w:cs="宋体"/>
                <w:color w:val="auto"/>
                <w:highlight w:val="none"/>
                <w:lang w:val="en-US" w:eastAsia="zh-CN"/>
              </w:rPr>
              <w:t>t/a。实验废水</w:t>
            </w:r>
            <w:r>
              <w:rPr>
                <w:rFonts w:hint="eastAsia" w:cs="宋体"/>
                <w:color w:val="auto"/>
                <w:highlight w:val="none"/>
                <w:lang w:val="en-US" w:eastAsia="zh-CN"/>
              </w:rPr>
              <w:t>合计</w:t>
            </w:r>
            <w:r>
              <w:rPr>
                <w:rFonts w:hint="eastAsia"/>
                <w:color w:val="auto"/>
                <w:szCs w:val="21"/>
                <w:highlight w:val="none"/>
                <w:lang w:val="en-US" w:eastAsia="zh-CN"/>
              </w:rPr>
              <w:t>282.85</w:t>
            </w:r>
            <w:r>
              <w:rPr>
                <w:rFonts w:hint="eastAsia" w:ascii="Times New Roman" w:hAnsi="Times New Roman" w:eastAsia="宋体" w:cs="宋体"/>
                <w:color w:val="auto"/>
                <w:highlight w:val="none"/>
                <w:lang w:val="en-US" w:eastAsia="zh-CN"/>
              </w:rPr>
              <w:t>t/a</w:t>
            </w:r>
            <w:r>
              <w:rPr>
                <w:rFonts w:hint="eastAsia" w:cs="宋体"/>
                <w:color w:val="auto"/>
                <w:highlight w:val="none"/>
                <w:lang w:val="en-US" w:eastAsia="zh-CN"/>
              </w:rPr>
              <w:t>。</w:t>
            </w:r>
          </w:p>
          <w:p w14:paraId="3391225C">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类比《武侯区环境监测实验室项目》（</w:t>
            </w:r>
            <w:r>
              <w:rPr>
                <w:rFonts w:hint="eastAsia"/>
                <w:color w:val="auto"/>
                <w:szCs w:val="21"/>
                <w:lang w:val="en-US" w:eastAsia="zh-CN"/>
              </w:rPr>
              <w:t>其检测</w:t>
            </w:r>
            <w:r>
              <w:rPr>
                <w:rFonts w:hint="eastAsia"/>
                <w:color w:val="auto"/>
                <w:szCs w:val="21"/>
              </w:rPr>
              <w:t>工艺、试剂使用</w:t>
            </w:r>
            <w:r>
              <w:rPr>
                <w:rFonts w:hint="eastAsia"/>
                <w:color w:val="auto"/>
                <w:szCs w:val="21"/>
                <w:lang w:val="en-US" w:eastAsia="zh-CN"/>
              </w:rPr>
              <w:t>情况及废水产生方式与本项目</w:t>
            </w:r>
            <w:r>
              <w:rPr>
                <w:rFonts w:hint="eastAsia"/>
                <w:color w:val="auto"/>
                <w:szCs w:val="21"/>
              </w:rPr>
              <w:t>基本一致</w:t>
            </w:r>
            <w:r>
              <w:rPr>
                <w:rFonts w:hint="eastAsia" w:ascii="Times New Roman" w:hAnsi="Times New Roman" w:eastAsia="宋体" w:cs="宋体"/>
                <w:color w:val="auto"/>
                <w:highlight w:val="none"/>
                <w:lang w:val="en-US" w:eastAsia="zh-CN"/>
              </w:rPr>
              <w:t>，于2022年2月取得成都市武侯生态环境局环评批复</w:t>
            </w:r>
            <w:r>
              <w:rPr>
                <w:rFonts w:hint="eastAsia" w:ascii="Times New Roman" w:hAnsi="Times New Roman" w:eastAsia="宋体" w:cs="宋体"/>
                <w:color w:val="auto"/>
                <w:highlight w:val="none"/>
                <w:shd w:val="clear" w:fill="FFFFFF"/>
                <w:lang w:val="en-US" w:eastAsia="zh-CN"/>
              </w:rPr>
              <w:t>（</w:t>
            </w:r>
            <w:r>
              <w:rPr>
                <w:rFonts w:hint="eastAsia" w:ascii="Times New Roman" w:hAnsi="Times New Roman" w:eastAsia="宋体" w:cs="宋体"/>
                <w:color w:val="auto"/>
                <w:highlight w:val="none"/>
                <w:lang w:val="en-US" w:eastAsia="zh-CN"/>
              </w:rPr>
              <w:t>成武环承诺环评审</w:t>
            </w:r>
            <w:r>
              <w:rPr>
                <w:rFonts w:hint="eastAsia" w:ascii="Times New Roman" w:hAnsi="Times New Roman" w:eastAsia="宋体" w:cs="宋体"/>
                <w:color w:val="auto"/>
                <w:highlight w:val="none"/>
                <w:shd w:val="clear" w:fill="FFFFFF"/>
                <w:lang w:val="en-US" w:eastAsia="zh-CN"/>
              </w:rPr>
              <w:t>〔2022〕03号</w:t>
            </w:r>
            <w:r>
              <w:rPr>
                <w:rFonts w:hint="eastAsia" w:ascii="Times New Roman" w:hAnsi="Times New Roman" w:eastAsia="宋体" w:cs="宋体"/>
                <w:color w:val="auto"/>
                <w:highlight w:val="none"/>
                <w:lang w:val="en-US" w:eastAsia="zh-CN"/>
              </w:rPr>
              <w:t>）），项目实验废水</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W1</w:t>
            </w:r>
            <w:r>
              <w:rPr>
                <w:rFonts w:hint="eastAsia"/>
                <w:color w:val="auto"/>
                <w:highlight w:val="none"/>
                <w:lang w:val="en-US" w:eastAsia="zh-CN"/>
              </w:rPr>
              <w:t>~W4</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主要污染物浓度按</w:t>
            </w:r>
            <w:r>
              <w:rPr>
                <w:rFonts w:hint="eastAsia" w:ascii="Times New Roman" w:hAnsi="Times New Roman" w:eastAsia="宋体" w:cs="宋体"/>
                <w:color w:val="auto"/>
                <w:highlight w:val="none"/>
                <w:shd w:val="clear" w:fill="FFFFFF"/>
                <w:lang w:val="en-US" w:eastAsia="zh-CN"/>
              </w:rPr>
              <w:t>COD</w:t>
            </w:r>
            <w:r>
              <w:rPr>
                <w:rFonts w:hint="eastAsia" w:ascii="Times New Roman" w:hAnsi="Times New Roman" w:eastAsia="宋体" w:cs="宋体"/>
                <w:color w:val="auto"/>
                <w:highlight w:val="none"/>
                <w:shd w:val="clear" w:fill="FFFFFF"/>
                <w:vertAlign w:val="subscript"/>
                <w:lang w:val="en-US" w:eastAsia="zh-CN"/>
              </w:rPr>
              <w:t>cr</w:t>
            </w:r>
            <w:r>
              <w:rPr>
                <w:rFonts w:hint="eastAsia" w:ascii="Times New Roman" w:hAnsi="Times New Roman" w:eastAsia="宋体" w:cs="宋体"/>
                <w:color w:val="auto"/>
                <w:highlight w:val="none"/>
                <w:lang w:val="en-US" w:eastAsia="zh-CN"/>
              </w:rPr>
              <w:t>：500mg/L，BOD</w:t>
            </w:r>
            <w:r>
              <w:rPr>
                <w:rFonts w:hint="eastAsia" w:ascii="Times New Roman" w:hAnsi="Times New Roman" w:eastAsia="宋体" w:cs="宋体"/>
                <w:color w:val="auto"/>
                <w:highlight w:val="none"/>
                <w:vertAlign w:val="subscript"/>
                <w:lang w:val="en-US" w:eastAsia="zh-CN"/>
              </w:rPr>
              <w:t>5</w:t>
            </w:r>
            <w:r>
              <w:rPr>
                <w:rFonts w:hint="eastAsia" w:ascii="Times New Roman" w:hAnsi="Times New Roman" w:eastAsia="宋体" w:cs="宋体"/>
                <w:color w:val="auto"/>
                <w:highlight w:val="none"/>
                <w:shd w:val="clear" w:fill="FFFFFF"/>
                <w:lang w:val="en-US" w:eastAsia="zh-CN"/>
              </w:rPr>
              <w:t>：</w:t>
            </w:r>
            <w:r>
              <w:rPr>
                <w:rFonts w:hint="eastAsia" w:ascii="Times New Roman" w:hAnsi="Times New Roman" w:eastAsia="宋体" w:cs="宋体"/>
                <w:color w:val="auto"/>
                <w:highlight w:val="none"/>
                <w:lang w:val="en-US" w:eastAsia="zh-CN"/>
              </w:rPr>
              <w:t>300mg/L，SS：400mg/L，NH</w:t>
            </w:r>
            <w:r>
              <w:rPr>
                <w:rFonts w:hint="eastAsia" w:ascii="Times New Roman" w:hAnsi="Times New Roman" w:eastAsia="宋体" w:cs="宋体"/>
                <w:color w:val="auto"/>
                <w:highlight w:val="none"/>
                <w:vertAlign w:val="subscript"/>
                <w:lang w:val="en-US" w:eastAsia="zh-CN"/>
              </w:rPr>
              <w:t>3</w:t>
            </w:r>
            <w:r>
              <w:rPr>
                <w:rFonts w:hint="eastAsia" w:ascii="Times New Roman" w:hAnsi="Times New Roman" w:eastAsia="宋体" w:cs="宋体"/>
                <w:color w:val="auto"/>
                <w:highlight w:val="none"/>
                <w:lang w:val="en-US" w:eastAsia="zh-CN"/>
              </w:rPr>
              <w:t>-N：40mg/L计。</w:t>
            </w:r>
          </w:p>
          <w:p w14:paraId="2288FAF1">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本项目实验废水</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W1</w:t>
            </w:r>
            <w:r>
              <w:rPr>
                <w:rFonts w:hint="eastAsia"/>
                <w:color w:val="auto"/>
                <w:highlight w:val="none"/>
                <w:lang w:val="en-US" w:eastAsia="zh-CN"/>
              </w:rPr>
              <w:t>~W4</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经过污水处理设施处理后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厂区已建化粪池处理后排入市政污水管网，送往福清市融元污水处理厂集中处理。</w:t>
            </w:r>
            <w:r>
              <w:rPr>
                <w:rFonts w:hint="eastAsia" w:ascii="Times New Roman" w:hAnsi="Times New Roman" w:eastAsia="宋体" w:cs="宋体"/>
                <w:color w:val="auto"/>
                <w:highlight w:val="none"/>
                <w:lang w:val="en-US" w:eastAsia="zh-CN"/>
              </w:rPr>
              <w:t>废水处理设施工艺流程图如下：</w:t>
            </w:r>
          </w:p>
          <w:p w14:paraId="7665A85D">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firstLine="0" w:firstLineChars="0"/>
              <w:textAlignment w:val="auto"/>
              <w:rPr>
                <w:rFonts w:hint="default"/>
                <w:color w:val="auto"/>
                <w:highlight w:val="none"/>
              </w:rPr>
            </w:pPr>
            <w:r>
              <w:rPr>
                <w:rFonts w:hint="default"/>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212090</wp:posOffset>
                      </wp:positionH>
                      <wp:positionV relativeFrom="paragraph">
                        <wp:posOffset>1327150</wp:posOffset>
                      </wp:positionV>
                      <wp:extent cx="733425" cy="325755"/>
                      <wp:effectExtent l="0" t="0" r="0" b="0"/>
                      <wp:wrapNone/>
                      <wp:docPr id="4" name="文本框 4"/>
                      <wp:cNvGraphicFramePr/>
                      <a:graphic xmlns:a="http://schemas.openxmlformats.org/drawingml/2006/main">
                        <a:graphicData uri="http://schemas.microsoft.com/office/word/2010/wordprocessingShape">
                          <wps:wsp>
                            <wps:cNvSpPr txBox="1"/>
                            <wps:spPr>
                              <a:xfrm>
                                <a:off x="1848485" y="2157730"/>
                                <a:ext cx="733425" cy="3257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4E0B18">
                                  <w:pP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市政管网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104.5pt;height:25.65pt;width:57.75pt;z-index:251662336;mso-width-relative:page;mso-height-relative:page;" filled="f" stroked="f" coordsize="21600,21600" o:gfxdata="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kWeSzdsAAAAKAQAADwAAAAAAAAAB&#10;ACAAAAAiAAAAZHJzL2Rvd25yZXYueG1sUEsBAhQAFAAAAAgAh07iQLzeJKRGAgAAcQQAAA4AAAAA&#10;AAAAAQAgAAAAKgEAAGRycy9lMm9Eb2MueG1sUEsFBgAAAAAGAAYAWQEAAOIFAAAAAA==&#10;">
                      <v:fill on="f" focussize="0,0"/>
                      <v:stroke on="f" weight="0.5pt"/>
                      <v:imagedata o:title=""/>
                      <o:lock v:ext="edit" aspectratio="f"/>
                      <v:textbox>
                        <w:txbxContent>
                          <w:p w14:paraId="754E0B18">
                            <w:pPr>
                              <w:rPr>
                                <w:rFonts w:hint="default" w:eastAsia="宋体"/>
                                <w:color w:val="000000" w:themeColor="text1"/>
                                <w:sz w:val="16"/>
                                <w:szCs w:val="20"/>
                                <w:lang w:val="en-US" w:eastAsia="zh-CN"/>
                                <w14:textFill>
                                  <w14:solidFill>
                                    <w14:schemeClr w14:val="tx1"/>
                                  </w14:solidFill>
                                </w14:textFill>
                              </w:rPr>
                            </w:pPr>
                            <w:r>
                              <w:rPr>
                                <w:rFonts w:hint="eastAsia"/>
                                <w:color w:val="000000" w:themeColor="text1"/>
                                <w:sz w:val="16"/>
                                <w:szCs w:val="20"/>
                                <w:lang w:val="en-US" w:eastAsia="zh-CN"/>
                                <w14:textFill>
                                  <w14:solidFill>
                                    <w14:schemeClr w14:val="tx1"/>
                                  </w14:solidFill>
                                </w14:textFill>
                              </w:rPr>
                              <w:t>市政管网</w:t>
                            </w:r>
                          </w:p>
                        </w:txbxContent>
                      </v:textbox>
                    </v:shape>
                  </w:pict>
                </mc:Fallback>
              </mc:AlternateContent>
            </w:r>
            <w:r>
              <w:rPr>
                <w:rFonts w:hint="default"/>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782320</wp:posOffset>
                      </wp:positionH>
                      <wp:positionV relativeFrom="paragraph">
                        <wp:posOffset>1438910</wp:posOffset>
                      </wp:positionV>
                      <wp:extent cx="236855" cy="2540"/>
                      <wp:effectExtent l="0" t="36195" r="10795" b="37465"/>
                      <wp:wrapNone/>
                      <wp:docPr id="3" name="直接箭头连接符 3"/>
                      <wp:cNvGraphicFramePr/>
                      <a:graphic xmlns:a="http://schemas.openxmlformats.org/drawingml/2006/main">
                        <a:graphicData uri="http://schemas.microsoft.com/office/word/2010/wordprocessingShape">
                          <wps:wsp>
                            <wps:cNvCnPr/>
                            <wps:spPr>
                              <a:xfrm flipH="1">
                                <a:off x="2199640" y="2621280"/>
                                <a:ext cx="236855" cy="2540"/>
                              </a:xfrm>
                              <a:prstGeom prst="straightConnector1">
                                <a:avLst/>
                              </a:prstGeom>
                              <a:ln w="12700">
                                <a:solidFill>
                                  <a:schemeClr val="tx1"/>
                                </a:solidFill>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61.6pt;margin-top:113.3pt;height:0.2pt;width:18.65pt;z-index:251661312;mso-width-relative:page;mso-height-relative:page;" filled="f" stroked="t" coordsize="21600,21600" o:gfxdata="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T9RCtsAAAAL&#10;AQAADwAAAAAAAAABACAAAAAiAAAAZHJzL2Rvd25yZXYueG1sUEsBAhQAFAAAAAgAh07iQPdiLuUZ&#10;AgAA9QMAAA4AAAAAAAAAAQAgAAAAKgEAAGRycy9lMm9Eb2MueG1sUEsFBgAAAAAGAAYAWQEAALUF&#10;AAAAAA==&#10;">
                      <v:fill on="f" focussize="0,0"/>
                      <v:stroke weight="1pt" color="#000000 [3213]" joinstyle="round" endarrow="block"/>
                      <v:imagedata o:title=""/>
                      <o:lock v:ext="edit" aspectratio="f"/>
                    </v:shape>
                  </w:pict>
                </mc:Fallback>
              </mc:AlternateContent>
            </w:r>
            <w:r>
              <w:rPr>
                <w:rFonts w:hint="default"/>
                <w:color w:val="auto"/>
                <w:highlight w:val="none"/>
              </w:rPr>
              <w:drawing>
                <wp:inline distT="0" distB="0" distL="114300" distR="114300">
                  <wp:extent cx="5112385" cy="1675765"/>
                  <wp:effectExtent l="0" t="0" r="0" b="0"/>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30"/>
                          <a:srcRect t="5548"/>
                          <a:stretch>
                            <a:fillRect/>
                          </a:stretch>
                        </pic:blipFill>
                        <pic:spPr>
                          <a:xfrm>
                            <a:off x="0" y="0"/>
                            <a:ext cx="5112385" cy="1675765"/>
                          </a:xfrm>
                          <a:prstGeom prst="rect">
                            <a:avLst/>
                          </a:prstGeom>
                          <a:noFill/>
                          <a:ln>
                            <a:noFill/>
                          </a:ln>
                        </pic:spPr>
                      </pic:pic>
                    </a:graphicData>
                  </a:graphic>
                </wp:inline>
              </w:drawing>
            </w:r>
          </w:p>
          <w:p w14:paraId="280A8401">
            <w:pPr>
              <w:pStyle w:val="38"/>
              <w:keepNext w:val="0"/>
              <w:keepLines w:val="0"/>
              <w:pageBreakBefore w:val="0"/>
              <w:widowControl w:val="0"/>
              <w:suppressLineNumbers w:val="0"/>
              <w:tabs>
                <w:tab w:val="left" w:pos="0"/>
                <w:tab w:val="clear" w:pos="420"/>
              </w:tabs>
              <w:kinsoku/>
              <w:wordWrap/>
              <w:overflowPunct/>
              <w:topLinePunct w:val="0"/>
              <w:autoSpaceDE/>
              <w:autoSpaceDN/>
              <w:bidi w:val="0"/>
              <w:adjustRightInd/>
              <w:snapToGrid/>
              <w:spacing w:before="157" w:beforeLines="50" w:beforeAutospacing="0" w:after="0" w:afterAutospacing="0"/>
              <w:ind w:left="1582" w:right="0" w:hanging="1582"/>
              <w:textAlignment w:val="auto"/>
              <w:rPr>
                <w:rFonts w:hint="default" w:ascii="Times New Roman" w:hAnsi="Times New Roman" w:cs="Times New Roman"/>
                <w:color w:val="auto"/>
                <w:highlight w:val="none"/>
                <w:lang w:val="en-US" w:eastAsia="zh-CN"/>
              </w:rPr>
            </w:pPr>
            <w:bookmarkStart w:id="96" w:name="_Ref1492"/>
            <w:r>
              <w:rPr>
                <w:rFonts w:hint="eastAsia" w:ascii="Times New Roman" w:hAnsi="Times New Roman" w:cs="Times New Roman"/>
                <w:color w:val="auto"/>
                <w:highlight w:val="none"/>
                <w:lang w:val="en-US" w:eastAsia="zh-CN"/>
              </w:rPr>
              <w:t>污水处理</w:t>
            </w:r>
            <w:r>
              <w:rPr>
                <w:rFonts w:hint="default" w:ascii="Times New Roman" w:hAnsi="Times New Roman" w:cs="Times New Roman"/>
                <w:color w:val="auto"/>
                <w:highlight w:val="none"/>
                <w:lang w:val="en-US" w:eastAsia="zh-CN"/>
              </w:rPr>
              <w:t>工艺流程图</w:t>
            </w:r>
            <w:bookmarkEnd w:id="96"/>
          </w:p>
          <w:p w14:paraId="586E487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工艺简介：</w:t>
            </w:r>
          </w:p>
          <w:p w14:paraId="6B4CA94D">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1）收集池：除了起废水收集和水质均衡的作用，同时废水首先互相中和，减少pH调节所需酸、碱的量；</w:t>
            </w:r>
          </w:p>
          <w:p w14:paraId="48071E32">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2）pH调节：去除水中酸、碱污染物，同时保证后续处理的效果；</w:t>
            </w:r>
          </w:p>
          <w:p w14:paraId="353B45C9">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3）混凝池：通过加入螯合能力更强、更环保的第三代半重金属螯合剂及助凝剂，高效去除重金属、胶体及悬浮物等污染物；</w:t>
            </w:r>
          </w:p>
          <w:p w14:paraId="738F07C3">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4）臭氧氧化池：利用臭氧氧化的高级氧化处理技术，主要用于水的消毒、去除水中酚、氰等污染物质，水的脱色、除去水中铁、锰等金属离子，除异味和臭味；</w:t>
            </w:r>
          </w:p>
          <w:p w14:paraId="4B63A841">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5）催化微电解：属于高级氧化处理技术。采用新型催化微电解填料，可高效去除COD、降低色度、提高可生化性，处理效果稳定，可避免运行过程中的填料钝化、板结等现象，对洗涤废水效果明显；</w:t>
            </w:r>
          </w:p>
          <w:p w14:paraId="5C2D5AC1">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6）多</w:t>
            </w:r>
            <w:r>
              <w:rPr>
                <w:rFonts w:hint="eastAsia" w:cs="宋体"/>
                <w:color w:val="auto"/>
                <w:highlight w:val="none"/>
                <w:lang w:val="en-US" w:eastAsia="zh-CN"/>
              </w:rPr>
              <w:t>介质</w:t>
            </w:r>
            <w:r>
              <w:rPr>
                <w:rFonts w:hint="eastAsia" w:ascii="Times New Roman" w:hAnsi="Times New Roman" w:eastAsia="宋体" w:cs="宋体"/>
                <w:color w:val="auto"/>
                <w:highlight w:val="none"/>
                <w:lang w:val="en-US" w:eastAsia="zh-CN"/>
              </w:rPr>
              <w:t>过滤：去除水中的细小颗粒、悬浮物、胶体、有机物等杂质及农药、锰、细菌、病毒等污染物；</w:t>
            </w:r>
          </w:p>
          <w:p w14:paraId="4B51BF3C">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7）多功能光催化氧化处理：对异味、微生物、胶体及色素、重金属离子、小分子有机污染物等有较明显的吸附去除作用；</w:t>
            </w:r>
          </w:p>
          <w:p w14:paraId="7D0CA28E">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8）复合式杀菌消毒：降解有机物，同时具有广谱杀菌作用，几乎对所有微生物、细菌、病毒和藻类生物都起作用。</w:t>
            </w:r>
          </w:p>
          <w:p w14:paraId="3A115F79">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hAnsi="宋体"/>
                <w:color w:val="auto"/>
                <w:kern w:val="0"/>
                <w:highlight w:val="none"/>
              </w:rPr>
              <w:t>根据建设单位提供的资料，</w:t>
            </w:r>
            <w:r>
              <w:rPr>
                <w:rFonts w:hint="eastAsia" w:ascii="Times New Roman" w:hAnsi="Times New Roman" w:eastAsia="宋体" w:cs="宋体"/>
                <w:color w:val="auto"/>
                <w:highlight w:val="none"/>
                <w:lang w:val="en-US" w:eastAsia="zh-CN"/>
              </w:rPr>
              <w:t>经过污水处理设施处理后实验废水</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W1</w:t>
            </w:r>
            <w:r>
              <w:rPr>
                <w:rFonts w:hint="eastAsia"/>
                <w:color w:val="auto"/>
                <w:highlight w:val="none"/>
                <w:lang w:val="en-US" w:eastAsia="zh-CN"/>
              </w:rPr>
              <w:t>~W4</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主要污染物浓度可达到</w:t>
            </w:r>
            <w:r>
              <w:rPr>
                <w:rFonts w:hint="eastAsia" w:ascii="Times New Roman" w:hAnsi="Times New Roman" w:eastAsia="宋体" w:cs="宋体"/>
                <w:color w:val="auto"/>
                <w:highlight w:val="none"/>
                <w:shd w:val="clear" w:fill="FFFFFF"/>
                <w:lang w:val="en-US" w:eastAsia="zh-CN"/>
              </w:rPr>
              <w:t>COD</w:t>
            </w:r>
            <w:r>
              <w:rPr>
                <w:rFonts w:hint="eastAsia" w:ascii="Times New Roman" w:hAnsi="Times New Roman" w:eastAsia="宋体" w:cs="宋体"/>
                <w:color w:val="auto"/>
                <w:highlight w:val="none"/>
                <w:shd w:val="clear" w:fill="FFFFFF"/>
                <w:vertAlign w:val="subscript"/>
                <w:lang w:val="en-US" w:eastAsia="zh-CN"/>
              </w:rPr>
              <w:t>cr</w:t>
            </w:r>
            <w:r>
              <w:rPr>
                <w:rFonts w:hint="eastAsia" w:ascii="Times New Roman" w:hAnsi="Times New Roman" w:eastAsia="宋体" w:cs="宋体"/>
                <w:color w:val="auto"/>
                <w:highlight w:val="none"/>
                <w:lang w:val="en-US" w:eastAsia="zh-CN"/>
              </w:rPr>
              <w:t>：150mg/L，BOD</w:t>
            </w:r>
            <w:r>
              <w:rPr>
                <w:rFonts w:hint="eastAsia" w:ascii="Times New Roman" w:hAnsi="Times New Roman" w:eastAsia="宋体" w:cs="宋体"/>
                <w:color w:val="auto"/>
                <w:highlight w:val="none"/>
                <w:vertAlign w:val="subscript"/>
                <w:lang w:val="en-US" w:eastAsia="zh-CN"/>
              </w:rPr>
              <w:t>5</w:t>
            </w:r>
            <w:r>
              <w:rPr>
                <w:rFonts w:hint="eastAsia" w:ascii="Times New Roman" w:hAnsi="Times New Roman" w:eastAsia="宋体" w:cs="宋体"/>
                <w:color w:val="auto"/>
                <w:highlight w:val="none"/>
                <w:shd w:val="clear" w:fill="FFFFFF"/>
                <w:lang w:val="en-US" w:eastAsia="zh-CN"/>
              </w:rPr>
              <w:t>：</w:t>
            </w:r>
            <w:r>
              <w:rPr>
                <w:rFonts w:hint="eastAsia" w:ascii="Times New Roman" w:hAnsi="Times New Roman" w:eastAsia="宋体" w:cs="宋体"/>
                <w:color w:val="auto"/>
                <w:highlight w:val="none"/>
                <w:lang w:val="en-US" w:eastAsia="zh-CN"/>
              </w:rPr>
              <w:t>45mg/L，SS：40mg/L，NH</w:t>
            </w:r>
            <w:r>
              <w:rPr>
                <w:rFonts w:hint="eastAsia" w:ascii="Times New Roman" w:hAnsi="Times New Roman" w:eastAsia="宋体" w:cs="宋体"/>
                <w:color w:val="auto"/>
                <w:highlight w:val="none"/>
                <w:vertAlign w:val="subscript"/>
                <w:lang w:val="en-US" w:eastAsia="zh-CN"/>
              </w:rPr>
              <w:t>3</w:t>
            </w:r>
            <w:r>
              <w:rPr>
                <w:rFonts w:hint="eastAsia" w:ascii="Times New Roman" w:hAnsi="Times New Roman" w:eastAsia="宋体" w:cs="宋体"/>
                <w:color w:val="auto"/>
                <w:highlight w:val="none"/>
                <w:lang w:val="en-US" w:eastAsia="zh-CN"/>
              </w:rPr>
              <w:t>-N：5mg/L。</w:t>
            </w:r>
          </w:p>
          <w:p w14:paraId="13912C1B">
            <w:pPr>
              <w:pStyle w:val="35"/>
              <w:keepNext w:val="0"/>
              <w:keepLines w:val="0"/>
              <w:pageBreakBefore w:val="0"/>
              <w:widowControl w:val="0"/>
              <w:suppressLineNumbers w:val="0"/>
              <w:kinsoku/>
              <w:wordWrap/>
              <w:overflowPunct/>
              <w:topLinePunct w:val="0"/>
              <w:autoSpaceDE w:val="0"/>
              <w:autoSpaceDN w:val="0"/>
              <w:bidi w:val="0"/>
              <w:adjustRightInd/>
              <w:snapToGrid/>
              <w:spacing w:before="0" w:beforeLines="0" w:beforeAutospacing="0" w:after="0" w:afterAutospacing="0"/>
              <w:ind w:right="0"/>
              <w:textAlignment w:val="auto"/>
              <w:rPr>
                <w:rFonts w:hint="default"/>
                <w:color w:val="auto"/>
                <w:highlight w:val="none"/>
              </w:rPr>
            </w:pPr>
            <w:r>
              <w:rPr>
                <w:rFonts w:hint="eastAsia"/>
                <w:color w:val="auto"/>
                <w:highlight w:val="none"/>
                <w:lang w:val="en-US" w:eastAsia="zh-CN"/>
              </w:rPr>
              <w:t>实验废水产排情况</w:t>
            </w:r>
            <w:r>
              <w:rPr>
                <w:rFonts w:hint="eastAsia"/>
                <w:color w:val="auto"/>
                <w:highlight w:val="none"/>
              </w:rPr>
              <w:t>一览表</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96"/>
              <w:gridCol w:w="1044"/>
              <w:gridCol w:w="1125"/>
              <w:gridCol w:w="1000"/>
              <w:gridCol w:w="1100"/>
              <w:gridCol w:w="1137"/>
              <w:gridCol w:w="1530"/>
            </w:tblGrid>
            <w:tr w14:paraId="4F9EC2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35" w:type="pct"/>
                  <w:vMerge w:val="restart"/>
                  <w:tcBorders>
                    <w:tl2br w:val="nil"/>
                    <w:tr2bl w:val="nil"/>
                  </w:tcBorders>
                  <w:vAlign w:val="center"/>
                </w:tcPr>
                <w:p w14:paraId="0E7C5595">
                  <w:pPr>
                    <w:keepNext w:val="0"/>
                    <w:keepLines w:val="0"/>
                    <w:suppressLineNumbers w:val="0"/>
                    <w:spacing w:before="0" w:beforeAutospacing="0" w:after="0" w:afterAutospacing="0"/>
                    <w:ind w:left="0" w:right="0"/>
                    <w:jc w:val="center"/>
                    <w:rPr>
                      <w:rFonts w:hint="default"/>
                      <w:color w:val="auto"/>
                      <w:szCs w:val="21"/>
                      <w:highlight w:val="none"/>
                    </w:rPr>
                  </w:pPr>
                  <w:r>
                    <w:rPr>
                      <w:rFonts w:hint="eastAsia"/>
                      <w:color w:val="auto"/>
                      <w:highlight w:val="none"/>
                    </w:rPr>
                    <w:t>污染源</w:t>
                  </w:r>
                </w:p>
              </w:tc>
              <w:tc>
                <w:tcPr>
                  <w:tcW w:w="641" w:type="pct"/>
                  <w:vMerge w:val="restart"/>
                  <w:tcBorders>
                    <w:tl2br w:val="nil"/>
                    <w:tr2bl w:val="nil"/>
                  </w:tcBorders>
                  <w:vAlign w:val="center"/>
                </w:tcPr>
                <w:p w14:paraId="41BEEDC2">
                  <w:pPr>
                    <w:keepNext w:val="0"/>
                    <w:keepLines w:val="0"/>
                    <w:suppressLineNumbers w:val="0"/>
                    <w:spacing w:before="0" w:beforeAutospacing="0" w:after="0" w:afterAutospacing="0"/>
                    <w:ind w:left="0" w:right="0"/>
                    <w:jc w:val="center"/>
                    <w:rPr>
                      <w:rFonts w:hint="eastAsia"/>
                      <w:color w:val="auto"/>
                      <w:szCs w:val="21"/>
                      <w:highlight w:val="none"/>
                    </w:rPr>
                  </w:pPr>
                  <w:r>
                    <w:rPr>
                      <w:rFonts w:hint="eastAsia"/>
                      <w:color w:val="auto"/>
                      <w:szCs w:val="21"/>
                      <w:highlight w:val="none"/>
                    </w:rPr>
                    <w:t>污染物</w:t>
                  </w:r>
                </w:p>
                <w:p w14:paraId="1831E106">
                  <w:pPr>
                    <w:keepNext w:val="0"/>
                    <w:keepLines w:val="0"/>
                    <w:suppressLineNumbers w:val="0"/>
                    <w:spacing w:before="0" w:beforeAutospacing="0" w:after="0" w:afterAutospacing="0"/>
                    <w:ind w:left="0" w:right="0"/>
                    <w:jc w:val="center"/>
                    <w:rPr>
                      <w:rFonts w:hint="eastAsia" w:eastAsia="宋体"/>
                      <w:color w:val="auto"/>
                      <w:szCs w:val="21"/>
                      <w:highlight w:val="none"/>
                      <w:lang w:val="en-US" w:eastAsia="zh-CN"/>
                    </w:rPr>
                  </w:pPr>
                  <w:r>
                    <w:rPr>
                      <w:rFonts w:hint="eastAsia"/>
                      <w:color w:val="auto"/>
                      <w:szCs w:val="21"/>
                      <w:highlight w:val="none"/>
                      <w:lang w:val="en-US" w:eastAsia="zh-CN"/>
                    </w:rPr>
                    <w:t>种类</w:t>
                  </w:r>
                </w:p>
              </w:tc>
              <w:tc>
                <w:tcPr>
                  <w:tcW w:w="1306" w:type="pct"/>
                  <w:gridSpan w:val="2"/>
                  <w:tcBorders>
                    <w:tl2br w:val="nil"/>
                    <w:tr2bl w:val="nil"/>
                  </w:tcBorders>
                  <w:vAlign w:val="center"/>
                </w:tcPr>
                <w:p w14:paraId="48BFFCB9">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处理前</w:t>
                  </w:r>
                </w:p>
              </w:tc>
              <w:tc>
                <w:tcPr>
                  <w:tcW w:w="1375" w:type="pct"/>
                  <w:gridSpan w:val="2"/>
                  <w:tcBorders>
                    <w:tl2br w:val="nil"/>
                    <w:tr2bl w:val="nil"/>
                  </w:tcBorders>
                  <w:vAlign w:val="center"/>
                </w:tcPr>
                <w:p w14:paraId="1E887F76">
                  <w:pPr>
                    <w:keepNext w:val="0"/>
                    <w:keepLines w:val="0"/>
                    <w:suppressLineNumbers w:val="0"/>
                    <w:spacing w:before="0" w:beforeAutospacing="0" w:after="0" w:afterAutospacing="0"/>
                    <w:ind w:left="0" w:right="0"/>
                    <w:jc w:val="center"/>
                    <w:rPr>
                      <w:rFonts w:hint="default"/>
                      <w:color w:val="auto"/>
                      <w:szCs w:val="21"/>
                      <w:highlight w:val="none"/>
                      <w:lang w:val="en-US" w:eastAsia="zh-CN"/>
                    </w:rPr>
                  </w:pPr>
                  <w:r>
                    <w:rPr>
                      <w:rFonts w:hint="eastAsia"/>
                      <w:color w:val="auto"/>
                      <w:szCs w:val="21"/>
                      <w:highlight w:val="none"/>
                      <w:lang w:val="en-US" w:eastAsia="zh-CN"/>
                    </w:rPr>
                    <w:t>处理后</w:t>
                  </w:r>
                </w:p>
              </w:tc>
              <w:tc>
                <w:tcPr>
                  <w:tcW w:w="940" w:type="pct"/>
                  <w:vMerge w:val="restart"/>
                  <w:tcBorders>
                    <w:tl2br w:val="nil"/>
                    <w:tr2bl w:val="nil"/>
                  </w:tcBorders>
                  <w:vAlign w:val="center"/>
                </w:tcPr>
                <w:p w14:paraId="101FDE52">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备注</w:t>
                  </w:r>
                </w:p>
              </w:tc>
            </w:tr>
            <w:tr w14:paraId="3F1D2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tblHeader/>
                <w:jc w:val="center"/>
              </w:trPr>
              <w:tc>
                <w:tcPr>
                  <w:tcW w:w="735" w:type="pct"/>
                  <w:vMerge w:val="continue"/>
                  <w:tcBorders>
                    <w:tl2br w:val="nil"/>
                    <w:tr2bl w:val="nil"/>
                  </w:tcBorders>
                  <w:vAlign w:val="center"/>
                </w:tcPr>
                <w:p w14:paraId="27113C03">
                  <w:pPr>
                    <w:keepNext w:val="0"/>
                    <w:keepLines w:val="0"/>
                    <w:widowControl/>
                    <w:suppressLineNumbers w:val="0"/>
                    <w:spacing w:before="0" w:beforeAutospacing="0" w:after="0" w:afterAutospacing="0"/>
                    <w:ind w:left="0" w:right="0"/>
                    <w:jc w:val="left"/>
                    <w:rPr>
                      <w:rFonts w:hint="default"/>
                      <w:color w:val="auto"/>
                      <w:spacing w:val="4"/>
                      <w:kern w:val="0"/>
                      <w:szCs w:val="21"/>
                      <w:highlight w:val="none"/>
                    </w:rPr>
                  </w:pPr>
                </w:p>
              </w:tc>
              <w:tc>
                <w:tcPr>
                  <w:tcW w:w="641" w:type="pct"/>
                  <w:vMerge w:val="continue"/>
                  <w:tcBorders>
                    <w:tl2br w:val="nil"/>
                    <w:tr2bl w:val="nil"/>
                  </w:tcBorders>
                  <w:vAlign w:val="center"/>
                </w:tcPr>
                <w:p w14:paraId="1613E863">
                  <w:pPr>
                    <w:keepNext w:val="0"/>
                    <w:keepLines w:val="0"/>
                    <w:widowControl/>
                    <w:suppressLineNumbers w:val="0"/>
                    <w:spacing w:before="0" w:beforeAutospacing="0" w:after="0" w:afterAutospacing="0"/>
                    <w:ind w:left="0" w:right="0"/>
                    <w:jc w:val="left"/>
                    <w:rPr>
                      <w:rFonts w:hint="default"/>
                      <w:color w:val="auto"/>
                      <w:spacing w:val="4"/>
                      <w:kern w:val="0"/>
                      <w:szCs w:val="21"/>
                      <w:highlight w:val="none"/>
                    </w:rPr>
                  </w:pPr>
                </w:p>
              </w:tc>
              <w:tc>
                <w:tcPr>
                  <w:tcW w:w="691" w:type="pct"/>
                  <w:tcBorders>
                    <w:tl2br w:val="nil"/>
                    <w:tr2bl w:val="nil"/>
                  </w:tcBorders>
                  <w:vAlign w:val="center"/>
                </w:tcPr>
                <w:p w14:paraId="022A6F83">
                  <w:pPr>
                    <w:keepNext w:val="0"/>
                    <w:keepLines w:val="0"/>
                    <w:suppressLineNumbers w:val="0"/>
                    <w:spacing w:before="0" w:beforeAutospacing="0" w:after="0" w:afterAutospacing="0"/>
                    <w:ind w:left="0" w:right="0"/>
                    <w:jc w:val="center"/>
                    <w:rPr>
                      <w:rFonts w:hint="default"/>
                      <w:color w:val="auto"/>
                      <w:szCs w:val="21"/>
                      <w:highlight w:val="none"/>
                      <w:lang w:val="en-US"/>
                    </w:rPr>
                  </w:pPr>
                  <w:r>
                    <w:rPr>
                      <w:rFonts w:hint="eastAsia"/>
                      <w:color w:val="auto"/>
                      <w:szCs w:val="21"/>
                      <w:highlight w:val="none"/>
                      <w:lang w:val="en-US" w:eastAsia="zh-CN"/>
                    </w:rPr>
                    <w:t>产生浓度mg/L</w:t>
                  </w:r>
                </w:p>
              </w:tc>
              <w:tc>
                <w:tcPr>
                  <w:tcW w:w="614" w:type="pct"/>
                  <w:tcBorders>
                    <w:tl2br w:val="nil"/>
                    <w:tr2bl w:val="nil"/>
                  </w:tcBorders>
                  <w:vAlign w:val="center"/>
                </w:tcPr>
                <w:p w14:paraId="16EB4BEB">
                  <w:pPr>
                    <w:keepNext w:val="0"/>
                    <w:keepLines w:val="0"/>
                    <w:suppressLineNumbers w:val="0"/>
                    <w:spacing w:before="0" w:beforeAutospacing="0" w:after="0" w:afterAutospacing="0"/>
                    <w:ind w:left="0" w:right="0"/>
                    <w:jc w:val="center"/>
                    <w:rPr>
                      <w:rFonts w:hint="eastAsia"/>
                      <w:color w:val="auto"/>
                      <w:szCs w:val="21"/>
                      <w:highlight w:val="none"/>
                      <w:lang w:val="en-US" w:eastAsia="zh-CN"/>
                    </w:rPr>
                  </w:pPr>
                  <w:r>
                    <w:rPr>
                      <w:rFonts w:hint="eastAsia"/>
                      <w:color w:val="auto"/>
                      <w:szCs w:val="21"/>
                      <w:highlight w:val="none"/>
                      <w:lang w:val="en-US" w:eastAsia="zh-CN"/>
                    </w:rPr>
                    <w:t>产生量</w:t>
                  </w:r>
                </w:p>
                <w:p w14:paraId="01607762">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r>
                    <w:rPr>
                      <w:rFonts w:hint="eastAsia"/>
                      <w:color w:val="auto"/>
                      <w:szCs w:val="21"/>
                      <w:highlight w:val="none"/>
                      <w:lang w:val="en-US" w:eastAsia="zh-CN"/>
                    </w:rPr>
                    <w:t>t/a</w:t>
                  </w:r>
                </w:p>
              </w:tc>
              <w:tc>
                <w:tcPr>
                  <w:tcW w:w="676" w:type="pct"/>
                  <w:tcBorders>
                    <w:tl2br w:val="nil"/>
                    <w:tr2bl w:val="nil"/>
                  </w:tcBorders>
                  <w:vAlign w:val="center"/>
                </w:tcPr>
                <w:p w14:paraId="1E5A4F3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rPr>
                    <w:t>排放</w:t>
                  </w:r>
                  <w:r>
                    <w:rPr>
                      <w:rFonts w:hint="eastAsia"/>
                      <w:color w:val="auto"/>
                      <w:szCs w:val="21"/>
                      <w:highlight w:val="none"/>
                      <w:lang w:val="en-US" w:eastAsia="zh-CN"/>
                    </w:rPr>
                    <w:t>浓度mg/L</w:t>
                  </w:r>
                </w:p>
              </w:tc>
              <w:tc>
                <w:tcPr>
                  <w:tcW w:w="699" w:type="pct"/>
                  <w:tcBorders>
                    <w:tl2br w:val="nil"/>
                    <w:tr2bl w:val="nil"/>
                  </w:tcBorders>
                  <w:vAlign w:val="center"/>
                </w:tcPr>
                <w:p w14:paraId="7E160EA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排放量</w:t>
                  </w:r>
                </w:p>
                <w:p w14:paraId="69BB184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t/a</w:t>
                  </w:r>
                </w:p>
              </w:tc>
              <w:tc>
                <w:tcPr>
                  <w:tcW w:w="940" w:type="pct"/>
                  <w:vMerge w:val="continue"/>
                  <w:tcBorders>
                    <w:tl2br w:val="nil"/>
                    <w:tr2bl w:val="nil"/>
                  </w:tcBorders>
                  <w:vAlign w:val="center"/>
                </w:tcPr>
                <w:p w14:paraId="0AD44E64">
                  <w:pPr>
                    <w:keepNext w:val="0"/>
                    <w:keepLines w:val="0"/>
                    <w:suppressLineNumbers w:val="0"/>
                    <w:spacing w:before="0" w:beforeAutospacing="0" w:after="0" w:afterAutospacing="0"/>
                    <w:ind w:left="0" w:right="0"/>
                    <w:jc w:val="center"/>
                    <w:rPr>
                      <w:rFonts w:hint="default" w:eastAsia="宋体"/>
                      <w:color w:val="auto"/>
                      <w:szCs w:val="21"/>
                      <w:highlight w:val="none"/>
                      <w:lang w:val="en-US" w:eastAsia="zh-CN"/>
                    </w:rPr>
                  </w:pPr>
                </w:p>
              </w:tc>
            </w:tr>
            <w:tr w14:paraId="790242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5" w:type="pct"/>
                  <w:vMerge w:val="restart"/>
                  <w:tcBorders>
                    <w:tl2br w:val="nil"/>
                    <w:tr2bl w:val="nil"/>
                  </w:tcBorders>
                  <w:vAlign w:val="center"/>
                </w:tcPr>
                <w:p w14:paraId="5C1B3AE3">
                  <w:pPr>
                    <w:keepNext w:val="0"/>
                    <w:keepLines w:val="0"/>
                    <w:suppressLineNumbers w:val="0"/>
                    <w:spacing w:before="0" w:beforeAutospacing="0" w:after="0" w:afterAutospacing="0"/>
                    <w:ind w:left="0" w:leftChars="0" w:right="0" w:rightChars="0"/>
                    <w:jc w:val="center"/>
                    <w:rPr>
                      <w:rFonts w:hint="default"/>
                      <w:color w:val="auto"/>
                      <w:sz w:val="21"/>
                      <w:szCs w:val="21"/>
                      <w:highlight w:val="none"/>
                      <w:lang w:val="en-US"/>
                    </w:rPr>
                  </w:pPr>
                  <w:r>
                    <w:rPr>
                      <w:rFonts w:hint="eastAsia"/>
                      <w:color w:val="auto"/>
                      <w:sz w:val="21"/>
                      <w:szCs w:val="21"/>
                      <w:highlight w:val="none"/>
                    </w:rPr>
                    <w:t>实验废水</w:t>
                  </w:r>
                  <w:r>
                    <w:rPr>
                      <w:rFonts w:hint="eastAsia"/>
                      <w:color w:val="auto"/>
                      <w:sz w:val="21"/>
                      <w:szCs w:val="21"/>
                      <w:highlight w:val="none"/>
                      <w:lang w:val="en-US" w:eastAsia="zh-CN"/>
                    </w:rPr>
                    <w:t>（W1~W4）</w:t>
                  </w:r>
                </w:p>
              </w:tc>
              <w:tc>
                <w:tcPr>
                  <w:tcW w:w="641" w:type="pct"/>
                  <w:tcBorders>
                    <w:tl2br w:val="nil"/>
                    <w:tr2bl w:val="nil"/>
                  </w:tcBorders>
                  <w:vAlign w:val="center"/>
                </w:tcPr>
                <w:p w14:paraId="41680C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eastAsia="宋体"/>
                      <w:color w:val="auto"/>
                      <w:highlight w:val="none"/>
                      <w:lang w:val="en-US" w:eastAsia="zh-CN"/>
                    </w:rPr>
                  </w:pPr>
                  <w:r>
                    <w:rPr>
                      <w:rFonts w:hint="eastAsia" w:eastAsia="宋体"/>
                      <w:color w:val="auto"/>
                      <w:highlight w:val="none"/>
                      <w:lang w:val="en-US" w:eastAsia="zh-CN"/>
                    </w:rPr>
                    <w:t>废水量</w:t>
                  </w:r>
                </w:p>
              </w:tc>
              <w:tc>
                <w:tcPr>
                  <w:tcW w:w="691" w:type="pct"/>
                  <w:tcBorders>
                    <w:tl2br w:val="nil"/>
                    <w:tr2bl w:val="nil"/>
                  </w:tcBorders>
                  <w:vAlign w:val="center"/>
                </w:tcPr>
                <w:p w14:paraId="6662671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14" w:type="pct"/>
                  <w:tcBorders>
                    <w:tl2br w:val="nil"/>
                    <w:tr2bl w:val="nil"/>
                  </w:tcBorders>
                  <w:vAlign w:val="center"/>
                </w:tcPr>
                <w:p w14:paraId="25B7CE6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282.85</w:t>
                  </w:r>
                </w:p>
              </w:tc>
              <w:tc>
                <w:tcPr>
                  <w:tcW w:w="676" w:type="pct"/>
                  <w:tcBorders>
                    <w:tl2br w:val="nil"/>
                    <w:tr2bl w:val="nil"/>
                  </w:tcBorders>
                  <w:vAlign w:val="center"/>
                </w:tcPr>
                <w:p w14:paraId="21DC405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699" w:type="pct"/>
                  <w:tcBorders>
                    <w:tl2br w:val="nil"/>
                    <w:tr2bl w:val="nil"/>
                  </w:tcBorders>
                  <w:vAlign w:val="center"/>
                </w:tcPr>
                <w:p w14:paraId="3E605CAE">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highlight w:val="none"/>
                      <w:lang w:val="en-US" w:eastAsia="zh-CN"/>
                    </w:rPr>
                  </w:pPr>
                  <w:r>
                    <w:rPr>
                      <w:rFonts w:hint="eastAsia"/>
                      <w:color w:val="auto"/>
                      <w:szCs w:val="21"/>
                      <w:highlight w:val="none"/>
                      <w:lang w:val="en-US" w:eastAsia="zh-CN"/>
                    </w:rPr>
                    <w:t>282.85</w:t>
                  </w:r>
                </w:p>
              </w:tc>
              <w:tc>
                <w:tcPr>
                  <w:tcW w:w="940" w:type="pct"/>
                  <w:vMerge w:val="restart"/>
                  <w:tcBorders>
                    <w:tl2br w:val="nil"/>
                    <w:tr2bl w:val="nil"/>
                  </w:tcBorders>
                  <w:vAlign w:val="center"/>
                </w:tcPr>
                <w:p w14:paraId="7D22E2B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表中排放浓度</w:t>
                  </w:r>
                  <w:r>
                    <w:rPr>
                      <w:rFonts w:hint="eastAsia" w:cs="Times New Roman"/>
                      <w:i w:val="0"/>
                      <w:iCs w:val="0"/>
                      <w:color w:val="auto"/>
                      <w:kern w:val="0"/>
                      <w:sz w:val="21"/>
                      <w:szCs w:val="21"/>
                      <w:highlight w:val="none"/>
                      <w:u w:val="none"/>
                      <w:lang w:val="en-US" w:eastAsia="zh-CN" w:bidi="ar"/>
                    </w:rPr>
                    <w:t>指的是废水处理设备处理后进入化粪池废水</w:t>
                  </w:r>
                  <w:r>
                    <w:rPr>
                      <w:rFonts w:hint="eastAsia" w:ascii="Times New Roman" w:hAnsi="Times New Roman" w:eastAsia="宋体" w:cs="Times New Roman"/>
                      <w:i w:val="0"/>
                      <w:iCs w:val="0"/>
                      <w:color w:val="auto"/>
                      <w:kern w:val="0"/>
                      <w:sz w:val="21"/>
                      <w:szCs w:val="21"/>
                      <w:highlight w:val="none"/>
                      <w:u w:val="none"/>
                      <w:lang w:val="en-US" w:eastAsia="zh-CN" w:bidi="ar"/>
                    </w:rPr>
                    <w:t>浓度</w:t>
                  </w:r>
                  <w:r>
                    <w:rPr>
                      <w:rFonts w:hint="eastAsia" w:cs="Times New Roman"/>
                      <w:i w:val="0"/>
                      <w:iCs w:val="0"/>
                      <w:color w:val="auto"/>
                      <w:kern w:val="0"/>
                      <w:sz w:val="21"/>
                      <w:szCs w:val="21"/>
                      <w:highlight w:val="none"/>
                      <w:u w:val="none"/>
                      <w:lang w:val="en-US" w:eastAsia="zh-CN" w:bidi="ar"/>
                    </w:rPr>
                    <w:t>。</w:t>
                  </w:r>
                </w:p>
              </w:tc>
            </w:tr>
            <w:tr w14:paraId="737BB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5" w:type="pct"/>
                  <w:vMerge w:val="continue"/>
                  <w:tcBorders>
                    <w:tl2br w:val="nil"/>
                    <w:tr2bl w:val="nil"/>
                  </w:tcBorders>
                  <w:vAlign w:val="center"/>
                </w:tcPr>
                <w:p w14:paraId="52533E5D">
                  <w:pPr>
                    <w:keepNext w:val="0"/>
                    <w:keepLines w:val="0"/>
                    <w:suppressLineNumbers w:val="0"/>
                    <w:spacing w:before="0" w:beforeAutospacing="0" w:after="0" w:afterAutospacing="0"/>
                    <w:ind w:left="0" w:leftChars="0" w:right="0" w:rightChars="0"/>
                    <w:jc w:val="center"/>
                    <w:rPr>
                      <w:rFonts w:hint="eastAsia"/>
                      <w:color w:val="auto"/>
                      <w:sz w:val="21"/>
                      <w:szCs w:val="21"/>
                      <w:highlight w:val="none"/>
                    </w:rPr>
                  </w:pPr>
                </w:p>
              </w:tc>
              <w:tc>
                <w:tcPr>
                  <w:tcW w:w="641" w:type="pct"/>
                  <w:tcBorders>
                    <w:tl2br w:val="nil"/>
                    <w:tr2bl w:val="nil"/>
                  </w:tcBorders>
                  <w:vAlign w:val="center"/>
                </w:tcPr>
                <w:p w14:paraId="632F68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COD</w:t>
                  </w:r>
                </w:p>
              </w:tc>
              <w:tc>
                <w:tcPr>
                  <w:tcW w:w="691" w:type="pct"/>
                  <w:tcBorders>
                    <w:tl2br w:val="nil"/>
                    <w:tr2bl w:val="nil"/>
                  </w:tcBorders>
                  <w:vAlign w:val="center"/>
                </w:tcPr>
                <w:p w14:paraId="07CC94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500</w:t>
                  </w:r>
                </w:p>
              </w:tc>
              <w:tc>
                <w:tcPr>
                  <w:tcW w:w="1000" w:type="dxa"/>
                  <w:tcBorders>
                    <w:tl2br w:val="nil"/>
                    <w:tr2bl w:val="nil"/>
                  </w:tcBorders>
                  <w:vAlign w:val="center"/>
                </w:tcPr>
                <w:p w14:paraId="4568080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0.141 </w:t>
                  </w:r>
                </w:p>
              </w:tc>
              <w:tc>
                <w:tcPr>
                  <w:tcW w:w="676" w:type="pct"/>
                  <w:tcBorders>
                    <w:tl2br w:val="nil"/>
                    <w:tr2bl w:val="nil"/>
                  </w:tcBorders>
                  <w:vAlign w:val="center"/>
                </w:tcPr>
                <w:p w14:paraId="5E83461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150</w:t>
                  </w:r>
                </w:p>
              </w:tc>
              <w:tc>
                <w:tcPr>
                  <w:tcW w:w="1137" w:type="dxa"/>
                  <w:tcBorders>
                    <w:tl2br w:val="nil"/>
                    <w:tr2bl w:val="nil"/>
                  </w:tcBorders>
                  <w:vAlign w:val="center"/>
                </w:tcPr>
                <w:p w14:paraId="29FB10E0">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0.042 </w:t>
                  </w:r>
                </w:p>
              </w:tc>
              <w:tc>
                <w:tcPr>
                  <w:tcW w:w="940" w:type="pct"/>
                  <w:vMerge w:val="continue"/>
                  <w:tcBorders>
                    <w:tl2br w:val="nil"/>
                    <w:tr2bl w:val="nil"/>
                  </w:tcBorders>
                  <w:vAlign w:val="center"/>
                </w:tcPr>
                <w:p w14:paraId="1511918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1AFD75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5" w:type="pct"/>
                  <w:vMerge w:val="continue"/>
                  <w:tcBorders>
                    <w:tl2br w:val="nil"/>
                    <w:tr2bl w:val="nil"/>
                  </w:tcBorders>
                  <w:vAlign w:val="center"/>
                </w:tcPr>
                <w:p w14:paraId="446D0983">
                  <w:pPr>
                    <w:keepNext w:val="0"/>
                    <w:keepLines w:val="0"/>
                    <w:suppressLineNumbers w:val="0"/>
                    <w:spacing w:before="0" w:beforeAutospacing="0" w:after="0" w:afterAutospacing="0"/>
                    <w:ind w:left="0" w:leftChars="0" w:right="0" w:rightChars="0"/>
                    <w:jc w:val="center"/>
                    <w:rPr>
                      <w:rFonts w:hint="eastAsia"/>
                      <w:color w:val="auto"/>
                      <w:sz w:val="21"/>
                      <w:szCs w:val="21"/>
                      <w:highlight w:val="none"/>
                    </w:rPr>
                  </w:pPr>
                </w:p>
              </w:tc>
              <w:tc>
                <w:tcPr>
                  <w:tcW w:w="641" w:type="pct"/>
                  <w:tcBorders>
                    <w:tl2br w:val="nil"/>
                    <w:tr2bl w:val="nil"/>
                  </w:tcBorders>
                  <w:vAlign w:val="center"/>
                </w:tcPr>
                <w:p w14:paraId="5D21EF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氨氮</w:t>
                  </w:r>
                </w:p>
              </w:tc>
              <w:tc>
                <w:tcPr>
                  <w:tcW w:w="691" w:type="pct"/>
                  <w:tcBorders>
                    <w:tl2br w:val="nil"/>
                    <w:tr2bl w:val="nil"/>
                  </w:tcBorders>
                  <w:vAlign w:val="center"/>
                </w:tcPr>
                <w:p w14:paraId="6C9C7E9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w:t>
                  </w:r>
                </w:p>
              </w:tc>
              <w:tc>
                <w:tcPr>
                  <w:tcW w:w="1000" w:type="dxa"/>
                  <w:tcBorders>
                    <w:tl2br w:val="nil"/>
                    <w:tr2bl w:val="nil"/>
                  </w:tcBorders>
                  <w:vAlign w:val="center"/>
                </w:tcPr>
                <w:p w14:paraId="4F36FC8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676" w:type="pct"/>
                  <w:tcBorders>
                    <w:tl2br w:val="nil"/>
                    <w:tr2bl w:val="nil"/>
                  </w:tcBorders>
                  <w:vAlign w:val="center"/>
                </w:tcPr>
                <w:p w14:paraId="0B8D30D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137" w:type="dxa"/>
                  <w:tcBorders>
                    <w:tl2br w:val="nil"/>
                    <w:tr2bl w:val="nil"/>
                  </w:tcBorders>
                  <w:vAlign w:val="center"/>
                </w:tcPr>
                <w:p w14:paraId="2D33E54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940" w:type="pct"/>
                  <w:vMerge w:val="continue"/>
                  <w:tcBorders>
                    <w:tl2br w:val="nil"/>
                    <w:tr2bl w:val="nil"/>
                  </w:tcBorders>
                  <w:vAlign w:val="center"/>
                </w:tcPr>
                <w:p w14:paraId="0B52DB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2554E5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5" w:type="pct"/>
                  <w:vMerge w:val="continue"/>
                  <w:tcBorders>
                    <w:tl2br w:val="nil"/>
                    <w:tr2bl w:val="nil"/>
                  </w:tcBorders>
                  <w:vAlign w:val="center"/>
                </w:tcPr>
                <w:p w14:paraId="01868010">
                  <w:pPr>
                    <w:keepNext w:val="0"/>
                    <w:keepLines w:val="0"/>
                    <w:suppressLineNumbers w:val="0"/>
                    <w:spacing w:before="0" w:beforeAutospacing="0" w:after="0" w:afterAutospacing="0"/>
                    <w:ind w:left="0" w:leftChars="0" w:right="0" w:rightChars="0"/>
                    <w:jc w:val="center"/>
                    <w:rPr>
                      <w:rFonts w:hint="eastAsia"/>
                      <w:color w:val="auto"/>
                      <w:sz w:val="21"/>
                      <w:szCs w:val="21"/>
                      <w:highlight w:val="none"/>
                    </w:rPr>
                  </w:pPr>
                </w:p>
              </w:tc>
              <w:tc>
                <w:tcPr>
                  <w:tcW w:w="641" w:type="pct"/>
                  <w:tcBorders>
                    <w:tl2br w:val="nil"/>
                    <w:tr2bl w:val="nil"/>
                  </w:tcBorders>
                  <w:vAlign w:val="center"/>
                </w:tcPr>
                <w:p w14:paraId="60A9A5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BOD</w:t>
                  </w:r>
                  <w:r>
                    <w:rPr>
                      <w:rFonts w:hint="eastAsia" w:ascii="Times New Roman" w:hAnsi="Times New Roman" w:eastAsia="宋体" w:cs="Times New Roman"/>
                      <w:color w:val="auto"/>
                      <w:szCs w:val="21"/>
                      <w:highlight w:val="none"/>
                      <w:vertAlign w:val="subscript"/>
                      <w:lang w:val="en-US" w:eastAsia="zh-CN"/>
                    </w:rPr>
                    <w:t>5</w:t>
                  </w:r>
                </w:p>
              </w:tc>
              <w:tc>
                <w:tcPr>
                  <w:tcW w:w="691" w:type="pct"/>
                  <w:tcBorders>
                    <w:tl2br w:val="nil"/>
                    <w:tr2bl w:val="nil"/>
                  </w:tcBorders>
                  <w:vAlign w:val="center"/>
                </w:tcPr>
                <w:p w14:paraId="31F18F8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300</w:t>
                  </w:r>
                </w:p>
              </w:tc>
              <w:tc>
                <w:tcPr>
                  <w:tcW w:w="1000" w:type="dxa"/>
                  <w:tcBorders>
                    <w:tl2br w:val="nil"/>
                    <w:tr2bl w:val="nil"/>
                  </w:tcBorders>
                  <w:vAlign w:val="center"/>
                </w:tcPr>
                <w:p w14:paraId="720E55A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0.085 </w:t>
                  </w:r>
                </w:p>
              </w:tc>
              <w:tc>
                <w:tcPr>
                  <w:tcW w:w="676" w:type="pct"/>
                  <w:tcBorders>
                    <w:tl2br w:val="nil"/>
                    <w:tr2bl w:val="nil"/>
                  </w:tcBorders>
                  <w:vAlign w:val="center"/>
                </w:tcPr>
                <w:p w14:paraId="31A01D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1137" w:type="dxa"/>
                  <w:tcBorders>
                    <w:tl2br w:val="nil"/>
                    <w:tr2bl w:val="nil"/>
                  </w:tcBorders>
                  <w:vAlign w:val="center"/>
                </w:tcPr>
                <w:p w14:paraId="2621C2D3">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940" w:type="pct"/>
                  <w:vMerge w:val="continue"/>
                  <w:tcBorders>
                    <w:tl2br w:val="nil"/>
                    <w:tr2bl w:val="nil"/>
                  </w:tcBorders>
                  <w:vAlign w:val="center"/>
                </w:tcPr>
                <w:p w14:paraId="690A97D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r w14:paraId="5D886B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735" w:type="pct"/>
                  <w:vMerge w:val="continue"/>
                  <w:tcBorders>
                    <w:tl2br w:val="nil"/>
                    <w:tr2bl w:val="nil"/>
                  </w:tcBorders>
                  <w:vAlign w:val="center"/>
                </w:tcPr>
                <w:p w14:paraId="09E544F2">
                  <w:pPr>
                    <w:keepNext w:val="0"/>
                    <w:keepLines w:val="0"/>
                    <w:suppressLineNumbers w:val="0"/>
                    <w:spacing w:before="0" w:beforeAutospacing="0" w:after="0" w:afterAutospacing="0"/>
                    <w:ind w:left="0" w:leftChars="0" w:right="0" w:rightChars="0"/>
                    <w:jc w:val="center"/>
                    <w:rPr>
                      <w:rFonts w:hint="eastAsia"/>
                      <w:color w:val="auto"/>
                      <w:sz w:val="21"/>
                      <w:szCs w:val="21"/>
                      <w:highlight w:val="none"/>
                    </w:rPr>
                  </w:pPr>
                </w:p>
              </w:tc>
              <w:tc>
                <w:tcPr>
                  <w:tcW w:w="641" w:type="pct"/>
                  <w:tcBorders>
                    <w:tl2br w:val="nil"/>
                    <w:tr2bl w:val="nil"/>
                  </w:tcBorders>
                  <w:vAlign w:val="center"/>
                </w:tcPr>
                <w:p w14:paraId="27301E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eastAsia="宋体"/>
                      <w:color w:val="auto"/>
                      <w:highlight w:val="none"/>
                      <w:lang w:val="en-US" w:eastAsia="zh-CN"/>
                    </w:rPr>
                  </w:pPr>
                  <w:r>
                    <w:rPr>
                      <w:rFonts w:hint="eastAsia" w:ascii="Times New Roman" w:hAnsi="Times New Roman" w:eastAsia="宋体" w:cs="Times New Roman"/>
                      <w:color w:val="auto"/>
                      <w:szCs w:val="21"/>
                      <w:highlight w:val="none"/>
                      <w:lang w:val="en-US" w:eastAsia="zh-CN"/>
                    </w:rPr>
                    <w:t>SS</w:t>
                  </w:r>
                </w:p>
              </w:tc>
              <w:tc>
                <w:tcPr>
                  <w:tcW w:w="691" w:type="pct"/>
                  <w:tcBorders>
                    <w:tl2br w:val="nil"/>
                    <w:tr2bl w:val="nil"/>
                  </w:tcBorders>
                  <w:vAlign w:val="center"/>
                </w:tcPr>
                <w:p w14:paraId="03458F6C">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400</w:t>
                  </w:r>
                </w:p>
              </w:tc>
              <w:tc>
                <w:tcPr>
                  <w:tcW w:w="1000" w:type="dxa"/>
                  <w:tcBorders>
                    <w:tl2br w:val="nil"/>
                    <w:tr2bl w:val="nil"/>
                  </w:tcBorders>
                  <w:vAlign w:val="center"/>
                </w:tcPr>
                <w:p w14:paraId="32EE270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0.113 </w:t>
                  </w:r>
                </w:p>
              </w:tc>
              <w:tc>
                <w:tcPr>
                  <w:tcW w:w="676" w:type="pct"/>
                  <w:tcBorders>
                    <w:tl2br w:val="nil"/>
                    <w:tr2bl w:val="nil"/>
                  </w:tcBorders>
                  <w:vAlign w:val="center"/>
                </w:tcPr>
                <w:p w14:paraId="5076EE5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40</w:t>
                  </w:r>
                </w:p>
              </w:tc>
              <w:tc>
                <w:tcPr>
                  <w:tcW w:w="1137" w:type="dxa"/>
                  <w:tcBorders>
                    <w:tl2br w:val="nil"/>
                    <w:tr2bl w:val="nil"/>
                  </w:tcBorders>
                  <w:vAlign w:val="center"/>
                </w:tcPr>
                <w:p w14:paraId="2AE75458">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940" w:type="pct"/>
                  <w:vMerge w:val="continue"/>
                  <w:tcBorders>
                    <w:tl2br w:val="nil"/>
                    <w:tr2bl w:val="nil"/>
                  </w:tcBorders>
                  <w:vAlign w:val="center"/>
                </w:tcPr>
                <w:p w14:paraId="445D85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auto"/>
                      <w:kern w:val="0"/>
                      <w:sz w:val="22"/>
                      <w:szCs w:val="22"/>
                      <w:highlight w:val="none"/>
                      <w:u w:val="none"/>
                      <w:lang w:val="en-US" w:eastAsia="zh-CN" w:bidi="ar"/>
                    </w:rPr>
                  </w:pPr>
                </w:p>
              </w:tc>
            </w:tr>
          </w:tbl>
          <w:p w14:paraId="24BD7A93">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highlight w:val="none"/>
                <w:lang w:val="en-US" w:eastAsia="zh-CN"/>
              </w:rPr>
            </w:pPr>
            <w:r>
              <w:rPr>
                <w:rFonts w:hint="eastAsia" w:ascii="Times New Roman" w:hAnsi="Times New Roman" w:eastAsia="宋体" w:cs="宋体"/>
                <w:color w:val="auto"/>
                <w:highlight w:val="none"/>
                <w:lang w:val="en-US" w:eastAsia="zh-CN"/>
              </w:rPr>
              <w:t>（2）生活污水</w:t>
            </w:r>
          </w:p>
          <w:p w14:paraId="7B4C2EA0">
            <w:pPr>
              <w:pStyle w:val="36"/>
              <w:keepNext w:val="0"/>
              <w:keepLines w:val="0"/>
              <w:suppressLineNumbers w:val="0"/>
              <w:bidi w:val="0"/>
              <w:spacing w:before="0" w:beforeAutospacing="0" w:after="0" w:afterAutospacing="0"/>
              <w:ind w:left="0" w:right="0"/>
              <w:rPr>
                <w:rFonts w:hint="eastAsia"/>
                <w:color w:val="auto"/>
                <w:highlight w:val="none"/>
                <w:u w:val="none"/>
                <w:lang w:eastAsia="zh-CN"/>
              </w:rPr>
            </w:pPr>
            <w:r>
              <w:rPr>
                <w:rFonts w:hint="eastAsia"/>
                <w:color w:val="auto"/>
                <w:highlight w:val="none"/>
                <w:u w:val="none"/>
                <w:lang w:val="en-US" w:eastAsia="zh-CN"/>
              </w:rPr>
              <w:t>本项目生活污水产生量为360t/a，</w:t>
            </w:r>
            <w:r>
              <w:rPr>
                <w:rFonts w:hint="eastAsia"/>
                <w:color w:val="auto"/>
                <w:highlight w:val="none"/>
                <w:u w:val="none"/>
              </w:rPr>
              <w:t>生活污水中的主要污染物为</w:t>
            </w:r>
            <w:r>
              <w:rPr>
                <w:rFonts w:hint="default"/>
                <w:color w:val="auto"/>
                <w:highlight w:val="none"/>
                <w:u w:val="none"/>
              </w:rPr>
              <w:t>COD</w:t>
            </w:r>
            <w:r>
              <w:rPr>
                <w:rFonts w:hint="eastAsia"/>
                <w:color w:val="auto"/>
                <w:highlight w:val="none"/>
                <w:u w:val="none"/>
                <w:lang w:eastAsia="zh-CN"/>
              </w:rPr>
              <w:t>、</w:t>
            </w:r>
            <w:r>
              <w:rPr>
                <w:rFonts w:hint="default"/>
                <w:color w:val="auto"/>
                <w:highlight w:val="none"/>
                <w:u w:val="none"/>
              </w:rPr>
              <w:t>NH</w:t>
            </w:r>
            <w:r>
              <w:rPr>
                <w:rFonts w:hint="default"/>
                <w:color w:val="auto"/>
                <w:highlight w:val="none"/>
                <w:u w:val="none"/>
                <w:vertAlign w:val="subscript"/>
              </w:rPr>
              <w:t>3</w:t>
            </w:r>
            <w:r>
              <w:rPr>
                <w:rFonts w:hint="default"/>
                <w:color w:val="auto"/>
                <w:highlight w:val="none"/>
                <w:u w:val="none"/>
              </w:rPr>
              <w:t>-N</w:t>
            </w:r>
            <w:r>
              <w:rPr>
                <w:rFonts w:hint="eastAsia"/>
                <w:color w:val="auto"/>
                <w:highlight w:val="none"/>
                <w:u w:val="none"/>
              </w:rPr>
              <w:t>、</w:t>
            </w:r>
            <w:r>
              <w:rPr>
                <w:rFonts w:hint="default"/>
                <w:color w:val="auto"/>
                <w:highlight w:val="none"/>
                <w:u w:val="none"/>
              </w:rPr>
              <w:t>BOD</w:t>
            </w:r>
            <w:r>
              <w:rPr>
                <w:rFonts w:hint="default"/>
                <w:color w:val="auto"/>
                <w:highlight w:val="none"/>
                <w:u w:val="none"/>
                <w:vertAlign w:val="subscript"/>
              </w:rPr>
              <w:t>5</w:t>
            </w:r>
            <w:r>
              <w:rPr>
                <w:rFonts w:hint="eastAsia"/>
                <w:color w:val="auto"/>
                <w:highlight w:val="none"/>
                <w:u w:val="none"/>
              </w:rPr>
              <w:t>和</w:t>
            </w:r>
            <w:r>
              <w:rPr>
                <w:rFonts w:hint="default"/>
                <w:color w:val="auto"/>
                <w:highlight w:val="none"/>
                <w:u w:val="none"/>
              </w:rPr>
              <w:t>SS</w:t>
            </w:r>
            <w:r>
              <w:rPr>
                <w:rFonts w:hint="eastAsia"/>
                <w:color w:val="auto"/>
                <w:highlight w:val="none"/>
                <w:u w:val="none"/>
              </w:rPr>
              <w:t>等，参考《给排水常用数据手册》，取典型生活污水中主要污染浓度为：</w:t>
            </w:r>
            <w:r>
              <w:rPr>
                <w:rFonts w:hint="default"/>
                <w:color w:val="auto"/>
                <w:highlight w:val="none"/>
                <w:u w:val="none"/>
              </w:rPr>
              <w:t>COD</w:t>
            </w:r>
            <w:r>
              <w:rPr>
                <w:rFonts w:hint="eastAsia"/>
                <w:color w:val="auto"/>
                <w:highlight w:val="none"/>
                <w:u w:val="none"/>
              </w:rPr>
              <w:t>：</w:t>
            </w:r>
            <w:r>
              <w:rPr>
                <w:rFonts w:hint="default"/>
                <w:color w:val="auto"/>
                <w:highlight w:val="none"/>
                <w:u w:val="none"/>
              </w:rPr>
              <w:t>400mg/L</w:t>
            </w:r>
            <w:r>
              <w:rPr>
                <w:rFonts w:hint="eastAsia"/>
                <w:color w:val="auto"/>
                <w:highlight w:val="none"/>
                <w:u w:val="none"/>
              </w:rPr>
              <w:t>、</w:t>
            </w:r>
            <w:r>
              <w:rPr>
                <w:rFonts w:hint="default"/>
                <w:color w:val="auto"/>
                <w:highlight w:val="none"/>
                <w:u w:val="none"/>
              </w:rPr>
              <w:t>NH</w:t>
            </w:r>
            <w:r>
              <w:rPr>
                <w:rFonts w:hint="default"/>
                <w:color w:val="auto"/>
                <w:highlight w:val="none"/>
                <w:u w:val="none"/>
                <w:vertAlign w:val="subscript"/>
              </w:rPr>
              <w:t>3</w:t>
            </w:r>
            <w:r>
              <w:rPr>
                <w:rFonts w:hint="default"/>
                <w:color w:val="auto"/>
                <w:highlight w:val="none"/>
                <w:u w:val="none"/>
              </w:rPr>
              <w:t>-N</w:t>
            </w:r>
            <w:r>
              <w:rPr>
                <w:rFonts w:hint="eastAsia"/>
                <w:color w:val="auto"/>
                <w:highlight w:val="none"/>
                <w:u w:val="none"/>
              </w:rPr>
              <w:t>：</w:t>
            </w:r>
            <w:r>
              <w:rPr>
                <w:rFonts w:hint="default"/>
                <w:color w:val="auto"/>
                <w:highlight w:val="none"/>
                <w:u w:val="none"/>
              </w:rPr>
              <w:t>35mg/L</w:t>
            </w:r>
            <w:r>
              <w:rPr>
                <w:rFonts w:hint="eastAsia"/>
                <w:color w:val="auto"/>
                <w:highlight w:val="none"/>
                <w:u w:val="none"/>
              </w:rPr>
              <w:t>、</w:t>
            </w:r>
            <w:r>
              <w:rPr>
                <w:rFonts w:hint="default"/>
                <w:color w:val="auto"/>
                <w:highlight w:val="none"/>
                <w:u w:val="none"/>
              </w:rPr>
              <w:t>BOD</w:t>
            </w:r>
            <w:r>
              <w:rPr>
                <w:rFonts w:hint="default"/>
                <w:color w:val="auto"/>
                <w:highlight w:val="none"/>
                <w:u w:val="none"/>
                <w:vertAlign w:val="subscript"/>
              </w:rPr>
              <w:t>5</w:t>
            </w:r>
            <w:r>
              <w:rPr>
                <w:rFonts w:hint="default"/>
                <w:color w:val="auto"/>
                <w:shd w:val="clear" w:fill="FFFFFF"/>
              </w:rPr>
              <w:t>：</w:t>
            </w:r>
            <w:r>
              <w:rPr>
                <w:rFonts w:hint="default"/>
                <w:color w:val="auto"/>
                <w:highlight w:val="none"/>
                <w:u w:val="none"/>
              </w:rPr>
              <w:t>200mg/L</w:t>
            </w:r>
            <w:r>
              <w:rPr>
                <w:rFonts w:hint="eastAsia"/>
                <w:color w:val="auto"/>
                <w:highlight w:val="none"/>
                <w:u w:val="none"/>
              </w:rPr>
              <w:t>、</w:t>
            </w:r>
            <w:r>
              <w:rPr>
                <w:rFonts w:hint="default"/>
                <w:color w:val="auto"/>
                <w:highlight w:val="none"/>
                <w:u w:val="none"/>
              </w:rPr>
              <w:t>SS</w:t>
            </w:r>
            <w:r>
              <w:rPr>
                <w:rFonts w:hint="eastAsia"/>
                <w:color w:val="auto"/>
                <w:highlight w:val="none"/>
                <w:u w:val="none"/>
              </w:rPr>
              <w:t>：</w:t>
            </w:r>
            <w:r>
              <w:rPr>
                <w:rFonts w:hint="default"/>
                <w:color w:val="auto"/>
                <w:highlight w:val="none"/>
                <w:u w:val="none"/>
              </w:rPr>
              <w:t>220mg/L</w:t>
            </w:r>
            <w:r>
              <w:rPr>
                <w:rFonts w:hint="eastAsia"/>
                <w:color w:val="auto"/>
                <w:highlight w:val="none"/>
                <w:u w:val="none"/>
                <w:lang w:eastAsia="zh-CN"/>
              </w:rPr>
              <w:t>。</w:t>
            </w:r>
          </w:p>
          <w:p w14:paraId="209F7A86">
            <w:pPr>
              <w:pStyle w:val="36"/>
              <w:keepNext w:val="0"/>
              <w:keepLines w:val="0"/>
              <w:suppressLineNumbers w:val="0"/>
              <w:bidi w:val="0"/>
              <w:spacing w:before="0" w:beforeAutospacing="0" w:after="0" w:afterAutospacing="0"/>
              <w:ind w:left="0" w:right="0"/>
              <w:rPr>
                <w:rFonts w:hint="default"/>
                <w:color w:val="auto"/>
                <w:highlight w:val="none"/>
                <w:u w:val="none"/>
                <w:lang w:val="en-US" w:eastAsia="zh-CN"/>
              </w:rPr>
            </w:pPr>
            <w:r>
              <w:rPr>
                <w:rFonts w:hint="eastAsia"/>
                <w:color w:val="auto"/>
                <w:highlight w:val="none"/>
                <w:u w:val="none"/>
                <w:lang w:val="en-US" w:eastAsia="zh-CN"/>
              </w:rPr>
              <w:t>各类废水产生情况见下表：</w:t>
            </w:r>
          </w:p>
          <w:p w14:paraId="184AB46D">
            <w:pPr>
              <w:pStyle w:val="35"/>
              <w:keepNext w:val="0"/>
              <w:keepLines w:val="0"/>
              <w:pageBreakBefore w:val="0"/>
              <w:widowControl w:val="0"/>
              <w:suppressLineNumbers w:val="0"/>
              <w:kinsoku/>
              <w:wordWrap/>
              <w:overflowPunct/>
              <w:topLinePunct w:val="0"/>
              <w:autoSpaceDE w:val="0"/>
              <w:autoSpaceDN w:val="0"/>
              <w:bidi w:val="0"/>
              <w:adjustRightInd/>
              <w:snapToGrid/>
              <w:spacing w:before="157" w:beforeLines="50" w:beforeAutospacing="0" w:after="0" w:afterAutospacing="0"/>
              <w:ind w:right="0"/>
              <w:textAlignment w:val="auto"/>
              <w:rPr>
                <w:rFonts w:hint="default"/>
                <w:color w:val="auto"/>
                <w:highlight w:val="none"/>
              </w:rPr>
            </w:pPr>
            <w:r>
              <w:rPr>
                <w:rFonts w:hint="eastAsia"/>
                <w:color w:val="auto"/>
                <w:highlight w:val="none"/>
                <w:lang w:val="en-US" w:eastAsia="zh-CN"/>
              </w:rPr>
              <w:t>项目各废水</w:t>
            </w:r>
            <w:r>
              <w:rPr>
                <w:rFonts w:hint="eastAsia"/>
                <w:color w:val="auto"/>
                <w:highlight w:val="none"/>
              </w:rPr>
              <w:t>污染物</w:t>
            </w:r>
            <w:r>
              <w:rPr>
                <w:rFonts w:hint="eastAsia"/>
                <w:color w:val="auto"/>
                <w:highlight w:val="none"/>
                <w:lang w:val="en-US" w:eastAsia="zh-CN"/>
              </w:rPr>
              <w:t>产生情况</w:t>
            </w:r>
            <w:r>
              <w:rPr>
                <w:rFonts w:hint="eastAsia"/>
                <w:color w:val="auto"/>
                <w:highlight w:val="none"/>
              </w:rPr>
              <w:t>一览表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618"/>
              <w:gridCol w:w="1246"/>
              <w:gridCol w:w="1071"/>
              <w:gridCol w:w="1115"/>
              <w:gridCol w:w="1061"/>
              <w:gridCol w:w="998"/>
              <w:gridCol w:w="1026"/>
            </w:tblGrid>
            <w:tr w14:paraId="28457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2" w:hRule="atLeast"/>
                <w:tblHeader/>
                <w:jc w:val="center"/>
              </w:trPr>
              <w:tc>
                <w:tcPr>
                  <w:tcW w:w="994" w:type="pct"/>
                  <w:vMerge w:val="restart"/>
                  <w:tcBorders>
                    <w:tl2br w:val="single" w:color="auto" w:sz="4" w:space="0"/>
                  </w:tcBorders>
                  <w:vAlign w:val="center"/>
                </w:tcPr>
                <w:p w14:paraId="5A7005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right"/>
                    <w:textAlignment w:val="auto"/>
                    <w:rPr>
                      <w:rFonts w:hint="eastAsia"/>
                      <w:color w:val="auto"/>
                    </w:rPr>
                  </w:pPr>
                  <w:r>
                    <w:rPr>
                      <w:rFonts w:hint="eastAsia"/>
                      <w:color w:val="auto"/>
                    </w:rPr>
                    <w:t>污染源</w:t>
                  </w:r>
                </w:p>
                <w:p w14:paraId="4F394D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center"/>
                    <w:textAlignment w:val="auto"/>
                    <w:rPr>
                      <w:rFonts w:hint="eastAsia"/>
                      <w:color w:val="auto"/>
                    </w:rPr>
                  </w:pPr>
                </w:p>
                <w:p w14:paraId="65C5CE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jc w:val="left"/>
                    <w:textAlignment w:val="auto"/>
                    <w:rPr>
                      <w:rFonts w:hint="eastAsia" w:eastAsia="宋体"/>
                      <w:color w:val="auto"/>
                      <w:szCs w:val="21"/>
                      <w:lang w:val="en-US" w:eastAsia="zh-CN"/>
                    </w:rPr>
                  </w:pPr>
                  <w:r>
                    <w:rPr>
                      <w:rFonts w:hint="eastAsia"/>
                      <w:color w:val="auto"/>
                      <w:szCs w:val="21"/>
                    </w:rPr>
                    <w:t>污染物</w:t>
                  </w:r>
                  <w:r>
                    <w:rPr>
                      <w:rFonts w:hint="eastAsia"/>
                      <w:color w:val="auto"/>
                      <w:szCs w:val="21"/>
                      <w:lang w:val="en-US" w:eastAsia="zh-CN"/>
                    </w:rPr>
                    <w:t>种类</w:t>
                  </w:r>
                </w:p>
              </w:tc>
              <w:tc>
                <w:tcPr>
                  <w:tcW w:w="1424" w:type="pct"/>
                  <w:gridSpan w:val="2"/>
                  <w:tcBorders>
                    <w:tl2br w:val="nil"/>
                    <w:tr2bl w:val="nil"/>
                  </w:tcBorders>
                  <w:vAlign w:val="center"/>
                </w:tcPr>
                <w:p w14:paraId="573CB7B3">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ascii="Times New Roman" w:hAnsi="Times New Roman" w:eastAsia="宋体" w:cs="宋体"/>
                      <w:color w:val="auto"/>
                      <w:highlight w:val="none"/>
                      <w:lang w:val="en-US" w:eastAsia="zh-CN"/>
                    </w:rPr>
                    <w:t>实验废水</w:t>
                  </w:r>
                  <w:r>
                    <w:rPr>
                      <w:rFonts w:hint="eastAsia" w:cs="宋体"/>
                      <w:color w:val="auto"/>
                      <w:highlight w:val="none"/>
                      <w:lang w:val="en-US" w:eastAsia="zh-CN"/>
                    </w:rPr>
                    <w:t>（</w:t>
                  </w:r>
                  <w:r>
                    <w:rPr>
                      <w:rFonts w:hint="eastAsia" w:ascii="Times New Roman" w:hAnsi="Times New Roman" w:eastAsia="宋体" w:cs="宋体"/>
                      <w:color w:val="auto"/>
                      <w:highlight w:val="none"/>
                      <w:lang w:val="en-US" w:eastAsia="zh-CN"/>
                    </w:rPr>
                    <w:t>W1</w:t>
                  </w:r>
                  <w:r>
                    <w:rPr>
                      <w:rFonts w:hint="eastAsia"/>
                      <w:color w:val="auto"/>
                      <w:highlight w:val="none"/>
                      <w:lang w:val="en-US" w:eastAsia="zh-CN"/>
                    </w:rPr>
                    <w:t>~W4</w:t>
                  </w:r>
                  <w:r>
                    <w:rPr>
                      <w:rFonts w:hint="eastAsia" w:cs="宋体"/>
                      <w:color w:val="auto"/>
                      <w:highlight w:val="none"/>
                      <w:lang w:val="en-US" w:eastAsia="zh-CN"/>
                    </w:rPr>
                    <w:t>）</w:t>
                  </w:r>
                </w:p>
              </w:tc>
              <w:tc>
                <w:tcPr>
                  <w:tcW w:w="1337" w:type="pct"/>
                  <w:gridSpan w:val="2"/>
                  <w:tcBorders>
                    <w:tl2br w:val="nil"/>
                    <w:tr2bl w:val="nil"/>
                  </w:tcBorders>
                  <w:vAlign w:val="center"/>
                </w:tcPr>
                <w:p w14:paraId="32D879A9">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ascii="Times New Roman" w:hAnsi="Times New Roman" w:eastAsia="宋体" w:cs="Times New Roman"/>
                      <w:color w:val="auto"/>
                      <w:kern w:val="2"/>
                      <w:sz w:val="21"/>
                      <w:szCs w:val="21"/>
                      <w:lang w:val="en-US" w:eastAsia="zh-CN" w:bidi="ar-SA"/>
                    </w:rPr>
                    <w:t>生活污水</w:t>
                  </w:r>
                  <w:r>
                    <w:rPr>
                      <w:rFonts w:hint="eastAsia" w:cs="Times New Roman"/>
                      <w:color w:val="auto"/>
                      <w:kern w:val="2"/>
                      <w:sz w:val="21"/>
                      <w:szCs w:val="21"/>
                      <w:lang w:val="en-US" w:eastAsia="zh-CN" w:bidi="ar-SA"/>
                    </w:rPr>
                    <w:t>W5</w:t>
                  </w:r>
                </w:p>
              </w:tc>
              <w:tc>
                <w:tcPr>
                  <w:tcW w:w="1244" w:type="pct"/>
                  <w:gridSpan w:val="2"/>
                  <w:tcBorders>
                    <w:tl2br w:val="nil"/>
                    <w:tr2bl w:val="nil"/>
                  </w:tcBorders>
                  <w:vAlign w:val="center"/>
                </w:tcPr>
                <w:p w14:paraId="4173078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s="Times New Roman"/>
                      <w:b/>
                      <w:bCs/>
                      <w:color w:val="auto"/>
                      <w:kern w:val="2"/>
                      <w:sz w:val="21"/>
                      <w:szCs w:val="21"/>
                      <w:lang w:val="en-US" w:eastAsia="zh-CN" w:bidi="ar-SA"/>
                    </w:rPr>
                    <w:t>合计</w:t>
                  </w:r>
                </w:p>
              </w:tc>
            </w:tr>
            <w:tr w14:paraId="42DAE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85" w:hRule="atLeast"/>
                <w:tblHeader/>
                <w:jc w:val="center"/>
              </w:trPr>
              <w:tc>
                <w:tcPr>
                  <w:tcW w:w="994" w:type="pct"/>
                  <w:vMerge w:val="continue"/>
                  <w:tcBorders>
                    <w:tl2br w:val="nil"/>
                    <w:tr2bl w:val="nil"/>
                  </w:tcBorders>
                  <w:vAlign w:val="center"/>
                </w:tcPr>
                <w:p w14:paraId="3E1E50BB">
                  <w:pPr>
                    <w:keepNext w:val="0"/>
                    <w:keepLines w:val="0"/>
                    <w:widowControl/>
                    <w:suppressLineNumbers w:val="0"/>
                    <w:spacing w:before="0" w:beforeAutospacing="0" w:after="0" w:afterAutospacing="0"/>
                    <w:ind w:left="0" w:right="0"/>
                    <w:jc w:val="left"/>
                    <w:rPr>
                      <w:rFonts w:hint="default"/>
                      <w:color w:val="auto"/>
                      <w:spacing w:val="4"/>
                      <w:kern w:val="0"/>
                      <w:szCs w:val="21"/>
                    </w:rPr>
                  </w:pPr>
                </w:p>
              </w:tc>
              <w:tc>
                <w:tcPr>
                  <w:tcW w:w="765" w:type="pct"/>
                  <w:tcBorders>
                    <w:tl2br w:val="nil"/>
                    <w:tr2bl w:val="nil"/>
                  </w:tcBorders>
                  <w:vAlign w:val="center"/>
                </w:tcPr>
                <w:p w14:paraId="6940EBBA">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产生浓度mg/L</w:t>
                  </w:r>
                </w:p>
              </w:tc>
              <w:tc>
                <w:tcPr>
                  <w:tcW w:w="658" w:type="pct"/>
                  <w:tcBorders>
                    <w:tl2br w:val="nil"/>
                    <w:tr2bl w:val="nil"/>
                  </w:tcBorders>
                  <w:vAlign w:val="center"/>
                </w:tcPr>
                <w:p w14:paraId="7E279DF8">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产生量</w:t>
                  </w:r>
                </w:p>
                <w:p w14:paraId="08555C4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t/a</w:t>
                  </w:r>
                </w:p>
              </w:tc>
              <w:tc>
                <w:tcPr>
                  <w:tcW w:w="685" w:type="pct"/>
                  <w:tcBorders>
                    <w:tl2br w:val="nil"/>
                    <w:tr2bl w:val="nil"/>
                  </w:tcBorders>
                  <w:vAlign w:val="center"/>
                </w:tcPr>
                <w:p w14:paraId="4C3E6981">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产生浓度mg/L</w:t>
                  </w:r>
                </w:p>
              </w:tc>
              <w:tc>
                <w:tcPr>
                  <w:tcW w:w="652" w:type="pct"/>
                  <w:tcBorders>
                    <w:tl2br w:val="nil"/>
                    <w:tr2bl w:val="nil"/>
                  </w:tcBorders>
                  <w:vAlign w:val="center"/>
                </w:tcPr>
                <w:p w14:paraId="0B6B3A75">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产生量</w:t>
                  </w:r>
                </w:p>
                <w:p w14:paraId="3163F56C">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t/a</w:t>
                  </w:r>
                </w:p>
              </w:tc>
              <w:tc>
                <w:tcPr>
                  <w:tcW w:w="613" w:type="pct"/>
                  <w:tcBorders>
                    <w:tl2br w:val="nil"/>
                    <w:tr2bl w:val="nil"/>
                  </w:tcBorders>
                  <w:vAlign w:val="center"/>
                </w:tcPr>
                <w:p w14:paraId="30EB1539">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产生浓度mg/L</w:t>
                  </w:r>
                </w:p>
              </w:tc>
              <w:tc>
                <w:tcPr>
                  <w:tcW w:w="630" w:type="pct"/>
                  <w:tcBorders>
                    <w:tl2br w:val="nil"/>
                    <w:tr2bl w:val="nil"/>
                  </w:tcBorders>
                  <w:vAlign w:val="center"/>
                </w:tcPr>
                <w:p w14:paraId="15C11B95">
                  <w:pPr>
                    <w:keepNext w:val="0"/>
                    <w:keepLines w:val="0"/>
                    <w:suppressLineNumbers w:val="0"/>
                    <w:spacing w:before="0" w:beforeAutospacing="0" w:after="0" w:afterAutospacing="0"/>
                    <w:ind w:left="0" w:right="0"/>
                    <w:jc w:val="center"/>
                    <w:rPr>
                      <w:rFonts w:hint="eastAsia"/>
                      <w:color w:val="auto"/>
                      <w:szCs w:val="21"/>
                      <w:lang w:val="en-US" w:eastAsia="zh-CN"/>
                    </w:rPr>
                  </w:pPr>
                  <w:r>
                    <w:rPr>
                      <w:rFonts w:hint="eastAsia"/>
                      <w:color w:val="auto"/>
                      <w:szCs w:val="21"/>
                      <w:lang w:val="en-US" w:eastAsia="zh-CN"/>
                    </w:rPr>
                    <w:t>产生量</w:t>
                  </w:r>
                </w:p>
                <w:p w14:paraId="449F3687">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rPr>
                  </w:pPr>
                  <w:r>
                    <w:rPr>
                      <w:rFonts w:hint="eastAsia"/>
                      <w:color w:val="auto"/>
                      <w:szCs w:val="21"/>
                      <w:lang w:val="en-US" w:eastAsia="zh-CN"/>
                    </w:rPr>
                    <w:t>t/a</w:t>
                  </w:r>
                </w:p>
              </w:tc>
            </w:tr>
            <w:tr w14:paraId="4C1253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pct"/>
                  <w:tcBorders>
                    <w:tl2br w:val="nil"/>
                    <w:tr2bl w:val="nil"/>
                  </w:tcBorders>
                  <w:vAlign w:val="center"/>
                </w:tcPr>
                <w:p w14:paraId="7117CD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eastAsia="宋体"/>
                      <w:color w:val="auto"/>
                      <w:lang w:val="en-US" w:eastAsia="zh-CN"/>
                    </w:rPr>
                  </w:pPr>
                  <w:r>
                    <w:rPr>
                      <w:rFonts w:hint="eastAsia" w:eastAsia="宋体"/>
                      <w:color w:val="auto"/>
                      <w:lang w:val="en-US" w:eastAsia="zh-CN"/>
                    </w:rPr>
                    <w:t>废水量</w:t>
                  </w:r>
                </w:p>
              </w:tc>
              <w:tc>
                <w:tcPr>
                  <w:tcW w:w="765" w:type="pct"/>
                  <w:tcBorders>
                    <w:tl2br w:val="nil"/>
                    <w:tr2bl w:val="nil"/>
                  </w:tcBorders>
                  <w:vAlign w:val="center"/>
                </w:tcPr>
                <w:p w14:paraId="2236122A">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58" w:type="pct"/>
                  <w:tcBorders>
                    <w:tl2br w:val="nil"/>
                    <w:tr2bl w:val="nil"/>
                  </w:tcBorders>
                  <w:vAlign w:val="center"/>
                </w:tcPr>
                <w:p w14:paraId="614761C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color w:val="auto"/>
                      <w:szCs w:val="21"/>
                      <w:highlight w:val="none"/>
                      <w:lang w:val="en-US" w:eastAsia="zh-CN"/>
                    </w:rPr>
                    <w:t>282.85</w:t>
                  </w:r>
                </w:p>
              </w:tc>
              <w:tc>
                <w:tcPr>
                  <w:tcW w:w="685" w:type="pct"/>
                  <w:tcBorders>
                    <w:tl2br w:val="nil"/>
                    <w:tr2bl w:val="nil"/>
                  </w:tcBorders>
                  <w:vAlign w:val="center"/>
                </w:tcPr>
                <w:p w14:paraId="7B734BE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w:t>
                  </w:r>
                </w:p>
              </w:tc>
              <w:tc>
                <w:tcPr>
                  <w:tcW w:w="652" w:type="pct"/>
                  <w:tcBorders>
                    <w:tl2br w:val="nil"/>
                    <w:tr2bl w:val="nil"/>
                  </w:tcBorders>
                  <w:vAlign w:val="center"/>
                </w:tcPr>
                <w:p w14:paraId="1B01CED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360</w:t>
                  </w:r>
                </w:p>
              </w:tc>
              <w:tc>
                <w:tcPr>
                  <w:tcW w:w="613" w:type="pct"/>
                  <w:tcBorders>
                    <w:tl2br w:val="nil"/>
                    <w:tr2bl w:val="nil"/>
                  </w:tcBorders>
                  <w:shd w:val="clear" w:color="auto" w:fill="auto"/>
                  <w:vAlign w:val="center"/>
                </w:tcPr>
                <w:p w14:paraId="7F21B6D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w:t>
                  </w:r>
                </w:p>
              </w:tc>
              <w:tc>
                <w:tcPr>
                  <w:tcW w:w="630" w:type="pct"/>
                  <w:tcBorders>
                    <w:tl2br w:val="nil"/>
                    <w:tr2bl w:val="nil"/>
                  </w:tcBorders>
                  <w:shd w:val="clear" w:color="auto" w:fill="auto"/>
                  <w:vAlign w:val="center"/>
                </w:tcPr>
                <w:p w14:paraId="7080A935">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642.85</w:t>
                  </w:r>
                </w:p>
              </w:tc>
            </w:tr>
            <w:tr w14:paraId="07CE79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pct"/>
                  <w:tcBorders>
                    <w:tl2br w:val="nil"/>
                    <w:tr2bl w:val="nil"/>
                  </w:tcBorders>
                  <w:vAlign w:val="center"/>
                </w:tcPr>
                <w:p w14:paraId="5E41F5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eastAsia="宋体"/>
                      <w:color w:val="auto"/>
                      <w:lang w:val="en-US" w:eastAsia="zh-CN"/>
                    </w:rPr>
                  </w:pPr>
                  <w:r>
                    <w:rPr>
                      <w:rFonts w:hint="eastAsia" w:ascii="Times New Roman" w:hAnsi="Times New Roman" w:eastAsia="宋体" w:cs="Times New Roman"/>
                      <w:color w:val="auto"/>
                      <w:szCs w:val="21"/>
                      <w:lang w:val="en-US" w:eastAsia="zh-CN"/>
                    </w:rPr>
                    <w:t>COD</w:t>
                  </w:r>
                </w:p>
              </w:tc>
              <w:tc>
                <w:tcPr>
                  <w:tcW w:w="765" w:type="pct"/>
                  <w:tcBorders>
                    <w:tl2br w:val="nil"/>
                    <w:tr2bl w:val="nil"/>
                  </w:tcBorders>
                  <w:vAlign w:val="center"/>
                </w:tcPr>
                <w:p w14:paraId="1774FA83">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150</w:t>
                  </w:r>
                </w:p>
              </w:tc>
              <w:tc>
                <w:tcPr>
                  <w:tcW w:w="658" w:type="pct"/>
                  <w:tcBorders>
                    <w:tl2br w:val="nil"/>
                    <w:tr2bl w:val="nil"/>
                  </w:tcBorders>
                  <w:vAlign w:val="center"/>
                </w:tcPr>
                <w:p w14:paraId="545B570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0.042 </w:t>
                  </w:r>
                </w:p>
              </w:tc>
              <w:tc>
                <w:tcPr>
                  <w:tcW w:w="685" w:type="pct"/>
                  <w:tcBorders>
                    <w:tl2br w:val="nil"/>
                    <w:tr2bl w:val="nil"/>
                  </w:tcBorders>
                  <w:vAlign w:val="center"/>
                </w:tcPr>
                <w:p w14:paraId="22405DC6">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400</w:t>
                  </w:r>
                </w:p>
              </w:tc>
              <w:tc>
                <w:tcPr>
                  <w:tcW w:w="652" w:type="pct"/>
                  <w:tcBorders>
                    <w:tl2br w:val="nil"/>
                    <w:tr2bl w:val="nil"/>
                  </w:tcBorders>
                  <w:vAlign w:val="center"/>
                </w:tcPr>
                <w:p w14:paraId="4E602B9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0.1440 </w:t>
                  </w:r>
                </w:p>
              </w:tc>
              <w:tc>
                <w:tcPr>
                  <w:tcW w:w="613" w:type="pct"/>
                  <w:tcBorders>
                    <w:tl2br w:val="nil"/>
                    <w:tr2bl w:val="nil"/>
                  </w:tcBorders>
                  <w:shd w:val="clear" w:color="auto" w:fill="auto"/>
                  <w:vAlign w:val="center"/>
                </w:tcPr>
                <w:p w14:paraId="6AF0569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289.3 </w:t>
                  </w:r>
                </w:p>
              </w:tc>
              <w:tc>
                <w:tcPr>
                  <w:tcW w:w="630" w:type="pct"/>
                  <w:tcBorders>
                    <w:tl2br w:val="nil"/>
                    <w:tr2bl w:val="nil"/>
                  </w:tcBorders>
                  <w:shd w:val="clear" w:color="auto" w:fill="auto"/>
                  <w:vAlign w:val="center"/>
                </w:tcPr>
                <w:p w14:paraId="7FB0120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0.186</w:t>
                  </w:r>
                </w:p>
              </w:tc>
            </w:tr>
            <w:tr w14:paraId="1AFEC4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pct"/>
                  <w:tcBorders>
                    <w:tl2br w:val="nil"/>
                    <w:tr2bl w:val="nil"/>
                  </w:tcBorders>
                  <w:vAlign w:val="center"/>
                </w:tcPr>
                <w:p w14:paraId="707163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Style w:val="48"/>
                      <w:rFonts w:hint="eastAsia"/>
                      <w:color w:val="auto"/>
                      <w:lang w:val="en-US" w:eastAsia="zh-CN"/>
                    </w:rPr>
                  </w:pPr>
                  <w:r>
                    <w:rPr>
                      <w:rFonts w:hint="eastAsia" w:ascii="Times New Roman" w:hAnsi="Times New Roman" w:eastAsia="宋体" w:cs="Times New Roman"/>
                      <w:color w:val="auto"/>
                      <w:szCs w:val="21"/>
                      <w:lang w:val="en-US" w:eastAsia="zh-CN"/>
                    </w:rPr>
                    <w:t>氨氮</w:t>
                  </w:r>
                </w:p>
              </w:tc>
              <w:tc>
                <w:tcPr>
                  <w:tcW w:w="765" w:type="pct"/>
                  <w:tcBorders>
                    <w:tl2br w:val="nil"/>
                    <w:tr2bl w:val="nil"/>
                  </w:tcBorders>
                  <w:vAlign w:val="center"/>
                </w:tcPr>
                <w:p w14:paraId="4C217EE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658" w:type="pct"/>
                  <w:tcBorders>
                    <w:tl2br w:val="nil"/>
                    <w:tr2bl w:val="nil"/>
                  </w:tcBorders>
                  <w:vAlign w:val="center"/>
                </w:tcPr>
                <w:p w14:paraId="017C77F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0.001 </w:t>
                  </w:r>
                </w:p>
              </w:tc>
              <w:tc>
                <w:tcPr>
                  <w:tcW w:w="685" w:type="pct"/>
                  <w:tcBorders>
                    <w:tl2br w:val="nil"/>
                    <w:tr2bl w:val="nil"/>
                  </w:tcBorders>
                  <w:vAlign w:val="center"/>
                </w:tcPr>
                <w:p w14:paraId="16B0E33F">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652" w:type="pct"/>
                  <w:tcBorders>
                    <w:tl2br w:val="nil"/>
                    <w:tr2bl w:val="nil"/>
                  </w:tcBorders>
                  <w:vAlign w:val="center"/>
                </w:tcPr>
                <w:p w14:paraId="567F623D">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0.0126 </w:t>
                  </w:r>
                </w:p>
              </w:tc>
              <w:tc>
                <w:tcPr>
                  <w:tcW w:w="613" w:type="pct"/>
                  <w:tcBorders>
                    <w:tl2br w:val="nil"/>
                    <w:tr2bl w:val="nil"/>
                  </w:tcBorders>
                  <w:shd w:val="clear" w:color="auto" w:fill="auto"/>
                  <w:vAlign w:val="center"/>
                </w:tcPr>
                <w:p w14:paraId="2CC39FA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21.2 </w:t>
                  </w:r>
                </w:p>
              </w:tc>
              <w:tc>
                <w:tcPr>
                  <w:tcW w:w="630" w:type="pct"/>
                  <w:tcBorders>
                    <w:tl2br w:val="nil"/>
                    <w:tr2bl w:val="nil"/>
                  </w:tcBorders>
                  <w:shd w:val="clear" w:color="auto" w:fill="auto"/>
                  <w:vAlign w:val="center"/>
                </w:tcPr>
                <w:p w14:paraId="0A8CE8D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0.0136</w:t>
                  </w:r>
                </w:p>
              </w:tc>
            </w:tr>
            <w:tr w14:paraId="5E1FFE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pct"/>
                  <w:tcBorders>
                    <w:tl2br w:val="nil"/>
                    <w:tr2bl w:val="nil"/>
                  </w:tcBorders>
                  <w:vAlign w:val="center"/>
                </w:tcPr>
                <w:p w14:paraId="00DE29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Style w:val="48"/>
                      <w:rFonts w:hint="eastAsia"/>
                      <w:color w:val="auto"/>
                      <w:lang w:val="en-US" w:eastAsia="zh-CN"/>
                    </w:rPr>
                  </w:pPr>
                  <w:r>
                    <w:rPr>
                      <w:rFonts w:hint="eastAsia" w:ascii="Times New Roman" w:hAnsi="Times New Roman" w:eastAsia="宋体" w:cs="Times New Roman"/>
                      <w:color w:val="auto"/>
                      <w:szCs w:val="21"/>
                      <w:lang w:val="en-US" w:eastAsia="zh-CN"/>
                    </w:rPr>
                    <w:t>BOD</w:t>
                  </w:r>
                  <w:r>
                    <w:rPr>
                      <w:rFonts w:hint="eastAsia" w:ascii="Times New Roman" w:hAnsi="Times New Roman" w:eastAsia="宋体" w:cs="Times New Roman"/>
                      <w:color w:val="auto"/>
                      <w:szCs w:val="21"/>
                      <w:vertAlign w:val="subscript"/>
                      <w:lang w:val="en-US" w:eastAsia="zh-CN"/>
                    </w:rPr>
                    <w:t>5</w:t>
                  </w:r>
                </w:p>
              </w:tc>
              <w:tc>
                <w:tcPr>
                  <w:tcW w:w="765" w:type="pct"/>
                  <w:tcBorders>
                    <w:tl2br w:val="nil"/>
                    <w:tr2bl w:val="nil"/>
                  </w:tcBorders>
                  <w:vAlign w:val="center"/>
                </w:tcPr>
                <w:p w14:paraId="3C417591">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highlight w:val="none"/>
                      <w:u w:val="none"/>
                      <w:lang w:val="en-US" w:eastAsia="zh-CN" w:bidi="ar"/>
                    </w:rPr>
                    <w:t>4</w:t>
                  </w:r>
                  <w:r>
                    <w:rPr>
                      <w:rFonts w:hint="eastAsia" w:ascii="Times New Roman" w:hAnsi="Times New Roman" w:eastAsia="宋体" w:cs="Times New Roman"/>
                      <w:i w:val="0"/>
                      <w:iCs w:val="0"/>
                      <w:color w:val="auto"/>
                      <w:kern w:val="0"/>
                      <w:sz w:val="21"/>
                      <w:szCs w:val="21"/>
                      <w:highlight w:val="none"/>
                      <w:u w:val="none"/>
                      <w:lang w:val="en-US" w:eastAsia="zh-CN" w:bidi="ar"/>
                    </w:rPr>
                    <w:t>5</w:t>
                  </w:r>
                </w:p>
              </w:tc>
              <w:tc>
                <w:tcPr>
                  <w:tcW w:w="658" w:type="pct"/>
                  <w:tcBorders>
                    <w:tl2br w:val="nil"/>
                    <w:tr2bl w:val="nil"/>
                  </w:tcBorders>
                  <w:vAlign w:val="center"/>
                </w:tcPr>
                <w:p w14:paraId="06B349F6">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0.013 </w:t>
                  </w:r>
                </w:p>
              </w:tc>
              <w:tc>
                <w:tcPr>
                  <w:tcW w:w="685" w:type="pct"/>
                  <w:tcBorders>
                    <w:tl2br w:val="nil"/>
                    <w:tr2bl w:val="nil"/>
                  </w:tcBorders>
                  <w:vAlign w:val="center"/>
                </w:tcPr>
                <w:p w14:paraId="74DBBD98">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200</w:t>
                  </w:r>
                </w:p>
              </w:tc>
              <w:tc>
                <w:tcPr>
                  <w:tcW w:w="652" w:type="pct"/>
                  <w:tcBorders>
                    <w:tl2br w:val="nil"/>
                    <w:tr2bl w:val="nil"/>
                  </w:tcBorders>
                  <w:vAlign w:val="center"/>
                </w:tcPr>
                <w:p w14:paraId="3E2D986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0.0720 </w:t>
                  </w:r>
                </w:p>
              </w:tc>
              <w:tc>
                <w:tcPr>
                  <w:tcW w:w="613" w:type="pct"/>
                  <w:tcBorders>
                    <w:tl2br w:val="nil"/>
                    <w:tr2bl w:val="nil"/>
                  </w:tcBorders>
                  <w:shd w:val="clear" w:color="auto" w:fill="auto"/>
                  <w:vAlign w:val="center"/>
                </w:tcPr>
                <w:p w14:paraId="344D95FA">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132.2 </w:t>
                  </w:r>
                </w:p>
              </w:tc>
              <w:tc>
                <w:tcPr>
                  <w:tcW w:w="630" w:type="pct"/>
                  <w:tcBorders>
                    <w:tl2br w:val="nil"/>
                    <w:tr2bl w:val="nil"/>
                  </w:tcBorders>
                  <w:shd w:val="clear" w:color="auto" w:fill="auto"/>
                  <w:vAlign w:val="center"/>
                </w:tcPr>
                <w:p w14:paraId="16F7683B">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0.085</w:t>
                  </w:r>
                </w:p>
              </w:tc>
            </w:tr>
            <w:tr w14:paraId="36A50C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94" w:type="pct"/>
                  <w:tcBorders>
                    <w:tl2br w:val="nil"/>
                    <w:tr2bl w:val="nil"/>
                  </w:tcBorders>
                  <w:vAlign w:val="center"/>
                </w:tcPr>
                <w:p w14:paraId="67FAC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color w:val="auto"/>
                    </w:rPr>
                  </w:pPr>
                  <w:r>
                    <w:rPr>
                      <w:rFonts w:hint="eastAsia" w:ascii="Times New Roman" w:hAnsi="Times New Roman" w:eastAsia="宋体" w:cs="Times New Roman"/>
                      <w:color w:val="auto"/>
                      <w:szCs w:val="21"/>
                      <w:lang w:val="en-US" w:eastAsia="zh-CN"/>
                    </w:rPr>
                    <w:t>SS</w:t>
                  </w:r>
                </w:p>
              </w:tc>
              <w:tc>
                <w:tcPr>
                  <w:tcW w:w="765" w:type="pct"/>
                  <w:tcBorders>
                    <w:tl2br w:val="nil"/>
                    <w:tr2bl w:val="nil"/>
                  </w:tcBorders>
                  <w:vAlign w:val="center"/>
                </w:tcPr>
                <w:p w14:paraId="3275DCD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40</w:t>
                  </w:r>
                </w:p>
              </w:tc>
              <w:tc>
                <w:tcPr>
                  <w:tcW w:w="658" w:type="pct"/>
                  <w:tcBorders>
                    <w:tl2br w:val="nil"/>
                    <w:tr2bl w:val="nil"/>
                  </w:tcBorders>
                  <w:vAlign w:val="center"/>
                </w:tcPr>
                <w:p w14:paraId="63289CA9">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0.011 </w:t>
                  </w:r>
                </w:p>
              </w:tc>
              <w:tc>
                <w:tcPr>
                  <w:tcW w:w="685" w:type="pct"/>
                  <w:tcBorders>
                    <w:tl2br w:val="nil"/>
                    <w:tr2bl w:val="nil"/>
                  </w:tcBorders>
                  <w:vAlign w:val="center"/>
                </w:tcPr>
                <w:p w14:paraId="0D56BA22">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220</w:t>
                  </w:r>
                </w:p>
              </w:tc>
              <w:tc>
                <w:tcPr>
                  <w:tcW w:w="652" w:type="pct"/>
                  <w:tcBorders>
                    <w:tl2br w:val="nil"/>
                    <w:tr2bl w:val="nil"/>
                  </w:tcBorders>
                  <w:vAlign w:val="center"/>
                </w:tcPr>
                <w:p w14:paraId="77A56FDB">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 xml:space="preserve">0.0792 </w:t>
                  </w:r>
                </w:p>
              </w:tc>
              <w:tc>
                <w:tcPr>
                  <w:tcW w:w="613" w:type="pct"/>
                  <w:tcBorders>
                    <w:tl2br w:val="nil"/>
                    <w:tr2bl w:val="nil"/>
                  </w:tcBorders>
                  <w:shd w:val="clear" w:color="auto" w:fill="auto"/>
                  <w:vAlign w:val="center"/>
                </w:tcPr>
                <w:p w14:paraId="0288D63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 xml:space="preserve">140.3 </w:t>
                  </w:r>
                </w:p>
              </w:tc>
              <w:tc>
                <w:tcPr>
                  <w:tcW w:w="630" w:type="pct"/>
                  <w:tcBorders>
                    <w:tl2br w:val="nil"/>
                    <w:tr2bl w:val="nil"/>
                  </w:tcBorders>
                  <w:shd w:val="clear" w:color="auto" w:fill="auto"/>
                  <w:vAlign w:val="center"/>
                </w:tcPr>
                <w:p w14:paraId="132F473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i w:val="0"/>
                      <w:iCs w:val="0"/>
                      <w:color w:val="auto"/>
                      <w:kern w:val="0"/>
                      <w:sz w:val="21"/>
                      <w:szCs w:val="21"/>
                      <w:u w:val="none"/>
                      <w:lang w:val="en-US" w:eastAsia="zh-CN" w:bidi="ar"/>
                    </w:rPr>
                    <w:t>0.0902</w:t>
                  </w:r>
                </w:p>
              </w:tc>
            </w:tr>
          </w:tbl>
          <w:p w14:paraId="37850C56">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参考环评手册中《常用污水处理设备及去除率》，化粪池对污水的处理效率一般为COD：15%、氨氮：3%、BOD</w:t>
            </w:r>
            <w:r>
              <w:rPr>
                <w:rFonts w:hint="default"/>
                <w:color w:val="auto"/>
                <w:vertAlign w:val="subscript"/>
              </w:rPr>
              <w:t>5</w:t>
            </w:r>
            <w:r>
              <w:rPr>
                <w:rFonts w:hint="default"/>
                <w:color w:val="auto"/>
                <w:shd w:val="clear" w:fill="FFFFFF"/>
              </w:rPr>
              <w:t>：</w:t>
            </w:r>
            <w:r>
              <w:rPr>
                <w:rFonts w:hint="default"/>
                <w:color w:val="auto"/>
              </w:rPr>
              <w:t>9%、SS：30%</w:t>
            </w:r>
            <w:r>
              <w:rPr>
                <w:rFonts w:hint="eastAsia"/>
                <w:color w:val="auto"/>
              </w:rPr>
              <w:t>。</w:t>
            </w:r>
            <w:r>
              <w:rPr>
                <w:rFonts w:hint="eastAsia"/>
                <w:color w:val="auto"/>
                <w:lang w:val="en-US" w:eastAsia="zh-CN"/>
              </w:rPr>
              <w:t>经计算，废水</w:t>
            </w:r>
            <w:r>
              <w:rPr>
                <w:rFonts w:hint="eastAsia"/>
                <w:color w:val="auto"/>
              </w:rPr>
              <w:t>污染物</w:t>
            </w:r>
            <w:r>
              <w:rPr>
                <w:rFonts w:hint="eastAsia"/>
                <w:color w:val="auto"/>
                <w:lang w:val="en-US" w:eastAsia="zh-CN"/>
              </w:rPr>
              <w:t>产排情况详见</w:t>
            </w:r>
            <w:r>
              <w:rPr>
                <w:rFonts w:hint="eastAsia"/>
                <w:color w:val="auto"/>
                <w:lang w:val="en-US" w:eastAsia="zh-CN"/>
              </w:rPr>
              <w:fldChar w:fldCharType="begin"/>
            </w:r>
            <w:r>
              <w:rPr>
                <w:rFonts w:hint="eastAsia"/>
                <w:color w:val="auto"/>
                <w:lang w:val="en-US" w:eastAsia="zh-CN"/>
              </w:rPr>
              <w:instrText xml:space="preserve"> REF _Ref32669 \n \h </w:instrText>
            </w:r>
            <w:r>
              <w:rPr>
                <w:rFonts w:hint="eastAsia"/>
                <w:color w:val="auto"/>
                <w:lang w:val="en-US" w:eastAsia="zh-CN"/>
              </w:rPr>
              <w:fldChar w:fldCharType="separate"/>
            </w:r>
            <w:r>
              <w:rPr>
                <w:rFonts w:hint="eastAsia"/>
                <w:color w:val="auto"/>
                <w:lang w:val="en-US" w:eastAsia="zh-CN"/>
              </w:rPr>
              <w:t>表4.3-2</w:t>
            </w:r>
            <w:r>
              <w:rPr>
                <w:rFonts w:hint="eastAsia"/>
                <w:color w:val="auto"/>
                <w:lang w:val="en-US" w:eastAsia="zh-CN"/>
              </w:rPr>
              <w:fldChar w:fldCharType="end"/>
            </w:r>
            <w:r>
              <w:rPr>
                <w:rFonts w:hint="eastAsia"/>
                <w:color w:val="auto"/>
                <w:lang w:val="en-US" w:eastAsia="zh-CN"/>
              </w:rPr>
              <w:t>。</w:t>
            </w:r>
          </w:p>
          <w:p w14:paraId="07E0D37A">
            <w:pPr>
              <w:pStyle w:val="6"/>
              <w:suppressLineNumbers w:val="0"/>
              <w:bidi w:val="0"/>
              <w:spacing w:beforeAutospacing="0" w:afterAutospacing="0"/>
              <w:ind w:right="0"/>
              <w:rPr>
                <w:rFonts w:hint="default"/>
                <w:color w:val="auto"/>
                <w:highlight w:val="none"/>
                <w:lang w:val="en-US" w:eastAsia="zh-CN"/>
              </w:rPr>
            </w:pPr>
            <w:r>
              <w:rPr>
                <w:rFonts w:hint="default"/>
                <w:color w:val="auto"/>
                <w:highlight w:val="none"/>
                <w:lang w:val="en-US" w:eastAsia="zh-CN"/>
              </w:rPr>
              <w:t>水污染环境影响分析</w:t>
            </w:r>
          </w:p>
          <w:p w14:paraId="5338B4CB">
            <w:pPr>
              <w:pStyle w:val="3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本项目</w:t>
            </w:r>
            <w:r>
              <w:rPr>
                <w:rFonts w:hint="eastAsia" w:ascii="Times New Roman" w:hAnsi="Times New Roman" w:eastAsia="宋体" w:cs="宋体"/>
                <w:color w:val="auto"/>
                <w:highlight w:val="none"/>
                <w:lang w:val="en-US" w:eastAsia="zh-CN"/>
              </w:rPr>
              <w:t>实验废水经过污水处理设施处理后</w:t>
            </w:r>
            <w:r>
              <w:rPr>
                <w:rFonts w:hint="eastAsia"/>
                <w:color w:val="auto"/>
                <w:kern w:val="0"/>
                <w:szCs w:val="21"/>
              </w:rPr>
              <w:t>与生活污水一并进入</w:t>
            </w:r>
            <w:r>
              <w:rPr>
                <w:rFonts w:hint="eastAsia"/>
                <w:color w:val="auto"/>
                <w:szCs w:val="21"/>
              </w:rPr>
              <w:t>出租方</w:t>
            </w:r>
            <w:r>
              <w:rPr>
                <w:rFonts w:hint="eastAsia"/>
                <w:color w:val="auto"/>
                <w:kern w:val="0"/>
                <w:szCs w:val="21"/>
              </w:rPr>
              <w:t>厂区已建化粪池处理后</w:t>
            </w:r>
            <w:r>
              <w:rPr>
                <w:rFonts w:hint="eastAsia"/>
                <w:color w:val="auto"/>
                <w:highlight w:val="none"/>
                <w:lang w:val="en-US" w:eastAsia="zh-CN"/>
              </w:rPr>
              <w:t>达到</w:t>
            </w:r>
            <w:r>
              <w:rPr>
                <w:rFonts w:hint="eastAsia"/>
                <w:color w:val="auto"/>
                <w:highlight w:val="none"/>
                <w:lang w:val="zh-CN"/>
              </w:rPr>
              <w:t>《污水综合排放标准》（GB897</w:t>
            </w:r>
            <w:r>
              <w:rPr>
                <w:rFonts w:hint="eastAsia"/>
                <w:color w:val="auto"/>
                <w:highlight w:val="none"/>
                <w:lang w:val="en-US" w:eastAsia="zh-CN"/>
              </w:rPr>
              <w:t>8</w:t>
            </w:r>
            <w:r>
              <w:rPr>
                <w:rFonts w:hint="eastAsia"/>
                <w:color w:val="auto"/>
                <w:highlight w:val="none"/>
                <w:lang w:val="zh-CN"/>
              </w:rPr>
              <w:t>-1996）表4中的三级排放标准（其中</w:t>
            </w:r>
            <w:r>
              <w:rPr>
                <w:rFonts w:hint="default"/>
                <w:color w:val="auto"/>
                <w:highlight w:val="none"/>
              </w:rPr>
              <w:t>NH</w:t>
            </w:r>
            <w:r>
              <w:rPr>
                <w:rFonts w:hint="default"/>
                <w:color w:val="auto"/>
                <w:highlight w:val="none"/>
                <w:vertAlign w:val="subscript"/>
              </w:rPr>
              <w:t>3</w:t>
            </w:r>
            <w:r>
              <w:rPr>
                <w:rFonts w:hint="default"/>
                <w:color w:val="auto"/>
                <w:highlight w:val="none"/>
              </w:rPr>
              <w:t>-N</w:t>
            </w:r>
            <w:r>
              <w:rPr>
                <w:rFonts w:hint="eastAsia"/>
                <w:color w:val="auto"/>
                <w:highlight w:val="none"/>
              </w:rPr>
              <w:t>参照《污水排入城镇下水道水质标准》</w:t>
            </w:r>
            <w:r>
              <w:rPr>
                <w:rFonts w:hint="eastAsia"/>
                <w:color w:val="auto"/>
                <w:highlight w:val="none"/>
                <w:shd w:val="clear" w:fill="FFFFFF"/>
              </w:rPr>
              <w:t>（</w:t>
            </w:r>
            <w:r>
              <w:rPr>
                <w:rFonts w:hint="default"/>
                <w:color w:val="auto"/>
                <w:highlight w:val="none"/>
              </w:rPr>
              <w:t>GB/T31962-2015</w:t>
            </w:r>
            <w:r>
              <w:rPr>
                <w:rFonts w:hint="eastAsia"/>
                <w:color w:val="auto"/>
                <w:highlight w:val="none"/>
              </w:rPr>
              <w:t>）表</w:t>
            </w:r>
            <w:r>
              <w:rPr>
                <w:rFonts w:hint="default"/>
                <w:color w:val="auto"/>
                <w:highlight w:val="none"/>
              </w:rPr>
              <w:t>1</w:t>
            </w:r>
            <w:r>
              <w:rPr>
                <w:rFonts w:hint="eastAsia"/>
                <w:color w:val="auto"/>
                <w:highlight w:val="none"/>
              </w:rPr>
              <w:t>中的</w:t>
            </w:r>
            <w:r>
              <w:rPr>
                <w:rFonts w:hint="default"/>
                <w:color w:val="auto"/>
                <w:highlight w:val="none"/>
              </w:rPr>
              <w:t>B</w:t>
            </w:r>
            <w:r>
              <w:rPr>
                <w:rFonts w:hint="eastAsia"/>
                <w:color w:val="auto"/>
                <w:highlight w:val="none"/>
              </w:rPr>
              <w:t>级标准</w:t>
            </w:r>
            <w:r>
              <w:rPr>
                <w:rFonts w:hint="eastAsia"/>
                <w:color w:val="auto"/>
                <w:highlight w:val="none"/>
                <w:lang w:val="zh-CN"/>
              </w:rPr>
              <w:t>）</w:t>
            </w:r>
            <w:r>
              <w:rPr>
                <w:rFonts w:hint="eastAsia"/>
                <w:color w:val="auto"/>
                <w:highlight w:val="none"/>
                <w:lang w:val="en-US" w:eastAsia="zh-CN"/>
              </w:rPr>
              <w:t>要求后，</w:t>
            </w:r>
            <w:r>
              <w:rPr>
                <w:rFonts w:hint="eastAsia"/>
                <w:color w:val="auto"/>
                <w:highlight w:val="none"/>
              </w:rPr>
              <w:t>通过</w:t>
            </w:r>
            <w:r>
              <w:rPr>
                <w:rFonts w:hint="eastAsia"/>
                <w:color w:val="auto"/>
                <w:highlight w:val="none"/>
                <w:lang w:val="en-US" w:eastAsia="zh-CN"/>
              </w:rPr>
              <w:t>市政污水管网</w:t>
            </w:r>
            <w:r>
              <w:rPr>
                <w:rFonts w:hint="eastAsia"/>
                <w:color w:val="auto"/>
                <w:highlight w:val="none"/>
              </w:rPr>
              <w:t>排入</w:t>
            </w:r>
            <w:r>
              <w:rPr>
                <w:rFonts w:hint="eastAsia"/>
                <w:color w:val="auto"/>
                <w:highlight w:val="none"/>
                <w:lang w:val="en-US" w:eastAsia="zh-CN"/>
              </w:rPr>
              <w:t>福清市融元污水处理厂</w:t>
            </w:r>
            <w:r>
              <w:rPr>
                <w:rFonts w:hint="eastAsia"/>
                <w:color w:val="auto"/>
                <w:highlight w:val="none"/>
              </w:rPr>
              <w:t>进一步处理</w:t>
            </w:r>
            <w:r>
              <w:rPr>
                <w:rFonts w:hint="eastAsia"/>
                <w:color w:val="auto"/>
                <w:highlight w:val="none"/>
                <w:lang w:eastAsia="zh-CN"/>
              </w:rPr>
              <w:t>，</w:t>
            </w:r>
            <w:r>
              <w:rPr>
                <w:rFonts w:hint="eastAsia"/>
                <w:color w:val="auto"/>
                <w:highlight w:val="none"/>
                <w:lang w:val="en-US" w:eastAsia="zh-CN"/>
              </w:rPr>
              <w:t>不直接排放，</w:t>
            </w:r>
            <w:r>
              <w:rPr>
                <w:rFonts w:hint="eastAsia"/>
                <w:color w:val="auto"/>
                <w:highlight w:val="none"/>
              </w:rPr>
              <w:t>因此对</w:t>
            </w:r>
            <w:r>
              <w:rPr>
                <w:rFonts w:hint="eastAsia"/>
                <w:color w:val="auto"/>
                <w:highlight w:val="none"/>
                <w:lang w:val="en-US" w:eastAsia="zh-CN"/>
              </w:rPr>
              <w:t>周边地表</w:t>
            </w:r>
            <w:r>
              <w:rPr>
                <w:rFonts w:hint="eastAsia"/>
                <w:color w:val="auto"/>
                <w:highlight w:val="none"/>
              </w:rPr>
              <w:t>水环境影响较小</w:t>
            </w:r>
            <w:r>
              <w:rPr>
                <w:rFonts w:hint="eastAsia"/>
                <w:color w:val="auto"/>
                <w:highlight w:val="none"/>
                <w:lang w:val="en-US" w:eastAsia="zh-CN"/>
              </w:rPr>
              <w:t>。</w:t>
            </w:r>
          </w:p>
          <w:p w14:paraId="3DF98E83">
            <w:pPr>
              <w:pStyle w:val="6"/>
              <w:suppressLineNumbers w:val="0"/>
              <w:bidi w:val="0"/>
              <w:spacing w:beforeAutospacing="0" w:afterAutospacing="0"/>
              <w:ind w:right="0"/>
              <w:rPr>
                <w:rFonts w:hint="default"/>
                <w:color w:val="auto"/>
                <w:lang w:val="en-US" w:eastAsia="zh-CN"/>
              </w:rPr>
            </w:pPr>
            <w:r>
              <w:rPr>
                <w:rFonts w:hint="eastAsia"/>
                <w:color w:val="auto"/>
                <w:lang w:val="en-US" w:eastAsia="zh-CN"/>
              </w:rPr>
              <w:t>依托集中污水处理厂的可行性分析</w:t>
            </w:r>
          </w:p>
          <w:p w14:paraId="58D4841B">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（1）福清市融元污水处理厂基本情况</w:t>
            </w:r>
          </w:p>
          <w:p w14:paraId="581FDD7E">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福清市融元污水处理厂为城市二级污水处理厂，厂址位于福清市龙山街道玉塘村，占地面积80000m</w:t>
            </w:r>
            <w:r>
              <w:rPr>
                <w:rFonts w:hint="eastAsia" w:ascii="Times New Roman" w:hAnsi="Times New Roman" w:eastAsia="宋体" w:cs="宋体"/>
                <w:color w:val="auto"/>
                <w:vertAlign w:val="superscript"/>
                <w:lang w:val="en-US" w:eastAsia="zh-CN"/>
              </w:rPr>
              <w:t>2</w:t>
            </w:r>
            <w:r>
              <w:rPr>
                <w:rFonts w:hint="eastAsia" w:ascii="Times New Roman" w:hAnsi="Times New Roman" w:eastAsia="宋体" w:cs="宋体"/>
                <w:color w:val="auto"/>
                <w:lang w:val="en-US" w:eastAsia="zh-CN"/>
              </w:rPr>
              <w:t>，</w:t>
            </w:r>
            <w:r>
              <w:rPr>
                <w:rFonts w:hint="eastAsia" w:cs="宋体"/>
                <w:color w:val="auto"/>
                <w:lang w:val="en-US" w:eastAsia="zh-CN"/>
              </w:rPr>
              <w:t>污水处理厂</w:t>
            </w:r>
            <w:r>
              <w:rPr>
                <w:rFonts w:hint="eastAsia" w:ascii="Times New Roman" w:hAnsi="Times New Roman" w:eastAsia="宋体" w:cs="宋体"/>
                <w:color w:val="auto"/>
                <w:lang w:val="en-US" w:eastAsia="zh-CN"/>
              </w:rPr>
              <w:t>服务范围为洪宽工业村、大北溪沿线</w:t>
            </w:r>
            <w:r>
              <w:rPr>
                <w:rFonts w:hint="eastAsia" w:ascii="Times New Roman" w:hAnsi="Times New Roman" w:eastAsia="宋体" w:cs="宋体"/>
                <w:color w:val="auto"/>
                <w:shd w:val="clear" w:fill="FFFFFF"/>
                <w:lang w:val="en-US" w:eastAsia="zh-CN"/>
              </w:rPr>
              <w:t>、自</w:t>
            </w:r>
            <w:r>
              <w:rPr>
                <w:rFonts w:hint="eastAsia" w:ascii="Times New Roman" w:hAnsi="Times New Roman" w:eastAsia="宋体" w:cs="宋体"/>
                <w:color w:val="auto"/>
                <w:lang w:val="en-US" w:eastAsia="zh-CN"/>
              </w:rPr>
              <w:t>福业大道以东、黄阁重纶牌坊以西、龙江以北的城区。该项目采用多级A/O工艺（悬挂链移动曝气工艺）进行二级加强处理。规划远期总规模为18万m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/d，工程分三期实施，现状</w:t>
            </w:r>
            <w:r>
              <w:rPr>
                <w:rFonts w:hint="eastAsia" w:cs="宋体"/>
                <w:color w:val="auto"/>
                <w:lang w:val="en-US" w:eastAsia="zh-CN"/>
              </w:rPr>
              <w:t>（</w:t>
            </w:r>
            <w:r>
              <w:rPr>
                <w:rFonts w:hint="eastAsia" w:ascii="Times New Roman" w:hAnsi="Times New Roman" w:eastAsia="宋体" w:cs="宋体"/>
                <w:color w:val="auto"/>
                <w:lang w:val="en-US" w:eastAsia="zh-CN"/>
              </w:rPr>
              <w:t>已实施的一期及二期工程</w:t>
            </w:r>
            <w:r>
              <w:rPr>
                <w:rFonts w:hint="eastAsia" w:cs="宋体"/>
                <w:color w:val="auto"/>
                <w:lang w:val="en-US" w:eastAsia="zh-CN"/>
              </w:rPr>
              <w:t>）</w:t>
            </w:r>
            <w:r>
              <w:rPr>
                <w:rFonts w:hint="eastAsia" w:ascii="Times New Roman" w:hAnsi="Times New Roman" w:eastAsia="宋体" w:cs="宋体"/>
                <w:color w:val="auto"/>
                <w:lang w:val="en-US" w:eastAsia="zh-CN"/>
              </w:rPr>
              <w:t>规模为12万m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/d，远期扩建规模为6万m</w:t>
            </w:r>
            <w:r>
              <w:rPr>
                <w:rFonts w:hint="eastAsia" w:ascii="Times New Roman" w:hAnsi="Times New Roman" w:eastAsia="宋体" w:cs="宋体"/>
                <w:color w:val="auto"/>
                <w:vertAlign w:val="superscript"/>
                <w:lang w:val="en-US" w:eastAsia="zh-CN"/>
              </w:rPr>
              <w:t>3</w:t>
            </w:r>
            <w:r>
              <w:rPr>
                <w:rFonts w:hint="eastAsia" w:ascii="Times New Roman" w:hAnsi="Times New Roman" w:eastAsia="宋体" w:cs="宋体"/>
                <w:color w:val="auto"/>
                <w:lang w:val="en-US" w:eastAsia="zh-CN"/>
              </w:rPr>
              <w:t>/d；工程的规划建设年限为：近期2020年，远期2030年。一期工程于2008年1月通过了竣工环保验收；二期工程于2014年5月通过了竣工环保验收；2016年10月，福清黎阳水务有限公司对福清市融元污水处理厂厂内提标及改造，改造后</w:t>
            </w:r>
            <w:r>
              <w:rPr>
                <w:rFonts w:hint="eastAsia" w:cs="宋体"/>
                <w:color w:val="auto"/>
                <w:lang w:val="en-US" w:eastAsia="zh-CN"/>
              </w:rPr>
              <w:t>污水处理厂</w:t>
            </w:r>
            <w:r>
              <w:rPr>
                <w:rFonts w:hint="eastAsia" w:ascii="Times New Roman" w:hAnsi="Times New Roman" w:eastAsia="宋体" w:cs="宋体"/>
                <w:color w:val="auto"/>
                <w:lang w:val="en-US" w:eastAsia="zh-CN"/>
              </w:rPr>
              <w:t>总排口综合出水水质达到《城镇污水处理厂污染物排放标准》(GB18918-2002</w:t>
            </w:r>
            <w:r>
              <w:rPr>
                <w:rFonts w:hint="eastAsia" w:ascii="Times New Roman" w:hAnsi="Times New Roman" w:eastAsia="宋体" w:cs="宋体"/>
                <w:color w:val="auto"/>
                <w:shd w:val="clear" w:fill="FFFFFF"/>
                <w:lang w:val="en-US" w:eastAsia="zh-CN"/>
              </w:rPr>
              <w:t>)</w:t>
            </w:r>
            <w:r>
              <w:rPr>
                <w:rFonts w:hint="eastAsia" w:ascii="Times New Roman" w:hAnsi="Times New Roman" w:eastAsia="宋体" w:cs="宋体"/>
                <w:color w:val="auto"/>
                <w:lang w:val="en-US" w:eastAsia="zh-CN"/>
              </w:rPr>
              <w:t>及其修改单一级标准A标准。</w:t>
            </w:r>
          </w:p>
          <w:p w14:paraId="250B9346">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（2）依托可行性分析</w:t>
            </w:r>
          </w:p>
          <w:p w14:paraId="3A0DD880">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①接管可行性</w:t>
            </w:r>
          </w:p>
          <w:p w14:paraId="77032ED7">
            <w:pPr>
              <w:pStyle w:val="36"/>
              <w:keepNext w:val="0"/>
              <w:keepLines w:val="0"/>
              <w:suppressLineNumbers w:val="0"/>
              <w:bidi w:val="0"/>
              <w:spacing w:before="0" w:beforeAutospacing="0" w:after="0" w:afterAutospacing="0"/>
              <w:ind w:left="0" w:right="0"/>
              <w:rPr>
                <w:rFonts w:hint="eastAsia" w:ascii="Times New Roman" w:hAnsi="Times New Roman" w:eastAsia="宋体" w:cs="宋体"/>
                <w:color w:val="auto"/>
                <w:lang w:val="en-US" w:eastAsia="zh-CN"/>
              </w:rPr>
            </w:pPr>
            <w:r>
              <w:rPr>
                <w:rFonts w:hint="eastAsia" w:ascii="Times New Roman" w:hAnsi="Times New Roman" w:eastAsia="宋体" w:cs="宋体"/>
                <w:color w:val="auto"/>
                <w:lang w:val="en-US" w:eastAsia="zh-CN"/>
              </w:rPr>
              <w:t>本项目位于福清融侨经济技术开发区（租赁福清洪金机械有限</w:t>
            </w:r>
            <w:r>
              <w:rPr>
                <w:rFonts w:hint="eastAsia" w:cs="宋体"/>
                <w:color w:val="auto"/>
                <w:lang w:val="en-US" w:eastAsia="zh-CN"/>
              </w:rPr>
              <w:t>公司办公科研楼</w:t>
            </w:r>
            <w:r>
              <w:rPr>
                <w:rFonts w:hint="eastAsia" w:ascii="Times New Roman" w:hAnsi="Times New Roman" w:eastAsia="宋体" w:cs="宋体"/>
                <w:color w:val="auto"/>
                <w:lang w:val="en-US" w:eastAsia="zh-CN"/>
              </w:rPr>
              <w:t>4层、5层），该厂区属于福清市融元污水处理厂服务范围内。</w:t>
            </w:r>
            <w:r>
              <w:rPr>
                <w:rFonts w:hint="eastAsia" w:ascii="Times New Roman" w:hAnsi="Times New Roman" w:eastAsia="宋体" w:cs="宋体"/>
                <w:color w:val="auto"/>
                <w:highlight w:val="none"/>
                <w:lang w:val="en-US" w:eastAsia="zh-CN"/>
              </w:rPr>
              <w:t>根据附件</w:t>
            </w:r>
            <w:r>
              <w:rPr>
                <w:rFonts w:hint="eastAsia" w:cs="宋体"/>
                <w:color w:val="auto"/>
                <w:highlight w:val="none"/>
                <w:lang w:val="en-US" w:eastAsia="zh-CN"/>
              </w:rPr>
              <w:t>7</w:t>
            </w:r>
            <w:r>
              <w:rPr>
                <w:rFonts w:hint="eastAsia" w:ascii="Times New Roman" w:hAnsi="Times New Roman" w:eastAsia="宋体" w:cs="宋体"/>
                <w:color w:val="auto"/>
                <w:highlight w:val="none"/>
                <w:lang w:val="en-US" w:eastAsia="zh-CN"/>
              </w:rPr>
              <w:t>排水许可证</w:t>
            </w:r>
            <w:r>
              <w:rPr>
                <w:rFonts w:hint="eastAsia" w:ascii="Times New Roman" w:hAnsi="Times New Roman" w:eastAsia="宋体" w:cs="宋体"/>
                <w:color w:val="auto"/>
                <w:lang w:val="en-US" w:eastAsia="zh-CN"/>
              </w:rPr>
              <w:t>，福清洪金机械有限公司厂区污水已接入福清市融元污水处理厂污水管网系统。因此本项目污水可通过市政污水管网纳入福清市融元污水处理厂处理。</w:t>
            </w:r>
          </w:p>
          <w:p w14:paraId="3BE487B6">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②水质负荷</w:t>
            </w:r>
          </w:p>
          <w:p w14:paraId="2BEA9AF1">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eastAsia" w:ascii="Times New Roman" w:hAnsi="Times New Roman" w:eastAsia="宋体" w:cs="宋体"/>
                <w:color w:val="auto"/>
                <w:lang w:val="en-US" w:eastAsia="zh-CN"/>
              </w:rPr>
              <w:t>根据工程分析可知，项目外排废水主要为实验器具清洗废水、职工日常生活污水、制纯浓水等，由于项目废水分质处理，含有高浓度污染物废水已作为危险废物检验废液委托处置，因此将外排的实验器具后续清洗废水、职工日常生活污水、制纯浓水等废水主要污染物为COD、BOD</w:t>
            </w:r>
            <w:r>
              <w:rPr>
                <w:rFonts w:hint="eastAsia" w:ascii="Times New Roman" w:hAnsi="Times New Roman" w:eastAsia="宋体" w:cs="宋体"/>
                <w:color w:val="auto"/>
                <w:vertAlign w:val="subscript"/>
                <w:lang w:val="en-US" w:eastAsia="zh-CN"/>
              </w:rPr>
              <w:t>5</w:t>
            </w:r>
            <w:r>
              <w:rPr>
                <w:rFonts w:hint="eastAsia" w:ascii="Times New Roman" w:hAnsi="Times New Roman" w:eastAsia="宋体" w:cs="宋体"/>
                <w:color w:val="auto"/>
                <w:lang w:val="en-US" w:eastAsia="zh-CN"/>
              </w:rPr>
              <w:t>、SS、NH</w:t>
            </w:r>
            <w:r>
              <w:rPr>
                <w:rFonts w:hint="eastAsia" w:ascii="Times New Roman" w:hAnsi="Times New Roman" w:eastAsia="宋体" w:cs="宋体"/>
                <w:color w:val="auto"/>
                <w:vertAlign w:val="subscript"/>
                <w:lang w:val="en-US" w:eastAsia="zh-CN"/>
              </w:rPr>
              <w:t>3</w:t>
            </w:r>
            <w:r>
              <w:rPr>
                <w:rFonts w:hint="eastAsia" w:ascii="Times New Roman" w:hAnsi="Times New Roman" w:eastAsia="宋体" w:cs="宋体"/>
                <w:color w:val="auto"/>
                <w:lang w:val="en-US" w:eastAsia="zh-CN"/>
              </w:rPr>
              <w:t>-N等，污染物成分简单，浓度较低。根据上文分析，项目经处理后的实验器具清洗废水、生活污水、制纯浓水、样品排水、实验仪器排水，水质可达《污水综合排放标准》(GB8978-1996</w:t>
            </w:r>
            <w:r>
              <w:rPr>
                <w:rFonts w:hint="eastAsia" w:ascii="Times New Roman" w:hAnsi="Times New Roman" w:eastAsia="宋体" w:cs="宋体"/>
                <w:color w:val="auto"/>
                <w:shd w:val="clear" w:fill="FFFFFF"/>
                <w:lang w:val="en-US" w:eastAsia="zh-CN"/>
              </w:rPr>
              <w:t>)</w:t>
            </w:r>
            <w:r>
              <w:rPr>
                <w:rFonts w:hint="eastAsia" w:ascii="Times New Roman" w:hAnsi="Times New Roman" w:eastAsia="宋体" w:cs="宋体"/>
                <w:color w:val="auto"/>
                <w:lang w:val="en-US" w:eastAsia="zh-CN"/>
              </w:rPr>
              <w:t>表4中三级标准及《污水排入城镇下水道水质标准》(GB/T 31962-2015</w:t>
            </w:r>
            <w:r>
              <w:rPr>
                <w:rFonts w:hint="eastAsia" w:ascii="Times New Roman" w:hAnsi="Times New Roman" w:eastAsia="宋体" w:cs="宋体"/>
                <w:color w:val="auto"/>
                <w:shd w:val="clear" w:fill="FFFFFF"/>
                <w:lang w:val="en-US" w:eastAsia="zh-CN"/>
              </w:rPr>
              <w:t>)</w:t>
            </w:r>
            <w:r>
              <w:rPr>
                <w:rFonts w:hint="eastAsia" w:ascii="Times New Roman" w:hAnsi="Times New Roman" w:eastAsia="宋体" w:cs="宋体"/>
                <w:color w:val="auto"/>
                <w:lang w:val="en-US" w:eastAsia="zh-CN"/>
              </w:rPr>
              <w:t>表1中B级标准，满足污水处理厂的进水水质标准，不会对污水处理厂的正常运行造成水质冲击影响。</w:t>
            </w:r>
          </w:p>
          <w:p w14:paraId="362D747E">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③水量负荷</w:t>
            </w:r>
          </w:p>
          <w:p w14:paraId="00E5C64F">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根据调查，目前福清市融元污水处理厂厂内提标及改造工程已经完成并正常使用，日平均处理规模约为11.85万m</w:t>
            </w:r>
            <w:r>
              <w:rPr>
                <w:rFonts w:hint="default" w:ascii="Times New Roman" w:hAnsi="Times New Roman" w:eastAsia="宋体" w:cs="宋体"/>
                <w:color w:val="auto"/>
                <w:vertAlign w:val="superscript"/>
                <w:lang w:val="en-US" w:eastAsia="zh-CN"/>
              </w:rPr>
              <w:t>3</w:t>
            </w:r>
            <w:r>
              <w:rPr>
                <w:rFonts w:hint="default" w:ascii="Times New Roman" w:hAnsi="Times New Roman" w:eastAsia="宋体" w:cs="宋体"/>
                <w:color w:val="auto"/>
                <w:lang w:val="en-US" w:eastAsia="zh-CN"/>
              </w:rPr>
              <w:t>/d，尚有0.15万m</w:t>
            </w:r>
            <w:r>
              <w:rPr>
                <w:rFonts w:hint="default" w:ascii="Times New Roman" w:hAnsi="Times New Roman" w:eastAsia="宋体" w:cs="宋体"/>
                <w:color w:val="auto"/>
                <w:vertAlign w:val="superscript"/>
                <w:lang w:val="en-US" w:eastAsia="zh-CN"/>
              </w:rPr>
              <w:t>3</w:t>
            </w:r>
            <w:r>
              <w:rPr>
                <w:rFonts w:hint="default" w:ascii="Times New Roman" w:hAnsi="Times New Roman" w:eastAsia="宋体" w:cs="宋体"/>
                <w:color w:val="auto"/>
                <w:lang w:val="en-US" w:eastAsia="zh-CN"/>
              </w:rPr>
              <w:t>/d的余量</w:t>
            </w:r>
            <w:r>
              <w:rPr>
                <w:rFonts w:hint="eastAsia" w:ascii="Times New Roman" w:hAnsi="Times New Roman" w:eastAsia="宋体" w:cs="宋体"/>
                <w:color w:val="auto"/>
                <w:lang w:val="en-US" w:eastAsia="zh-CN"/>
              </w:rPr>
              <w:t>，根据上文分析，本项目日排水量约为</w:t>
            </w:r>
            <w:r>
              <w:rPr>
                <w:rFonts w:hint="eastAsia" w:cs="宋体"/>
                <w:color w:val="auto"/>
                <w:lang w:val="en-US" w:eastAsia="zh-CN"/>
              </w:rPr>
              <w:t>2.228</w:t>
            </w:r>
            <w:r>
              <w:rPr>
                <w:rFonts w:hint="eastAsia" w:ascii="Times New Roman" w:hAnsi="Times New Roman" w:eastAsia="宋体" w:cs="宋体"/>
                <w:color w:val="auto"/>
                <w:lang w:val="en-US" w:eastAsia="zh-CN"/>
              </w:rPr>
              <w:t>t，仅占污水处理厂剩余处理能力的0.</w:t>
            </w:r>
            <w:r>
              <w:rPr>
                <w:rFonts w:hint="eastAsia" w:cs="宋体"/>
                <w:color w:val="auto"/>
                <w:lang w:val="en-US" w:eastAsia="zh-CN"/>
              </w:rPr>
              <w:t>15</w:t>
            </w:r>
            <w:r>
              <w:rPr>
                <w:rFonts w:hint="eastAsia" w:ascii="Times New Roman" w:hAnsi="Times New Roman" w:eastAsia="宋体" w:cs="宋体"/>
                <w:color w:val="auto"/>
                <w:lang w:val="en-US" w:eastAsia="zh-CN"/>
              </w:rPr>
              <w:t>%，因此福清市融元污水处理厂有余量</w:t>
            </w:r>
            <w:r>
              <w:rPr>
                <w:rFonts w:hint="default" w:ascii="Times New Roman" w:hAnsi="Times New Roman" w:eastAsia="宋体" w:cs="宋体"/>
                <w:color w:val="auto"/>
                <w:lang w:val="en-US" w:eastAsia="zh-CN"/>
              </w:rPr>
              <w:t>可接纳</w:t>
            </w:r>
            <w:r>
              <w:rPr>
                <w:rFonts w:hint="eastAsia" w:ascii="Times New Roman" w:hAnsi="Times New Roman" w:eastAsia="宋体" w:cs="宋体"/>
                <w:color w:val="auto"/>
                <w:lang w:val="en-US" w:eastAsia="zh-CN"/>
              </w:rPr>
              <w:t>本</w:t>
            </w:r>
            <w:r>
              <w:rPr>
                <w:rFonts w:hint="default" w:ascii="Times New Roman" w:hAnsi="Times New Roman" w:eastAsia="宋体" w:cs="宋体"/>
                <w:color w:val="auto"/>
                <w:lang w:val="en-US" w:eastAsia="zh-CN"/>
              </w:rPr>
              <w:t>项目废水排放量，不会对</w:t>
            </w:r>
            <w:r>
              <w:rPr>
                <w:rFonts w:hint="eastAsia" w:cs="宋体"/>
                <w:color w:val="auto"/>
                <w:lang w:val="en-US" w:eastAsia="zh-CN"/>
              </w:rPr>
              <w:t>污水处理厂</w:t>
            </w:r>
            <w:r>
              <w:rPr>
                <w:rFonts w:hint="default" w:ascii="Times New Roman" w:hAnsi="Times New Roman" w:eastAsia="宋体" w:cs="宋体"/>
                <w:color w:val="auto"/>
                <w:lang w:val="en-US" w:eastAsia="zh-CN"/>
              </w:rPr>
              <w:t>水量负荷造成冲击。</w:t>
            </w:r>
          </w:p>
          <w:p w14:paraId="29B880A8">
            <w:pPr>
              <w:pStyle w:val="36"/>
              <w:keepNext w:val="0"/>
              <w:keepLines w:val="0"/>
              <w:suppressLineNumbers w:val="0"/>
              <w:bidi w:val="0"/>
              <w:spacing w:before="0" w:beforeAutospacing="0" w:after="0" w:afterAutospacing="0"/>
              <w:ind w:left="0" w:right="0"/>
              <w:rPr>
                <w:rFonts w:hint="default" w:ascii="Times New Roman" w:hAnsi="Times New Roman" w:eastAsia="宋体" w:cs="宋体"/>
                <w:color w:val="auto"/>
                <w:lang w:val="en-US" w:eastAsia="zh-CN"/>
              </w:rPr>
            </w:pPr>
            <w:r>
              <w:rPr>
                <w:rFonts w:hint="default" w:ascii="Times New Roman" w:hAnsi="Times New Roman" w:eastAsia="宋体" w:cs="宋体"/>
                <w:color w:val="auto"/>
                <w:lang w:val="en-US" w:eastAsia="zh-CN"/>
              </w:rPr>
              <w:t>因此，从废水</w:t>
            </w:r>
            <w:r>
              <w:rPr>
                <w:rFonts w:hint="eastAsia" w:ascii="Times New Roman" w:hAnsi="Times New Roman" w:eastAsia="宋体" w:cs="宋体"/>
                <w:color w:val="auto"/>
                <w:lang w:val="en-US" w:eastAsia="zh-CN"/>
              </w:rPr>
              <w:t>接管情况、水质水量符合</w:t>
            </w:r>
            <w:r>
              <w:rPr>
                <w:rFonts w:hint="eastAsia" w:cs="宋体"/>
                <w:color w:val="auto"/>
                <w:lang w:val="en-US" w:eastAsia="zh-CN"/>
              </w:rPr>
              <w:t>性</w:t>
            </w:r>
            <w:r>
              <w:rPr>
                <w:rFonts w:hint="eastAsia" w:ascii="Times New Roman" w:hAnsi="Times New Roman" w:eastAsia="宋体" w:cs="宋体"/>
                <w:color w:val="auto"/>
                <w:lang w:val="en-US" w:eastAsia="zh-CN"/>
              </w:rPr>
              <w:t>分析</w:t>
            </w:r>
            <w:r>
              <w:rPr>
                <w:rFonts w:hint="default" w:ascii="Times New Roman" w:hAnsi="Times New Roman" w:eastAsia="宋体" w:cs="宋体"/>
                <w:color w:val="auto"/>
                <w:lang w:val="en-US" w:eastAsia="zh-CN"/>
              </w:rPr>
              <w:t>，本项目外排废水经</w:t>
            </w:r>
            <w:r>
              <w:rPr>
                <w:rFonts w:hint="eastAsia" w:ascii="Times New Roman" w:hAnsi="Times New Roman" w:eastAsia="宋体" w:cs="宋体"/>
                <w:color w:val="auto"/>
                <w:lang w:val="en-US" w:eastAsia="zh-CN"/>
              </w:rPr>
              <w:t>预处理</w:t>
            </w:r>
            <w:r>
              <w:rPr>
                <w:rFonts w:hint="default" w:ascii="Times New Roman" w:hAnsi="Times New Roman" w:eastAsia="宋体" w:cs="宋体"/>
                <w:color w:val="auto"/>
                <w:lang w:val="en-US" w:eastAsia="zh-CN"/>
              </w:rPr>
              <w:t>后接入市政污水管网排入福清市融元污水处理厂处理是可行的。</w:t>
            </w:r>
          </w:p>
          <w:p w14:paraId="30A23C1F">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废水自行监测要求</w:t>
            </w:r>
          </w:p>
          <w:p w14:paraId="22D43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对照《排污单位自行监测技术指南 总则》（HJ819-2017）中相关规定，项目废水自行监测要求详见</w:t>
            </w:r>
            <w:r>
              <w:rPr>
                <w:rFonts w:hint="eastAsia" w:cs="Times New Roman"/>
                <w:color w:val="auto"/>
                <w:kern w:val="2"/>
                <w:sz w:val="24"/>
                <w:szCs w:val="24"/>
                <w:lang w:val="en-US" w:eastAsia="zh-CN" w:bidi="ar-SA"/>
              </w:rPr>
              <w:t>下表</w:t>
            </w:r>
            <w:r>
              <w:rPr>
                <w:rFonts w:hint="default" w:ascii="Times New Roman" w:hAnsi="Times New Roman" w:eastAsia="宋体" w:cs="Times New Roman"/>
                <w:color w:val="auto"/>
                <w:kern w:val="2"/>
                <w:sz w:val="24"/>
                <w:szCs w:val="24"/>
                <w:lang w:val="en-US" w:eastAsia="zh-CN" w:bidi="ar-SA"/>
              </w:rPr>
              <w:t>。</w:t>
            </w:r>
          </w:p>
          <w:p w14:paraId="6B3881FA">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项目废水自行监测要求一览表</w:t>
            </w:r>
          </w:p>
          <w:tbl>
            <w:tblPr>
              <w:tblStyle w:val="28"/>
              <w:tblW w:w="4998"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396"/>
              <w:gridCol w:w="1708"/>
              <w:gridCol w:w="1918"/>
              <w:gridCol w:w="1200"/>
              <w:gridCol w:w="1255"/>
            </w:tblGrid>
            <w:tr w14:paraId="35BE4A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6" w:hRule="atLeast"/>
              </w:trPr>
              <w:tc>
                <w:tcPr>
                  <w:tcW w:w="402" w:type="pct"/>
                  <w:tcBorders>
                    <w:tl2br w:val="nil"/>
                    <w:tr2bl w:val="nil"/>
                  </w:tcBorders>
                  <w:noWrap w:val="0"/>
                  <w:vAlign w:val="center"/>
                </w:tcPr>
                <w:p w14:paraId="0DA7960F">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序号</w:t>
                  </w:r>
                </w:p>
              </w:tc>
              <w:tc>
                <w:tcPr>
                  <w:tcW w:w="858" w:type="pct"/>
                  <w:tcBorders>
                    <w:tl2br w:val="nil"/>
                    <w:tr2bl w:val="nil"/>
                  </w:tcBorders>
                  <w:noWrap w:val="0"/>
                  <w:vAlign w:val="center"/>
                </w:tcPr>
                <w:p w14:paraId="7B3B6712">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污染源名称</w:t>
                  </w:r>
                </w:p>
              </w:tc>
              <w:tc>
                <w:tcPr>
                  <w:tcW w:w="1050" w:type="pct"/>
                  <w:tcBorders>
                    <w:tl2br w:val="nil"/>
                    <w:tr2bl w:val="nil"/>
                  </w:tcBorders>
                  <w:noWrap w:val="0"/>
                  <w:vAlign w:val="center"/>
                </w:tcPr>
                <w:p w14:paraId="0BB8BF88">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监测位置</w:t>
                  </w:r>
                </w:p>
              </w:tc>
              <w:tc>
                <w:tcPr>
                  <w:tcW w:w="1179" w:type="pct"/>
                  <w:tcBorders>
                    <w:tl2br w:val="nil"/>
                    <w:tr2bl w:val="nil"/>
                  </w:tcBorders>
                  <w:noWrap w:val="0"/>
                  <w:vAlign w:val="center"/>
                </w:tcPr>
                <w:p w14:paraId="3A78A668">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监测项目</w:t>
                  </w:r>
                </w:p>
              </w:tc>
              <w:tc>
                <w:tcPr>
                  <w:tcW w:w="737" w:type="pct"/>
                  <w:tcBorders>
                    <w:tl2br w:val="nil"/>
                    <w:tr2bl w:val="nil"/>
                  </w:tcBorders>
                  <w:noWrap w:val="0"/>
                  <w:vAlign w:val="center"/>
                </w:tcPr>
                <w:p w14:paraId="4855FAC4">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监测频次</w:t>
                  </w:r>
                </w:p>
              </w:tc>
              <w:tc>
                <w:tcPr>
                  <w:tcW w:w="771" w:type="pct"/>
                  <w:tcBorders>
                    <w:tl2br w:val="nil"/>
                    <w:tr2bl w:val="nil"/>
                  </w:tcBorders>
                  <w:noWrap w:val="0"/>
                  <w:vAlign w:val="center"/>
                </w:tcPr>
                <w:p w14:paraId="6608AC9D">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监测单位</w:t>
                  </w:r>
                </w:p>
              </w:tc>
            </w:tr>
            <w:tr w14:paraId="6AE72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97" w:hRule="atLeast"/>
              </w:trPr>
              <w:tc>
                <w:tcPr>
                  <w:tcW w:w="402" w:type="pct"/>
                  <w:tcBorders>
                    <w:tl2br w:val="nil"/>
                    <w:tr2bl w:val="nil"/>
                  </w:tcBorders>
                  <w:noWrap w:val="0"/>
                  <w:vAlign w:val="center"/>
                </w:tcPr>
                <w:p w14:paraId="6C80B6B5">
                  <w:pPr>
                    <w:pStyle w:val="37"/>
                    <w:keepNext w:val="0"/>
                    <w:keepLines w:val="0"/>
                    <w:widowControl/>
                    <w:suppressLineNumbers w:val="0"/>
                    <w:bidi w:val="0"/>
                    <w:spacing w:before="0" w:beforeAutospacing="0" w:after="0" w:afterAutospacing="0"/>
                    <w:ind w:right="0"/>
                    <w:rPr>
                      <w:rFonts w:hint="default"/>
                      <w:color w:val="auto"/>
                      <w:szCs w:val="20"/>
                      <w:lang w:val="en-US" w:eastAsia="zh-CN"/>
                    </w:rPr>
                  </w:pPr>
                  <w:r>
                    <w:rPr>
                      <w:rFonts w:hint="default"/>
                      <w:color w:val="auto"/>
                      <w:szCs w:val="20"/>
                      <w:lang w:val="en-US" w:eastAsia="zh-CN"/>
                    </w:rPr>
                    <w:t>1</w:t>
                  </w:r>
                </w:p>
              </w:tc>
              <w:tc>
                <w:tcPr>
                  <w:tcW w:w="858" w:type="pct"/>
                  <w:tcBorders>
                    <w:tl2br w:val="nil"/>
                    <w:tr2bl w:val="nil"/>
                  </w:tcBorders>
                  <w:noWrap w:val="0"/>
                  <w:vAlign w:val="center"/>
                </w:tcPr>
                <w:p w14:paraId="50249A34">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lang w:eastAsia="zh-CN"/>
                    </w:rPr>
                    <w:t>废水</w:t>
                  </w:r>
                </w:p>
              </w:tc>
              <w:tc>
                <w:tcPr>
                  <w:tcW w:w="1050" w:type="pct"/>
                  <w:tcBorders>
                    <w:tl2br w:val="nil"/>
                    <w:tr2bl w:val="nil"/>
                  </w:tcBorders>
                  <w:noWrap w:val="0"/>
                  <w:vAlign w:val="center"/>
                </w:tcPr>
                <w:p w14:paraId="34538E8F">
                  <w:pPr>
                    <w:pStyle w:val="37"/>
                    <w:keepNext w:val="0"/>
                    <w:keepLines w:val="0"/>
                    <w:widowControl/>
                    <w:suppressLineNumbers w:val="0"/>
                    <w:bidi w:val="0"/>
                    <w:spacing w:before="0" w:beforeAutospacing="0" w:after="0" w:afterAutospacing="0"/>
                    <w:ind w:right="0"/>
                    <w:rPr>
                      <w:rFonts w:hint="eastAsia"/>
                      <w:color w:val="auto"/>
                      <w:szCs w:val="20"/>
                      <w:lang w:val="en-US" w:eastAsia="zh-CN"/>
                    </w:rPr>
                  </w:pPr>
                  <w:r>
                    <w:rPr>
                      <w:rFonts w:hint="eastAsia"/>
                      <w:color w:val="auto"/>
                      <w:szCs w:val="20"/>
                      <w:lang w:val="en-US" w:eastAsia="zh-CN"/>
                    </w:rPr>
                    <w:t>污水处理设施</w:t>
                  </w:r>
                </w:p>
                <w:p w14:paraId="2B6F7BFF">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lang w:eastAsia="zh-CN"/>
                    </w:rPr>
                    <w:t>排放口</w:t>
                  </w:r>
                </w:p>
              </w:tc>
              <w:tc>
                <w:tcPr>
                  <w:tcW w:w="1179" w:type="pct"/>
                  <w:tcBorders>
                    <w:tl2br w:val="nil"/>
                    <w:tr2bl w:val="nil"/>
                  </w:tcBorders>
                  <w:noWrap w:val="0"/>
                  <w:vAlign w:val="center"/>
                </w:tcPr>
                <w:p w14:paraId="4252F532">
                  <w:pPr>
                    <w:pStyle w:val="37"/>
                    <w:keepNext w:val="0"/>
                    <w:keepLines w:val="0"/>
                    <w:widowControl/>
                    <w:suppressLineNumbers w:val="0"/>
                    <w:bidi w:val="0"/>
                    <w:spacing w:before="0" w:beforeAutospacing="0" w:after="0" w:afterAutospacing="0"/>
                    <w:ind w:right="0"/>
                    <w:rPr>
                      <w:rFonts w:hint="default"/>
                      <w:color w:val="auto"/>
                      <w:szCs w:val="20"/>
                      <w:lang w:eastAsia="zh-CN"/>
                    </w:rPr>
                  </w:pPr>
                  <w:r>
                    <w:rPr>
                      <w:rFonts w:hint="default"/>
                      <w:color w:val="auto"/>
                      <w:szCs w:val="20"/>
                    </w:rPr>
                    <w:t>pH、COD、BOD</w:t>
                  </w:r>
                  <w:r>
                    <w:rPr>
                      <w:rFonts w:hint="default"/>
                      <w:color w:val="auto"/>
                      <w:szCs w:val="20"/>
                      <w:vertAlign w:val="subscript"/>
                    </w:rPr>
                    <w:t>5</w:t>
                  </w:r>
                  <w:r>
                    <w:rPr>
                      <w:rFonts w:hint="default"/>
                      <w:color w:val="auto"/>
                      <w:szCs w:val="20"/>
                    </w:rPr>
                    <w:t>、SS、NH</w:t>
                  </w:r>
                  <w:r>
                    <w:rPr>
                      <w:rFonts w:hint="default"/>
                      <w:color w:val="auto"/>
                      <w:szCs w:val="20"/>
                      <w:vertAlign w:val="subscript"/>
                    </w:rPr>
                    <w:t>3</w:t>
                  </w:r>
                  <w:r>
                    <w:rPr>
                      <w:rFonts w:hint="default"/>
                      <w:color w:val="auto"/>
                      <w:szCs w:val="20"/>
                    </w:rPr>
                    <w:t>-N</w:t>
                  </w:r>
                </w:p>
              </w:tc>
              <w:tc>
                <w:tcPr>
                  <w:tcW w:w="737" w:type="pct"/>
                  <w:tcBorders>
                    <w:tl2br w:val="nil"/>
                    <w:tr2bl w:val="nil"/>
                  </w:tcBorders>
                  <w:noWrap w:val="0"/>
                  <w:vAlign w:val="center"/>
                </w:tcPr>
                <w:p w14:paraId="4D811356">
                  <w:pPr>
                    <w:pStyle w:val="37"/>
                    <w:keepNext w:val="0"/>
                    <w:keepLines w:val="0"/>
                    <w:widowControl/>
                    <w:suppressLineNumbers w:val="0"/>
                    <w:bidi w:val="0"/>
                    <w:spacing w:before="0" w:beforeAutospacing="0" w:after="0" w:afterAutospacing="0"/>
                    <w:ind w:right="0"/>
                    <w:rPr>
                      <w:rFonts w:hint="default"/>
                      <w:color w:val="auto"/>
                      <w:szCs w:val="20"/>
                    </w:rPr>
                  </w:pPr>
                  <w:r>
                    <w:rPr>
                      <w:rFonts w:hint="default"/>
                      <w:color w:val="auto"/>
                      <w:szCs w:val="20"/>
                    </w:rPr>
                    <w:t>1次/年</w:t>
                  </w:r>
                </w:p>
              </w:tc>
              <w:tc>
                <w:tcPr>
                  <w:tcW w:w="771" w:type="pct"/>
                  <w:tcBorders>
                    <w:tl2br w:val="nil"/>
                    <w:tr2bl w:val="nil"/>
                  </w:tcBorders>
                  <w:noWrap w:val="0"/>
                  <w:vAlign w:val="center"/>
                </w:tcPr>
                <w:p w14:paraId="7CD9C86A">
                  <w:pPr>
                    <w:pStyle w:val="37"/>
                    <w:keepNext w:val="0"/>
                    <w:keepLines w:val="0"/>
                    <w:widowControl/>
                    <w:suppressLineNumbers w:val="0"/>
                    <w:bidi w:val="0"/>
                    <w:spacing w:before="0" w:beforeAutospacing="0" w:after="0" w:afterAutospacing="0"/>
                    <w:ind w:right="0"/>
                    <w:rPr>
                      <w:rFonts w:hint="default"/>
                      <w:color w:val="auto"/>
                      <w:szCs w:val="20"/>
                      <w:lang w:eastAsia="zh-CN"/>
                    </w:rPr>
                  </w:pPr>
                  <w:r>
                    <w:rPr>
                      <w:rFonts w:hint="default"/>
                      <w:color w:val="auto"/>
                      <w:szCs w:val="20"/>
                      <w:lang w:eastAsia="zh-CN"/>
                    </w:rPr>
                    <w:t>有资质的监测单位</w:t>
                  </w:r>
                </w:p>
              </w:tc>
            </w:tr>
            <w:tr w14:paraId="3F522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1" w:hRule="atLeast"/>
              </w:trPr>
              <w:tc>
                <w:tcPr>
                  <w:tcW w:w="5000" w:type="pct"/>
                  <w:gridSpan w:val="6"/>
                  <w:tcBorders>
                    <w:tl2br w:val="nil"/>
                    <w:tr2bl w:val="nil"/>
                  </w:tcBorders>
                  <w:noWrap w:val="0"/>
                  <w:vAlign w:val="center"/>
                </w:tcPr>
                <w:p w14:paraId="67E8A071">
                  <w:pPr>
                    <w:pStyle w:val="37"/>
                    <w:keepNext w:val="0"/>
                    <w:keepLines w:val="0"/>
                    <w:widowControl/>
                    <w:suppressLineNumbers w:val="0"/>
                    <w:bidi w:val="0"/>
                    <w:spacing w:before="0" w:beforeAutospacing="0" w:after="0" w:afterAutospacing="0"/>
                    <w:ind w:right="0"/>
                    <w:jc w:val="left"/>
                    <w:rPr>
                      <w:rFonts w:hint="default" w:eastAsia="宋体"/>
                      <w:color w:val="auto"/>
                      <w:szCs w:val="20"/>
                      <w:lang w:val="en-US" w:eastAsia="zh-CN"/>
                    </w:rPr>
                  </w:pPr>
                  <w:bookmarkStart w:id="97" w:name="_Toc16172"/>
                  <w:r>
                    <w:rPr>
                      <w:rFonts w:hint="eastAsia"/>
                      <w:b/>
                      <w:bCs/>
                      <w:color w:val="auto"/>
                      <w:sz w:val="18"/>
                      <w:szCs w:val="21"/>
                      <w:lang w:val="en-US" w:eastAsia="zh-CN"/>
                    </w:rPr>
                    <w:t>注：因</w:t>
                  </w:r>
                  <w:r>
                    <w:rPr>
                      <w:rFonts w:hint="eastAsia"/>
                      <w:b/>
                      <w:bCs/>
                      <w:color w:val="auto"/>
                      <w:sz w:val="18"/>
                      <w:szCs w:val="21"/>
                    </w:rPr>
                    <w:t>项目实验主要为一般实验，不涉及重金属实验，清洗废水不含重金属</w:t>
                  </w:r>
                  <w:r>
                    <w:rPr>
                      <w:rFonts w:hint="eastAsia"/>
                      <w:b/>
                      <w:bCs/>
                      <w:color w:val="auto"/>
                      <w:sz w:val="18"/>
                      <w:szCs w:val="21"/>
                      <w:lang w:eastAsia="zh-CN"/>
                    </w:rPr>
                    <w:t>，</w:t>
                  </w:r>
                  <w:r>
                    <w:rPr>
                      <w:rFonts w:hint="eastAsia"/>
                      <w:b/>
                      <w:bCs/>
                      <w:color w:val="auto"/>
                      <w:sz w:val="18"/>
                      <w:szCs w:val="21"/>
                      <w:lang w:val="en-US" w:eastAsia="zh-CN"/>
                    </w:rPr>
                    <w:t>同时为保证排放废水不含重金属，本项目</w:t>
                  </w:r>
                  <w:r>
                    <w:rPr>
                      <w:rFonts w:hint="eastAsia" w:ascii="Times New Roman" w:hAnsi="Times New Roman" w:eastAsia="宋体" w:cs="宋体"/>
                      <w:b/>
                      <w:bCs/>
                      <w:color w:val="auto"/>
                      <w:sz w:val="18"/>
                      <w:szCs w:val="21"/>
                      <w:highlight w:val="none"/>
                      <w:lang w:val="en-US" w:eastAsia="zh-CN"/>
                    </w:rPr>
                    <w:t>污水处理设施</w:t>
                  </w:r>
                  <w:r>
                    <w:rPr>
                      <w:rFonts w:hint="eastAsia" w:cs="宋体"/>
                      <w:b/>
                      <w:bCs/>
                      <w:color w:val="auto"/>
                      <w:sz w:val="18"/>
                      <w:szCs w:val="21"/>
                      <w:highlight w:val="none"/>
                      <w:lang w:val="en-US" w:eastAsia="zh-CN"/>
                    </w:rPr>
                    <w:t>设置</w:t>
                  </w:r>
                  <w:r>
                    <w:rPr>
                      <w:rFonts w:hint="eastAsia"/>
                      <w:b/>
                      <w:bCs/>
                      <w:color w:val="auto"/>
                      <w:sz w:val="18"/>
                      <w:szCs w:val="16"/>
                      <w:highlight w:val="none"/>
                      <w:lang w:val="en-US" w:eastAsia="zh-CN"/>
                    </w:rPr>
                    <w:t>重金属吸附，故</w:t>
                  </w:r>
                  <w:r>
                    <w:rPr>
                      <w:rFonts w:hint="default" w:ascii="Times New Roman" w:hAnsi="Times New Roman" w:cs="Times New Roman"/>
                      <w:b/>
                      <w:bCs/>
                      <w:color w:val="auto"/>
                      <w:sz w:val="18"/>
                      <w:szCs w:val="21"/>
                      <w:highlight w:val="none"/>
                      <w:lang w:val="en-US" w:eastAsia="zh-CN"/>
                    </w:rPr>
                    <w:t>废水</w:t>
                  </w:r>
                  <w:r>
                    <w:rPr>
                      <w:rFonts w:hint="default" w:ascii="Times New Roman" w:hAnsi="Times New Roman" w:cs="Times New Roman"/>
                      <w:b/>
                      <w:bCs/>
                      <w:color w:val="auto"/>
                      <w:sz w:val="18"/>
                      <w:szCs w:val="21"/>
                      <w:highlight w:val="none"/>
                      <w:shd w:val="clear" w:fill="FFFFFF"/>
                      <w:lang w:val="en-US" w:eastAsia="zh-CN"/>
                    </w:rPr>
                    <w:t>自行</w:t>
                  </w:r>
                  <w:r>
                    <w:rPr>
                      <w:rFonts w:hint="eastAsia" w:cs="Times New Roman"/>
                      <w:b/>
                      <w:bCs/>
                      <w:color w:val="auto"/>
                      <w:sz w:val="18"/>
                      <w:szCs w:val="21"/>
                      <w:highlight w:val="none"/>
                      <w:shd w:val="clear" w:fill="FFFFFF"/>
                      <w:lang w:val="en-US" w:eastAsia="zh-CN"/>
                    </w:rPr>
                    <w:t>监测</w:t>
                  </w:r>
                  <w:r>
                    <w:rPr>
                      <w:rFonts w:hint="eastAsia" w:cs="Times New Roman"/>
                      <w:b/>
                      <w:bCs/>
                      <w:color w:val="auto"/>
                      <w:sz w:val="18"/>
                      <w:szCs w:val="21"/>
                      <w:highlight w:val="none"/>
                      <w:lang w:val="en-US" w:eastAsia="zh-CN"/>
                    </w:rPr>
                    <w:t>无重金属指标。</w:t>
                  </w:r>
                </w:p>
              </w:tc>
            </w:tr>
          </w:tbl>
          <w:p w14:paraId="716DDE2A">
            <w:pPr>
              <w:pStyle w:val="5"/>
              <w:suppressLineNumbers w:val="0"/>
              <w:bidi w:val="0"/>
              <w:spacing w:beforeAutospacing="0" w:afterAutospacing="0"/>
              <w:ind w:right="0"/>
              <w:rPr>
                <w:rFonts w:hint="default"/>
                <w:color w:val="auto"/>
              </w:rPr>
            </w:pPr>
            <w:r>
              <w:rPr>
                <w:rFonts w:hint="default"/>
                <w:color w:val="auto"/>
              </w:rPr>
              <w:t>运营期声环境</w:t>
            </w:r>
            <w:r>
              <w:rPr>
                <w:rFonts w:hint="default"/>
                <w:color w:val="auto"/>
                <w:lang w:val="en-US" w:eastAsia="zh-CN"/>
              </w:rPr>
              <w:t>影响和保护措施</w:t>
            </w:r>
            <w:bookmarkEnd w:id="97"/>
          </w:p>
          <w:p w14:paraId="152B3EC6">
            <w:pPr>
              <w:pStyle w:val="6"/>
              <w:suppressLineNumbers w:val="0"/>
              <w:bidi w:val="0"/>
              <w:spacing w:beforeAutospacing="0" w:afterAutospacing="0"/>
              <w:ind w:right="0"/>
              <w:rPr>
                <w:rFonts w:hint="default"/>
                <w:color w:val="auto"/>
              </w:rPr>
            </w:pPr>
            <w:r>
              <w:rPr>
                <w:rFonts w:hint="default"/>
                <w:color w:val="auto"/>
              </w:rPr>
              <w:t>噪声污染源分析</w:t>
            </w:r>
          </w:p>
          <w:p w14:paraId="70217F43">
            <w:pPr>
              <w:pStyle w:val="36"/>
              <w:keepNext w:val="0"/>
              <w:keepLines w:val="0"/>
              <w:suppressLineNumbers w:val="0"/>
              <w:bidi w:val="0"/>
              <w:spacing w:before="0" w:beforeAutospacing="0" w:after="0" w:afterAutospacing="0"/>
              <w:ind w:left="0" w:right="0"/>
              <w:rPr>
                <w:rFonts w:hint="default"/>
                <w:color w:val="auto"/>
                <w:lang w:val="en-US" w:eastAsia="zh-CN"/>
              </w:rPr>
            </w:pPr>
            <w:bookmarkStart w:id="98" w:name="_Toc21104"/>
            <w:bookmarkStart w:id="99" w:name="_Toc15502"/>
            <w:bookmarkStart w:id="100" w:name="_Toc2598"/>
            <w:r>
              <w:rPr>
                <w:rFonts w:hint="default"/>
                <w:color w:val="auto"/>
                <w:lang w:val="en-US" w:eastAsia="zh-CN"/>
              </w:rPr>
              <w:t>建设项目主要的噪声污染源来自离心机、搅拌器、干燥箱等设备，其污染噪声源强约在</w:t>
            </w:r>
            <w:r>
              <w:rPr>
                <w:rFonts w:hint="eastAsia"/>
                <w:color w:val="auto"/>
                <w:lang w:val="en-US" w:eastAsia="zh-CN"/>
              </w:rPr>
              <w:t>60</w:t>
            </w:r>
            <w:r>
              <w:rPr>
                <w:rFonts w:hint="default"/>
                <w:color w:val="auto"/>
                <w:lang w:val="en-US" w:eastAsia="zh-CN"/>
              </w:rPr>
              <w:t>-</w:t>
            </w:r>
            <w:r>
              <w:rPr>
                <w:rFonts w:hint="eastAsia"/>
                <w:color w:val="auto"/>
                <w:lang w:val="en-US" w:eastAsia="zh-CN"/>
              </w:rPr>
              <w:t>80</w:t>
            </w:r>
            <w:r>
              <w:rPr>
                <w:rFonts w:hint="default"/>
                <w:color w:val="auto"/>
                <w:lang w:val="en-US" w:eastAsia="zh-CN"/>
              </w:rPr>
              <w:t>dB（A）之间。各仪器噪声值详见</w:t>
            </w:r>
            <w:r>
              <w:rPr>
                <w:rFonts w:hint="eastAsia"/>
                <w:color w:val="auto"/>
                <w:lang w:val="en-US" w:eastAsia="zh-CN"/>
              </w:rPr>
              <w:t>下表</w:t>
            </w:r>
            <w:r>
              <w:rPr>
                <w:rFonts w:hint="default"/>
                <w:color w:val="auto"/>
                <w:lang w:val="en-US" w:eastAsia="zh-CN"/>
              </w:rPr>
              <w:t>。</w:t>
            </w:r>
          </w:p>
          <w:p w14:paraId="184B250C">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仪器噪声值一览表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313"/>
              <w:gridCol w:w="2509"/>
              <w:gridCol w:w="1051"/>
              <w:gridCol w:w="915"/>
              <w:gridCol w:w="2344"/>
            </w:tblGrid>
            <w:tr w14:paraId="4D33B5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noWrap w:val="0"/>
                  <w:vAlign w:val="center"/>
                </w:tcPr>
                <w:p w14:paraId="3E2C265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序号</w:t>
                  </w:r>
                </w:p>
              </w:tc>
              <w:tc>
                <w:tcPr>
                  <w:tcW w:w="1542" w:type="pct"/>
                  <w:tcBorders>
                    <w:tl2br w:val="nil"/>
                    <w:tr2bl w:val="nil"/>
                  </w:tcBorders>
                  <w:noWrap w:val="0"/>
                  <w:vAlign w:val="center"/>
                </w:tcPr>
                <w:p w14:paraId="1D9B799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设备名称</w:t>
                  </w:r>
                </w:p>
              </w:tc>
              <w:tc>
                <w:tcPr>
                  <w:tcW w:w="646" w:type="pct"/>
                  <w:tcBorders>
                    <w:tl2br w:val="nil"/>
                    <w:tr2bl w:val="nil"/>
                  </w:tcBorders>
                  <w:noWrap w:val="0"/>
                  <w:vAlign w:val="center"/>
                </w:tcPr>
                <w:p w14:paraId="6A73375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数量</w:t>
                  </w:r>
                </w:p>
              </w:tc>
              <w:tc>
                <w:tcPr>
                  <w:tcW w:w="562" w:type="pct"/>
                  <w:tcBorders>
                    <w:tl2br w:val="nil"/>
                    <w:tr2bl w:val="nil"/>
                  </w:tcBorders>
                  <w:noWrap w:val="0"/>
                  <w:vAlign w:val="center"/>
                </w:tcPr>
                <w:p w14:paraId="0691DC8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单位</w:t>
                  </w:r>
                </w:p>
              </w:tc>
              <w:tc>
                <w:tcPr>
                  <w:tcW w:w="1441" w:type="pct"/>
                  <w:tcBorders>
                    <w:tl2br w:val="nil"/>
                    <w:tr2bl w:val="nil"/>
                  </w:tcBorders>
                  <w:noWrap w:val="0"/>
                  <w:vAlign w:val="center"/>
                </w:tcPr>
                <w:p w14:paraId="74D4422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rPr>
                  </w:pPr>
                  <w:r>
                    <w:rPr>
                      <w:rFonts w:hint="default" w:ascii="Times New Roman" w:hAnsi="Times New Roman" w:cs="Times New Roman"/>
                      <w:b w:val="0"/>
                      <w:bCs w:val="0"/>
                      <w:color w:val="auto"/>
                      <w:sz w:val="21"/>
                      <w:szCs w:val="21"/>
                    </w:rPr>
                    <w:t>噪声源强</w:t>
                  </w:r>
                  <w:r>
                    <w:rPr>
                      <w:rFonts w:hint="eastAsia" w:ascii="Times New Roman" w:hAnsi="Times New Roman" w:cs="Times New Roman"/>
                      <w:b w:val="0"/>
                      <w:bCs w:val="0"/>
                      <w:color w:val="auto"/>
                      <w:sz w:val="21"/>
                      <w:szCs w:val="21"/>
                      <w:shd w:val="clear" w:fill="FFFFFF"/>
                      <w:lang w:eastAsia="zh-CN"/>
                    </w:rPr>
                    <w:t>（</w:t>
                  </w:r>
                  <w:r>
                    <w:rPr>
                      <w:rFonts w:hint="default" w:ascii="Times New Roman" w:hAnsi="Times New Roman" w:cs="Times New Roman"/>
                      <w:b w:val="0"/>
                      <w:bCs w:val="0"/>
                      <w:color w:val="auto"/>
                      <w:sz w:val="21"/>
                      <w:szCs w:val="21"/>
                    </w:rPr>
                    <w:t>dB</w:t>
                  </w:r>
                  <w:r>
                    <w:rPr>
                      <w:rFonts w:hint="eastAsia" w:ascii="Times New Roman" w:hAnsi="Times New Roman" w:cs="Times New Roman"/>
                      <w:b w:val="0"/>
                      <w:bCs w:val="0"/>
                      <w:color w:val="auto"/>
                      <w:sz w:val="21"/>
                      <w:szCs w:val="21"/>
                      <w:shd w:val="clear" w:fill="FFFFFF"/>
                      <w:lang w:val="en-US" w:eastAsia="zh-CN"/>
                    </w:rPr>
                    <w:t>(</w:t>
                  </w:r>
                  <w:r>
                    <w:rPr>
                      <w:rFonts w:hint="default" w:ascii="Times New Roman" w:hAnsi="Times New Roman" w:cs="Times New Roman"/>
                      <w:b w:val="0"/>
                      <w:bCs w:val="0"/>
                      <w:color w:val="auto"/>
                      <w:sz w:val="21"/>
                      <w:szCs w:val="21"/>
                    </w:rPr>
                    <w:t>A</w:t>
                  </w:r>
                  <w:r>
                    <w:rPr>
                      <w:rFonts w:hint="eastAsia" w:ascii="Times New Roman" w:hAnsi="Times New Roman" w:cs="Times New Roman"/>
                      <w:b w:val="0"/>
                      <w:bCs w:val="0"/>
                      <w:color w:val="auto"/>
                      <w:sz w:val="21"/>
                      <w:szCs w:val="21"/>
                      <w:shd w:val="clear" w:fill="FFFFFF"/>
                      <w:lang w:val="en-US" w:eastAsia="zh-CN"/>
                    </w:rPr>
                    <w:t>)</w:t>
                  </w:r>
                  <w:r>
                    <w:rPr>
                      <w:rFonts w:hint="eastAsia" w:ascii="Times New Roman" w:hAnsi="Times New Roman" w:cs="Times New Roman"/>
                      <w:b w:val="0"/>
                      <w:bCs w:val="0"/>
                      <w:color w:val="auto"/>
                      <w:sz w:val="21"/>
                      <w:szCs w:val="21"/>
                      <w:lang w:eastAsia="zh-CN"/>
                    </w:rPr>
                    <w:t>）</w:t>
                  </w:r>
                </w:p>
              </w:tc>
            </w:tr>
            <w:tr w14:paraId="1A7815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noWrap w:val="0"/>
                  <w:vAlign w:val="center"/>
                </w:tcPr>
                <w:p w14:paraId="5134486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1</w:t>
                  </w:r>
                </w:p>
              </w:tc>
              <w:tc>
                <w:tcPr>
                  <w:tcW w:w="1542" w:type="pct"/>
                  <w:tcBorders>
                    <w:tl2br w:val="nil"/>
                    <w:tr2bl w:val="nil"/>
                  </w:tcBorders>
                  <w:noWrap w:val="0"/>
                  <w:vAlign w:val="center"/>
                </w:tcPr>
                <w:p w14:paraId="3A8E33C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超声波清洗器</w:t>
                  </w:r>
                </w:p>
              </w:tc>
              <w:tc>
                <w:tcPr>
                  <w:tcW w:w="646" w:type="pct"/>
                  <w:tcBorders>
                    <w:tl2br w:val="nil"/>
                    <w:tr2bl w:val="nil"/>
                  </w:tcBorders>
                  <w:noWrap w:val="0"/>
                  <w:vAlign w:val="center"/>
                </w:tcPr>
                <w:p w14:paraId="21548AB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w:t>
                  </w:r>
                </w:p>
              </w:tc>
              <w:tc>
                <w:tcPr>
                  <w:tcW w:w="562" w:type="pct"/>
                  <w:tcBorders>
                    <w:tl2br w:val="nil"/>
                    <w:tr2bl w:val="nil"/>
                  </w:tcBorders>
                  <w:noWrap w:val="0"/>
                  <w:vAlign w:val="center"/>
                </w:tcPr>
                <w:p w14:paraId="1388C36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noWrap w:val="0"/>
                  <w:vAlign w:val="center"/>
                </w:tcPr>
                <w:p w14:paraId="1B5EA99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70</w:t>
                  </w:r>
                </w:p>
              </w:tc>
            </w:tr>
            <w:tr w14:paraId="378A09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noWrap w:val="0"/>
                  <w:vAlign w:val="center"/>
                </w:tcPr>
                <w:p w14:paraId="1D16FA9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2</w:t>
                  </w:r>
                </w:p>
              </w:tc>
              <w:tc>
                <w:tcPr>
                  <w:tcW w:w="1542" w:type="pct"/>
                  <w:tcBorders>
                    <w:tl2br w:val="nil"/>
                    <w:tr2bl w:val="nil"/>
                  </w:tcBorders>
                  <w:noWrap w:val="0"/>
                  <w:vAlign w:val="center"/>
                </w:tcPr>
                <w:p w14:paraId="5956B2B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电热恒温干燥箱</w:t>
                  </w:r>
                </w:p>
              </w:tc>
              <w:tc>
                <w:tcPr>
                  <w:tcW w:w="646" w:type="pct"/>
                  <w:tcBorders>
                    <w:tl2br w:val="nil"/>
                    <w:tr2bl w:val="nil"/>
                  </w:tcBorders>
                  <w:noWrap w:val="0"/>
                  <w:vAlign w:val="center"/>
                </w:tcPr>
                <w:p w14:paraId="2384BA5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w:t>
                  </w:r>
                </w:p>
              </w:tc>
              <w:tc>
                <w:tcPr>
                  <w:tcW w:w="562" w:type="pct"/>
                  <w:tcBorders>
                    <w:tl2br w:val="nil"/>
                    <w:tr2bl w:val="nil"/>
                  </w:tcBorders>
                  <w:noWrap w:val="0"/>
                  <w:vAlign w:val="center"/>
                </w:tcPr>
                <w:p w14:paraId="4DDCC81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noWrap w:val="0"/>
                  <w:vAlign w:val="center"/>
                </w:tcPr>
                <w:p w14:paraId="0B901A0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eastAsia="zh-CN"/>
                    </w:rPr>
                  </w:pPr>
                  <w:r>
                    <w:rPr>
                      <w:rFonts w:hint="default" w:ascii="Times New Roman" w:hAnsi="Times New Roman" w:cs="Times New Roman"/>
                      <w:b w:val="0"/>
                      <w:bCs w:val="0"/>
                      <w:color w:val="auto"/>
                      <w:sz w:val="21"/>
                      <w:szCs w:val="21"/>
                      <w:lang w:val="en-US" w:eastAsia="zh-CN"/>
                    </w:rPr>
                    <w:t>6</w:t>
                  </w:r>
                  <w:r>
                    <w:rPr>
                      <w:rFonts w:hint="eastAsia" w:ascii="Times New Roman" w:hAnsi="Times New Roman" w:cs="Times New Roman"/>
                      <w:b w:val="0"/>
                      <w:bCs w:val="0"/>
                      <w:color w:val="auto"/>
                      <w:sz w:val="21"/>
                      <w:szCs w:val="21"/>
                      <w:lang w:val="en-US" w:eastAsia="zh-CN"/>
                    </w:rPr>
                    <w:t>0</w:t>
                  </w:r>
                </w:p>
              </w:tc>
            </w:tr>
            <w:tr w14:paraId="6CF213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shd w:val="clear" w:color="auto" w:fill="auto"/>
                  <w:noWrap w:val="0"/>
                  <w:vAlign w:val="center"/>
                </w:tcPr>
                <w:p w14:paraId="5AEDDD0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3</w:t>
                  </w:r>
                </w:p>
              </w:tc>
              <w:tc>
                <w:tcPr>
                  <w:tcW w:w="1542" w:type="pct"/>
                  <w:tcBorders>
                    <w:tl2br w:val="nil"/>
                    <w:tr2bl w:val="nil"/>
                  </w:tcBorders>
                  <w:noWrap w:val="0"/>
                  <w:vAlign w:val="center"/>
                </w:tcPr>
                <w:p w14:paraId="60138C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通风柜</w:t>
                  </w:r>
                </w:p>
              </w:tc>
              <w:tc>
                <w:tcPr>
                  <w:tcW w:w="646" w:type="pct"/>
                  <w:tcBorders>
                    <w:tl2br w:val="nil"/>
                    <w:tr2bl w:val="nil"/>
                  </w:tcBorders>
                  <w:noWrap w:val="0"/>
                  <w:vAlign w:val="center"/>
                </w:tcPr>
                <w:p w14:paraId="5D47190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18</w:t>
                  </w:r>
                </w:p>
              </w:tc>
              <w:tc>
                <w:tcPr>
                  <w:tcW w:w="562" w:type="pct"/>
                  <w:tcBorders>
                    <w:tl2br w:val="nil"/>
                    <w:tr2bl w:val="nil"/>
                  </w:tcBorders>
                  <w:noWrap w:val="0"/>
                  <w:vAlign w:val="center"/>
                </w:tcPr>
                <w:p w14:paraId="7011126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noWrap w:val="0"/>
                  <w:vAlign w:val="center"/>
                </w:tcPr>
                <w:p w14:paraId="14CD9F3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75</w:t>
                  </w:r>
                </w:p>
              </w:tc>
            </w:tr>
            <w:tr w14:paraId="625120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shd w:val="clear" w:color="auto" w:fill="auto"/>
                  <w:noWrap w:val="0"/>
                  <w:vAlign w:val="center"/>
                </w:tcPr>
                <w:p w14:paraId="52E8974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4</w:t>
                  </w:r>
                </w:p>
              </w:tc>
              <w:tc>
                <w:tcPr>
                  <w:tcW w:w="1542" w:type="pct"/>
                  <w:tcBorders>
                    <w:tl2br w:val="nil"/>
                    <w:tr2bl w:val="nil"/>
                  </w:tcBorders>
                  <w:noWrap w:val="0"/>
                  <w:vAlign w:val="center"/>
                </w:tcPr>
                <w:p w14:paraId="4987314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玻璃仪器烘干器</w:t>
                  </w:r>
                </w:p>
              </w:tc>
              <w:tc>
                <w:tcPr>
                  <w:tcW w:w="646" w:type="pct"/>
                  <w:tcBorders>
                    <w:tl2br w:val="nil"/>
                    <w:tr2bl w:val="nil"/>
                  </w:tcBorders>
                  <w:noWrap w:val="0"/>
                  <w:vAlign w:val="center"/>
                </w:tcPr>
                <w:p w14:paraId="38183C4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4</w:t>
                  </w:r>
                </w:p>
              </w:tc>
              <w:tc>
                <w:tcPr>
                  <w:tcW w:w="562" w:type="pct"/>
                  <w:tcBorders>
                    <w:tl2br w:val="nil"/>
                    <w:tr2bl w:val="nil"/>
                  </w:tcBorders>
                  <w:noWrap w:val="0"/>
                  <w:vAlign w:val="center"/>
                </w:tcPr>
                <w:p w14:paraId="792812D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noWrap w:val="0"/>
                  <w:vAlign w:val="center"/>
                </w:tcPr>
                <w:p w14:paraId="01BBC2E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r>
            <w:tr w14:paraId="62BE35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shd w:val="clear" w:color="auto" w:fill="auto"/>
                  <w:noWrap w:val="0"/>
                  <w:vAlign w:val="center"/>
                </w:tcPr>
                <w:p w14:paraId="38800CB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5</w:t>
                  </w:r>
                </w:p>
              </w:tc>
              <w:tc>
                <w:tcPr>
                  <w:tcW w:w="1542" w:type="pct"/>
                  <w:tcBorders>
                    <w:tl2br w:val="nil"/>
                    <w:tr2bl w:val="nil"/>
                  </w:tcBorders>
                  <w:shd w:val="clear" w:color="auto" w:fill="auto"/>
                  <w:noWrap w:val="0"/>
                  <w:vAlign w:val="center"/>
                </w:tcPr>
                <w:p w14:paraId="43299D0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shd w:val="clear" w:fill="FFFFFF"/>
                      <w:lang w:val="en-US" w:eastAsia="zh-CN"/>
                    </w:rPr>
                    <w:t>漩涡振荡器</w:t>
                  </w:r>
                </w:p>
              </w:tc>
              <w:tc>
                <w:tcPr>
                  <w:tcW w:w="646" w:type="pct"/>
                  <w:tcBorders>
                    <w:tl2br w:val="nil"/>
                    <w:tr2bl w:val="nil"/>
                  </w:tcBorders>
                  <w:shd w:val="clear" w:color="auto" w:fill="auto"/>
                  <w:noWrap w:val="0"/>
                  <w:vAlign w:val="center"/>
                </w:tcPr>
                <w:p w14:paraId="43DC56D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2</w:t>
                  </w:r>
                </w:p>
              </w:tc>
              <w:tc>
                <w:tcPr>
                  <w:tcW w:w="562" w:type="pct"/>
                  <w:tcBorders>
                    <w:tl2br w:val="nil"/>
                    <w:tr2bl w:val="nil"/>
                  </w:tcBorders>
                  <w:shd w:val="clear" w:color="auto" w:fill="auto"/>
                  <w:noWrap w:val="0"/>
                  <w:vAlign w:val="center"/>
                </w:tcPr>
                <w:p w14:paraId="2D9277F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shd w:val="clear" w:color="auto" w:fill="auto"/>
                  <w:noWrap w:val="0"/>
                  <w:vAlign w:val="center"/>
                </w:tcPr>
                <w:p w14:paraId="067CF50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rPr>
                    <w:t>65</w:t>
                  </w:r>
                </w:p>
              </w:tc>
            </w:tr>
            <w:tr w14:paraId="1CA8DE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shd w:val="clear" w:color="auto" w:fill="auto"/>
                  <w:noWrap w:val="0"/>
                  <w:vAlign w:val="center"/>
                </w:tcPr>
                <w:p w14:paraId="265F7C8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rPr>
                    <w:t>6</w:t>
                  </w:r>
                </w:p>
              </w:tc>
              <w:tc>
                <w:tcPr>
                  <w:tcW w:w="1542" w:type="pct"/>
                  <w:tcBorders>
                    <w:tl2br w:val="nil"/>
                    <w:tr2bl w:val="nil"/>
                  </w:tcBorders>
                  <w:shd w:val="clear" w:color="auto" w:fill="auto"/>
                  <w:noWrap w:val="0"/>
                  <w:vAlign w:val="center"/>
                </w:tcPr>
                <w:p w14:paraId="0593FDA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磁力搅拌器</w:t>
                  </w:r>
                </w:p>
              </w:tc>
              <w:tc>
                <w:tcPr>
                  <w:tcW w:w="646" w:type="pct"/>
                  <w:tcBorders>
                    <w:tl2br w:val="nil"/>
                    <w:tr2bl w:val="nil"/>
                  </w:tcBorders>
                  <w:shd w:val="clear" w:color="auto" w:fill="auto"/>
                  <w:noWrap w:val="0"/>
                  <w:vAlign w:val="center"/>
                </w:tcPr>
                <w:p w14:paraId="6052607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2</w:t>
                  </w:r>
                </w:p>
              </w:tc>
              <w:tc>
                <w:tcPr>
                  <w:tcW w:w="562" w:type="pct"/>
                  <w:tcBorders>
                    <w:tl2br w:val="nil"/>
                    <w:tr2bl w:val="nil"/>
                  </w:tcBorders>
                  <w:shd w:val="clear" w:color="auto" w:fill="auto"/>
                  <w:noWrap w:val="0"/>
                  <w:vAlign w:val="center"/>
                </w:tcPr>
                <w:p w14:paraId="2C137E2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b w:val="0"/>
                      <w:bCs w:val="0"/>
                      <w:color w:val="auto"/>
                      <w:sz w:val="21"/>
                      <w:szCs w:val="21"/>
                      <w:lang w:val="en-US" w:eastAsia="zh-CN"/>
                    </w:rPr>
                    <w:t>台</w:t>
                  </w:r>
                </w:p>
              </w:tc>
              <w:tc>
                <w:tcPr>
                  <w:tcW w:w="1441" w:type="pct"/>
                  <w:tcBorders>
                    <w:tl2br w:val="nil"/>
                    <w:tr2bl w:val="nil"/>
                  </w:tcBorders>
                  <w:shd w:val="clear" w:color="auto" w:fill="auto"/>
                  <w:noWrap w:val="0"/>
                  <w:vAlign w:val="center"/>
                </w:tcPr>
                <w:p w14:paraId="3563810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lang w:val="en-US" w:eastAsia="zh-CN"/>
                    </w:rPr>
                    <w:t>65</w:t>
                  </w:r>
                </w:p>
              </w:tc>
            </w:tr>
            <w:tr w14:paraId="3812C5E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noWrap w:val="0"/>
                  <w:vAlign w:val="center"/>
                </w:tcPr>
                <w:p w14:paraId="22E6B78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7</w:t>
                  </w:r>
                </w:p>
              </w:tc>
              <w:tc>
                <w:tcPr>
                  <w:tcW w:w="1542" w:type="pct"/>
                  <w:tcBorders>
                    <w:tl2br w:val="nil"/>
                    <w:tr2bl w:val="nil"/>
                  </w:tcBorders>
                  <w:shd w:val="clear" w:color="auto" w:fill="auto"/>
                  <w:noWrap w:val="0"/>
                  <w:vAlign w:val="center"/>
                </w:tcPr>
                <w:p w14:paraId="0339F03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 w:val="21"/>
                      <w:szCs w:val="21"/>
                    </w:rPr>
                    <w:t>离心机</w:t>
                  </w:r>
                </w:p>
              </w:tc>
              <w:tc>
                <w:tcPr>
                  <w:tcW w:w="646" w:type="pct"/>
                  <w:tcBorders>
                    <w:tl2br w:val="nil"/>
                    <w:tr2bl w:val="nil"/>
                  </w:tcBorders>
                  <w:shd w:val="clear" w:color="auto" w:fill="auto"/>
                  <w:noWrap w:val="0"/>
                  <w:vAlign w:val="center"/>
                </w:tcPr>
                <w:p w14:paraId="680956F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1</w:t>
                  </w:r>
                </w:p>
              </w:tc>
              <w:tc>
                <w:tcPr>
                  <w:tcW w:w="562" w:type="pct"/>
                  <w:tcBorders>
                    <w:tl2br w:val="nil"/>
                    <w:tr2bl w:val="nil"/>
                  </w:tcBorders>
                  <w:shd w:val="clear" w:color="auto" w:fill="auto"/>
                  <w:noWrap w:val="0"/>
                  <w:vAlign w:val="center"/>
                </w:tcPr>
                <w:p w14:paraId="3F07DD4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 w:val="21"/>
                      <w:szCs w:val="21"/>
                    </w:rPr>
                    <w:t>台</w:t>
                  </w:r>
                </w:p>
              </w:tc>
              <w:tc>
                <w:tcPr>
                  <w:tcW w:w="1441" w:type="pct"/>
                  <w:tcBorders>
                    <w:tl2br w:val="nil"/>
                    <w:tr2bl w:val="nil"/>
                  </w:tcBorders>
                  <w:shd w:val="clear" w:color="auto" w:fill="auto"/>
                  <w:noWrap w:val="0"/>
                  <w:vAlign w:val="center"/>
                </w:tcPr>
                <w:p w14:paraId="7715D70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bidi="zh-CN"/>
                    </w:rPr>
                  </w:pPr>
                  <w:r>
                    <w:rPr>
                      <w:rFonts w:hint="default" w:ascii="Times New Roman" w:hAnsi="Times New Roman" w:cs="Times New Roman"/>
                      <w:color w:val="auto"/>
                      <w:sz w:val="21"/>
                      <w:szCs w:val="21"/>
                      <w:lang w:val="en-US" w:eastAsia="zh-CN"/>
                    </w:rPr>
                    <w:t>75</w:t>
                  </w:r>
                </w:p>
              </w:tc>
            </w:tr>
            <w:tr w14:paraId="4EC39B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807" w:type="pct"/>
                  <w:tcBorders>
                    <w:tl2br w:val="nil"/>
                    <w:tr2bl w:val="nil"/>
                  </w:tcBorders>
                  <w:noWrap w:val="0"/>
                  <w:vAlign w:val="center"/>
                </w:tcPr>
                <w:p w14:paraId="35D12AD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1542" w:type="pct"/>
                  <w:tcBorders>
                    <w:tl2br w:val="nil"/>
                    <w:tr2bl w:val="nil"/>
                  </w:tcBorders>
                  <w:shd w:val="clear" w:color="auto" w:fill="auto"/>
                  <w:noWrap w:val="0"/>
                  <w:vAlign w:val="center"/>
                </w:tcPr>
                <w:p w14:paraId="3269DC7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宋体" w:hAnsi="宋体" w:eastAsia="宋体" w:cs="宋体"/>
                      <w:color w:val="auto"/>
                      <w:kern w:val="0"/>
                      <w:sz w:val="21"/>
                      <w:szCs w:val="21"/>
                      <w:lang w:val="zh-CN" w:eastAsia="zh-CN" w:bidi="ar"/>
                    </w:rPr>
                  </w:pPr>
                  <w:r>
                    <w:rPr>
                      <w:rFonts w:hint="eastAsia"/>
                      <w:color w:val="auto"/>
                      <w:kern w:val="0"/>
                      <w:sz w:val="21"/>
                      <w:szCs w:val="21"/>
                      <w:lang w:val="en-US" w:eastAsia="zh-CN" w:bidi="ar"/>
                    </w:rPr>
                    <w:t>引风机</w:t>
                  </w:r>
                </w:p>
              </w:tc>
              <w:tc>
                <w:tcPr>
                  <w:tcW w:w="646" w:type="pct"/>
                  <w:tcBorders>
                    <w:tl2br w:val="nil"/>
                    <w:tr2bl w:val="nil"/>
                  </w:tcBorders>
                  <w:shd w:val="clear" w:color="auto" w:fill="auto"/>
                  <w:noWrap w:val="0"/>
                  <w:vAlign w:val="center"/>
                </w:tcPr>
                <w:p w14:paraId="54CE88B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kern w:val="2"/>
                      <w:sz w:val="21"/>
                      <w:szCs w:val="21"/>
                      <w:lang w:val="en-US" w:eastAsia="zh-CN" w:bidi="zh-CN"/>
                    </w:rPr>
                  </w:pPr>
                  <w:r>
                    <w:rPr>
                      <w:rFonts w:hint="eastAsia" w:ascii="Times New Roman" w:hAnsi="Times New Roman" w:cs="Times New Roman"/>
                      <w:color w:val="auto"/>
                      <w:sz w:val="21"/>
                      <w:szCs w:val="21"/>
                      <w:lang w:val="en-US" w:eastAsia="zh-CN"/>
                    </w:rPr>
                    <w:t>3</w:t>
                  </w:r>
                </w:p>
              </w:tc>
              <w:tc>
                <w:tcPr>
                  <w:tcW w:w="562" w:type="pct"/>
                  <w:tcBorders>
                    <w:tl2br w:val="nil"/>
                    <w:tr2bl w:val="nil"/>
                  </w:tcBorders>
                  <w:shd w:val="clear" w:color="auto" w:fill="auto"/>
                  <w:noWrap w:val="0"/>
                  <w:vAlign w:val="center"/>
                </w:tcPr>
                <w:p w14:paraId="6220057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cs="Times New Roman"/>
                      <w:color w:val="auto"/>
                      <w:sz w:val="21"/>
                      <w:szCs w:val="21"/>
                    </w:rPr>
                    <w:t>台</w:t>
                  </w:r>
                </w:p>
              </w:tc>
              <w:tc>
                <w:tcPr>
                  <w:tcW w:w="1441" w:type="pct"/>
                  <w:tcBorders>
                    <w:tl2br w:val="nil"/>
                    <w:tr2bl w:val="nil"/>
                  </w:tcBorders>
                  <w:shd w:val="clear" w:color="auto" w:fill="auto"/>
                  <w:noWrap w:val="0"/>
                  <w:vAlign w:val="center"/>
                </w:tcPr>
                <w:p w14:paraId="6131D6C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color w:val="auto"/>
                      <w:sz w:val="21"/>
                      <w:szCs w:val="21"/>
                      <w:lang w:val="en-US" w:eastAsia="zh-CN"/>
                    </w:rPr>
                    <w:t>80</w:t>
                  </w:r>
                </w:p>
              </w:tc>
            </w:tr>
            <w:bookmarkEnd w:id="98"/>
            <w:bookmarkEnd w:id="99"/>
            <w:bookmarkEnd w:id="100"/>
          </w:tbl>
          <w:p w14:paraId="1D2BA8A3">
            <w:pPr>
              <w:pStyle w:val="6"/>
              <w:suppressLineNumbers w:val="0"/>
              <w:bidi w:val="0"/>
              <w:spacing w:beforeAutospacing="0" w:afterAutospacing="0"/>
              <w:ind w:right="0"/>
              <w:rPr>
                <w:rFonts w:hint="default"/>
                <w:color w:val="auto"/>
                <w:lang w:val="en-US" w:eastAsia="zh-CN"/>
              </w:rPr>
            </w:pPr>
            <w:r>
              <w:rPr>
                <w:rFonts w:hint="eastAsia"/>
                <w:color w:val="auto"/>
                <w:lang w:val="en-US" w:eastAsia="zh-CN"/>
              </w:rPr>
              <w:t>评价方法</w:t>
            </w:r>
          </w:p>
          <w:p w14:paraId="7555A185">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rPr>
              <w:t>根据《环境影响评价技术导则 声环境》（HJ2.4-20</w:t>
            </w:r>
            <w:r>
              <w:rPr>
                <w:rFonts w:hint="default" w:ascii="Times New Roman" w:hAnsi="Times New Roman" w:eastAsia="宋体" w:cs="Times New Roman"/>
                <w:color w:val="auto"/>
                <w:sz w:val="24"/>
                <w:highlight w:val="none"/>
                <w:lang w:val="en-US" w:eastAsia="zh-CN"/>
              </w:rPr>
              <w:t>21</w:t>
            </w:r>
            <w:r>
              <w:rPr>
                <w:rFonts w:hint="default" w:ascii="Times New Roman" w:hAnsi="Times New Roman" w:eastAsia="宋体" w:cs="Times New Roman"/>
                <w:color w:val="auto"/>
                <w:sz w:val="24"/>
                <w:highlight w:val="none"/>
              </w:rPr>
              <w:t>）的技术要求，本次评价采取导则推荐模式。</w:t>
            </w:r>
          </w:p>
          <w:p w14:paraId="0837473B">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（1）</w:t>
            </w:r>
            <w:r>
              <w:rPr>
                <w:rFonts w:hint="default" w:ascii="Times New Roman" w:hAnsi="Times New Roman" w:eastAsia="宋体" w:cs="Times New Roman"/>
                <w:color w:val="auto"/>
                <w:sz w:val="24"/>
                <w:highlight w:val="none"/>
                <w:lang w:val="en-US" w:eastAsia="zh-CN"/>
              </w:rPr>
              <w:t>室内声源计算公式</w:t>
            </w:r>
          </w:p>
          <w:p w14:paraId="12DD427E">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①计算出某个室内靠近围护结构处的倍频带声压级：</w:t>
            </w:r>
          </w:p>
          <w:p w14:paraId="31AE2B0C">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right="0" w:firstLine="0" w:firstLineChars="0"/>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position w:val="-28"/>
                <w:sz w:val="24"/>
                <w:highlight w:val="none"/>
              </w:rPr>
              <w:object>
                <v:shape id="_x0000_i1028" o:spt="75" type="#_x0000_t75" style="height:34pt;width:132.95pt;" o:ole="t" filled="f" o:preferrelative="t" stroked="f" coordsize="21600,21600">
                  <v:path/>
                  <v:fill on="f" focussize="0,0"/>
                  <v:stroke on="f"/>
                  <v:imagedata r:id="rId32" o:title=""/>
                  <o:lock v:ext="edit" aspectratio="t"/>
                  <w10:wrap type="none"/>
                  <w10:anchorlock/>
                </v:shape>
                <o:OLEObject Type="Embed" ProgID="Equation.3" ShapeID="_x0000_i1028" DrawAspect="Content" ObjectID="_1468075728" r:id="rId31">
                  <o:LockedField>false</o:LockedField>
                </o:OLEObject>
              </w:object>
            </w:r>
          </w:p>
          <w:p w14:paraId="73047048">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p1</w:t>
            </w:r>
            <w:r>
              <w:rPr>
                <w:rFonts w:hint="default" w:ascii="Times New Roman" w:hAnsi="Times New Roman" w:eastAsia="宋体" w:cs="Times New Roman"/>
                <w:color w:val="auto"/>
                <w:sz w:val="24"/>
                <w:highlight w:val="none"/>
              </w:rPr>
              <w:t>——某个室内声源在靠近围护结构处产生的倍频带声压级；</w:t>
            </w:r>
          </w:p>
          <w:p w14:paraId="3FE71057">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w</w:t>
            </w:r>
            <w:r>
              <w:rPr>
                <w:rFonts w:hint="default" w:ascii="Times New Roman" w:hAnsi="Times New Roman" w:eastAsia="宋体" w:cs="Times New Roman"/>
                <w:color w:val="auto"/>
                <w:sz w:val="24"/>
                <w:highlight w:val="none"/>
              </w:rPr>
              <w:t>——某个声源的倍频带声功率级；</w:t>
            </w:r>
          </w:p>
          <w:p w14:paraId="53E1376A">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——室内某个声源与靠近围护结构处的距离；</w:t>
            </w:r>
          </w:p>
          <w:p w14:paraId="7B14597E">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房间常数</w:t>
            </w:r>
            <w:r>
              <w:rPr>
                <w:rFonts w:hint="default" w:ascii="Times New Roman" w:hAnsi="Times New Roman" w:eastAsia="宋体" w:cs="Times New Roman"/>
                <w:color w:val="auto"/>
                <w:sz w:val="24"/>
                <w:highlight w:val="none"/>
              </w:rPr>
              <w:t>；</w:t>
            </w:r>
          </w:p>
          <w:p w14:paraId="58672971">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指向性因素</w:t>
            </w:r>
            <w:r>
              <w:rPr>
                <w:rFonts w:hint="default" w:ascii="Times New Roman" w:hAnsi="Times New Roman" w:eastAsia="宋体" w:cs="Times New Roman"/>
                <w:color w:val="auto"/>
                <w:sz w:val="24"/>
                <w:highlight w:val="none"/>
              </w:rPr>
              <w:t>。</w:t>
            </w:r>
          </w:p>
          <w:p w14:paraId="49B09F99">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②计算出所有室内声源在靠近围护结构处产生的总倍频带声压级：</w:t>
            </w:r>
          </w:p>
          <w:p w14:paraId="49477C9C">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leftChars="0" w:right="0" w:firstLine="0" w:firstLineChars="0"/>
              <w:jc w:val="center"/>
              <w:textAlignment w:val="auto"/>
              <w:rPr>
                <w:rFonts w:hint="default" w:ascii="Times New Roman" w:hAnsi="Times New Roman" w:cs="Times New Roman"/>
                <w:color w:val="auto"/>
                <w:position w:val="-32"/>
                <w:sz w:val="24"/>
                <w:highlight w:val="none"/>
              </w:rPr>
            </w:pPr>
            <w:r>
              <w:rPr>
                <w:rFonts w:hint="default" w:ascii="Times New Roman" w:hAnsi="Times New Roman" w:cs="Times New Roman"/>
                <w:color w:val="auto"/>
                <w:position w:val="-32"/>
                <w:sz w:val="24"/>
                <w:highlight w:val="none"/>
              </w:rPr>
              <w:object>
                <v:shape id="_x0000_i1029" o:spt="75" type="#_x0000_t75" style="height:38pt;width:131pt;" o:ole="t" filled="f" o:preferrelative="t" stroked="f" coordsize="21600,21600">
                  <v:path/>
                  <v:fill on="f" focussize="0,0"/>
                  <v:stroke on="f"/>
                  <v:imagedata r:id="rId34" o:title=""/>
                  <o:lock v:ext="edit" aspectratio="t"/>
                  <w10:wrap type="none"/>
                  <w10:anchorlock/>
                </v:shape>
                <o:OLEObject Type="Embed" ProgID="Equation.3" ShapeID="_x0000_i1029" DrawAspect="Content" ObjectID="_1468075729" r:id="rId33">
                  <o:LockedField>false</o:LockedField>
                </o:OLEObject>
              </w:object>
            </w:r>
          </w:p>
          <w:p w14:paraId="2452E9C7">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式中：</w:t>
            </w:r>
            <w:r>
              <w:rPr>
                <w:rFonts w:hint="eastAsia" w:ascii="Times New Roman" w:hAnsi="Times New Roman" w:eastAsia="宋体" w:cs="Times New Roman"/>
                <w:color w:val="auto"/>
                <w:sz w:val="24"/>
                <w:highlight w:val="none"/>
                <w:shd w:val="clear" w:fill="FFFFFF"/>
                <w:lang w:val="en-US" w:eastAsia="zh-CN"/>
              </w:rPr>
              <w:t>L</w:t>
            </w:r>
            <w:r>
              <w:rPr>
                <w:rFonts w:hint="eastAsia" w:ascii="Times New Roman" w:hAnsi="Times New Roman" w:eastAsia="宋体" w:cs="Times New Roman"/>
                <w:color w:val="auto"/>
                <w:sz w:val="24"/>
                <w:highlight w:val="none"/>
                <w:shd w:val="clear" w:fill="FFFFFF"/>
                <w:vertAlign w:val="subscript"/>
                <w:lang w:val="en-US" w:eastAsia="zh-CN"/>
              </w:rPr>
              <w:t>pli</w:t>
            </w:r>
            <w:r>
              <w:rPr>
                <w:rFonts w:hint="eastAsia"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val="en-US" w:eastAsia="zh-CN"/>
              </w:rPr>
              <w:t>——靠近</w:t>
            </w:r>
            <w:r>
              <w:rPr>
                <w:rFonts w:hint="default" w:ascii="Times New Roman" w:hAnsi="Times New Roman" w:eastAsia="宋体" w:cs="Times New Roman"/>
                <w:color w:val="auto"/>
                <w:sz w:val="24"/>
                <w:highlight w:val="none"/>
                <w:shd w:val="clear" w:fill="FFFFFF"/>
                <w:lang w:val="en-US" w:eastAsia="zh-CN"/>
              </w:rPr>
              <w:t>维护结构</w:t>
            </w:r>
            <w:r>
              <w:rPr>
                <w:rFonts w:hint="default" w:ascii="Times New Roman" w:hAnsi="Times New Roman" w:eastAsia="宋体" w:cs="Times New Roman"/>
                <w:color w:val="auto"/>
                <w:sz w:val="24"/>
                <w:highlight w:val="none"/>
                <w:lang w:val="en-US" w:eastAsia="zh-CN"/>
              </w:rPr>
              <w:t>处室内N个声源i倍频带的叠加声压级，dB；</w:t>
            </w:r>
          </w:p>
          <w:p w14:paraId="7331D0CF">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shd w:val="clear" w:fill="FFFFFF"/>
                <w:lang w:val="en-US" w:eastAsia="zh-CN"/>
              </w:rPr>
              <w:t>L</w:t>
            </w:r>
            <w:r>
              <w:rPr>
                <w:rFonts w:hint="default" w:ascii="Times New Roman" w:hAnsi="Times New Roman" w:eastAsia="宋体" w:cs="Times New Roman"/>
                <w:color w:val="auto"/>
                <w:sz w:val="24"/>
                <w:highlight w:val="none"/>
                <w:shd w:val="clear" w:fill="FFFFFF"/>
                <w:vertAlign w:val="subscript"/>
                <w:lang w:val="en-US" w:eastAsia="zh-CN"/>
              </w:rPr>
              <w:t>p</w:t>
            </w:r>
            <w:r>
              <w:rPr>
                <w:rFonts w:hint="eastAsia" w:ascii="Times New Roman" w:hAnsi="Times New Roman" w:eastAsia="宋体" w:cs="Times New Roman"/>
                <w:color w:val="auto"/>
                <w:sz w:val="24"/>
                <w:highlight w:val="none"/>
                <w:shd w:val="clear" w:fill="FFFFFF"/>
                <w:vertAlign w:val="subscript"/>
                <w:lang w:val="en-US" w:eastAsia="zh-CN"/>
              </w:rPr>
              <w:t>l</w:t>
            </w:r>
            <w:r>
              <w:rPr>
                <w:rFonts w:hint="default" w:ascii="Times New Roman" w:hAnsi="Times New Roman" w:eastAsia="宋体" w:cs="Times New Roman"/>
                <w:color w:val="auto"/>
                <w:sz w:val="24"/>
                <w:highlight w:val="none"/>
                <w:shd w:val="clear" w:fill="FFFFFF"/>
                <w:vertAlign w:val="subscript"/>
                <w:lang w:val="en-US" w:eastAsia="zh-CN"/>
              </w:rPr>
              <w:t>ij</w:t>
            </w:r>
            <w:r>
              <w:rPr>
                <w:rFonts w:hint="default" w:ascii="Times New Roman" w:hAnsi="Times New Roman" w:eastAsia="宋体" w:cs="Times New Roman"/>
                <w:color w:val="auto"/>
                <w:sz w:val="24"/>
                <w:highlight w:val="none"/>
                <w:lang w:val="en-US" w:eastAsia="zh-CN"/>
              </w:rPr>
              <w:t>——室内j声源i倍频带的声压级，dB；</w:t>
            </w:r>
          </w:p>
          <w:p w14:paraId="25365672">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N——室内声源总数。</w:t>
            </w:r>
          </w:p>
          <w:p w14:paraId="7E46D015">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w:t>
            </w:r>
            <w:r>
              <w:rPr>
                <w:rFonts w:hint="default" w:ascii="Times New Roman" w:hAnsi="Times New Roman" w:eastAsia="宋体" w:cs="Times New Roman"/>
                <w:color w:val="auto"/>
                <w:sz w:val="24"/>
                <w:highlight w:val="none"/>
                <w:lang w:val="en-US" w:eastAsia="zh-CN"/>
              </w:rPr>
              <w:t>室外声源传播衰减公式</w:t>
            </w:r>
          </w:p>
          <w:p w14:paraId="604066D9">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计算某个声源在预测点的倍频带声压级：</w:t>
            </w:r>
          </w:p>
          <w:p w14:paraId="6297DF10">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right="0" w:firstLine="480" w:firstLineChars="20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0" o:spt="75" type="#_x0000_t75" style="height:38pt;width:153pt;" o:ole="t" filled="f" o:preferrelative="t" stroked="f" coordsize="21600,21600">
                  <v:path/>
                  <v:fill on="f" focussize="0,0"/>
                  <v:stroke on="f"/>
                  <v:imagedata r:id="rId36" o:title=""/>
                  <o:lock v:ext="edit" aspectratio="t"/>
                  <w10:wrap type="none"/>
                  <w10:anchorlock/>
                </v:shape>
                <o:OLEObject Type="Embed" ProgID="Equation.3" ShapeID="_x0000_i1030" DrawAspect="Content" ObjectID="_1468075730" r:id="rId35">
                  <o:LockedField>false</o:LockedField>
                </o:OLEObject>
              </w:object>
            </w:r>
          </w:p>
          <w:p w14:paraId="45A6AC51">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——点声源在预测点产生的倍频带声压级；</w:t>
            </w:r>
          </w:p>
          <w:p w14:paraId="38F44A3A">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val="en-US" w:eastAsia="zh-CN"/>
              </w:rPr>
              <w:t>（r0）</w:t>
            </w:r>
            <w:r>
              <w:rPr>
                <w:rFonts w:hint="default" w:ascii="Times New Roman" w:hAnsi="Times New Roman" w:eastAsia="宋体" w:cs="Times New Roman"/>
                <w:color w:val="auto"/>
                <w:sz w:val="24"/>
                <w:highlight w:val="none"/>
              </w:rPr>
              <w:t>——参考位置r0处的倍频带声压级；</w:t>
            </w:r>
          </w:p>
          <w:p w14:paraId="09BF9782">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rPr>
              <w:t>——预测点距声源的距离，m；</w:t>
            </w:r>
          </w:p>
          <w:p w14:paraId="4AE8D06B">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r</w:t>
            </w:r>
            <w:r>
              <w:rPr>
                <w:rFonts w:hint="default" w:ascii="Times New Roman" w:hAnsi="Times New Roman" w:eastAsia="宋体" w:cs="Times New Roman"/>
                <w:color w:val="auto"/>
                <w:sz w:val="24"/>
                <w:highlight w:val="none"/>
                <w:vertAlign w:val="subscript"/>
                <w:lang w:val="en-US" w:eastAsia="zh-CN"/>
              </w:rPr>
              <w:t>0</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val="en-US" w:eastAsia="zh-CN"/>
              </w:rPr>
              <w:t>参考位置距声源的距离，m</w:t>
            </w:r>
            <w:r>
              <w:rPr>
                <w:rFonts w:hint="default" w:ascii="Times New Roman" w:hAnsi="Times New Roman" w:eastAsia="宋体" w:cs="Times New Roman"/>
                <w:color w:val="auto"/>
                <w:sz w:val="24"/>
                <w:highlight w:val="none"/>
              </w:rPr>
              <w:t>；</w:t>
            </w:r>
          </w:p>
          <w:p w14:paraId="5DD1103E">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ΔL</w:t>
            </w:r>
            <w:r>
              <w:rPr>
                <w:rFonts w:hint="default" w:ascii="Times New Roman" w:hAnsi="Times New Roman" w:eastAsia="宋体" w:cs="Times New Roman"/>
                <w:color w:val="auto"/>
                <w:sz w:val="24"/>
                <w:highlight w:val="none"/>
                <w:vertAlign w:val="subscript"/>
                <w:lang w:val="en-US" w:eastAsia="zh-CN"/>
              </w:rPr>
              <w:t>p</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各种因素引起的衰减量</w:t>
            </w:r>
            <w:r>
              <w:rPr>
                <w:rFonts w:hint="default" w:ascii="Times New Roman" w:hAnsi="Times New Roman" w:eastAsia="宋体" w:cs="Times New Roman"/>
                <w:color w:val="auto"/>
                <w:sz w:val="24"/>
                <w:highlight w:val="none"/>
              </w:rPr>
              <w:t>。</w:t>
            </w:r>
          </w:p>
          <w:p w14:paraId="07DED1FF">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3</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rPr>
              <w:t>声源叠加贡献值公式</w:t>
            </w:r>
          </w:p>
          <w:p w14:paraId="5EB76492">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right="0" w:firstLine="480" w:firstLineChars="200"/>
              <w:jc w:val="center"/>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object>
                <v:shape id="_x0000_i1031" o:spt="75" type="#_x0000_t75" style="height:38pt;width:132pt;" o:ole="t" filled="f" o:preferrelative="t" stroked="f" coordsize="21600,21600">
                  <v:path/>
                  <v:fill on="f" focussize="0,0"/>
                  <v:stroke on="f"/>
                  <v:imagedata r:id="rId38" o:title=""/>
                  <o:lock v:ext="edit" aspectratio="t"/>
                  <w10:wrap type="none"/>
                  <w10:anchorlock/>
                </v:shape>
                <o:OLEObject Type="Embed" ProgID="Equation.3" ShapeID="_x0000_i1031" DrawAspect="Content" ObjectID="_1468075731" r:id="rId37">
                  <o:LockedField>false</o:LockedField>
                </o:OLEObject>
              </w:object>
            </w:r>
          </w:p>
          <w:p w14:paraId="699540D5">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w:t>
            </w:r>
            <w:r>
              <w:rPr>
                <w:rFonts w:hint="default" w:ascii="Times New Roman" w:hAnsi="Times New Roman" w:eastAsia="宋体" w:cs="Times New Roman"/>
                <w:color w:val="auto"/>
                <w:sz w:val="24"/>
                <w:highlight w:val="none"/>
                <w:shd w:val="clear" w:fill="FFFFFF"/>
                <w:lang w:eastAsia="zh-CN"/>
              </w:rPr>
              <w:t>L</w:t>
            </w:r>
            <w:r>
              <w:rPr>
                <w:rFonts w:hint="default" w:ascii="Times New Roman" w:hAnsi="Times New Roman" w:eastAsia="宋体" w:cs="Times New Roman"/>
                <w:color w:val="auto"/>
                <w:sz w:val="24"/>
                <w:highlight w:val="none"/>
                <w:shd w:val="clear" w:fill="FFFFFF"/>
                <w:vertAlign w:val="subscript"/>
                <w:lang w:eastAsia="zh-CN"/>
              </w:rPr>
              <w:t>eq</w:t>
            </w:r>
            <w:r>
              <w:rPr>
                <w:rFonts w:hint="default" w:ascii="Times New Roman" w:hAnsi="Times New Roman" w:eastAsia="宋体" w:cs="Times New Roman"/>
                <w:color w:val="auto"/>
                <w:sz w:val="24"/>
                <w:highlight w:val="none"/>
                <w:shd w:val="clear" w:fill="FFFFFF"/>
                <w:vertAlign w:val="subscript"/>
                <w:lang w:val="en-US" w:eastAsia="zh-CN"/>
              </w:rPr>
              <w:t>g</w:t>
            </w:r>
            <w:r>
              <w:rPr>
                <w:rFonts w:hint="default" w:ascii="Times New Roman" w:hAnsi="Times New Roman" w:eastAsia="宋体" w:cs="Times New Roman"/>
                <w:color w:val="auto"/>
                <w:sz w:val="24"/>
                <w:highlight w:val="none"/>
                <w:lang w:eastAsia="zh-CN"/>
              </w:rPr>
              <w:t>——建设项目声源在预测点的等声级贡献值，dB（A）；</w:t>
            </w:r>
          </w:p>
          <w:p w14:paraId="303EBDD0">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L</w:t>
            </w:r>
            <w:r>
              <w:rPr>
                <w:rFonts w:hint="default" w:ascii="Times New Roman" w:hAnsi="Times New Roman" w:eastAsia="宋体" w:cs="Times New Roman"/>
                <w:color w:val="auto"/>
                <w:sz w:val="24"/>
                <w:highlight w:val="none"/>
                <w:vertAlign w:val="subscript"/>
                <w:lang w:val="en-US" w:eastAsia="zh-CN"/>
              </w:rPr>
              <w:t>Ai</w:t>
            </w:r>
            <w:r>
              <w:rPr>
                <w:rFonts w:hint="default" w:ascii="Times New Roman" w:hAnsi="Times New Roman" w:eastAsia="宋体" w:cs="Times New Roman"/>
                <w:color w:val="auto"/>
                <w:sz w:val="24"/>
                <w:highlight w:val="none"/>
                <w:lang w:eastAsia="zh-CN"/>
              </w:rPr>
              <w:t>——i 声源在预测点产生的A声级，dB（A）；</w:t>
            </w:r>
          </w:p>
          <w:p w14:paraId="40D0C9D0">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lang w:eastAsia="zh-CN"/>
              </w:rPr>
              <w:t>——预测计算的时间段，</w:t>
            </w:r>
            <w:r>
              <w:rPr>
                <w:rFonts w:hint="default" w:ascii="Times New Roman" w:hAnsi="Times New Roman" w:eastAsia="宋体" w:cs="Times New Roman"/>
                <w:color w:val="auto"/>
                <w:sz w:val="24"/>
                <w:highlight w:val="none"/>
                <w:lang w:val="en-US" w:eastAsia="zh-CN"/>
              </w:rPr>
              <w:t>s；</w:t>
            </w:r>
          </w:p>
          <w:p w14:paraId="10393199">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val="en-US" w:eastAsia="zh-CN"/>
              </w:rPr>
              <w:t>t</w:t>
            </w:r>
            <w:r>
              <w:rPr>
                <w:rFonts w:hint="default" w:ascii="Times New Roman" w:hAnsi="Times New Roman" w:eastAsia="宋体" w:cs="Times New Roman"/>
                <w:color w:val="auto"/>
                <w:sz w:val="24"/>
                <w:highlight w:val="none"/>
                <w:vertAlign w:val="subscript"/>
                <w:lang w:val="en-US" w:eastAsia="zh-CN"/>
              </w:rPr>
              <w:t>i</w:t>
            </w:r>
            <w:r>
              <w:rPr>
                <w:rFonts w:hint="default" w:ascii="Times New Roman" w:hAnsi="Times New Roman" w:eastAsia="宋体" w:cs="Times New Roman"/>
                <w:color w:val="auto"/>
                <w:sz w:val="24"/>
                <w:highlight w:val="none"/>
                <w:lang w:val="en-US" w:eastAsia="zh-CN"/>
              </w:rPr>
              <w:t>——i声源在T时段内的运行时间，s</w:t>
            </w:r>
            <w:r>
              <w:rPr>
                <w:rFonts w:hint="default" w:ascii="Times New Roman" w:hAnsi="Times New Roman" w:eastAsia="宋体" w:cs="Times New Roman"/>
                <w:color w:val="auto"/>
                <w:sz w:val="24"/>
                <w:highlight w:val="none"/>
                <w:lang w:eastAsia="zh-CN"/>
              </w:rPr>
              <w:t>。</w:t>
            </w:r>
          </w:p>
          <w:p w14:paraId="5E750492">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预测值公式</w:t>
            </w:r>
          </w:p>
          <w:p w14:paraId="591CE67A">
            <w:pPr>
              <w:keepNext w:val="0"/>
              <w:keepLines w:val="0"/>
              <w:pageBreakBefore w:val="0"/>
              <w:widowControl w:val="0"/>
              <w:suppressLineNumbers w:val="0"/>
              <w:kinsoku/>
              <w:wordWrap/>
              <w:overflowPunct/>
              <w:topLinePunct w:val="0"/>
              <w:autoSpaceDE/>
              <w:autoSpaceDN/>
              <w:bidi w:val="0"/>
              <w:adjustRightInd/>
              <w:snapToGrid/>
              <w:spacing w:before="313" w:beforeLines="100" w:beforeAutospacing="0" w:after="313" w:afterLines="100" w:afterAutospacing="0" w:line="360" w:lineRule="auto"/>
              <w:ind w:left="0" w:right="0" w:firstLine="480" w:firstLineChars="200"/>
              <w:jc w:val="center"/>
              <w:textAlignment w:val="auto"/>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object>
                <v:shape id="_x0000_i1032" o:spt="75" type="#_x0000_t75" style="height:21pt;width:135pt;" o:ole="t" filled="f" o:preferrelative="t" stroked="f" coordsize="21600,21600">
                  <v:path/>
                  <v:fill on="f" focussize="0,0"/>
                  <v:stroke on="f"/>
                  <v:imagedata r:id="rId40" o:title=""/>
                  <o:lock v:ext="edit" aspectratio="t"/>
                  <w10:wrap type="none"/>
                  <w10:anchorlock/>
                </v:shape>
                <o:OLEObject Type="Embed" ProgID="Equation.3" ShapeID="_x0000_i1032" DrawAspect="Content" ObjectID="_1468075732" r:id="rId39">
                  <o:LockedField>false</o:LockedField>
                </o:OLEObject>
              </w:object>
            </w:r>
          </w:p>
          <w:p w14:paraId="090613EE">
            <w:pPr>
              <w:keepNext w:val="0"/>
              <w:keepLines w:val="0"/>
              <w:suppressLineNumbers w:val="0"/>
              <w:bidi w:val="0"/>
              <w:adjustRightInd/>
              <w:snapToGrid/>
              <w:spacing w:before="0" w:beforeAutospacing="0" w:after="0" w:afterAutospacing="0" w:line="360" w:lineRule="auto"/>
              <w:ind w:left="0" w:right="0" w:firstLine="480" w:firstLineChars="2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lang w:eastAsia="zh-CN"/>
              </w:rPr>
              <w:t>式中：</w:t>
            </w:r>
            <w:r>
              <w:rPr>
                <w:rFonts w:hint="default" w:ascii="Times New Roman" w:hAnsi="Times New Roman" w:eastAsia="宋体" w:cs="Times New Roman"/>
                <w:color w:val="auto"/>
                <w:sz w:val="24"/>
                <w:highlight w:val="none"/>
                <w:shd w:val="clear" w:fill="FFFFFF"/>
                <w:lang w:eastAsia="zh-CN"/>
              </w:rPr>
              <w:t>Leq</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预测点的总声压级</w:t>
            </w:r>
            <w:r>
              <w:rPr>
                <w:rFonts w:hint="default" w:ascii="Times New Roman" w:hAnsi="Times New Roman" w:eastAsia="宋体" w:cs="Times New Roman"/>
                <w:color w:val="auto"/>
                <w:sz w:val="24"/>
                <w:highlight w:val="none"/>
                <w:lang w:eastAsia="zh-CN"/>
              </w:rPr>
              <w:t>，dB（A）；</w:t>
            </w:r>
          </w:p>
          <w:p w14:paraId="6DAE225B">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shd w:val="clear" w:fill="FFFFFF"/>
                <w:lang w:eastAsia="zh-CN"/>
              </w:rPr>
              <w:t>L</w:t>
            </w:r>
            <w:r>
              <w:rPr>
                <w:rFonts w:hint="default" w:ascii="Times New Roman" w:hAnsi="Times New Roman" w:eastAsia="宋体" w:cs="Times New Roman"/>
                <w:color w:val="auto"/>
                <w:sz w:val="24"/>
                <w:highlight w:val="none"/>
                <w:shd w:val="clear" w:fill="FFFFFF"/>
                <w:lang w:val="en-US" w:eastAsia="zh-CN"/>
              </w:rPr>
              <w:t>eqg</w:t>
            </w:r>
            <w:r>
              <w:rPr>
                <w:rFonts w:hint="default" w:ascii="Times New Roman" w:hAnsi="Times New Roman" w:eastAsia="宋体" w:cs="Times New Roman"/>
                <w:color w:val="auto"/>
                <w:sz w:val="24"/>
                <w:highlight w:val="none"/>
                <w:lang w:eastAsia="zh-CN"/>
              </w:rPr>
              <w:t>——建设项目声源在预测点的等效声级贡献值，dB（A）；</w:t>
            </w:r>
          </w:p>
          <w:p w14:paraId="10B10AA7">
            <w:pPr>
              <w:keepNext w:val="0"/>
              <w:keepLines w:val="0"/>
              <w:suppressLineNumbers w:val="0"/>
              <w:bidi w:val="0"/>
              <w:adjustRightInd/>
              <w:snapToGrid/>
              <w:spacing w:before="0" w:beforeAutospacing="0" w:after="0" w:afterAutospacing="0" w:line="360" w:lineRule="auto"/>
              <w:ind w:left="0" w:right="0" w:firstLine="1200" w:firstLineChars="500"/>
              <w:rPr>
                <w:rFonts w:hint="default" w:ascii="Times New Roman" w:hAnsi="Times New Roman" w:eastAsia="宋体" w:cs="Times New Roman"/>
                <w:color w:val="auto"/>
                <w:sz w:val="24"/>
                <w:highlight w:val="none"/>
                <w:lang w:eastAsia="zh-CN"/>
              </w:rPr>
            </w:pPr>
            <w:r>
              <w:rPr>
                <w:rFonts w:hint="default" w:ascii="Times New Roman" w:hAnsi="Times New Roman" w:eastAsia="宋体" w:cs="Times New Roman"/>
                <w:color w:val="auto"/>
                <w:sz w:val="24"/>
                <w:highlight w:val="none"/>
                <w:shd w:val="clear" w:fill="FFFFFF"/>
                <w:lang w:eastAsia="zh-CN"/>
              </w:rPr>
              <w:t>L</w:t>
            </w:r>
            <w:r>
              <w:rPr>
                <w:rFonts w:hint="default" w:ascii="Times New Roman" w:hAnsi="Times New Roman" w:eastAsia="宋体" w:cs="Times New Roman"/>
                <w:color w:val="auto"/>
                <w:sz w:val="24"/>
                <w:highlight w:val="none"/>
                <w:shd w:val="clear" w:fill="FFFFFF"/>
                <w:lang w:val="en-US" w:eastAsia="zh-CN"/>
              </w:rPr>
              <w:t>eqb</w:t>
            </w:r>
            <w:r>
              <w:rPr>
                <w:rFonts w:hint="default" w:ascii="Times New Roman" w:hAnsi="Times New Roman" w:eastAsia="宋体" w:cs="Times New Roman"/>
                <w:color w:val="auto"/>
                <w:sz w:val="24"/>
                <w:highlight w:val="none"/>
                <w:lang w:eastAsia="zh-CN"/>
              </w:rPr>
              <w:t>——预测点的背景值，dB（A）。</w:t>
            </w:r>
          </w:p>
          <w:p w14:paraId="546B06E1">
            <w:pPr>
              <w:pStyle w:val="6"/>
              <w:suppressLineNumbers w:val="0"/>
              <w:bidi w:val="0"/>
              <w:spacing w:beforeAutospacing="0" w:afterAutospacing="0"/>
              <w:ind w:right="0"/>
              <w:rPr>
                <w:rFonts w:hint="default"/>
                <w:color w:val="auto"/>
              </w:rPr>
            </w:pPr>
            <w:r>
              <w:rPr>
                <w:rFonts w:hint="default"/>
                <w:color w:val="auto"/>
              </w:rPr>
              <w:t>噪声预测及影响评价</w:t>
            </w:r>
          </w:p>
          <w:p w14:paraId="2E0A721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经计算本项目固定设备噪声对</w:t>
            </w:r>
            <w:r>
              <w:rPr>
                <w:rFonts w:hint="default" w:ascii="Times New Roman" w:hAnsi="Times New Roman" w:cs="Times New Roman"/>
                <w:color w:val="auto"/>
                <w:highlight w:val="none"/>
                <w:lang w:eastAsia="zh-CN"/>
              </w:rPr>
              <w:t>厂界</w:t>
            </w:r>
            <w:r>
              <w:rPr>
                <w:rFonts w:hint="default" w:ascii="Times New Roman" w:hAnsi="Times New Roman" w:cs="Times New Roman"/>
                <w:color w:val="auto"/>
                <w:highlight w:val="none"/>
              </w:rPr>
              <w:t>影响贡献值，详见</w:t>
            </w:r>
            <w:r>
              <w:rPr>
                <w:rFonts w:hint="default" w:ascii="Times New Roman" w:hAnsi="Times New Roman" w:cs="Times New Roman"/>
                <w:color w:val="auto"/>
                <w:highlight w:val="none"/>
                <w:lang w:val="en-US" w:eastAsia="zh-CN"/>
              </w:rPr>
              <w:t>下表。</w:t>
            </w:r>
          </w:p>
          <w:p w14:paraId="1BCE1CDD">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b/>
                <w:bCs/>
                <w:color w:val="auto"/>
                <w:spacing w:val="8"/>
                <w:szCs w:val="21"/>
                <w:lang w:bidi="ar"/>
              </w:rPr>
            </w:pPr>
            <w:r>
              <w:rPr>
                <w:rFonts w:hint="default" w:ascii="Times New Roman" w:hAnsi="Times New Roman" w:cs="Times New Roman"/>
                <w:color w:val="auto"/>
                <w:highlight w:val="none"/>
                <w:lang w:val="en-US" w:eastAsia="zh-CN"/>
              </w:rPr>
              <w:t>厂界噪声预测结果</w:t>
            </w:r>
          </w:p>
          <w:tbl>
            <w:tblPr>
              <w:tblStyle w:val="28"/>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80"/>
              <w:gridCol w:w="1911"/>
              <w:gridCol w:w="1961"/>
              <w:gridCol w:w="1657"/>
              <w:gridCol w:w="1423"/>
            </w:tblGrid>
            <w:tr w14:paraId="18E9EE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5" w:type="pct"/>
                  <w:vMerge w:val="restart"/>
                  <w:noWrap w:val="0"/>
                  <w:vAlign w:val="center"/>
                </w:tcPr>
                <w:p w14:paraId="13FF3B6F">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r>
                    <w:rPr>
                      <w:rFonts w:hint="default" w:ascii="Times New Roman"/>
                      <w:b w:val="0"/>
                      <w:bCs/>
                      <w:color w:val="auto"/>
                      <w:szCs w:val="21"/>
                    </w:rPr>
                    <w:t>编号</w:t>
                  </w:r>
                </w:p>
              </w:tc>
              <w:tc>
                <w:tcPr>
                  <w:tcW w:w="1174" w:type="pct"/>
                  <w:vMerge w:val="restart"/>
                  <w:noWrap w:val="0"/>
                  <w:vAlign w:val="center"/>
                </w:tcPr>
                <w:p w14:paraId="6780AC21">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r>
                    <w:rPr>
                      <w:rFonts w:hint="default" w:ascii="Times New Roman"/>
                      <w:b w:val="0"/>
                      <w:bCs/>
                      <w:color w:val="auto"/>
                      <w:szCs w:val="21"/>
                    </w:rPr>
                    <w:t>测点位置</w:t>
                  </w:r>
                </w:p>
              </w:tc>
              <w:tc>
                <w:tcPr>
                  <w:tcW w:w="1205" w:type="pct"/>
                  <w:vMerge w:val="restart"/>
                  <w:noWrap w:val="0"/>
                  <w:vAlign w:val="center"/>
                </w:tcPr>
                <w:p w14:paraId="36F2C4CE">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r>
                    <w:rPr>
                      <w:rFonts w:hint="default" w:ascii="Times New Roman"/>
                      <w:b w:val="0"/>
                      <w:bCs/>
                      <w:color w:val="auto"/>
                      <w:szCs w:val="21"/>
                    </w:rPr>
                    <w:t>影响贡献值</w:t>
                  </w:r>
                </w:p>
              </w:tc>
              <w:tc>
                <w:tcPr>
                  <w:tcW w:w="1018" w:type="pct"/>
                  <w:noWrap w:val="0"/>
                  <w:vAlign w:val="center"/>
                </w:tcPr>
                <w:p w14:paraId="12365509">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r>
                    <w:rPr>
                      <w:rFonts w:hint="default" w:ascii="Times New Roman"/>
                      <w:b w:val="0"/>
                      <w:bCs/>
                      <w:color w:val="auto"/>
                      <w:szCs w:val="21"/>
                    </w:rPr>
                    <w:t>标准值</w:t>
                  </w:r>
                </w:p>
              </w:tc>
              <w:tc>
                <w:tcPr>
                  <w:tcW w:w="874" w:type="pct"/>
                  <w:vMerge w:val="restart"/>
                  <w:noWrap w:val="0"/>
                  <w:vAlign w:val="center"/>
                </w:tcPr>
                <w:p w14:paraId="353769FC">
                  <w:pPr>
                    <w:pStyle w:val="53"/>
                    <w:keepNext w:val="0"/>
                    <w:keepLines w:val="0"/>
                    <w:suppressLineNumbers w:val="0"/>
                    <w:spacing w:before="0" w:beforeLines="0" w:beforeAutospacing="0" w:after="0" w:afterLines="0" w:afterAutospacing="0" w:line="340" w:lineRule="exact"/>
                    <w:ind w:left="0" w:right="0"/>
                    <w:rPr>
                      <w:rFonts w:hint="default" w:ascii="Times New Roman"/>
                      <w:b/>
                      <w:color w:val="auto"/>
                      <w:szCs w:val="21"/>
                    </w:rPr>
                  </w:pPr>
                  <w:r>
                    <w:rPr>
                      <w:rFonts w:hint="default" w:ascii="Times New Roman"/>
                      <w:b w:val="0"/>
                      <w:bCs/>
                      <w:color w:val="auto"/>
                      <w:szCs w:val="21"/>
                    </w:rPr>
                    <w:t>达标情况</w:t>
                  </w:r>
                </w:p>
              </w:tc>
            </w:tr>
            <w:tr w14:paraId="5DC2A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725" w:type="pct"/>
                  <w:vMerge w:val="continue"/>
                  <w:noWrap w:val="0"/>
                  <w:vAlign w:val="center"/>
                </w:tcPr>
                <w:p w14:paraId="0D787FE8">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p>
              </w:tc>
              <w:tc>
                <w:tcPr>
                  <w:tcW w:w="1174" w:type="pct"/>
                  <w:vMerge w:val="continue"/>
                  <w:noWrap w:val="0"/>
                  <w:vAlign w:val="center"/>
                </w:tcPr>
                <w:p w14:paraId="310766B3">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p>
              </w:tc>
              <w:tc>
                <w:tcPr>
                  <w:tcW w:w="1205" w:type="pct"/>
                  <w:vMerge w:val="continue"/>
                  <w:noWrap w:val="0"/>
                  <w:vAlign w:val="center"/>
                </w:tcPr>
                <w:p w14:paraId="74B7304E">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p>
              </w:tc>
              <w:tc>
                <w:tcPr>
                  <w:tcW w:w="1018" w:type="pct"/>
                  <w:noWrap w:val="0"/>
                  <w:vAlign w:val="center"/>
                </w:tcPr>
                <w:p w14:paraId="68702D89">
                  <w:pPr>
                    <w:pStyle w:val="53"/>
                    <w:keepNext w:val="0"/>
                    <w:keepLines w:val="0"/>
                    <w:suppressLineNumbers w:val="0"/>
                    <w:spacing w:before="0" w:beforeLines="0" w:beforeAutospacing="0" w:after="0" w:afterLines="0" w:afterAutospacing="0" w:line="340" w:lineRule="exact"/>
                    <w:ind w:left="0" w:right="0"/>
                    <w:rPr>
                      <w:rFonts w:hint="default" w:ascii="Times New Roman"/>
                      <w:b w:val="0"/>
                      <w:bCs/>
                      <w:color w:val="auto"/>
                      <w:szCs w:val="21"/>
                    </w:rPr>
                  </w:pPr>
                  <w:r>
                    <w:rPr>
                      <w:rFonts w:hint="default" w:ascii="Times New Roman"/>
                      <w:b w:val="0"/>
                      <w:bCs/>
                      <w:color w:val="auto"/>
                      <w:szCs w:val="21"/>
                    </w:rPr>
                    <w:t>昼间</w:t>
                  </w:r>
                </w:p>
              </w:tc>
              <w:tc>
                <w:tcPr>
                  <w:tcW w:w="874" w:type="pct"/>
                  <w:vMerge w:val="continue"/>
                  <w:noWrap w:val="0"/>
                  <w:vAlign w:val="center"/>
                </w:tcPr>
                <w:p w14:paraId="36CF9536">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p>
              </w:tc>
            </w:tr>
            <w:tr w14:paraId="0924A3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725" w:type="pct"/>
                  <w:noWrap w:val="0"/>
                  <w:vAlign w:val="center"/>
                </w:tcPr>
                <w:p w14:paraId="0098D678">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1</w:t>
                  </w:r>
                </w:p>
              </w:tc>
              <w:tc>
                <w:tcPr>
                  <w:tcW w:w="1174" w:type="pct"/>
                  <w:noWrap w:val="0"/>
                  <w:vAlign w:val="center"/>
                </w:tcPr>
                <w:p w14:paraId="6275F408">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东侧</w:t>
                  </w:r>
                  <w:r>
                    <w:rPr>
                      <w:rFonts w:hint="default" w:ascii="Times New Roman"/>
                      <w:color w:val="auto"/>
                      <w:szCs w:val="21"/>
                    </w:rPr>
                    <w:t>厂界</w:t>
                  </w:r>
                </w:p>
              </w:tc>
              <w:tc>
                <w:tcPr>
                  <w:tcW w:w="1205" w:type="pct"/>
                  <w:noWrap w:val="0"/>
                  <w:vAlign w:val="center"/>
                </w:tcPr>
                <w:p w14:paraId="5F0E688C">
                  <w:pPr>
                    <w:keepNext w:val="0"/>
                    <w:keepLines w:val="0"/>
                    <w:widowControl/>
                    <w:suppressLineNumbers w:val="0"/>
                    <w:adjustRightInd w:val="0"/>
                    <w:snapToGrid w:val="0"/>
                    <w:spacing w:before="0" w:beforeAutospacing="0" w:after="0" w:afterAutospacing="0" w:line="340" w:lineRule="exact"/>
                    <w:ind w:left="0" w:right="0"/>
                    <w:jc w:val="center"/>
                    <w:rPr>
                      <w:rFonts w:hint="default"/>
                      <w:bCs/>
                      <w:color w:val="auto"/>
                      <w:szCs w:val="21"/>
                    </w:rPr>
                  </w:pPr>
                  <w:r>
                    <w:rPr>
                      <w:rFonts w:hint="eastAsia"/>
                      <w:bCs/>
                      <w:color w:val="auto"/>
                      <w:szCs w:val="21"/>
                    </w:rPr>
                    <w:t>42.1</w:t>
                  </w:r>
                </w:p>
              </w:tc>
              <w:tc>
                <w:tcPr>
                  <w:tcW w:w="1018" w:type="pct"/>
                  <w:vMerge w:val="restart"/>
                  <w:noWrap w:val="0"/>
                  <w:vAlign w:val="center"/>
                </w:tcPr>
                <w:p w14:paraId="5923B071">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eastAsia" w:ascii="Times New Roman"/>
                      <w:bCs/>
                      <w:color w:val="auto"/>
                      <w:szCs w:val="21"/>
                    </w:rPr>
                    <w:t>65</w:t>
                  </w:r>
                </w:p>
              </w:tc>
              <w:tc>
                <w:tcPr>
                  <w:tcW w:w="874" w:type="pct"/>
                  <w:noWrap w:val="0"/>
                  <w:vAlign w:val="center"/>
                </w:tcPr>
                <w:p w14:paraId="3642CC43">
                  <w:pPr>
                    <w:keepNext w:val="0"/>
                    <w:keepLines w:val="0"/>
                    <w:widowControl/>
                    <w:suppressLineNumbers w:val="0"/>
                    <w:adjustRightInd w:val="0"/>
                    <w:snapToGrid w:val="0"/>
                    <w:spacing w:before="0" w:beforeAutospacing="0" w:after="0" w:afterAutospacing="0" w:line="340" w:lineRule="exact"/>
                    <w:ind w:left="0" w:right="0"/>
                    <w:jc w:val="center"/>
                    <w:rPr>
                      <w:rFonts w:hint="default"/>
                      <w:bCs/>
                      <w:color w:val="auto"/>
                      <w:szCs w:val="21"/>
                    </w:rPr>
                  </w:pPr>
                  <w:r>
                    <w:rPr>
                      <w:rFonts w:hint="default"/>
                      <w:bCs/>
                      <w:color w:val="auto"/>
                      <w:szCs w:val="21"/>
                    </w:rPr>
                    <w:t>达标</w:t>
                  </w:r>
                </w:p>
              </w:tc>
            </w:tr>
            <w:tr w14:paraId="2B977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725" w:type="pct"/>
                  <w:noWrap w:val="0"/>
                  <w:vAlign w:val="center"/>
                </w:tcPr>
                <w:p w14:paraId="25268CF9">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2</w:t>
                  </w:r>
                </w:p>
              </w:tc>
              <w:tc>
                <w:tcPr>
                  <w:tcW w:w="1174" w:type="pct"/>
                  <w:noWrap w:val="0"/>
                  <w:vAlign w:val="center"/>
                </w:tcPr>
                <w:p w14:paraId="068D03EF">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北侧</w:t>
                  </w:r>
                  <w:r>
                    <w:rPr>
                      <w:rFonts w:hint="default" w:ascii="Times New Roman"/>
                      <w:color w:val="auto"/>
                      <w:szCs w:val="21"/>
                    </w:rPr>
                    <w:t>厂界</w:t>
                  </w:r>
                </w:p>
              </w:tc>
              <w:tc>
                <w:tcPr>
                  <w:tcW w:w="1205" w:type="pct"/>
                  <w:noWrap w:val="0"/>
                  <w:vAlign w:val="center"/>
                </w:tcPr>
                <w:p w14:paraId="26B282CE">
                  <w:pPr>
                    <w:keepNext w:val="0"/>
                    <w:keepLines w:val="0"/>
                    <w:widowControl/>
                    <w:suppressLineNumbers w:val="0"/>
                    <w:adjustRightInd w:val="0"/>
                    <w:snapToGrid w:val="0"/>
                    <w:spacing w:before="0" w:beforeAutospacing="0" w:after="0" w:afterAutospacing="0" w:line="340" w:lineRule="exact"/>
                    <w:ind w:left="0" w:right="0"/>
                    <w:jc w:val="center"/>
                    <w:rPr>
                      <w:rFonts w:hint="default"/>
                      <w:bCs/>
                      <w:color w:val="auto"/>
                      <w:szCs w:val="21"/>
                    </w:rPr>
                  </w:pPr>
                  <w:r>
                    <w:rPr>
                      <w:rFonts w:hint="eastAsia"/>
                      <w:bCs/>
                      <w:color w:val="auto"/>
                      <w:szCs w:val="21"/>
                    </w:rPr>
                    <w:t>45.2</w:t>
                  </w:r>
                </w:p>
              </w:tc>
              <w:tc>
                <w:tcPr>
                  <w:tcW w:w="1018" w:type="pct"/>
                  <w:vMerge w:val="continue"/>
                  <w:noWrap w:val="0"/>
                  <w:vAlign w:val="center"/>
                </w:tcPr>
                <w:p w14:paraId="21D3F1F5">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p>
              </w:tc>
              <w:tc>
                <w:tcPr>
                  <w:tcW w:w="874" w:type="pct"/>
                  <w:noWrap w:val="0"/>
                  <w:vAlign w:val="center"/>
                </w:tcPr>
                <w:p w14:paraId="38D32D9F">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达标</w:t>
                  </w:r>
                </w:p>
              </w:tc>
            </w:tr>
            <w:tr w14:paraId="081B37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725" w:type="pct"/>
                  <w:noWrap w:val="0"/>
                  <w:vAlign w:val="center"/>
                </w:tcPr>
                <w:p w14:paraId="75A8A0CF">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3</w:t>
                  </w:r>
                </w:p>
              </w:tc>
              <w:tc>
                <w:tcPr>
                  <w:tcW w:w="1174" w:type="pct"/>
                  <w:noWrap w:val="0"/>
                  <w:vAlign w:val="center"/>
                </w:tcPr>
                <w:p w14:paraId="0DBC6CD7">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西侧厂界</w:t>
                  </w:r>
                </w:p>
              </w:tc>
              <w:tc>
                <w:tcPr>
                  <w:tcW w:w="1205" w:type="pct"/>
                  <w:noWrap w:val="0"/>
                  <w:vAlign w:val="center"/>
                </w:tcPr>
                <w:p w14:paraId="30C53EE8">
                  <w:pPr>
                    <w:keepNext w:val="0"/>
                    <w:keepLines w:val="0"/>
                    <w:widowControl/>
                    <w:suppressLineNumbers w:val="0"/>
                    <w:adjustRightInd w:val="0"/>
                    <w:snapToGrid w:val="0"/>
                    <w:spacing w:before="0" w:beforeAutospacing="0" w:after="0" w:afterAutospacing="0" w:line="340" w:lineRule="exact"/>
                    <w:ind w:left="0" w:right="0"/>
                    <w:jc w:val="center"/>
                    <w:rPr>
                      <w:rFonts w:hint="default"/>
                      <w:bCs/>
                      <w:color w:val="auto"/>
                      <w:szCs w:val="21"/>
                    </w:rPr>
                  </w:pPr>
                  <w:r>
                    <w:rPr>
                      <w:rFonts w:hint="eastAsia"/>
                      <w:bCs/>
                      <w:color w:val="auto"/>
                      <w:szCs w:val="21"/>
                    </w:rPr>
                    <w:t>40.3</w:t>
                  </w:r>
                </w:p>
              </w:tc>
              <w:tc>
                <w:tcPr>
                  <w:tcW w:w="1018" w:type="pct"/>
                  <w:vMerge w:val="continue"/>
                  <w:noWrap w:val="0"/>
                  <w:vAlign w:val="center"/>
                </w:tcPr>
                <w:p w14:paraId="1AFCD484">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p>
              </w:tc>
              <w:tc>
                <w:tcPr>
                  <w:tcW w:w="874" w:type="pct"/>
                  <w:noWrap w:val="0"/>
                  <w:vAlign w:val="center"/>
                </w:tcPr>
                <w:p w14:paraId="0A3B59B9">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达标</w:t>
                  </w:r>
                </w:p>
              </w:tc>
            </w:tr>
            <w:tr w14:paraId="581A1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3" w:hRule="exact"/>
                <w:jc w:val="center"/>
              </w:trPr>
              <w:tc>
                <w:tcPr>
                  <w:tcW w:w="725" w:type="pct"/>
                  <w:noWrap w:val="0"/>
                  <w:vAlign w:val="center"/>
                </w:tcPr>
                <w:p w14:paraId="69B507E9">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4</w:t>
                  </w:r>
                </w:p>
              </w:tc>
              <w:tc>
                <w:tcPr>
                  <w:tcW w:w="1174" w:type="pct"/>
                  <w:noWrap w:val="0"/>
                  <w:vAlign w:val="center"/>
                </w:tcPr>
                <w:p w14:paraId="3C4CBC41">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南侧</w:t>
                  </w:r>
                  <w:r>
                    <w:rPr>
                      <w:rFonts w:hint="default" w:ascii="Times New Roman"/>
                      <w:color w:val="auto"/>
                      <w:szCs w:val="21"/>
                    </w:rPr>
                    <w:t>厂界</w:t>
                  </w:r>
                </w:p>
              </w:tc>
              <w:tc>
                <w:tcPr>
                  <w:tcW w:w="1205" w:type="pct"/>
                  <w:noWrap w:val="0"/>
                  <w:vAlign w:val="center"/>
                </w:tcPr>
                <w:p w14:paraId="5AC4B5EB">
                  <w:pPr>
                    <w:keepNext w:val="0"/>
                    <w:keepLines w:val="0"/>
                    <w:widowControl/>
                    <w:suppressLineNumbers w:val="0"/>
                    <w:adjustRightInd w:val="0"/>
                    <w:snapToGrid w:val="0"/>
                    <w:spacing w:before="0" w:beforeAutospacing="0" w:after="0" w:afterAutospacing="0" w:line="340" w:lineRule="exact"/>
                    <w:ind w:left="0" w:right="0"/>
                    <w:jc w:val="center"/>
                    <w:rPr>
                      <w:rFonts w:hint="default"/>
                      <w:bCs/>
                      <w:color w:val="auto"/>
                      <w:szCs w:val="21"/>
                    </w:rPr>
                  </w:pPr>
                  <w:r>
                    <w:rPr>
                      <w:rFonts w:hint="eastAsia"/>
                      <w:bCs/>
                      <w:color w:val="auto"/>
                      <w:szCs w:val="21"/>
                    </w:rPr>
                    <w:t>42.4</w:t>
                  </w:r>
                </w:p>
              </w:tc>
              <w:tc>
                <w:tcPr>
                  <w:tcW w:w="1018" w:type="pct"/>
                  <w:vMerge w:val="continue"/>
                  <w:noWrap w:val="0"/>
                  <w:vAlign w:val="center"/>
                </w:tcPr>
                <w:p w14:paraId="64168DFE">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p>
              </w:tc>
              <w:tc>
                <w:tcPr>
                  <w:tcW w:w="874" w:type="pct"/>
                  <w:noWrap w:val="0"/>
                  <w:vAlign w:val="center"/>
                </w:tcPr>
                <w:p w14:paraId="03EE3F1A">
                  <w:pPr>
                    <w:pStyle w:val="53"/>
                    <w:keepNext w:val="0"/>
                    <w:keepLines w:val="0"/>
                    <w:suppressLineNumbers w:val="0"/>
                    <w:spacing w:before="0" w:beforeLines="0" w:beforeAutospacing="0" w:after="0" w:afterLines="0" w:afterAutospacing="0" w:line="340" w:lineRule="exact"/>
                    <w:ind w:left="0" w:right="0"/>
                    <w:rPr>
                      <w:rFonts w:hint="default" w:ascii="Times New Roman"/>
                      <w:bCs/>
                      <w:color w:val="auto"/>
                      <w:szCs w:val="21"/>
                    </w:rPr>
                  </w:pPr>
                  <w:r>
                    <w:rPr>
                      <w:rFonts w:hint="default" w:ascii="Times New Roman"/>
                      <w:bCs/>
                      <w:color w:val="auto"/>
                      <w:szCs w:val="21"/>
                    </w:rPr>
                    <w:t>达标</w:t>
                  </w:r>
                </w:p>
              </w:tc>
            </w:tr>
            <w:tr w14:paraId="3F8419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5000" w:type="pct"/>
                  <w:gridSpan w:val="5"/>
                  <w:noWrap w:val="0"/>
                  <w:vAlign w:val="center"/>
                </w:tcPr>
                <w:p w14:paraId="55607E37">
                  <w:pPr>
                    <w:pStyle w:val="53"/>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80" w:lineRule="exact"/>
                    <w:ind w:left="0" w:right="0"/>
                    <w:jc w:val="both"/>
                    <w:textAlignment w:val="auto"/>
                    <w:rPr>
                      <w:rFonts w:hint="default" w:ascii="Times New Roman" w:eastAsia="宋体"/>
                      <w:bCs/>
                      <w:color w:val="auto"/>
                      <w:szCs w:val="21"/>
                      <w:lang w:val="en-US" w:eastAsia="zh-CN"/>
                    </w:rPr>
                  </w:pPr>
                  <w:r>
                    <w:rPr>
                      <w:rFonts w:hint="eastAsia" w:ascii="Times New Roman"/>
                      <w:b/>
                      <w:bCs w:val="0"/>
                      <w:color w:val="auto"/>
                      <w:sz w:val="18"/>
                      <w:szCs w:val="18"/>
                      <w:lang w:val="en-US" w:eastAsia="zh-CN"/>
                    </w:rPr>
                    <w:t>注：厂</w:t>
                  </w:r>
                  <w:r>
                    <w:rPr>
                      <w:rFonts w:hint="eastAsia" w:ascii="Times New Roman" w:hAnsi="Times New Roman" w:eastAsia="宋体" w:cs="Times New Roman"/>
                      <w:b/>
                      <w:bCs w:val="0"/>
                      <w:color w:val="auto"/>
                      <w:sz w:val="18"/>
                      <w:szCs w:val="18"/>
                      <w:lang w:val="en-US" w:eastAsia="zh-CN"/>
                    </w:rPr>
                    <w:t>界指福清洪金机械有限</w:t>
                  </w:r>
                  <w:r>
                    <w:rPr>
                      <w:rFonts w:hint="eastAsia" w:ascii="Times New Roman" w:cs="Times New Roman"/>
                      <w:b/>
                      <w:bCs w:val="0"/>
                      <w:color w:val="auto"/>
                      <w:sz w:val="18"/>
                      <w:szCs w:val="18"/>
                      <w:lang w:val="en-US" w:eastAsia="zh-CN"/>
                    </w:rPr>
                    <w:t>公司办公科研楼</w:t>
                  </w:r>
                  <w:r>
                    <w:rPr>
                      <w:rFonts w:hint="eastAsia" w:ascii="Times New Roman" w:hAnsi="Times New Roman" w:eastAsia="宋体" w:cs="Times New Roman"/>
                      <w:b/>
                      <w:bCs w:val="0"/>
                      <w:color w:val="auto"/>
                      <w:sz w:val="18"/>
                      <w:szCs w:val="18"/>
                      <w:lang w:val="en-US" w:eastAsia="zh-CN"/>
                    </w:rPr>
                    <w:t>4层、5层边界</w:t>
                  </w:r>
                </w:p>
              </w:tc>
            </w:tr>
          </w:tbl>
          <w:p w14:paraId="677A29CB">
            <w:pPr>
              <w:pStyle w:val="36"/>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ind w:left="0" w:right="0" w:firstLine="480"/>
              <w:textAlignment w:val="auto"/>
              <w:rPr>
                <w:rFonts w:hint="default" w:ascii="Times New Roman" w:hAnsi="Times New Roman" w:cs="Times New Roman"/>
                <w:color w:val="auto"/>
                <w:highlight w:val="none"/>
              </w:rPr>
            </w:pPr>
            <w:r>
              <w:rPr>
                <w:rFonts w:hint="default" w:ascii="Times New Roman" w:hAnsi="Times New Roman" w:cs="Times New Roman"/>
                <w:color w:val="auto"/>
                <w:kern w:val="0"/>
                <w:sz w:val="24"/>
                <w:highlight w:val="none"/>
                <w:lang w:bidi="ar"/>
              </w:rPr>
              <w:t>由</w:t>
            </w:r>
            <w:r>
              <w:rPr>
                <w:rFonts w:hint="eastAsia" w:cs="Times New Roman"/>
                <w:color w:val="auto"/>
                <w:kern w:val="0"/>
                <w:sz w:val="24"/>
                <w:highlight w:val="none"/>
                <w:lang w:val="en-US" w:eastAsia="zh-CN" w:bidi="ar"/>
              </w:rPr>
              <w:t>上</w:t>
            </w:r>
            <w:r>
              <w:rPr>
                <w:rFonts w:hint="default" w:ascii="Times New Roman" w:hAnsi="Times New Roman" w:cs="Times New Roman"/>
                <w:color w:val="auto"/>
                <w:kern w:val="0"/>
                <w:sz w:val="24"/>
                <w:highlight w:val="none"/>
                <w:lang w:bidi="ar"/>
              </w:rPr>
              <w:t>表可知，项目噪声经墙体</w:t>
            </w:r>
            <w:r>
              <w:rPr>
                <w:rFonts w:hint="default" w:ascii="Times New Roman" w:hAnsi="Times New Roman" w:cs="Times New Roman"/>
                <w:color w:val="auto"/>
                <w:kern w:val="0"/>
                <w:sz w:val="24"/>
                <w:highlight w:val="none"/>
                <w:lang w:eastAsia="zh-CN" w:bidi="ar"/>
              </w:rPr>
              <w:t>、</w:t>
            </w:r>
            <w:r>
              <w:rPr>
                <w:rFonts w:hint="default" w:ascii="Times New Roman" w:hAnsi="Times New Roman" w:cs="Times New Roman"/>
                <w:color w:val="auto"/>
                <w:kern w:val="0"/>
                <w:sz w:val="24"/>
                <w:highlight w:val="none"/>
                <w:lang w:val="en-US" w:eastAsia="zh-CN" w:bidi="ar"/>
              </w:rPr>
              <w:t>隔声罩</w:t>
            </w:r>
            <w:r>
              <w:rPr>
                <w:rFonts w:hint="default" w:ascii="Times New Roman" w:hAnsi="Times New Roman" w:cs="Times New Roman"/>
                <w:color w:val="auto"/>
                <w:kern w:val="0"/>
                <w:sz w:val="24"/>
                <w:highlight w:val="none"/>
                <w:lang w:bidi="ar"/>
              </w:rPr>
              <w:t>隔声和空间距离的自然衰减后</w:t>
            </w:r>
            <w:r>
              <w:rPr>
                <w:rFonts w:hint="default" w:ascii="Times New Roman" w:hAnsi="Times New Roman" w:cs="Times New Roman"/>
                <w:color w:val="auto"/>
                <w:kern w:val="0"/>
                <w:sz w:val="24"/>
                <w:highlight w:val="none"/>
                <w:lang w:val="en-US" w:eastAsia="zh-CN" w:bidi="ar"/>
              </w:rPr>
              <w:t>厂界四周噪声</w:t>
            </w:r>
            <w:r>
              <w:rPr>
                <w:rFonts w:hint="default" w:ascii="Times New Roman" w:hAnsi="Times New Roman" w:cs="Times New Roman"/>
                <w:color w:val="auto"/>
                <w:kern w:val="0"/>
                <w:sz w:val="24"/>
                <w:highlight w:val="none"/>
                <w:lang w:bidi="ar"/>
              </w:rPr>
              <w:t>贡献值</w:t>
            </w:r>
            <w:r>
              <w:rPr>
                <w:rFonts w:hint="default" w:ascii="Times New Roman" w:hAnsi="Times New Roman" w:cs="Times New Roman"/>
                <w:color w:val="auto"/>
                <w:kern w:val="0"/>
                <w:sz w:val="24"/>
                <w:highlight w:val="none"/>
                <w:lang w:val="en-US" w:eastAsia="zh-CN" w:bidi="ar"/>
              </w:rPr>
              <w:t>可满足</w:t>
            </w:r>
            <w:r>
              <w:rPr>
                <w:rFonts w:hint="default" w:ascii="Times New Roman" w:hAnsi="Times New Roman" w:cs="Times New Roman"/>
                <w:color w:val="auto"/>
                <w:kern w:val="0"/>
                <w:sz w:val="24"/>
                <w:highlight w:val="none"/>
                <w:lang w:bidi="ar"/>
              </w:rPr>
              <w:t>《工业企业厂界环境噪声排放标准》</w:t>
            </w:r>
            <w:r>
              <w:rPr>
                <w:rFonts w:hint="default" w:ascii="Times New Roman" w:hAnsi="Times New Roman" w:cs="Times New Roman"/>
                <w:color w:val="auto"/>
                <w:kern w:val="0"/>
                <w:sz w:val="24"/>
                <w:highlight w:val="none"/>
                <w:lang w:val="en-US" w:eastAsia="zh-CN" w:bidi="ar"/>
              </w:rPr>
              <w:t>3</w:t>
            </w:r>
            <w:r>
              <w:rPr>
                <w:rFonts w:hint="default" w:ascii="Times New Roman" w:hAnsi="Times New Roman" w:cs="Times New Roman"/>
                <w:color w:val="auto"/>
                <w:kern w:val="0"/>
                <w:sz w:val="24"/>
                <w:highlight w:val="none"/>
                <w:lang w:bidi="ar"/>
              </w:rPr>
              <w:t>类标准</w:t>
            </w:r>
            <w:r>
              <w:rPr>
                <w:rFonts w:hint="default" w:ascii="Times New Roman" w:hAnsi="Times New Roman" w:cs="Times New Roman"/>
                <w:color w:val="auto"/>
                <w:kern w:val="0"/>
                <w:sz w:val="24"/>
                <w:highlight w:val="none"/>
                <w:lang w:val="en-US" w:eastAsia="zh-CN" w:bidi="ar"/>
              </w:rPr>
              <w:t>限值</w:t>
            </w:r>
            <w:r>
              <w:rPr>
                <w:rFonts w:hint="default" w:ascii="Times New Roman" w:hAnsi="Times New Roman" w:cs="Times New Roman"/>
                <w:color w:val="auto"/>
                <w:kern w:val="0"/>
                <w:sz w:val="24"/>
                <w:highlight w:val="none"/>
                <w:lang w:bidi="ar"/>
              </w:rPr>
              <w:t>（昼间65dB(A)）</w:t>
            </w:r>
            <w:r>
              <w:rPr>
                <w:rFonts w:hint="default" w:ascii="Times New Roman" w:hAnsi="Times New Roman" w:cs="Times New Roman"/>
                <w:color w:val="auto"/>
                <w:kern w:val="0"/>
                <w:sz w:val="24"/>
                <w:highlight w:val="none"/>
                <w:lang w:eastAsia="zh-CN" w:bidi="ar"/>
              </w:rPr>
              <w:t>。</w:t>
            </w:r>
            <w:r>
              <w:rPr>
                <w:rFonts w:hint="eastAsia" w:cs="Times New Roman"/>
                <w:color w:val="auto"/>
                <w:highlight w:val="none"/>
                <w:lang w:val="en-US" w:eastAsia="zh-CN"/>
              </w:rPr>
              <w:t>项目周边均为工业厂房、道路和河流水体，50m范围内无声环境敏感目标，项目产生的噪声对周边声环境质量影响较小</w:t>
            </w:r>
            <w:r>
              <w:rPr>
                <w:rFonts w:hint="default" w:ascii="Times New Roman" w:hAnsi="Times New Roman" w:cs="Times New Roman"/>
                <w:color w:val="auto"/>
                <w:highlight w:val="none"/>
              </w:rPr>
              <w:t>。</w:t>
            </w:r>
          </w:p>
          <w:p w14:paraId="544B519B">
            <w:pPr>
              <w:pStyle w:val="6"/>
              <w:suppressLineNumbers w:val="0"/>
              <w:bidi w:val="0"/>
              <w:spacing w:beforeAutospacing="0" w:afterAutospacing="0"/>
              <w:ind w:right="0"/>
              <w:rPr>
                <w:rFonts w:hint="default"/>
                <w:color w:val="auto"/>
              </w:rPr>
            </w:pPr>
            <w:r>
              <w:rPr>
                <w:rFonts w:hint="default"/>
                <w:color w:val="auto"/>
                <w:lang w:val="en-US" w:eastAsia="zh-CN"/>
              </w:rPr>
              <w:t>噪声防治措施</w:t>
            </w:r>
          </w:p>
          <w:p w14:paraId="225BD89D">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为减轻设备运行产生的噪声对周围环境的影响，建设</w:t>
            </w:r>
            <w:r>
              <w:rPr>
                <w:rFonts w:hint="default" w:ascii="Times New Roman" w:hAnsi="Times New Roman" w:cs="Times New Roman"/>
                <w:color w:val="auto"/>
                <w:highlight w:val="none"/>
                <w:lang w:val="en-US" w:eastAsia="zh-CN"/>
              </w:rPr>
              <w:t>单位</w:t>
            </w:r>
            <w:r>
              <w:rPr>
                <w:rFonts w:hint="default" w:ascii="Times New Roman" w:hAnsi="Times New Roman" w:cs="Times New Roman"/>
                <w:color w:val="auto"/>
                <w:highlight w:val="none"/>
              </w:rPr>
              <w:t>拟采取如下降噪措施：</w:t>
            </w:r>
          </w:p>
          <w:p w14:paraId="2B1C0826">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（1）</w:t>
            </w:r>
            <w:r>
              <w:rPr>
                <w:rFonts w:hint="default" w:ascii="Times New Roman" w:hAnsi="Times New Roman" w:cs="Times New Roman"/>
                <w:color w:val="auto"/>
                <w:highlight w:val="none"/>
                <w:lang w:val="en-US" w:eastAsia="zh-CN"/>
              </w:rPr>
              <w:t>按照《工业企业噪声控制设计规范》对</w:t>
            </w:r>
            <w:r>
              <w:rPr>
                <w:rFonts w:hint="eastAsia" w:cs="Times New Roman"/>
                <w:color w:val="auto"/>
                <w:highlight w:val="none"/>
                <w:lang w:val="en-US" w:eastAsia="zh-CN"/>
              </w:rPr>
              <w:t>室</w:t>
            </w:r>
            <w:r>
              <w:rPr>
                <w:rFonts w:hint="default" w:ascii="Times New Roman" w:hAnsi="Times New Roman" w:cs="Times New Roman"/>
                <w:color w:val="auto"/>
                <w:highlight w:val="none"/>
                <w:lang w:val="en-US" w:eastAsia="zh-CN"/>
              </w:rPr>
              <w:t>内主要噪声源合理布局。</w:t>
            </w:r>
          </w:p>
          <w:p w14:paraId="56B7343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项目选用噪声值相对较低设备，在设备安装时增设降噪</w:t>
            </w:r>
            <w:r>
              <w:rPr>
                <w:rFonts w:hint="default" w:ascii="Times New Roman" w:hAnsi="Times New Roman" w:cs="Times New Roman"/>
                <w:color w:val="auto"/>
                <w:highlight w:val="none"/>
                <w:shd w:val="clear" w:fill="FFFFFF"/>
              </w:rPr>
              <w:t>减震</w:t>
            </w:r>
            <w:r>
              <w:rPr>
                <w:rFonts w:hint="default" w:ascii="Times New Roman" w:hAnsi="Times New Roman" w:cs="Times New Roman"/>
                <w:color w:val="auto"/>
                <w:highlight w:val="none"/>
              </w:rPr>
              <w:t>设施，从源头上降低噪声源强。</w:t>
            </w:r>
          </w:p>
          <w:p w14:paraId="571840B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3</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主要噪声设备均安置在实验室内，并配套隔声降噪、减振措施；利用墙体对噪声进行阻隔，墙体设计隔声能力均不低于15dB(A)；同时加强生产管理，生产过程应关闭门窗。</w:t>
            </w:r>
          </w:p>
          <w:p w14:paraId="7A4B2431">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w:t>
            </w:r>
            <w:r>
              <w:rPr>
                <w:rFonts w:hint="default" w:ascii="Times New Roman" w:hAnsi="Times New Roman" w:cs="Times New Roman"/>
                <w:color w:val="auto"/>
                <w:highlight w:val="none"/>
                <w:lang w:val="en-US" w:eastAsia="zh-CN"/>
              </w:rPr>
              <w:t>4</w:t>
            </w:r>
            <w:r>
              <w:rPr>
                <w:rFonts w:hint="default" w:ascii="Times New Roman" w:hAnsi="Times New Roman" w:cs="Times New Roman"/>
                <w:color w:val="auto"/>
                <w:highlight w:val="none"/>
              </w:rPr>
              <w:t>）建立设备定期维护、保养的管理制度，以防止设备故障形成的非正常生产噪声，同时确保环保措施发挥最有效的功能</w:t>
            </w:r>
            <w:r>
              <w:rPr>
                <w:rFonts w:hint="default" w:ascii="Times New Roman" w:hAnsi="Times New Roman" w:cs="Times New Roman"/>
                <w:color w:val="auto"/>
                <w:highlight w:val="none"/>
                <w:lang w:val="en-US" w:eastAsia="zh-CN"/>
              </w:rPr>
              <w:t>。</w:t>
            </w:r>
          </w:p>
          <w:p w14:paraId="7E701DC3">
            <w:pPr>
              <w:pStyle w:val="6"/>
              <w:suppressLineNumbers w:val="0"/>
              <w:bidi w:val="0"/>
              <w:spacing w:beforeAutospacing="0" w:afterAutospacing="0"/>
              <w:ind w:right="0"/>
              <w:rPr>
                <w:rFonts w:hint="default"/>
                <w:color w:val="auto"/>
              </w:rPr>
            </w:pPr>
            <w:r>
              <w:rPr>
                <w:rFonts w:hint="default"/>
                <w:color w:val="auto"/>
              </w:rPr>
              <w:t>噪声环境监测计划</w:t>
            </w:r>
          </w:p>
          <w:p w14:paraId="0894CD63">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highlight w:val="none"/>
                <w:lang w:bidi="ar"/>
              </w:rPr>
            </w:pPr>
            <w:r>
              <w:rPr>
                <w:rFonts w:hint="default" w:ascii="Times New Roman" w:hAnsi="Times New Roman" w:cs="Times New Roman"/>
                <w:color w:val="auto"/>
                <w:sz w:val="24"/>
                <w:highlight w:val="none"/>
                <w:lang w:bidi="ar"/>
              </w:rPr>
              <w:t>项目噪声监测计划详见下表。</w:t>
            </w:r>
          </w:p>
          <w:p w14:paraId="0DEAAA78">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噪声监测计划</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00"/>
              <w:gridCol w:w="1361"/>
              <w:gridCol w:w="3740"/>
              <w:gridCol w:w="1834"/>
            </w:tblGrid>
            <w:tr w14:paraId="2569D9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1200" w:type="dxa"/>
                  <w:vAlign w:val="center"/>
                </w:tcPr>
                <w:p w14:paraId="21DF3BAD">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监测点位</w:t>
                  </w:r>
                </w:p>
              </w:tc>
              <w:tc>
                <w:tcPr>
                  <w:tcW w:w="1361" w:type="dxa"/>
                  <w:vAlign w:val="center"/>
                </w:tcPr>
                <w:p w14:paraId="2334F543">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监测项目</w:t>
                  </w:r>
                </w:p>
              </w:tc>
              <w:tc>
                <w:tcPr>
                  <w:tcW w:w="3740" w:type="dxa"/>
                  <w:vAlign w:val="center"/>
                </w:tcPr>
                <w:p w14:paraId="103A02CE">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执行标准</w:t>
                  </w:r>
                </w:p>
              </w:tc>
              <w:tc>
                <w:tcPr>
                  <w:tcW w:w="1834" w:type="dxa"/>
                  <w:vAlign w:val="center"/>
                </w:tcPr>
                <w:p w14:paraId="4E41A95B">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监测频率</w:t>
                  </w:r>
                </w:p>
              </w:tc>
            </w:tr>
            <w:tr w14:paraId="3C18E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200" w:type="dxa"/>
                  <w:vAlign w:val="center"/>
                </w:tcPr>
                <w:p w14:paraId="7780785C">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厂界</w:t>
                  </w:r>
                </w:p>
              </w:tc>
              <w:tc>
                <w:tcPr>
                  <w:tcW w:w="1361" w:type="dxa"/>
                  <w:vAlign w:val="center"/>
                </w:tcPr>
                <w:p w14:paraId="62AE29A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shd w:val="clear" w:fill="FFFFFF"/>
                    </w:rPr>
                    <w:t>Leq</w:t>
                  </w:r>
                  <w:r>
                    <w:rPr>
                      <w:rFonts w:hint="default" w:ascii="Times New Roman" w:hAnsi="Times New Roman" w:cs="Times New Roman"/>
                      <w:color w:val="auto"/>
                      <w:szCs w:val="20"/>
                      <w:highlight w:val="none"/>
                    </w:rPr>
                    <w:t>(A)</w:t>
                  </w:r>
                </w:p>
              </w:tc>
              <w:tc>
                <w:tcPr>
                  <w:tcW w:w="3740" w:type="dxa"/>
                  <w:vAlign w:val="center"/>
                </w:tcPr>
                <w:p w14:paraId="4FF2F4FE">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《工业企业厂界环境噪声排放标准》</w:t>
                  </w:r>
                </w:p>
                <w:p w14:paraId="061BBA5C">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shd w:val="clear" w:fill="FFFFFF"/>
                    </w:rPr>
                    <w:t>(</w:t>
                  </w:r>
                  <w:r>
                    <w:rPr>
                      <w:rFonts w:hint="default" w:ascii="Times New Roman" w:hAnsi="Times New Roman" w:cs="Times New Roman"/>
                      <w:color w:val="auto"/>
                      <w:szCs w:val="20"/>
                      <w:highlight w:val="none"/>
                    </w:rPr>
                    <w:t>GB12348-2008</w:t>
                  </w:r>
                  <w:r>
                    <w:rPr>
                      <w:rFonts w:hint="eastAsia" w:cs="Times New Roman"/>
                      <w:color w:val="auto"/>
                      <w:szCs w:val="20"/>
                      <w:highlight w:val="none"/>
                      <w:lang w:eastAsia="zh-CN"/>
                    </w:rPr>
                    <w:t>）</w:t>
                  </w:r>
                  <w:r>
                    <w:rPr>
                      <w:rFonts w:hint="default" w:ascii="Times New Roman" w:hAnsi="Times New Roman" w:cs="Times New Roman"/>
                      <w:color w:val="auto"/>
                      <w:szCs w:val="20"/>
                      <w:highlight w:val="none"/>
                    </w:rPr>
                    <w:t>的3类标准</w:t>
                  </w:r>
                </w:p>
              </w:tc>
              <w:tc>
                <w:tcPr>
                  <w:tcW w:w="1834" w:type="dxa"/>
                  <w:vAlign w:val="center"/>
                </w:tcPr>
                <w:p w14:paraId="59BEC7DA">
                  <w:pPr>
                    <w:pStyle w:val="37"/>
                    <w:keepNext w:val="0"/>
                    <w:keepLines w:val="0"/>
                    <w:widowControl/>
                    <w:suppressLineNumbers w:val="0"/>
                    <w:tabs>
                      <w:tab w:val="left" w:pos="0"/>
                    </w:tabs>
                    <w:spacing w:before="0" w:beforeAutospacing="0" w:after="0" w:afterAutospacing="0"/>
                    <w:ind w:right="0"/>
                    <w:rPr>
                      <w:rFonts w:hint="default" w:ascii="Times New Roman" w:hAnsi="Times New Roman" w:cs="Times New Roman"/>
                      <w:color w:val="auto"/>
                      <w:szCs w:val="20"/>
                      <w:highlight w:val="none"/>
                    </w:rPr>
                  </w:pPr>
                  <w:r>
                    <w:rPr>
                      <w:rFonts w:hint="default" w:ascii="Times New Roman" w:hAnsi="Times New Roman" w:cs="Times New Roman"/>
                      <w:color w:val="auto"/>
                      <w:szCs w:val="20"/>
                      <w:highlight w:val="none"/>
                    </w:rPr>
                    <w:t>1次/季</w:t>
                  </w:r>
                </w:p>
              </w:tc>
            </w:tr>
          </w:tbl>
          <w:p w14:paraId="46BA16E2">
            <w:pPr>
              <w:pStyle w:val="5"/>
              <w:suppressLineNumbers w:val="0"/>
              <w:bidi w:val="0"/>
              <w:spacing w:beforeAutospacing="0" w:afterAutospacing="0"/>
              <w:ind w:right="0"/>
              <w:rPr>
                <w:rFonts w:hint="default"/>
                <w:color w:val="auto"/>
              </w:rPr>
            </w:pPr>
            <w:bookmarkStart w:id="101" w:name="_Toc10806"/>
            <w:r>
              <w:rPr>
                <w:rFonts w:hint="eastAsia"/>
                <w:color w:val="auto"/>
                <w:lang w:val="en-US" w:eastAsia="zh-CN"/>
              </w:rPr>
              <w:t>运营期</w:t>
            </w:r>
            <w:r>
              <w:rPr>
                <w:rFonts w:hint="default"/>
                <w:color w:val="auto"/>
              </w:rPr>
              <w:t>固体废物</w:t>
            </w:r>
            <w:r>
              <w:rPr>
                <w:rFonts w:hint="eastAsia"/>
                <w:color w:val="auto"/>
                <w:lang w:val="en-US" w:eastAsia="zh-CN"/>
              </w:rPr>
              <w:t>污染防治</w:t>
            </w:r>
            <w:bookmarkEnd w:id="101"/>
          </w:p>
          <w:p w14:paraId="300762C1">
            <w:pPr>
              <w:pStyle w:val="6"/>
              <w:suppressLineNumbers w:val="0"/>
              <w:bidi w:val="0"/>
              <w:spacing w:beforeAutospacing="0" w:afterAutospacing="0"/>
              <w:ind w:right="0"/>
              <w:rPr>
                <w:rFonts w:hint="default"/>
                <w:color w:val="auto"/>
              </w:rPr>
            </w:pPr>
            <w:r>
              <w:rPr>
                <w:rFonts w:hint="eastAsia"/>
                <w:color w:val="auto"/>
                <w:lang w:eastAsia="zh-CN"/>
              </w:rPr>
              <w:t>固体废物</w:t>
            </w:r>
            <w:r>
              <w:rPr>
                <w:rFonts w:hint="default"/>
                <w:color w:val="auto"/>
              </w:rPr>
              <w:t>污染源分析</w:t>
            </w:r>
          </w:p>
          <w:p w14:paraId="6719507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bookmarkStart w:id="102" w:name="OLE_LINK21"/>
            <w:bookmarkStart w:id="103" w:name="OLE_LINK22"/>
            <w:r>
              <w:rPr>
                <w:rFonts w:hint="default" w:ascii="Times New Roman" w:hAnsi="Times New Roman" w:cs="Times New Roman"/>
                <w:color w:val="auto"/>
                <w:sz w:val="24"/>
                <w:szCs w:val="24"/>
                <w:u w:val="none"/>
                <w:lang w:val="en-US" w:eastAsia="zh-CN" w:bidi="ar"/>
              </w:rPr>
              <w:t>本项目营运过程中产生的固体废物包括危险废物、一般工业固体废物以及生活垃圾。</w:t>
            </w:r>
          </w:p>
          <w:p w14:paraId="46D32289">
            <w:pPr>
              <w:pStyle w:val="36"/>
              <w:keepNext w:val="0"/>
              <w:keepLines w:val="0"/>
              <w:suppressLineNumbers w:val="0"/>
              <w:spacing w:before="0" w:beforeAutospacing="0" w:after="0" w:afterAutospacing="0"/>
              <w:ind w:left="0" w:right="0" w:firstLine="480"/>
              <w:rPr>
                <w:rFonts w:hint="eastAsia" w:cs="Times New Roman"/>
                <w:b/>
                <w:bCs/>
                <w:color w:val="auto"/>
                <w:highlight w:val="none"/>
                <w:lang w:val="en-US" w:eastAsia="zh-CN"/>
              </w:rPr>
            </w:pPr>
            <w:r>
              <w:rPr>
                <w:rFonts w:hint="eastAsia" w:cs="Times New Roman"/>
                <w:b/>
                <w:bCs/>
                <w:color w:val="auto"/>
                <w:highlight w:val="none"/>
                <w:lang w:val="en-US" w:eastAsia="zh-CN"/>
              </w:rPr>
              <w:t>（1）一般工业固体废物</w:t>
            </w:r>
          </w:p>
          <w:p w14:paraId="6BB8787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eastAsia" w:cs="Times New Roman"/>
                <w:color w:val="auto"/>
                <w:highlight w:val="none"/>
                <w:lang w:val="en-US" w:eastAsia="zh-CN"/>
              </w:rPr>
              <w:t>①</w:t>
            </w:r>
            <w:r>
              <w:rPr>
                <w:rFonts w:hint="eastAsia"/>
                <w:color w:val="auto"/>
                <w:lang w:val="en-US" w:eastAsia="zh-CN"/>
              </w:rPr>
              <w:t>S2</w:t>
            </w:r>
            <w:r>
              <w:rPr>
                <w:rFonts w:hint="default" w:ascii="Times New Roman" w:hAnsi="Times New Roman" w:cs="Times New Roman"/>
                <w:color w:val="auto"/>
                <w:lang w:val="en-US" w:eastAsia="zh-CN"/>
              </w:rPr>
              <w:t>水样</w:t>
            </w:r>
            <w:r>
              <w:rPr>
                <w:rFonts w:hint="default"/>
                <w:color w:val="auto"/>
                <w:lang w:val="en-US" w:eastAsia="zh-CN"/>
              </w:rPr>
              <w:t>包装</w:t>
            </w:r>
            <w:r>
              <w:rPr>
                <w:rFonts w:hint="eastAsia"/>
                <w:color w:val="auto"/>
                <w:lang w:val="en-US" w:eastAsia="zh-CN"/>
              </w:rPr>
              <w:t>物</w:t>
            </w:r>
          </w:p>
          <w:p w14:paraId="2746E53F">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highlight w:val="none"/>
                <w:lang w:val="en-US" w:eastAsia="zh-CN"/>
              </w:rPr>
            </w:pPr>
            <w:r>
              <w:rPr>
                <w:rFonts w:hint="eastAsia"/>
                <w:color w:val="auto"/>
                <w:lang w:val="en-US" w:eastAsia="zh-CN"/>
              </w:rPr>
              <w:t>水样</w:t>
            </w:r>
            <w:r>
              <w:rPr>
                <w:rFonts w:hint="eastAsia"/>
                <w:color w:val="auto"/>
              </w:rPr>
              <w:t>送样产生一定的废包装品，如包装废物、废塑料袋、废纸箱等，应分类收集，分类处理，该部分废物产生量约</w:t>
            </w:r>
            <w:r>
              <w:rPr>
                <w:rFonts w:hint="eastAsia"/>
                <w:color w:val="auto"/>
                <w:lang w:val="en-US" w:eastAsia="zh-CN"/>
              </w:rPr>
              <w:t>0.2</w:t>
            </w:r>
            <w:r>
              <w:rPr>
                <w:rFonts w:hint="eastAsia"/>
                <w:color w:val="auto"/>
              </w:rPr>
              <w:t>t/a。该部分收集后，</w:t>
            </w:r>
            <w:r>
              <w:rPr>
                <w:rFonts w:hint="eastAsia"/>
                <w:color w:val="auto"/>
                <w:lang w:val="en-US" w:eastAsia="zh-CN"/>
              </w:rPr>
              <w:t>可</w:t>
            </w:r>
            <w:r>
              <w:rPr>
                <w:rFonts w:hint="eastAsia"/>
                <w:color w:val="auto"/>
              </w:rPr>
              <w:t>外售综合利用。</w:t>
            </w:r>
          </w:p>
          <w:p w14:paraId="684C90E2">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②S3废树脂、S4废过滤材料</w:t>
            </w:r>
          </w:p>
          <w:p w14:paraId="44E81966">
            <w:pPr>
              <w:pStyle w:val="36"/>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根据超纯水机厂家说明，超纯水机每次产生超纯水</w:t>
            </w:r>
            <w:r>
              <w:rPr>
                <w:rFonts w:hint="default" w:ascii="Times New Roman" w:hAnsi="Times New Roman" w:eastAsia="宋体" w:cs="Times New Roman"/>
                <w:color w:val="auto"/>
                <w:kern w:val="2"/>
                <w:sz w:val="24"/>
                <w:szCs w:val="20"/>
                <w:highlight w:val="none"/>
                <w:lang w:val="en-US" w:eastAsia="zh-CN" w:bidi="ar-SA"/>
              </w:rPr>
              <w:t>1</w:t>
            </w:r>
            <w:r>
              <w:rPr>
                <w:rFonts w:hint="eastAsia" w:cs="Times New Roman"/>
                <w:color w:val="auto"/>
                <w:kern w:val="2"/>
                <w:sz w:val="24"/>
                <w:szCs w:val="20"/>
                <w:highlight w:val="none"/>
                <w:lang w:val="en-US" w:eastAsia="zh-CN" w:bidi="ar-SA"/>
              </w:rPr>
              <w:t>～</w:t>
            </w:r>
            <w:r>
              <w:rPr>
                <w:rFonts w:hint="default" w:ascii="Times New Roman" w:hAnsi="Times New Roman" w:eastAsia="宋体" w:cs="Times New Roman"/>
                <w:color w:val="auto"/>
                <w:kern w:val="2"/>
                <w:sz w:val="24"/>
                <w:szCs w:val="20"/>
                <w:highlight w:val="none"/>
                <w:lang w:val="en-US" w:eastAsia="zh-CN" w:bidi="ar-SA"/>
              </w:rPr>
              <w:t>2t</w:t>
            </w:r>
            <w:r>
              <w:rPr>
                <w:rFonts w:hint="eastAsia" w:ascii="Times New Roman" w:hAnsi="Times New Roman" w:eastAsia="宋体" w:cs="Times New Roman"/>
                <w:color w:val="auto"/>
                <w:kern w:val="2"/>
                <w:sz w:val="24"/>
                <w:szCs w:val="20"/>
                <w:highlight w:val="none"/>
                <w:lang w:val="en-US" w:eastAsia="zh-CN" w:bidi="ar-SA"/>
              </w:rPr>
              <w:t>（按</w:t>
            </w:r>
            <w:r>
              <w:rPr>
                <w:rFonts w:hint="default" w:ascii="Times New Roman" w:hAnsi="Times New Roman" w:eastAsia="宋体" w:cs="Times New Roman"/>
                <w:color w:val="auto"/>
                <w:kern w:val="2"/>
                <w:sz w:val="24"/>
                <w:szCs w:val="20"/>
                <w:highlight w:val="none"/>
                <w:lang w:val="en-US" w:eastAsia="zh-CN" w:bidi="ar-SA"/>
              </w:rPr>
              <w:t>1.5t</w:t>
            </w:r>
            <w:r>
              <w:rPr>
                <w:rFonts w:hint="eastAsia" w:ascii="Times New Roman" w:hAnsi="Times New Roman" w:eastAsia="宋体" w:cs="Times New Roman"/>
                <w:color w:val="auto"/>
                <w:kern w:val="2"/>
                <w:sz w:val="24"/>
                <w:szCs w:val="20"/>
                <w:highlight w:val="none"/>
                <w:lang w:val="en-US" w:eastAsia="zh-CN" w:bidi="ar-SA"/>
              </w:rPr>
              <w:t>计），需要更换离子交换树脂和末端过滤材料，其重量约为</w:t>
            </w:r>
            <w:r>
              <w:rPr>
                <w:rFonts w:hint="default" w:ascii="Times New Roman" w:hAnsi="Times New Roman" w:eastAsia="宋体" w:cs="Times New Roman"/>
                <w:color w:val="auto"/>
                <w:kern w:val="2"/>
                <w:sz w:val="24"/>
                <w:szCs w:val="20"/>
                <w:highlight w:val="none"/>
                <w:lang w:val="en-US" w:eastAsia="zh-CN" w:bidi="ar-SA"/>
              </w:rPr>
              <w:t>5kg</w:t>
            </w:r>
            <w:r>
              <w:rPr>
                <w:rFonts w:hint="eastAsia" w:ascii="Times New Roman" w:hAnsi="Times New Roman" w:eastAsia="宋体" w:cs="Times New Roman"/>
                <w:color w:val="auto"/>
                <w:kern w:val="2"/>
                <w:sz w:val="24"/>
                <w:szCs w:val="20"/>
                <w:highlight w:val="none"/>
                <w:lang w:val="en-US" w:eastAsia="zh-CN" w:bidi="ar-SA"/>
              </w:rPr>
              <w:t>。每年制备超纯水水量约</w:t>
            </w:r>
            <w:r>
              <w:rPr>
                <w:rFonts w:hint="eastAsia" w:cs="Times New Roman"/>
                <w:color w:val="auto"/>
                <w:kern w:val="2"/>
                <w:sz w:val="24"/>
                <w:szCs w:val="20"/>
                <w:highlight w:val="none"/>
                <w:lang w:val="en-US" w:eastAsia="zh-CN" w:bidi="ar-SA"/>
              </w:rPr>
              <w:t>10</w:t>
            </w:r>
            <w:r>
              <w:rPr>
                <w:rFonts w:hint="default" w:ascii="Times New Roman" w:hAnsi="Times New Roman" w:eastAsia="宋体" w:cs="Times New Roman"/>
                <w:color w:val="auto"/>
                <w:kern w:val="2"/>
                <w:sz w:val="24"/>
                <w:szCs w:val="20"/>
                <w:highlight w:val="none"/>
                <w:lang w:val="en-US" w:eastAsia="zh-CN" w:bidi="ar-SA"/>
              </w:rPr>
              <w:t>t/a</w:t>
            </w:r>
            <w:r>
              <w:rPr>
                <w:rFonts w:hint="eastAsia" w:ascii="Times New Roman" w:hAnsi="Times New Roman" w:eastAsia="宋体" w:cs="Times New Roman"/>
                <w:color w:val="auto"/>
                <w:kern w:val="2"/>
                <w:sz w:val="24"/>
                <w:szCs w:val="20"/>
                <w:highlight w:val="none"/>
                <w:lang w:val="en-US" w:eastAsia="zh-CN" w:bidi="ar-SA"/>
              </w:rPr>
              <w:t>，则平均每年更换次数约7次，废离子交换树脂产生量约</w:t>
            </w:r>
            <w:r>
              <w:rPr>
                <w:rFonts w:hint="default" w:ascii="Times New Roman" w:hAnsi="Times New Roman" w:eastAsia="宋体" w:cs="Times New Roman"/>
                <w:color w:val="auto"/>
                <w:kern w:val="2"/>
                <w:sz w:val="24"/>
                <w:szCs w:val="20"/>
                <w:highlight w:val="none"/>
                <w:lang w:val="en-US" w:eastAsia="zh-CN" w:bidi="ar-SA"/>
              </w:rPr>
              <w:t>0.0</w:t>
            </w:r>
            <w:r>
              <w:rPr>
                <w:rFonts w:hint="eastAsia" w:cs="Times New Roman"/>
                <w:color w:val="auto"/>
                <w:kern w:val="2"/>
                <w:sz w:val="24"/>
                <w:szCs w:val="20"/>
                <w:highlight w:val="none"/>
                <w:lang w:val="en-US" w:eastAsia="zh-CN" w:bidi="ar-SA"/>
              </w:rPr>
              <w:t>35</w:t>
            </w:r>
            <w:r>
              <w:rPr>
                <w:rFonts w:hint="default" w:ascii="Times New Roman" w:hAnsi="Times New Roman" w:eastAsia="宋体" w:cs="Times New Roman"/>
                <w:color w:val="auto"/>
                <w:kern w:val="2"/>
                <w:sz w:val="24"/>
                <w:szCs w:val="20"/>
                <w:highlight w:val="none"/>
                <w:lang w:val="en-US" w:eastAsia="zh-CN" w:bidi="ar-SA"/>
              </w:rPr>
              <w:t>t/a</w:t>
            </w:r>
            <w:r>
              <w:rPr>
                <w:rFonts w:hint="eastAsia" w:ascii="Times New Roman" w:hAnsi="Times New Roman" w:eastAsia="宋体" w:cs="Times New Roman"/>
                <w:color w:val="auto"/>
                <w:kern w:val="2"/>
                <w:sz w:val="24"/>
                <w:szCs w:val="20"/>
                <w:highlight w:val="none"/>
                <w:lang w:val="en-US" w:eastAsia="zh-CN" w:bidi="ar-SA"/>
              </w:rPr>
              <w:t>，由原厂家回收替换。</w:t>
            </w:r>
          </w:p>
          <w:p w14:paraId="405D4F15">
            <w:pPr>
              <w:pStyle w:val="36"/>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kern w:val="2"/>
                <w:sz w:val="24"/>
                <w:szCs w:val="20"/>
                <w:highlight w:val="none"/>
                <w:lang w:val="en-US" w:eastAsia="zh-CN" w:bidi="ar-SA"/>
              </w:rPr>
            </w:pPr>
            <w:r>
              <w:rPr>
                <w:rFonts w:hint="eastAsia" w:cs="宋体"/>
                <w:color w:val="auto"/>
                <w:lang w:val="en-US" w:eastAsia="zh-CN"/>
              </w:rPr>
              <w:t>③</w:t>
            </w:r>
            <w:r>
              <w:rPr>
                <w:rFonts w:hint="eastAsia" w:ascii="Times New Roman" w:hAnsi="Times New Roman" w:eastAsia="宋体" w:cs="Times New Roman"/>
                <w:color w:val="auto"/>
                <w:kern w:val="2"/>
                <w:sz w:val="24"/>
                <w:szCs w:val="20"/>
                <w:highlight w:val="none"/>
                <w:lang w:val="en-US" w:eastAsia="zh-CN" w:bidi="ar-SA"/>
              </w:rPr>
              <w:t>S7微生物废样品</w:t>
            </w:r>
          </w:p>
          <w:p w14:paraId="11971C68">
            <w:pPr>
              <w:pStyle w:val="36"/>
              <w:keepNext w:val="0"/>
              <w:keepLines w:val="0"/>
              <w:suppressLineNumbers w:val="0"/>
              <w:spacing w:before="0" w:beforeAutospacing="0" w:after="0" w:afterAutospacing="0"/>
              <w:ind w:left="0" w:right="0" w:firstLine="480"/>
              <w:rPr>
                <w:rFonts w:hint="eastAsia" w:ascii="Times New Roman" w:hAnsi="Times New Roman" w:eastAsia="宋体" w:cs="Times New Roman"/>
                <w:color w:val="auto"/>
                <w:kern w:val="2"/>
                <w:sz w:val="24"/>
                <w:szCs w:val="20"/>
                <w:highlight w:val="none"/>
                <w:lang w:val="en-US" w:eastAsia="zh-CN" w:bidi="ar-SA"/>
              </w:rPr>
            </w:pPr>
            <w:r>
              <w:rPr>
                <w:rFonts w:hint="eastAsia"/>
                <w:color w:val="auto"/>
                <w:szCs w:val="21"/>
              </w:rPr>
              <w:t>项目</w:t>
            </w:r>
            <w:r>
              <w:rPr>
                <w:rFonts w:hint="eastAsia"/>
                <w:color w:val="auto"/>
                <w:szCs w:val="21"/>
                <w:lang w:val="en-US" w:eastAsia="zh-CN"/>
              </w:rPr>
              <w:t>在检测微生物指标是</w:t>
            </w:r>
            <w:r>
              <w:rPr>
                <w:rFonts w:hint="eastAsia"/>
                <w:color w:val="auto"/>
                <w:szCs w:val="21"/>
              </w:rPr>
              <w:t>将产生一定量的实验废样品（</w:t>
            </w:r>
            <w:r>
              <w:rPr>
                <w:rFonts w:hint="eastAsia"/>
                <w:color w:val="auto"/>
                <w:szCs w:val="21"/>
                <w:lang w:val="en-US" w:eastAsia="zh-CN"/>
              </w:rPr>
              <w:t>废培养基</w:t>
            </w:r>
            <w:r>
              <w:rPr>
                <w:rFonts w:hint="eastAsia"/>
                <w:color w:val="auto"/>
                <w:szCs w:val="21"/>
              </w:rPr>
              <w:t>），产生量约为0.</w:t>
            </w:r>
            <w:r>
              <w:rPr>
                <w:rFonts w:hint="eastAsia"/>
                <w:color w:val="auto"/>
                <w:szCs w:val="21"/>
                <w:lang w:val="en-US" w:eastAsia="zh-CN"/>
              </w:rPr>
              <w:t>2</w:t>
            </w:r>
            <w:r>
              <w:rPr>
                <w:rFonts w:hint="eastAsia"/>
                <w:color w:val="auto"/>
                <w:szCs w:val="21"/>
              </w:rPr>
              <w:t>t/a</w:t>
            </w:r>
            <w:r>
              <w:rPr>
                <w:rFonts w:hint="eastAsia"/>
                <w:color w:val="auto"/>
                <w:szCs w:val="21"/>
                <w:lang w:eastAsia="zh-CN"/>
              </w:rPr>
              <w:t>。</w:t>
            </w:r>
            <w:r>
              <w:rPr>
                <w:rFonts w:hint="eastAsia" w:ascii="Times New Roman" w:hAnsi="Times New Roman" w:eastAsia="宋体" w:cs="Times New Roman"/>
                <w:color w:val="auto"/>
                <w:kern w:val="2"/>
                <w:sz w:val="24"/>
                <w:szCs w:val="20"/>
                <w:highlight w:val="none"/>
                <w:lang w:val="en-US" w:eastAsia="zh-CN" w:bidi="ar-SA"/>
              </w:rPr>
              <w:t>微生物废样品经过高温灭菌后倒入废水处理设施进行处理</w:t>
            </w:r>
            <w:r>
              <w:rPr>
                <w:rFonts w:hint="eastAsia" w:cs="Times New Roman"/>
                <w:color w:val="auto"/>
                <w:kern w:val="2"/>
                <w:sz w:val="24"/>
                <w:szCs w:val="20"/>
                <w:highlight w:val="none"/>
                <w:lang w:val="en-US" w:eastAsia="zh-CN" w:bidi="ar-SA"/>
              </w:rPr>
              <w:t>。</w:t>
            </w:r>
          </w:p>
          <w:p w14:paraId="76464614">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本项目一般固废产生情况及处置一览表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034"/>
              <w:gridCol w:w="1339"/>
              <w:gridCol w:w="1961"/>
              <w:gridCol w:w="2041"/>
            </w:tblGrid>
            <w:tr w14:paraId="64B278D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1716" w:type="pct"/>
                  <w:gridSpan w:val="2"/>
                  <w:noWrap w:val="0"/>
                  <w:vAlign w:val="center"/>
                </w:tcPr>
                <w:p w14:paraId="77773112">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类别</w:t>
                  </w:r>
                </w:p>
              </w:tc>
              <w:tc>
                <w:tcPr>
                  <w:tcW w:w="823" w:type="pct"/>
                  <w:noWrap w:val="0"/>
                  <w:vAlign w:val="center"/>
                </w:tcPr>
                <w:p w14:paraId="6F85F755">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产生量（t/a）</w:t>
                  </w:r>
                </w:p>
              </w:tc>
              <w:tc>
                <w:tcPr>
                  <w:tcW w:w="1205" w:type="pct"/>
                  <w:noWrap w:val="0"/>
                  <w:vAlign w:val="center"/>
                </w:tcPr>
                <w:p w14:paraId="53C9981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废物代码</w:t>
                  </w:r>
                </w:p>
              </w:tc>
              <w:tc>
                <w:tcPr>
                  <w:tcW w:w="1254" w:type="pct"/>
                  <w:noWrap w:val="0"/>
                  <w:vAlign w:val="center"/>
                </w:tcPr>
                <w:p w14:paraId="6D00DBC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处置方法</w:t>
                  </w:r>
                </w:p>
              </w:tc>
            </w:tr>
            <w:tr w14:paraId="2FB8546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restart"/>
                  <w:tcBorders>
                    <w:right w:val="single" w:color="auto" w:sz="4" w:space="0"/>
                  </w:tcBorders>
                  <w:noWrap w:val="0"/>
                  <w:vAlign w:val="center"/>
                </w:tcPr>
                <w:p w14:paraId="1A215D7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一般</w:t>
                  </w:r>
                  <w:r>
                    <w:rPr>
                      <w:rFonts w:hint="eastAsia" w:cs="Times New Roman"/>
                      <w:b w:val="0"/>
                      <w:bCs w:val="0"/>
                      <w:color w:val="auto"/>
                      <w:sz w:val="21"/>
                      <w:szCs w:val="21"/>
                      <w:lang w:val="en-US" w:eastAsia="zh-CN"/>
                    </w:rPr>
                    <w:t>工业固体废物</w:t>
                  </w:r>
                </w:p>
              </w:tc>
              <w:tc>
                <w:tcPr>
                  <w:tcW w:w="1250" w:type="pct"/>
                  <w:tcBorders>
                    <w:left w:val="single" w:color="auto" w:sz="4" w:space="0"/>
                  </w:tcBorders>
                  <w:noWrap w:val="0"/>
                  <w:vAlign w:val="center"/>
                </w:tcPr>
                <w:p w14:paraId="71DC70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rPr>
                  </w:pPr>
                  <w:r>
                    <w:rPr>
                      <w:rFonts w:hint="default" w:ascii="Times New Roman" w:hAnsi="Times New Roman" w:cs="Times New Roman"/>
                      <w:color w:val="auto"/>
                      <w:lang w:val="en-US" w:eastAsia="zh-CN"/>
                    </w:rPr>
                    <w:t>水样</w:t>
                  </w:r>
                  <w:r>
                    <w:rPr>
                      <w:rFonts w:hint="eastAsia" w:ascii="Times New Roman" w:hAnsi="Times New Roman" w:cs="Times New Roman"/>
                      <w:color w:val="auto"/>
                      <w:lang w:val="en-US" w:eastAsia="zh-CN"/>
                    </w:rPr>
                    <w:t>包装物</w:t>
                  </w:r>
                </w:p>
              </w:tc>
              <w:tc>
                <w:tcPr>
                  <w:tcW w:w="823" w:type="pct"/>
                  <w:noWrap w:val="0"/>
                  <w:vAlign w:val="center"/>
                </w:tcPr>
                <w:p w14:paraId="155D82B5">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w:t>
                  </w:r>
                </w:p>
              </w:tc>
              <w:tc>
                <w:tcPr>
                  <w:tcW w:w="1205" w:type="pct"/>
                  <w:noWrap w:val="0"/>
                  <w:vAlign w:val="center"/>
                </w:tcPr>
                <w:p w14:paraId="48B0C4C5">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900-005</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99</w:t>
                  </w:r>
                </w:p>
              </w:tc>
              <w:tc>
                <w:tcPr>
                  <w:tcW w:w="1254" w:type="pct"/>
                  <w:noWrap w:val="0"/>
                  <w:vAlign w:val="center"/>
                </w:tcPr>
                <w:p w14:paraId="06F20A2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lang w:eastAsia="zh-CN"/>
                    </w:rPr>
                    <w:t>外售综合利用</w:t>
                  </w:r>
                </w:p>
              </w:tc>
            </w:tr>
            <w:tr w14:paraId="6602E9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3E213DEF">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tcBorders>
                    <w:left w:val="single" w:color="auto" w:sz="4" w:space="0"/>
                  </w:tcBorders>
                  <w:noWrap w:val="0"/>
                  <w:vAlign w:val="center"/>
                </w:tcPr>
                <w:p w14:paraId="6D536E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lang w:val="en-US"/>
                    </w:rPr>
                  </w:pPr>
                  <w:r>
                    <w:rPr>
                      <w:rFonts w:hint="eastAsia"/>
                      <w:color w:val="auto"/>
                      <w:sz w:val="21"/>
                      <w:szCs w:val="21"/>
                      <w:lang w:val="en-US" w:eastAsia="zh-CN"/>
                    </w:rPr>
                    <w:t>废树脂、废过滤材料</w:t>
                  </w:r>
                </w:p>
              </w:tc>
              <w:tc>
                <w:tcPr>
                  <w:tcW w:w="823" w:type="pct"/>
                  <w:noWrap w:val="0"/>
                  <w:vAlign w:val="center"/>
                </w:tcPr>
                <w:p w14:paraId="0A74A2A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0.035</w:t>
                  </w:r>
                </w:p>
              </w:tc>
              <w:tc>
                <w:tcPr>
                  <w:tcW w:w="1205" w:type="pct"/>
                  <w:noWrap w:val="0"/>
                  <w:vAlign w:val="center"/>
                </w:tcPr>
                <w:p w14:paraId="57C6BD7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900</w:t>
                  </w:r>
                  <w:r>
                    <w:rPr>
                      <w:rFonts w:hint="eastAsia" w:ascii="Times New Roman" w:hAnsi="Times New Roman" w:cs="Times New Roman"/>
                      <w:b w:val="0"/>
                      <w:bCs w:val="0"/>
                      <w:color w:val="auto"/>
                      <w:sz w:val="21"/>
                      <w:szCs w:val="21"/>
                      <w:lang w:val="en-US" w:eastAsia="zh-CN"/>
                    </w:rPr>
                    <w:t>-099</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99</w:t>
                  </w:r>
                </w:p>
              </w:tc>
              <w:tc>
                <w:tcPr>
                  <w:tcW w:w="1254" w:type="pct"/>
                  <w:noWrap w:val="0"/>
                  <w:vAlign w:val="center"/>
                </w:tcPr>
                <w:p w14:paraId="1BA4347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Calibri" w:hAnsi="Calibri" w:eastAsia="宋体" w:cs="Times New Roman"/>
                      <w:b w:val="0"/>
                      <w:bCs w:val="0"/>
                      <w:color w:val="auto"/>
                      <w:sz w:val="21"/>
                      <w:szCs w:val="21"/>
                      <w:lang w:val="en-US" w:eastAsia="zh-CN"/>
                    </w:rPr>
                  </w:pPr>
                  <w:r>
                    <w:rPr>
                      <w:rFonts w:hint="eastAsia" w:ascii="Calibri" w:hAnsi="Calibri" w:eastAsia="宋体" w:cs="Times New Roman"/>
                      <w:b w:val="0"/>
                      <w:bCs w:val="0"/>
                      <w:color w:val="auto"/>
                      <w:sz w:val="21"/>
                      <w:szCs w:val="21"/>
                      <w:lang w:val="en-US" w:eastAsia="zh-CN"/>
                    </w:rPr>
                    <w:t>厂家定期替换回收</w:t>
                  </w:r>
                </w:p>
              </w:tc>
            </w:tr>
            <w:tr w14:paraId="64D05E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5" w:hRule="exact"/>
                <w:jc w:val="center"/>
              </w:trPr>
              <w:tc>
                <w:tcPr>
                  <w:tcW w:w="465" w:type="pct"/>
                  <w:vMerge w:val="continue"/>
                  <w:tcBorders>
                    <w:right w:val="single" w:color="auto" w:sz="4" w:space="0"/>
                  </w:tcBorders>
                  <w:noWrap w:val="0"/>
                  <w:vAlign w:val="center"/>
                </w:tcPr>
                <w:p w14:paraId="7AD45D5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tcBorders>
                    <w:left w:val="single" w:color="auto" w:sz="4" w:space="0"/>
                  </w:tcBorders>
                  <w:noWrap w:val="0"/>
                  <w:vAlign w:val="center"/>
                </w:tcPr>
                <w:p w14:paraId="45A1589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olor w:val="auto"/>
                      <w:sz w:val="21"/>
                      <w:szCs w:val="21"/>
                      <w:lang w:val="en-US" w:eastAsia="zh-CN"/>
                    </w:rPr>
                  </w:pPr>
                  <w:r>
                    <w:rPr>
                      <w:rFonts w:hint="eastAsia"/>
                      <w:color w:val="auto"/>
                      <w:sz w:val="21"/>
                      <w:szCs w:val="21"/>
                      <w:lang w:val="en-US" w:eastAsia="zh-CN"/>
                    </w:rPr>
                    <w:t>微生物废样品</w:t>
                  </w:r>
                </w:p>
              </w:tc>
              <w:tc>
                <w:tcPr>
                  <w:tcW w:w="823" w:type="pct"/>
                  <w:noWrap w:val="0"/>
                  <w:vAlign w:val="center"/>
                </w:tcPr>
                <w:p w14:paraId="5841BA3D">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w:t>
                  </w:r>
                </w:p>
              </w:tc>
              <w:tc>
                <w:tcPr>
                  <w:tcW w:w="1205" w:type="pct"/>
                  <w:noWrap w:val="0"/>
                  <w:vAlign w:val="center"/>
                </w:tcPr>
                <w:p w14:paraId="735C1B5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900</w:t>
                  </w:r>
                  <w:r>
                    <w:rPr>
                      <w:rFonts w:hint="eastAsia" w:ascii="Times New Roman" w:hAnsi="Times New Roman" w:cs="Times New Roman"/>
                      <w:b w:val="0"/>
                      <w:bCs w:val="0"/>
                      <w:color w:val="auto"/>
                      <w:sz w:val="21"/>
                      <w:szCs w:val="21"/>
                      <w:lang w:val="en-US" w:eastAsia="zh-CN"/>
                    </w:rPr>
                    <w:t>-099</w:t>
                  </w:r>
                  <w:r>
                    <w:rPr>
                      <w:rFonts w:hint="default" w:ascii="Times New Roman" w:hAnsi="Times New Roman" w:cs="Times New Roman"/>
                      <w:b w:val="0"/>
                      <w:bCs w:val="0"/>
                      <w:color w:val="auto"/>
                      <w:sz w:val="21"/>
                      <w:szCs w:val="21"/>
                      <w:lang w:val="en-US" w:eastAsia="zh-CN"/>
                    </w:rPr>
                    <w:t>-</w:t>
                  </w:r>
                  <w:r>
                    <w:rPr>
                      <w:rFonts w:hint="eastAsia" w:ascii="Times New Roman" w:hAnsi="Times New Roman" w:cs="Times New Roman"/>
                      <w:b w:val="0"/>
                      <w:bCs w:val="0"/>
                      <w:color w:val="auto"/>
                      <w:sz w:val="21"/>
                      <w:szCs w:val="21"/>
                      <w:lang w:val="en-US" w:eastAsia="zh-CN"/>
                    </w:rPr>
                    <w:t>99</w:t>
                  </w:r>
                </w:p>
              </w:tc>
              <w:tc>
                <w:tcPr>
                  <w:tcW w:w="1254" w:type="pct"/>
                  <w:noWrap w:val="0"/>
                  <w:vAlign w:val="center"/>
                </w:tcPr>
                <w:p w14:paraId="47BBCDD9">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ascii="Calibri" w:hAnsi="Calibri" w:eastAsia="宋体" w:cs="Times New Roman"/>
                      <w:b w:val="0"/>
                      <w:bCs w:val="0"/>
                      <w:color w:val="auto"/>
                      <w:sz w:val="21"/>
                      <w:szCs w:val="21"/>
                      <w:lang w:val="en-US" w:eastAsia="zh-CN"/>
                    </w:rPr>
                  </w:pPr>
                  <w:r>
                    <w:rPr>
                      <w:rFonts w:hint="eastAsia" w:ascii="Calibri" w:hAnsi="Calibri" w:eastAsia="宋体" w:cs="Times New Roman"/>
                      <w:b w:val="0"/>
                      <w:bCs w:val="0"/>
                      <w:color w:val="auto"/>
                      <w:sz w:val="21"/>
                      <w:szCs w:val="21"/>
                      <w:lang w:val="en-US" w:eastAsia="zh-CN"/>
                    </w:rPr>
                    <w:t>高温灭菌后倒入废水处理设施处理</w:t>
                  </w:r>
                </w:p>
              </w:tc>
            </w:tr>
            <w:tr w14:paraId="4C474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7999FAF5">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tcBorders>
                    <w:left w:val="single" w:color="auto" w:sz="4" w:space="0"/>
                  </w:tcBorders>
                  <w:noWrap w:val="0"/>
                  <w:vAlign w:val="center"/>
                </w:tcPr>
                <w:p w14:paraId="291417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b/>
                      <w:bCs/>
                      <w:color w:val="auto"/>
                      <w:sz w:val="21"/>
                      <w:szCs w:val="21"/>
                      <w:lang w:val="en-US" w:eastAsia="zh-CN"/>
                    </w:rPr>
                  </w:pPr>
                  <w:r>
                    <w:rPr>
                      <w:rFonts w:hint="eastAsia"/>
                      <w:b/>
                      <w:bCs/>
                      <w:color w:val="auto"/>
                      <w:sz w:val="21"/>
                      <w:szCs w:val="21"/>
                      <w:lang w:val="en-US" w:eastAsia="zh-CN"/>
                    </w:rPr>
                    <w:t>小计</w:t>
                  </w:r>
                </w:p>
              </w:tc>
              <w:tc>
                <w:tcPr>
                  <w:tcW w:w="823" w:type="pct"/>
                  <w:noWrap w:val="0"/>
                  <w:vAlign w:val="center"/>
                </w:tcPr>
                <w:p w14:paraId="7AE1891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0.435</w:t>
                  </w:r>
                </w:p>
              </w:tc>
              <w:tc>
                <w:tcPr>
                  <w:tcW w:w="1205" w:type="pct"/>
                  <w:noWrap w:val="0"/>
                  <w:vAlign w:val="center"/>
                </w:tcPr>
                <w:p w14:paraId="7EB03FD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54" w:type="pct"/>
                  <w:noWrap w:val="0"/>
                  <w:vAlign w:val="center"/>
                </w:tcPr>
                <w:p w14:paraId="45082CA0">
                  <w:pPr>
                    <w:pStyle w:val="37"/>
                    <w:keepNext w:val="0"/>
                    <w:keepLines w:val="0"/>
                    <w:widowControl/>
                    <w:suppressLineNumbers w:val="0"/>
                    <w:bidi w:val="0"/>
                    <w:spacing w:before="0" w:beforeAutospacing="0" w:after="0" w:afterAutospacing="0"/>
                    <w:ind w:right="0"/>
                    <w:rPr>
                      <w:rFonts w:hint="default" w:ascii="Calibri" w:hAnsi="Calibri" w:eastAsia="宋体" w:cs="Times New Roman"/>
                      <w:b w:val="0"/>
                      <w:bCs w:val="0"/>
                      <w:color w:val="auto"/>
                      <w:szCs w:val="21"/>
                      <w:lang w:val="en-US" w:eastAsia="zh-CN"/>
                    </w:rPr>
                  </w:pPr>
                  <w:r>
                    <w:rPr>
                      <w:rFonts w:hint="eastAsia"/>
                      <w:color w:val="auto"/>
                      <w:szCs w:val="20"/>
                      <w:lang w:val="en-US" w:eastAsia="zh-CN"/>
                    </w:rPr>
                    <w:t>/</w:t>
                  </w:r>
                </w:p>
              </w:tc>
            </w:tr>
          </w:tbl>
          <w:p w14:paraId="07B11D54">
            <w:pPr>
              <w:pStyle w:val="36"/>
              <w:keepNext w:val="0"/>
              <w:keepLines w:val="0"/>
              <w:suppressLineNumbers w:val="0"/>
              <w:spacing w:before="0" w:beforeAutospacing="0" w:after="0" w:afterAutospacing="0"/>
              <w:ind w:left="0" w:right="0" w:firstLine="480"/>
              <w:rPr>
                <w:rFonts w:hint="eastAsia" w:ascii="Times New Roman" w:hAnsi="Times New Roman" w:eastAsia="宋体" w:cs="宋体"/>
                <w:color w:val="auto"/>
                <w:lang w:val="en-US" w:eastAsia="zh-CN"/>
              </w:rPr>
            </w:pPr>
            <w:r>
              <w:rPr>
                <w:rFonts w:hint="eastAsia" w:cs="Times New Roman"/>
                <w:b/>
                <w:bCs/>
                <w:color w:val="auto"/>
                <w:highlight w:val="none"/>
                <w:lang w:val="en-US" w:eastAsia="zh-CN"/>
              </w:rPr>
              <w:t>（2）危险废物</w:t>
            </w:r>
          </w:p>
          <w:p w14:paraId="0C43BB3B">
            <w:pPr>
              <w:pStyle w:val="36"/>
              <w:keepNext w:val="0"/>
              <w:keepLines w:val="0"/>
              <w:suppressLineNumbers w:val="0"/>
              <w:spacing w:before="0" w:beforeAutospacing="0" w:after="0" w:afterAutospacing="0"/>
              <w:ind w:left="0" w:right="0" w:firstLine="480"/>
              <w:rPr>
                <w:rFonts w:hint="eastAsia"/>
                <w:color w:val="auto"/>
                <w:lang w:val="en-US" w:eastAsia="zh-CN"/>
              </w:rPr>
            </w:pPr>
            <w:r>
              <w:rPr>
                <w:rFonts w:hint="eastAsia" w:cs="Times New Roman"/>
                <w:color w:val="auto"/>
                <w:highlight w:val="none"/>
                <w:lang w:val="en-US" w:eastAsia="zh-CN"/>
              </w:rPr>
              <w:t>①</w:t>
            </w:r>
            <w:r>
              <w:rPr>
                <w:rFonts w:hint="eastAsia"/>
                <w:color w:val="auto"/>
                <w:lang w:val="en-US" w:eastAsia="zh-CN"/>
              </w:rPr>
              <w:t>S1</w:t>
            </w:r>
            <w:r>
              <w:rPr>
                <w:rFonts w:hint="default"/>
                <w:color w:val="auto"/>
                <w:lang w:val="en-US" w:eastAsia="zh-CN"/>
              </w:rPr>
              <w:t>废</w:t>
            </w:r>
            <w:r>
              <w:rPr>
                <w:rFonts w:hint="eastAsia"/>
                <w:color w:val="auto"/>
                <w:lang w:val="en-US" w:eastAsia="zh-CN"/>
              </w:rPr>
              <w:t>试剂</w:t>
            </w:r>
            <w:r>
              <w:rPr>
                <w:rFonts w:hint="default"/>
                <w:color w:val="auto"/>
                <w:lang w:val="en-US" w:eastAsia="zh-CN"/>
              </w:rPr>
              <w:t>包装</w:t>
            </w:r>
            <w:r>
              <w:rPr>
                <w:rFonts w:hint="eastAsia"/>
                <w:color w:val="auto"/>
                <w:lang w:val="en-US" w:eastAsia="zh-CN"/>
              </w:rPr>
              <w:t>物</w:t>
            </w:r>
          </w:p>
          <w:p w14:paraId="1CD2E61D">
            <w:pPr>
              <w:pStyle w:val="36"/>
              <w:keepNext w:val="0"/>
              <w:keepLines w:val="0"/>
              <w:suppressLineNumbers w:val="0"/>
              <w:spacing w:before="0" w:beforeAutospacing="0" w:after="0" w:afterAutospacing="0"/>
              <w:ind w:left="0" w:right="0" w:firstLine="480"/>
              <w:rPr>
                <w:rFonts w:hint="default" w:eastAsia="宋体"/>
                <w:color w:val="auto"/>
                <w:lang w:val="en-US" w:eastAsia="zh-CN"/>
              </w:rPr>
            </w:pPr>
            <w:r>
              <w:rPr>
                <w:rFonts w:hint="eastAsia"/>
                <w:color w:val="auto"/>
                <w:lang w:val="en-US" w:eastAsia="zh-CN"/>
              </w:rPr>
              <w:t>项目试剂配备过程中</w:t>
            </w:r>
            <w:r>
              <w:rPr>
                <w:rFonts w:hint="eastAsia"/>
                <w:color w:val="auto"/>
              </w:rPr>
              <w:t>会产生一定的废包装品，如</w:t>
            </w:r>
            <w:r>
              <w:rPr>
                <w:rFonts w:hint="eastAsia"/>
                <w:color w:val="auto"/>
                <w:lang w:val="en-US" w:eastAsia="zh-CN"/>
              </w:rPr>
              <w:t>废试剂瓶，</w:t>
            </w:r>
            <w:r>
              <w:rPr>
                <w:rFonts w:hint="default" w:ascii="Times New Roman" w:hAnsi="Times New Roman" w:cs="Times New Roman"/>
                <w:color w:val="auto"/>
                <w:highlight w:val="none"/>
                <w:lang w:val="en-US" w:eastAsia="zh-CN"/>
              </w:rPr>
              <w:t>产生量约为</w:t>
            </w:r>
            <w:r>
              <w:rPr>
                <w:rFonts w:hint="eastAsia" w:cs="Times New Roman"/>
                <w:color w:val="auto"/>
                <w:highlight w:val="none"/>
                <w:lang w:val="en-US" w:eastAsia="zh-CN"/>
              </w:rPr>
              <w:t>0.02</w:t>
            </w:r>
            <w:r>
              <w:rPr>
                <w:rFonts w:hint="default" w:ascii="Times New Roman" w:hAnsi="Times New Roman" w:cs="Times New Roman"/>
                <w:color w:val="auto"/>
                <w:highlight w:val="none"/>
                <w:lang w:val="en-US" w:eastAsia="zh-CN"/>
              </w:rPr>
              <w:t>t/a。对照《国家危险废物名录（202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default"/>
                <w:color w:val="auto"/>
                <w:lang w:val="en-US" w:eastAsia="zh-CN"/>
              </w:rPr>
              <w:t>废</w:t>
            </w:r>
            <w:r>
              <w:rPr>
                <w:rFonts w:hint="eastAsia"/>
                <w:color w:val="auto"/>
                <w:lang w:val="en-US" w:eastAsia="zh-CN"/>
              </w:rPr>
              <w:t>试剂</w:t>
            </w:r>
            <w:r>
              <w:rPr>
                <w:rFonts w:hint="default"/>
                <w:color w:val="auto"/>
                <w:lang w:val="en-US" w:eastAsia="zh-CN"/>
              </w:rPr>
              <w:t>包装</w:t>
            </w:r>
            <w:r>
              <w:rPr>
                <w:rFonts w:hint="eastAsia"/>
                <w:color w:val="auto"/>
                <w:lang w:val="en-US" w:eastAsia="zh-CN"/>
              </w:rPr>
              <w:t>物</w:t>
            </w:r>
            <w:r>
              <w:rPr>
                <w:rFonts w:hint="default" w:ascii="Times New Roman" w:hAnsi="Times New Roman" w:cs="Times New Roman"/>
                <w:color w:val="auto"/>
                <w:highlight w:val="none"/>
                <w:lang w:val="en-US" w:eastAsia="zh-CN"/>
              </w:rPr>
              <w:t>属于危险废物，废物类别为HW49其他废物，废物代码为900-047-49。</w:t>
            </w:r>
          </w:p>
          <w:p w14:paraId="387AE25F">
            <w:pPr>
              <w:pStyle w:val="36"/>
              <w:keepNext w:val="0"/>
              <w:keepLines w:val="0"/>
              <w:suppressLineNumbers w:val="0"/>
              <w:spacing w:before="0" w:beforeAutospacing="0" w:after="0" w:afterAutospacing="0"/>
              <w:ind w:left="0" w:right="0" w:firstLine="480"/>
              <w:rPr>
                <w:rFonts w:hint="default" w:ascii="Times New Roman" w:hAnsi="Times New Roman" w:eastAsia="宋体" w:cs="宋体"/>
                <w:color w:val="auto"/>
                <w:lang w:val="en-US" w:eastAsia="zh-CN"/>
              </w:rPr>
            </w:pPr>
            <w:r>
              <w:rPr>
                <w:rFonts w:hint="eastAsia" w:cs="Times New Roman"/>
                <w:color w:val="auto"/>
                <w:highlight w:val="none"/>
                <w:lang w:val="en-US" w:eastAsia="zh-CN"/>
              </w:rPr>
              <w:t>②</w:t>
            </w:r>
            <w:r>
              <w:rPr>
                <w:rFonts w:hint="eastAsia" w:ascii="Times New Roman" w:hAnsi="Times New Roman" w:eastAsia="宋体" w:cs="宋体"/>
                <w:color w:val="auto"/>
                <w:lang w:val="en-US" w:eastAsia="zh-CN"/>
              </w:rPr>
              <w:t>S</w:t>
            </w:r>
            <w:r>
              <w:rPr>
                <w:rFonts w:hint="eastAsia" w:cs="宋体"/>
                <w:color w:val="auto"/>
                <w:lang w:val="en-US" w:eastAsia="zh-CN"/>
              </w:rPr>
              <w:t>5</w:t>
            </w:r>
            <w:r>
              <w:rPr>
                <w:rFonts w:hint="eastAsia" w:ascii="Times New Roman" w:hAnsi="Times New Roman" w:eastAsia="宋体" w:cs="宋体"/>
                <w:color w:val="auto"/>
                <w:lang w:val="en-US" w:eastAsia="zh-CN"/>
              </w:rPr>
              <w:t>高浓度废液</w:t>
            </w:r>
          </w:p>
          <w:p w14:paraId="16DB84E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本项目高浓度废液主要为</w:t>
            </w:r>
            <w:r>
              <w:rPr>
                <w:rFonts w:hint="eastAsia" w:cs="Times New Roman"/>
                <w:color w:val="auto"/>
                <w:highlight w:val="none"/>
                <w:lang w:val="en-US" w:eastAsia="zh-CN"/>
              </w:rPr>
              <w:t>实验过程产生</w:t>
            </w:r>
            <w:r>
              <w:rPr>
                <w:rFonts w:hint="default" w:ascii="Times New Roman" w:hAnsi="Times New Roman" w:cs="Times New Roman"/>
                <w:color w:val="auto"/>
                <w:highlight w:val="none"/>
                <w:lang w:val="en-US" w:eastAsia="zh-CN"/>
              </w:rPr>
              <w:t>废酸液、废碱液、有机废液等，产生量约为</w:t>
            </w:r>
            <w:r>
              <w:rPr>
                <w:rFonts w:hint="eastAsia" w:cs="Times New Roman"/>
                <w:color w:val="auto"/>
                <w:highlight w:val="none"/>
                <w:lang w:val="en-US" w:eastAsia="zh-CN"/>
              </w:rPr>
              <w:t>4.8</w:t>
            </w:r>
            <w:r>
              <w:rPr>
                <w:rFonts w:hint="default" w:ascii="Times New Roman" w:hAnsi="Times New Roman" w:cs="Times New Roman"/>
                <w:color w:val="auto"/>
                <w:highlight w:val="none"/>
                <w:lang w:val="en-US" w:eastAsia="zh-CN"/>
              </w:rPr>
              <w:t>t/a。对照《国家危险废物名录（202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年版）》，高浓度废液属于危险废物，废物类别为HW49其他废物，废物代码为900-047-49。</w:t>
            </w:r>
          </w:p>
          <w:p w14:paraId="1A852EEF">
            <w:pPr>
              <w:pStyle w:val="36"/>
              <w:keepNext w:val="0"/>
              <w:keepLines w:val="0"/>
              <w:suppressLineNumbers w:val="0"/>
              <w:spacing w:before="0" w:beforeAutospacing="0" w:after="0" w:afterAutospacing="0"/>
              <w:ind w:left="0" w:right="0" w:firstLine="480"/>
              <w:rPr>
                <w:rFonts w:hint="default" w:ascii="Times New Roman" w:hAnsi="Times New Roman" w:eastAsia="宋体" w:cs="宋体"/>
                <w:color w:val="auto"/>
                <w:lang w:val="en-US" w:eastAsia="zh-CN"/>
              </w:rPr>
            </w:pPr>
            <w:r>
              <w:rPr>
                <w:rFonts w:hint="eastAsia" w:cs="Times New Roman"/>
                <w:color w:val="auto"/>
                <w:highlight w:val="none"/>
                <w:lang w:val="en-US" w:eastAsia="zh-CN"/>
              </w:rPr>
              <w:t>③</w:t>
            </w:r>
            <w:r>
              <w:rPr>
                <w:rFonts w:hint="eastAsia" w:ascii="Times New Roman" w:hAnsi="Times New Roman" w:eastAsia="宋体" w:cs="宋体"/>
                <w:color w:val="auto"/>
                <w:lang w:val="en-US" w:eastAsia="zh-CN"/>
              </w:rPr>
              <w:t>S6废试剂</w:t>
            </w:r>
          </w:p>
          <w:p w14:paraId="4971093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项目运行过程中会储存一定量的样品，由于检测业务量存在时间上的不确定性，不可避免</w:t>
            </w:r>
            <w:r>
              <w:rPr>
                <w:rFonts w:hint="eastAsia" w:cs="Times New Roman"/>
                <w:color w:val="auto"/>
                <w:highlight w:val="none"/>
                <w:lang w:val="en-US" w:eastAsia="zh-CN"/>
              </w:rPr>
              <w:t>地</w:t>
            </w:r>
            <w:r>
              <w:rPr>
                <w:rFonts w:hint="default" w:ascii="Times New Roman" w:hAnsi="Times New Roman" w:cs="Times New Roman"/>
                <w:color w:val="auto"/>
                <w:highlight w:val="none"/>
                <w:lang w:val="en-US" w:eastAsia="zh-CN"/>
              </w:rPr>
              <w:t>会产生一些过期药品，</w:t>
            </w:r>
            <w:r>
              <w:rPr>
                <w:rFonts w:hint="eastAsia" w:cs="Times New Roman"/>
                <w:color w:val="auto"/>
                <w:highlight w:val="none"/>
                <w:lang w:val="en-US" w:eastAsia="zh-CN"/>
              </w:rPr>
              <w:t>以及检测过程中需要定期更换的试剂，如萃取剂等，</w:t>
            </w:r>
            <w:r>
              <w:rPr>
                <w:rFonts w:hint="default" w:ascii="Times New Roman" w:hAnsi="Times New Roman" w:cs="Times New Roman"/>
                <w:color w:val="auto"/>
                <w:highlight w:val="none"/>
                <w:lang w:val="en-US" w:eastAsia="zh-CN"/>
              </w:rPr>
              <w:t>但这部分药品的产生量不大，每年约为0.0</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t/a。属于危险废物，危废类别为HW49其他废物（废物代码900-002-03：生产、销售及使用过程中产生的失效、变质、不合格、淘汰、伪劣的药物和药品），采用专门容器收集密封后，分类收集后在实验室设置的危险废物暂存间暂存，</w:t>
            </w:r>
            <w:r>
              <w:rPr>
                <w:rFonts w:hint="default"/>
                <w:color w:val="auto"/>
                <w:lang w:val="en-US" w:eastAsia="zh-CN"/>
              </w:rPr>
              <w:t>委托有资质的危废处置单位进行无害化处理</w:t>
            </w:r>
            <w:r>
              <w:rPr>
                <w:rFonts w:hint="default" w:ascii="Times New Roman" w:hAnsi="Times New Roman" w:cs="Times New Roman"/>
                <w:color w:val="auto"/>
                <w:highlight w:val="none"/>
                <w:lang w:val="en-US" w:eastAsia="zh-CN"/>
              </w:rPr>
              <w:t>。</w:t>
            </w:r>
          </w:p>
          <w:p w14:paraId="18AD8A39">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eastAsia" w:cs="Times New Roman"/>
                <w:color w:val="auto"/>
                <w:spacing w:val="-6"/>
                <w:sz w:val="24"/>
                <w:szCs w:val="24"/>
                <w:highlight w:val="none"/>
                <w:u w:val="none"/>
                <w:lang w:val="en-US" w:eastAsia="zh-CN"/>
              </w:rPr>
              <w:t>④</w:t>
            </w:r>
            <w:r>
              <w:rPr>
                <w:rFonts w:hint="eastAsia" w:ascii="Times New Roman" w:hAnsi="Times New Roman" w:eastAsia="宋体" w:cs="宋体"/>
                <w:color w:val="auto"/>
                <w:lang w:val="en-US" w:eastAsia="zh-CN"/>
              </w:rPr>
              <w:t>S</w:t>
            </w:r>
            <w:r>
              <w:rPr>
                <w:rFonts w:hint="eastAsia" w:cs="宋体"/>
                <w:color w:val="auto"/>
                <w:lang w:val="en-US" w:eastAsia="zh-CN"/>
              </w:rPr>
              <w:t>8</w:t>
            </w:r>
            <w:r>
              <w:rPr>
                <w:rFonts w:hint="eastAsia" w:ascii="Times New Roman" w:hAnsi="Times New Roman" w:eastAsia="宋体" w:cs="宋体"/>
                <w:color w:val="auto"/>
                <w:lang w:val="en-US" w:eastAsia="zh-CN"/>
              </w:rPr>
              <w:t>实验室废物</w:t>
            </w:r>
          </w:p>
          <w:p w14:paraId="74995108">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本项目实验室废物主要包括滴管、吸管、乳胶手套、滤纸、</w:t>
            </w:r>
            <w:r>
              <w:rPr>
                <w:rFonts w:hint="eastAsia" w:cs="Times New Roman"/>
                <w:color w:val="auto"/>
                <w:highlight w:val="none"/>
                <w:lang w:val="en-US" w:eastAsia="zh-CN"/>
              </w:rPr>
              <w:t>破碎试管</w:t>
            </w:r>
            <w:r>
              <w:rPr>
                <w:rFonts w:hint="default" w:ascii="Times New Roman" w:hAnsi="Times New Roman" w:cs="Times New Roman"/>
                <w:color w:val="auto"/>
                <w:highlight w:val="none"/>
                <w:lang w:val="en-US" w:eastAsia="zh-CN"/>
              </w:rPr>
              <w:t>等，产生量约为0.5t/a；对照《国家危险废物名录》(202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default" w:ascii="Times New Roman" w:hAnsi="Times New Roman" w:cs="Times New Roman"/>
                <w:color w:val="auto"/>
                <w:highlight w:val="none"/>
                <w:shd w:val="clear" w:fill="FFFFFF"/>
                <w:lang w:val="en-US" w:eastAsia="zh-CN"/>
              </w:rPr>
              <w:t>)</w:t>
            </w:r>
            <w:r>
              <w:rPr>
                <w:rFonts w:hint="default" w:ascii="Times New Roman" w:hAnsi="Times New Roman" w:cs="Times New Roman"/>
                <w:color w:val="auto"/>
                <w:highlight w:val="none"/>
                <w:lang w:val="en-US" w:eastAsia="zh-CN"/>
              </w:rPr>
              <w:t>，实验室废物属于危险废物，废物类别为HW49其他废物，废物代码为900-047-49；收集后在实验室设置的危险废物暂存间暂存，</w:t>
            </w:r>
            <w:r>
              <w:rPr>
                <w:rFonts w:hint="default"/>
                <w:color w:val="auto"/>
                <w:lang w:val="en-US" w:eastAsia="zh-CN"/>
              </w:rPr>
              <w:t>委托有资质的危废处置单位进行无害化处理</w:t>
            </w:r>
            <w:r>
              <w:rPr>
                <w:rFonts w:hint="default" w:ascii="Times New Roman" w:hAnsi="Times New Roman" w:cs="Times New Roman"/>
                <w:color w:val="auto"/>
                <w:highlight w:val="none"/>
                <w:lang w:val="en-US" w:eastAsia="zh-CN"/>
              </w:rPr>
              <w:t>。</w:t>
            </w:r>
          </w:p>
          <w:p w14:paraId="7DC8C386">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pacing w:val="-6"/>
                <w:sz w:val="24"/>
                <w:szCs w:val="24"/>
                <w:highlight w:val="none"/>
                <w:u w:val="none"/>
                <w:lang w:val="en-US" w:eastAsia="zh-CN"/>
              </w:rPr>
            </w:pPr>
            <w:r>
              <w:rPr>
                <w:rFonts w:hint="eastAsia" w:cs="Times New Roman"/>
                <w:color w:val="auto"/>
                <w:spacing w:val="-6"/>
                <w:sz w:val="24"/>
                <w:szCs w:val="24"/>
                <w:highlight w:val="none"/>
                <w:u w:val="none"/>
                <w:lang w:val="en-US" w:eastAsia="zh-CN"/>
              </w:rPr>
              <w:t>⑤</w:t>
            </w:r>
            <w:r>
              <w:rPr>
                <w:rFonts w:hint="eastAsia" w:ascii="Times New Roman" w:hAnsi="Times New Roman" w:eastAsia="宋体" w:cs="Times New Roman"/>
                <w:color w:val="auto"/>
                <w:spacing w:val="-6"/>
                <w:sz w:val="24"/>
                <w:szCs w:val="24"/>
                <w:highlight w:val="none"/>
                <w:u w:val="none"/>
                <w:lang w:val="en-US" w:eastAsia="zh-CN"/>
              </w:rPr>
              <w:t>S</w:t>
            </w:r>
            <w:r>
              <w:rPr>
                <w:rFonts w:hint="eastAsia" w:cs="Times New Roman"/>
                <w:color w:val="auto"/>
                <w:spacing w:val="-6"/>
                <w:sz w:val="24"/>
                <w:szCs w:val="24"/>
                <w:highlight w:val="none"/>
                <w:u w:val="none"/>
                <w:lang w:val="en-US" w:eastAsia="zh-CN"/>
              </w:rPr>
              <w:t>9</w:t>
            </w:r>
            <w:r>
              <w:rPr>
                <w:rFonts w:hint="eastAsia" w:ascii="Times New Roman" w:hAnsi="Times New Roman" w:eastAsia="宋体" w:cs="Times New Roman"/>
                <w:color w:val="auto"/>
                <w:spacing w:val="-6"/>
                <w:sz w:val="24"/>
                <w:szCs w:val="24"/>
                <w:highlight w:val="none"/>
                <w:u w:val="none"/>
                <w:lang w:val="en-US" w:eastAsia="zh-CN"/>
              </w:rPr>
              <w:t>废活性炭</w:t>
            </w:r>
          </w:p>
          <w:p w14:paraId="63BD0892">
            <w:pPr>
              <w:pStyle w:val="36"/>
              <w:keepNext w:val="0"/>
              <w:keepLines w:val="0"/>
              <w:suppressLineNumbers w:val="0"/>
              <w:spacing w:before="0" w:beforeAutospacing="0" w:after="0" w:afterAutospacing="0"/>
              <w:ind w:left="0" w:right="0" w:firstLine="480"/>
              <w:rPr>
                <w:rFonts w:hint="default" w:ascii="宋体" w:hAnsi="宋体"/>
                <w:color w:val="auto"/>
                <w:u w:val="none"/>
              </w:rPr>
            </w:pPr>
            <w:r>
              <w:rPr>
                <w:rFonts w:hint="eastAsia" w:ascii="宋体" w:hAnsi="宋体"/>
                <w:color w:val="auto"/>
                <w:u w:val="none"/>
                <w:lang w:val="en-US" w:eastAsia="zh-CN"/>
              </w:rPr>
              <w:t>本项目活性炭吸附装置设计填</w:t>
            </w:r>
            <w:r>
              <w:rPr>
                <w:rFonts w:hint="eastAsia"/>
                <w:color w:val="auto"/>
                <w:u w:val="none"/>
                <w:lang w:val="en-US" w:eastAsia="zh-CN"/>
              </w:rPr>
              <w:t>充量为35kg，参考</w:t>
            </w:r>
            <w:r>
              <w:rPr>
                <w:rFonts w:hint="default" w:ascii="宋体" w:hAnsi="宋体"/>
                <w:color w:val="auto"/>
                <w:u w:val="none"/>
                <w:lang w:val="en-US" w:eastAsia="zh-CN"/>
              </w:rPr>
              <w:t>《深圳市工业有机废气治理用活性炭更换技术指引</w:t>
            </w:r>
            <w:r>
              <w:rPr>
                <w:rFonts w:hint="default" w:ascii="宋体" w:hAnsi="宋体"/>
                <w:color w:val="auto"/>
                <w:u w:val="none"/>
                <w:shd w:val="clear" w:fill="FFFFFF"/>
                <w:lang w:val="en-US" w:eastAsia="zh-CN"/>
              </w:rPr>
              <w:t>(</w:t>
            </w:r>
            <w:r>
              <w:rPr>
                <w:rFonts w:hint="default" w:ascii="宋体" w:hAnsi="宋体"/>
                <w:color w:val="auto"/>
                <w:u w:val="none"/>
                <w:lang w:val="en-US" w:eastAsia="zh-CN"/>
              </w:rPr>
              <w:t>试行</w:t>
            </w:r>
            <w:r>
              <w:rPr>
                <w:rFonts w:hint="default" w:ascii="宋体" w:hAnsi="宋体"/>
                <w:color w:val="auto"/>
                <w:u w:val="none"/>
                <w:shd w:val="clear" w:fill="FFFFFF"/>
                <w:lang w:val="en-US" w:eastAsia="zh-CN"/>
              </w:rPr>
              <w:t>)</w:t>
            </w:r>
            <w:r>
              <w:rPr>
                <w:rFonts w:hint="default" w:ascii="宋体" w:hAnsi="宋体"/>
                <w:color w:val="auto"/>
                <w:u w:val="none"/>
                <w:lang w:val="en-US" w:eastAsia="zh-CN"/>
              </w:rPr>
              <w:t>》</w:t>
            </w:r>
            <w:r>
              <w:rPr>
                <w:rFonts w:hint="eastAsia" w:ascii="宋体" w:hAnsi="宋体"/>
                <w:color w:val="auto"/>
                <w:u w:val="none"/>
                <w:lang w:val="en-US" w:eastAsia="zh-CN"/>
              </w:rPr>
              <w:t>（深圳市生态环境局，</w:t>
            </w:r>
            <w:r>
              <w:rPr>
                <w:rFonts w:hint="eastAsia" w:ascii="宋体" w:hAnsi="宋体"/>
                <w:color w:val="auto"/>
                <w:u w:val="none"/>
              </w:rPr>
              <w:t>202</w:t>
            </w:r>
            <w:r>
              <w:rPr>
                <w:rFonts w:hint="eastAsia" w:ascii="宋体" w:hAnsi="宋体"/>
                <w:color w:val="auto"/>
                <w:u w:val="none"/>
                <w:lang w:val="en-US" w:eastAsia="zh-CN"/>
              </w:rPr>
              <w:t>3</w:t>
            </w:r>
            <w:r>
              <w:rPr>
                <w:rFonts w:hint="eastAsia" w:ascii="宋体" w:hAnsi="宋体"/>
                <w:color w:val="auto"/>
                <w:u w:val="none"/>
              </w:rPr>
              <w:t>年</w:t>
            </w:r>
            <w:r>
              <w:rPr>
                <w:rFonts w:hint="eastAsia" w:ascii="宋体" w:hAnsi="宋体"/>
                <w:color w:val="auto"/>
                <w:u w:val="none"/>
                <w:lang w:val="en-US" w:eastAsia="zh-CN"/>
              </w:rPr>
              <w:t>5</w:t>
            </w:r>
            <w:r>
              <w:rPr>
                <w:rFonts w:hint="eastAsia" w:ascii="宋体" w:hAnsi="宋体"/>
                <w:color w:val="auto"/>
                <w:u w:val="none"/>
              </w:rPr>
              <w:t>月</w:t>
            </w:r>
            <w:r>
              <w:rPr>
                <w:rFonts w:hint="eastAsia" w:ascii="宋体" w:hAnsi="宋体"/>
                <w:color w:val="auto"/>
                <w:u w:val="none"/>
                <w:lang w:val="en-US" w:eastAsia="zh-CN"/>
              </w:rPr>
              <w:t>）中</w:t>
            </w:r>
            <w:r>
              <w:rPr>
                <w:rFonts w:hint="default" w:ascii="宋体" w:hAnsi="宋体"/>
                <w:color w:val="auto"/>
                <w:u w:val="none"/>
                <w:lang w:val="en-US" w:eastAsia="zh-CN"/>
              </w:rPr>
              <w:t>活性炭更换周期</w:t>
            </w:r>
            <w:r>
              <w:rPr>
                <w:rFonts w:hint="eastAsia" w:ascii="宋体" w:hAnsi="宋体"/>
                <w:color w:val="auto"/>
                <w:u w:val="none"/>
                <w:lang w:val="en-US" w:eastAsia="zh-CN"/>
              </w:rPr>
              <w:t>公式计算活性炭更换周期。</w:t>
            </w:r>
          </w:p>
          <w:p w14:paraId="3C8E646F">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480"/>
              <w:textAlignment w:val="auto"/>
              <w:rPr>
                <w:rFonts w:hint="default" w:ascii="宋体" w:hAnsi="宋体"/>
                <w:color w:val="auto"/>
                <w:u w:val="none"/>
                <w:lang w:val="en-US" w:eastAsia="zh-CN"/>
              </w:rPr>
            </w:pPr>
            <m:oMathPara>
              <m:oMath>
                <m:r>
                  <m:rPr>
                    <m:sty m:val="p"/>
                  </m:rPr>
                  <w:rPr>
                    <w:rFonts w:hint="default" w:ascii="Cambria Math" w:hAnsi="Cambria Math" w:cs="宋体"/>
                    <w:color w:val="auto"/>
                    <w:kern w:val="0"/>
                    <w:sz w:val="24"/>
                    <w:szCs w:val="20"/>
                    <w:u w:val="none"/>
                    <w:lang w:val="en-US" w:eastAsia="zh-CN" w:bidi="ar-SA"/>
                  </w:rPr>
                  <m:t>T=</m:t>
                </m:r>
                <m:f>
                  <m:fPr>
                    <m:ctrlPr>
                      <w:rPr>
                        <w:rFonts w:hint="default" w:ascii="Cambria Math" w:hAnsi="Cambria Math" w:cs="宋体"/>
                        <w:color w:val="auto"/>
                        <w:kern w:val="0"/>
                        <w:sz w:val="24"/>
                        <w:szCs w:val="20"/>
                        <w:u w:val="none"/>
                        <w:lang w:val="en-US" w:eastAsia="zh-CN" w:bidi="ar-SA"/>
                      </w:rPr>
                    </m:ctrlPr>
                  </m:fPr>
                  <m:num>
                    <m:r>
                      <m:rPr>
                        <m:sty m:val="p"/>
                      </m:rPr>
                      <w:rPr>
                        <w:rFonts w:hint="default" w:ascii="Cambria Math" w:hAnsi="Cambria Math" w:cs="宋体"/>
                        <w:color w:val="auto"/>
                        <w:kern w:val="0"/>
                        <w:sz w:val="24"/>
                        <w:szCs w:val="20"/>
                        <w:u w:val="none"/>
                        <w:lang w:val="en-US" w:eastAsia="zh-CN" w:bidi="ar-SA"/>
                      </w:rPr>
                      <m:t>M</m:t>
                    </m:r>
                    <m:r>
                      <m:rPr>
                        <m:sty m:val="p"/>
                      </m:rPr>
                      <w:rPr>
                        <w:rFonts w:hint="default" w:ascii="Cambria Math" w:hAnsi="Cambria Math" w:cs="宋体"/>
                        <w:color w:val="auto"/>
                        <w:kern w:val="0"/>
                        <w:sz w:val="24"/>
                        <w:szCs w:val="20"/>
                        <w:u w:val="none"/>
                        <w:lang w:val="en-US" w:bidi="ar-SA"/>
                      </w:rPr>
                      <m:t>×</m:t>
                    </m:r>
                    <m:r>
                      <m:rPr>
                        <m:sty m:val="p"/>
                      </m:rPr>
                      <w:rPr>
                        <w:rFonts w:hint="default" w:ascii="Cambria Math" w:hAnsi="Cambria Math" w:cs="宋体"/>
                        <w:color w:val="auto"/>
                        <w:kern w:val="0"/>
                        <w:sz w:val="24"/>
                        <w:szCs w:val="20"/>
                        <w:u w:val="none"/>
                        <w:lang w:val="en-US" w:eastAsia="zh-CN" w:bidi="ar-SA"/>
                      </w:rPr>
                      <m:t>S</m:t>
                    </m:r>
                    <m:r>
                      <m:rPr>
                        <m:sty m:val="p"/>
                      </m:rPr>
                      <w:rPr>
                        <w:rFonts w:hint="default" w:ascii="Cambria Math" w:hAnsi="Cambria Math" w:cs="宋体"/>
                        <w:color w:val="auto"/>
                        <w:kern w:val="0"/>
                        <w:sz w:val="24"/>
                        <w:szCs w:val="20"/>
                        <w:u w:val="none"/>
                        <w:lang w:val="en-US" w:bidi="ar-SA"/>
                      </w:rPr>
                      <m:t>×</m:t>
                    </m:r>
                    <m:sSup>
                      <m:sSupPr>
                        <m:ctrlPr>
                          <w:rPr>
                            <w:rFonts w:hint="default" w:ascii="Cambria Math" w:hAnsi="Cambria Math" w:cs="宋体"/>
                            <w:color w:val="auto"/>
                            <w:kern w:val="0"/>
                            <w:sz w:val="24"/>
                            <w:szCs w:val="20"/>
                            <w:u w:val="none"/>
                            <w:lang w:val="en-US" w:bidi="ar-SA"/>
                          </w:rPr>
                        </m:ctrlPr>
                      </m:sSupPr>
                      <m:e>
                        <m:r>
                          <m:rPr>
                            <m:sty m:val="p"/>
                          </m:rPr>
                          <w:rPr>
                            <w:rFonts w:hint="default" w:ascii="Cambria Math" w:hAnsi="Cambria Math" w:cs="宋体"/>
                            <w:color w:val="auto"/>
                            <w:kern w:val="0"/>
                            <w:sz w:val="24"/>
                            <w:szCs w:val="20"/>
                            <w:u w:val="none"/>
                            <w:lang w:val="en-US" w:eastAsia="zh-CN" w:bidi="ar-SA"/>
                          </w:rPr>
                          <m:t>10</m:t>
                        </m:r>
                        <m:ctrlPr>
                          <w:rPr>
                            <w:rFonts w:hint="default" w:ascii="Cambria Math" w:hAnsi="Cambria Math" w:cs="宋体"/>
                            <w:color w:val="auto"/>
                            <w:kern w:val="0"/>
                            <w:sz w:val="24"/>
                            <w:szCs w:val="20"/>
                            <w:u w:val="none"/>
                            <w:lang w:val="en-US" w:bidi="ar-SA"/>
                          </w:rPr>
                        </m:ctrlPr>
                      </m:e>
                      <m:sup>
                        <m:r>
                          <m:rPr>
                            <m:sty m:val="p"/>
                          </m:rPr>
                          <w:rPr>
                            <w:rFonts w:hint="default" w:ascii="Cambria Math" w:hAnsi="Cambria Math" w:cs="宋体"/>
                            <w:color w:val="auto"/>
                            <w:kern w:val="0"/>
                            <w:sz w:val="24"/>
                            <w:szCs w:val="20"/>
                            <w:u w:val="none"/>
                            <w:lang w:val="en-US" w:eastAsia="zh-CN" w:bidi="ar-SA"/>
                          </w:rPr>
                          <m:t>6</m:t>
                        </m:r>
                        <m:ctrlPr>
                          <w:rPr>
                            <w:rFonts w:hint="default" w:ascii="Cambria Math" w:hAnsi="Cambria Math" w:cs="宋体"/>
                            <w:color w:val="auto"/>
                            <w:kern w:val="0"/>
                            <w:sz w:val="24"/>
                            <w:szCs w:val="20"/>
                            <w:u w:val="none"/>
                            <w:lang w:val="en-US" w:bidi="ar-SA"/>
                          </w:rPr>
                        </m:ctrlPr>
                      </m:sup>
                    </m:sSup>
                    <m:ctrlPr>
                      <w:rPr>
                        <w:rFonts w:hint="default" w:ascii="Cambria Math" w:hAnsi="Cambria Math" w:cs="宋体"/>
                        <w:color w:val="auto"/>
                        <w:kern w:val="0"/>
                        <w:sz w:val="24"/>
                        <w:szCs w:val="20"/>
                        <w:u w:val="none"/>
                        <w:lang w:val="en-US" w:eastAsia="zh-CN" w:bidi="ar-SA"/>
                      </w:rPr>
                    </m:ctrlPr>
                  </m:num>
                  <m:den>
                    <m:r>
                      <m:rPr>
                        <m:sty m:val="p"/>
                      </m:rPr>
                      <w:rPr>
                        <w:rFonts w:hint="default" w:ascii="Cambria Math" w:hAnsi="Cambria Math" w:cs="宋体"/>
                        <w:color w:val="auto"/>
                        <w:kern w:val="0"/>
                        <w:sz w:val="24"/>
                        <w:szCs w:val="20"/>
                        <w:u w:val="none"/>
                        <w:lang w:val="en-US" w:eastAsia="zh-CN" w:bidi="ar-SA"/>
                      </w:rPr>
                      <m:t>C</m:t>
                    </m:r>
                    <m:r>
                      <m:rPr>
                        <m:sty m:val="p"/>
                      </m:rPr>
                      <w:rPr>
                        <w:rFonts w:hint="default" w:ascii="Cambria Math" w:hAnsi="Cambria Math" w:cs="宋体"/>
                        <w:color w:val="auto"/>
                        <w:kern w:val="0"/>
                        <w:sz w:val="24"/>
                        <w:szCs w:val="20"/>
                        <w:u w:val="none"/>
                        <w:lang w:val="en-US" w:bidi="ar-SA"/>
                      </w:rPr>
                      <m:t>×</m:t>
                    </m:r>
                    <m:r>
                      <m:rPr>
                        <m:sty m:val="p"/>
                      </m:rPr>
                      <w:rPr>
                        <w:rFonts w:hint="default" w:ascii="Cambria Math" w:hAnsi="Cambria Math" w:cs="宋体"/>
                        <w:color w:val="auto"/>
                        <w:kern w:val="0"/>
                        <w:sz w:val="24"/>
                        <w:szCs w:val="20"/>
                        <w:u w:val="none"/>
                        <w:lang w:val="en-US" w:eastAsia="zh-CN" w:bidi="ar-SA"/>
                      </w:rPr>
                      <m:t>Q</m:t>
                    </m:r>
                    <m:r>
                      <m:rPr>
                        <m:sty m:val="p"/>
                      </m:rPr>
                      <w:rPr>
                        <w:rFonts w:hint="default" w:ascii="Cambria Math" w:hAnsi="Cambria Math" w:cs="宋体"/>
                        <w:color w:val="auto"/>
                        <w:kern w:val="0"/>
                        <w:sz w:val="24"/>
                        <w:szCs w:val="20"/>
                        <w:u w:val="none"/>
                        <w:lang w:val="en-US" w:bidi="ar-SA"/>
                      </w:rPr>
                      <m:t>×</m:t>
                    </m:r>
                    <m:r>
                      <m:rPr>
                        <m:sty m:val="p"/>
                      </m:rPr>
                      <w:rPr>
                        <w:rFonts w:hint="eastAsia" w:ascii="Cambria Math" w:hAnsi="Cambria Math" w:cs="宋体"/>
                        <w:color w:val="auto"/>
                        <w:kern w:val="0"/>
                        <w:sz w:val="24"/>
                        <w:szCs w:val="20"/>
                        <w:u w:val="none"/>
                        <w:lang w:val="en-US" w:eastAsia="zh-CN" w:bidi="ar-SA"/>
                      </w:rPr>
                      <m:t>t</m:t>
                    </m:r>
                    <m:ctrlPr>
                      <w:rPr>
                        <w:rFonts w:hint="default" w:ascii="Cambria Math" w:hAnsi="Cambria Math" w:cs="宋体"/>
                        <w:color w:val="auto"/>
                        <w:kern w:val="0"/>
                        <w:sz w:val="24"/>
                        <w:szCs w:val="20"/>
                        <w:u w:val="none"/>
                        <w:lang w:val="en-US" w:eastAsia="zh-CN" w:bidi="ar-SA"/>
                      </w:rPr>
                    </m:ctrlPr>
                  </m:den>
                </m:f>
              </m:oMath>
            </m:oMathPara>
          </w:p>
          <w:p w14:paraId="7CE501D3">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式中：</w:t>
            </w:r>
          </w:p>
          <w:p w14:paraId="2291ACD2">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T——更换周期，d；</w:t>
            </w:r>
          </w:p>
          <w:p w14:paraId="3153F58D">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M——活性炭的用量，kg；</w:t>
            </w:r>
          </w:p>
          <w:p w14:paraId="0693F520">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s——动态吸附量，%；（一般取值15%）</w:t>
            </w:r>
          </w:p>
          <w:p w14:paraId="4BAC87A8">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c——进口的VOCs浓度，mg/</w:t>
            </w:r>
            <w:r>
              <w:rPr>
                <w:rFonts w:hint="eastAsia" w:cs="Times New Roman"/>
                <w:color w:val="auto"/>
                <w:sz w:val="24"/>
                <w:szCs w:val="24"/>
                <w:highlight w:val="none"/>
                <w:u w:val="none"/>
                <w:lang w:val="en-US" w:eastAsia="zh-CN"/>
              </w:rPr>
              <w:t>m³</w:t>
            </w:r>
            <w:r>
              <w:rPr>
                <w:rFonts w:hint="default" w:cs="Times New Roman"/>
                <w:color w:val="auto"/>
                <w:sz w:val="24"/>
                <w:szCs w:val="24"/>
                <w:highlight w:val="none"/>
                <w:u w:val="none"/>
                <w:lang w:val="en-US" w:eastAsia="zh-CN"/>
              </w:rPr>
              <w:t>；</w:t>
            </w:r>
          </w:p>
          <w:p w14:paraId="2772AEED">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Q——风量，</w:t>
            </w:r>
            <w:r>
              <w:rPr>
                <w:rFonts w:hint="eastAsia" w:cs="Times New Roman"/>
                <w:color w:val="auto"/>
                <w:sz w:val="24"/>
                <w:szCs w:val="24"/>
                <w:highlight w:val="none"/>
                <w:u w:val="none"/>
                <w:lang w:val="en-US" w:eastAsia="zh-CN"/>
              </w:rPr>
              <w:t>m³</w:t>
            </w:r>
            <w:r>
              <w:rPr>
                <w:rFonts w:hint="default" w:cs="Times New Roman"/>
                <w:color w:val="auto"/>
                <w:sz w:val="24"/>
                <w:szCs w:val="24"/>
                <w:highlight w:val="none"/>
                <w:u w:val="none"/>
                <w:lang w:val="en-US" w:eastAsia="zh-CN"/>
              </w:rPr>
              <w:t>/h；</w:t>
            </w:r>
          </w:p>
          <w:p w14:paraId="32696494">
            <w:pPr>
              <w:pStyle w:val="36"/>
              <w:keepNext w:val="0"/>
              <w:keepLines w:val="0"/>
              <w:suppressLineNumbers w:val="0"/>
              <w:spacing w:before="0" w:beforeAutospacing="0" w:after="0" w:afterAutospacing="0"/>
              <w:ind w:left="0" w:right="0" w:firstLine="480"/>
              <w:rPr>
                <w:rFonts w:hint="default" w:cs="Times New Roman"/>
                <w:color w:val="auto"/>
                <w:sz w:val="24"/>
                <w:szCs w:val="24"/>
                <w:highlight w:val="none"/>
                <w:u w:val="none"/>
                <w:lang w:val="en-US" w:eastAsia="zh-CN"/>
              </w:rPr>
            </w:pPr>
            <w:r>
              <w:rPr>
                <w:rFonts w:hint="default" w:cs="Times New Roman"/>
                <w:color w:val="auto"/>
                <w:sz w:val="24"/>
                <w:szCs w:val="24"/>
                <w:highlight w:val="none"/>
                <w:u w:val="none"/>
                <w:lang w:val="en-US" w:eastAsia="zh-CN"/>
              </w:rPr>
              <w:t>t——运行时间，h/d</w:t>
            </w:r>
          </w:p>
          <w:p w14:paraId="0F90987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eastAsia" w:ascii="宋体" w:hAnsi="宋体"/>
                <w:color w:val="auto"/>
                <w:u w:val="none"/>
                <w:lang w:val="en-US" w:eastAsia="zh-CN"/>
              </w:rPr>
              <w:t>计算得</w:t>
            </w:r>
            <w:r>
              <w:rPr>
                <w:rFonts w:hint="default" w:cs="Times New Roman"/>
                <w:color w:val="auto"/>
                <w:sz w:val="24"/>
                <w:szCs w:val="24"/>
                <w:highlight w:val="none"/>
                <w:u w:val="none"/>
                <w:lang w:val="en-US" w:eastAsia="zh-CN"/>
              </w:rPr>
              <w:t>更换周期</w:t>
            </w:r>
            <w:r>
              <w:rPr>
                <w:rFonts w:hint="eastAsia" w:cs="Times New Roman"/>
                <w:color w:val="auto"/>
                <w:sz w:val="24"/>
                <w:szCs w:val="24"/>
                <w:highlight w:val="none"/>
                <w:u w:val="none"/>
                <w:lang w:val="en-US" w:eastAsia="zh-CN"/>
              </w:rPr>
              <w:t>为93</w:t>
            </w:r>
            <w:r>
              <w:rPr>
                <w:rFonts w:hint="default" w:cs="Times New Roman"/>
                <w:color w:val="auto"/>
                <w:sz w:val="24"/>
                <w:szCs w:val="24"/>
                <w:highlight w:val="none"/>
                <w:u w:val="none"/>
                <w:lang w:val="en-US" w:eastAsia="zh-CN"/>
              </w:rPr>
              <w:t>d</w:t>
            </w:r>
            <w:r>
              <w:rPr>
                <w:rFonts w:hint="eastAsia" w:cs="Times New Roman"/>
                <w:color w:val="auto"/>
                <w:sz w:val="24"/>
                <w:szCs w:val="24"/>
                <w:highlight w:val="none"/>
                <w:u w:val="none"/>
                <w:lang w:val="en-US" w:eastAsia="zh-CN"/>
              </w:rPr>
              <w:t>，</w:t>
            </w:r>
            <w:r>
              <w:rPr>
                <w:rFonts w:hint="eastAsia" w:eastAsia="宋体" w:cs="Times New Roman"/>
                <w:color w:val="auto"/>
                <w:sz w:val="24"/>
                <w:szCs w:val="24"/>
                <w:highlight w:val="none"/>
                <w:u w:val="none"/>
                <w:lang w:val="en-US" w:eastAsia="zh-CN"/>
              </w:rPr>
              <w:t>为保证活性炭的吸附有效性，</w:t>
            </w:r>
            <w:r>
              <w:rPr>
                <w:rFonts w:hint="eastAsia" w:cs="Times New Roman"/>
                <w:color w:val="auto"/>
                <w:sz w:val="24"/>
                <w:szCs w:val="24"/>
                <w:highlight w:val="none"/>
                <w:u w:val="none"/>
                <w:lang w:val="en-US" w:eastAsia="zh-CN"/>
              </w:rPr>
              <w:t>本项目3个月</w:t>
            </w:r>
            <w:r>
              <w:rPr>
                <w:rFonts w:hint="eastAsia" w:eastAsia="宋体" w:cs="Times New Roman"/>
                <w:color w:val="auto"/>
                <w:sz w:val="24"/>
                <w:szCs w:val="24"/>
                <w:highlight w:val="none"/>
                <w:u w:val="none"/>
                <w:lang w:val="en-US" w:eastAsia="zh-CN"/>
              </w:rPr>
              <w:t>更换一次</w:t>
            </w:r>
            <w:r>
              <w:rPr>
                <w:rFonts w:hint="eastAsia" w:cs="Times New Roman"/>
                <w:color w:val="auto"/>
                <w:sz w:val="24"/>
                <w:szCs w:val="24"/>
                <w:highlight w:val="none"/>
                <w:u w:val="none"/>
                <w:lang w:val="en-US" w:eastAsia="zh-CN"/>
              </w:rPr>
              <w:t>，废活性炭更换次数为4次/年，则消耗活性炭量为0.14</w:t>
            </w:r>
            <w:r>
              <w:rPr>
                <w:rFonts w:hint="default"/>
                <w:color w:val="auto"/>
                <w:u w:val="none"/>
              </w:rPr>
              <w:t>t/a</w:t>
            </w:r>
            <w:r>
              <w:rPr>
                <w:rFonts w:hint="eastAsia"/>
                <w:color w:val="auto"/>
                <w:u w:val="none"/>
                <w:lang w:eastAsia="zh-CN"/>
              </w:rPr>
              <w:t>。</w:t>
            </w:r>
            <w:r>
              <w:rPr>
                <w:rFonts w:hint="eastAsia"/>
                <w:color w:val="auto"/>
                <w:u w:val="none"/>
              </w:rPr>
              <w:t>本项目需吸附的有机废气量为</w:t>
            </w:r>
            <w:r>
              <w:rPr>
                <w:rFonts w:hint="eastAsia" w:cs="Times New Roman"/>
                <w:color w:val="auto"/>
                <w:sz w:val="24"/>
                <w:szCs w:val="24"/>
                <w:highlight w:val="none"/>
                <w:u w:val="none"/>
                <w:lang w:val="en-US" w:eastAsia="zh-CN"/>
              </w:rPr>
              <w:t>0.01</w:t>
            </w:r>
            <w:r>
              <w:rPr>
                <w:rFonts w:hint="default"/>
                <w:color w:val="auto"/>
                <w:u w:val="none"/>
              </w:rPr>
              <w:t>t/a</w:t>
            </w:r>
            <w:r>
              <w:rPr>
                <w:rFonts w:hint="eastAsia"/>
                <w:color w:val="auto"/>
                <w:u w:val="none"/>
              </w:rPr>
              <w:t>，</w:t>
            </w:r>
            <w:r>
              <w:rPr>
                <w:rFonts w:hint="eastAsia"/>
                <w:color w:val="auto"/>
                <w:u w:val="none"/>
                <w:lang w:val="en-US" w:eastAsia="zh-CN"/>
              </w:rPr>
              <w:t>故废活性炭产生量为0.141</w:t>
            </w:r>
            <w:r>
              <w:rPr>
                <w:rFonts w:hint="default"/>
                <w:color w:val="auto"/>
                <w:u w:val="none"/>
              </w:rPr>
              <w:t>t/a</w:t>
            </w:r>
            <w:r>
              <w:rPr>
                <w:rFonts w:hint="eastAsia" w:cs="Times New Roman"/>
                <w:color w:val="auto"/>
                <w:sz w:val="24"/>
                <w:szCs w:val="24"/>
                <w:highlight w:val="none"/>
                <w:u w:val="none"/>
                <w:lang w:val="en-US" w:eastAsia="zh-CN"/>
              </w:rPr>
              <w:t>。</w:t>
            </w:r>
            <w:r>
              <w:rPr>
                <w:rFonts w:hint="default" w:ascii="Times New Roman" w:hAnsi="Times New Roman" w:cs="Times New Roman"/>
                <w:color w:val="auto"/>
                <w:highlight w:val="none"/>
                <w:lang w:val="en-US" w:eastAsia="zh-CN"/>
              </w:rPr>
              <w:t>对照《国家危险废物名录（202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eastAsia" w:ascii="Times New Roman" w:hAnsi="Times New Roman" w:eastAsia="宋体" w:cs="Times New Roman"/>
                <w:color w:val="auto"/>
                <w:spacing w:val="-6"/>
                <w:sz w:val="24"/>
                <w:szCs w:val="24"/>
                <w:highlight w:val="none"/>
                <w:u w:val="none"/>
                <w:lang w:val="en-US" w:eastAsia="zh-CN"/>
              </w:rPr>
              <w:t>废活性炭</w:t>
            </w:r>
            <w:r>
              <w:rPr>
                <w:rFonts w:hint="default" w:ascii="Times New Roman" w:hAnsi="Times New Roman" w:cs="Times New Roman"/>
                <w:color w:val="auto"/>
                <w:highlight w:val="none"/>
                <w:lang w:val="en-US" w:eastAsia="zh-CN"/>
              </w:rPr>
              <w:t>危废</w:t>
            </w:r>
            <w:r>
              <w:rPr>
                <w:rFonts w:hint="eastAsia" w:cs="Times New Roman"/>
                <w:color w:val="auto"/>
                <w:highlight w:val="none"/>
                <w:lang w:val="en-US" w:eastAsia="zh-CN"/>
              </w:rPr>
              <w:t>类别为</w:t>
            </w: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废物代码900-0</w:t>
            </w:r>
            <w:r>
              <w:rPr>
                <w:rFonts w:hint="eastAsia" w:ascii="Times New Roman" w:hAnsi="Times New Roman" w:cs="Times New Roman"/>
                <w:color w:val="auto"/>
                <w:highlight w:val="none"/>
                <w:lang w:val="en-US" w:eastAsia="zh-CN"/>
              </w:rPr>
              <w:t>39</w:t>
            </w:r>
            <w:r>
              <w:rPr>
                <w:rFonts w:hint="default" w:ascii="Times New Roman" w:hAnsi="Times New Roman" w:cs="Times New Roman"/>
                <w:color w:val="auto"/>
                <w:highlight w:val="none"/>
                <w:lang w:val="en-US" w:eastAsia="zh-CN"/>
              </w:rPr>
              <w:t>-49。</w:t>
            </w:r>
          </w:p>
          <w:p w14:paraId="503539CD">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pacing w:val="-6"/>
                <w:sz w:val="24"/>
                <w:szCs w:val="24"/>
                <w:highlight w:val="none"/>
                <w:u w:val="none"/>
                <w:lang w:val="en-US" w:eastAsia="zh-CN"/>
              </w:rPr>
            </w:pPr>
            <w:r>
              <w:rPr>
                <w:rFonts w:hint="eastAsia" w:cs="Times New Roman"/>
                <w:color w:val="auto"/>
                <w:spacing w:val="-6"/>
                <w:sz w:val="24"/>
                <w:szCs w:val="24"/>
                <w:highlight w:val="none"/>
                <w:u w:val="none"/>
                <w:lang w:val="en-US" w:eastAsia="zh-CN"/>
              </w:rPr>
              <w:t>⑥</w:t>
            </w:r>
            <w:r>
              <w:rPr>
                <w:rFonts w:hint="eastAsia" w:ascii="Times New Roman" w:hAnsi="Times New Roman" w:eastAsia="宋体" w:cs="Times New Roman"/>
                <w:color w:val="auto"/>
                <w:spacing w:val="-6"/>
                <w:sz w:val="24"/>
                <w:szCs w:val="24"/>
                <w:highlight w:val="none"/>
                <w:u w:val="none"/>
                <w:lang w:val="en-US" w:eastAsia="zh-CN"/>
              </w:rPr>
              <w:t>S</w:t>
            </w:r>
            <w:r>
              <w:rPr>
                <w:rFonts w:hint="eastAsia" w:cs="Times New Roman"/>
                <w:color w:val="auto"/>
                <w:spacing w:val="-6"/>
                <w:sz w:val="24"/>
                <w:szCs w:val="24"/>
                <w:highlight w:val="none"/>
                <w:u w:val="none"/>
                <w:lang w:val="en-US" w:eastAsia="zh-CN"/>
              </w:rPr>
              <w:t>10</w:t>
            </w:r>
            <w:r>
              <w:rPr>
                <w:rFonts w:hint="eastAsia" w:ascii="Times New Roman" w:hAnsi="Times New Roman" w:eastAsia="宋体" w:cs="Times New Roman"/>
                <w:color w:val="auto"/>
                <w:spacing w:val="-6"/>
                <w:sz w:val="24"/>
                <w:szCs w:val="24"/>
                <w:highlight w:val="none"/>
                <w:u w:val="none"/>
                <w:lang w:val="en-US" w:eastAsia="zh-CN"/>
              </w:rPr>
              <w:t>喷淋废液</w:t>
            </w:r>
          </w:p>
          <w:p w14:paraId="0280C3B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项目设置喷淋塔，其更换的废水量为</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t/a。将喷淋塔废水倒入专用的废液收集桶，收集后于危废暂存间存放，并委托有危废处置资质的单位收集处理。对照《国家危险废物名录（202</w:t>
            </w:r>
            <w:r>
              <w:rPr>
                <w:rFonts w:hint="eastAsia" w:cs="Times New Roman"/>
                <w:color w:val="auto"/>
                <w:highlight w:val="none"/>
                <w:lang w:val="en-US" w:eastAsia="zh-CN"/>
              </w:rPr>
              <w:t>5</w:t>
            </w:r>
            <w:r>
              <w:rPr>
                <w:rFonts w:hint="default" w:ascii="Times New Roman" w:hAnsi="Times New Roman" w:cs="Times New Roman"/>
                <w:color w:val="auto"/>
                <w:highlight w:val="none"/>
                <w:lang w:val="en-US" w:eastAsia="zh-CN"/>
              </w:rPr>
              <w:t>年版）》，喷淋塔废水危废</w:t>
            </w:r>
            <w:r>
              <w:rPr>
                <w:rFonts w:hint="eastAsia" w:cs="Times New Roman"/>
                <w:color w:val="auto"/>
                <w:highlight w:val="none"/>
                <w:lang w:val="en-US" w:eastAsia="zh-CN"/>
              </w:rPr>
              <w:t>类别为</w:t>
            </w:r>
            <w:r>
              <w:rPr>
                <w:rFonts w:hint="default" w:ascii="Times New Roman" w:hAnsi="Times New Roman" w:cs="Times New Roman"/>
                <w:color w:val="auto"/>
                <w:highlight w:val="none"/>
                <w:lang w:val="en-US" w:eastAsia="zh-CN"/>
              </w:rPr>
              <w:t>HW49，废物代码900-047-49。</w:t>
            </w:r>
          </w:p>
          <w:p w14:paraId="72AB68B2">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pacing w:val="-6"/>
                <w:sz w:val="24"/>
                <w:szCs w:val="24"/>
                <w:highlight w:val="none"/>
                <w:u w:val="none"/>
                <w:lang w:val="en-US" w:eastAsia="zh-CN"/>
              </w:rPr>
            </w:pPr>
            <w:r>
              <w:rPr>
                <w:rFonts w:hint="eastAsia" w:cs="Times New Roman"/>
                <w:color w:val="auto"/>
                <w:spacing w:val="-6"/>
                <w:sz w:val="24"/>
                <w:szCs w:val="24"/>
                <w:highlight w:val="none"/>
                <w:u w:val="none"/>
                <w:lang w:val="en-US" w:eastAsia="zh-CN"/>
              </w:rPr>
              <w:t>⑦</w:t>
            </w:r>
            <w:r>
              <w:rPr>
                <w:rFonts w:hint="eastAsia" w:ascii="Times New Roman" w:hAnsi="Times New Roman" w:eastAsia="宋体" w:cs="Times New Roman"/>
                <w:color w:val="auto"/>
                <w:spacing w:val="-6"/>
                <w:sz w:val="24"/>
                <w:szCs w:val="24"/>
                <w:highlight w:val="none"/>
                <w:u w:val="none"/>
                <w:lang w:val="en-US" w:eastAsia="zh-CN"/>
              </w:rPr>
              <w:t>S1</w:t>
            </w:r>
            <w:r>
              <w:rPr>
                <w:rFonts w:hint="eastAsia" w:cs="Times New Roman"/>
                <w:color w:val="auto"/>
                <w:spacing w:val="-6"/>
                <w:sz w:val="24"/>
                <w:szCs w:val="24"/>
                <w:highlight w:val="none"/>
                <w:u w:val="none"/>
                <w:lang w:val="en-US" w:eastAsia="zh-CN"/>
              </w:rPr>
              <w:t>1</w:t>
            </w:r>
            <w:r>
              <w:rPr>
                <w:rFonts w:hint="eastAsia" w:ascii="Times New Roman" w:hAnsi="Times New Roman" w:eastAsia="宋体" w:cs="Times New Roman"/>
                <w:color w:val="auto"/>
                <w:spacing w:val="-6"/>
                <w:sz w:val="24"/>
                <w:szCs w:val="24"/>
                <w:highlight w:val="none"/>
                <w:u w:val="none"/>
                <w:lang w:val="en-US" w:eastAsia="zh-CN"/>
              </w:rPr>
              <w:t>污泥</w:t>
            </w:r>
          </w:p>
          <w:p w14:paraId="2329C671">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项目设置</w:t>
            </w:r>
            <w:r>
              <w:rPr>
                <w:rFonts w:hint="eastAsia" w:ascii="Times New Roman" w:hAnsi="Times New Roman" w:cs="Times New Roman"/>
                <w:color w:val="auto"/>
                <w:highlight w:val="none"/>
                <w:lang w:val="en-US" w:eastAsia="zh-CN"/>
              </w:rPr>
              <w:t>实验室废水处理设施</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处理设施运行污泥产生量约</w:t>
            </w:r>
            <w:r>
              <w:rPr>
                <w:rFonts w:hint="default" w:ascii="Times New Roman" w:hAnsi="Times New Roman" w:cs="Times New Roman"/>
                <w:color w:val="auto"/>
                <w:highlight w:val="none"/>
                <w:lang w:val="en-US" w:eastAsia="zh-CN"/>
              </w:rPr>
              <w:t>为</w:t>
            </w:r>
            <w:r>
              <w:rPr>
                <w:rFonts w:hint="eastAsia" w:cs="Times New Roman"/>
                <w:color w:val="auto"/>
                <w:highlight w:val="none"/>
                <w:lang w:val="en-US" w:eastAsia="zh-CN"/>
              </w:rPr>
              <w:t>0.01</w:t>
            </w:r>
            <w:r>
              <w:rPr>
                <w:rFonts w:hint="default" w:ascii="Times New Roman" w:hAnsi="Times New Roman" w:cs="Times New Roman"/>
                <w:color w:val="auto"/>
                <w:highlight w:val="none"/>
                <w:lang w:val="en-US" w:eastAsia="zh-CN"/>
              </w:rPr>
              <w:t>t/a。</w:t>
            </w:r>
            <w:r>
              <w:rPr>
                <w:rFonts w:hint="eastAsia" w:ascii="Times New Roman" w:hAnsi="Times New Roman" w:cs="Times New Roman"/>
                <w:color w:val="auto"/>
                <w:highlight w:val="none"/>
                <w:lang w:val="en-US" w:eastAsia="zh-CN"/>
              </w:rPr>
              <w:t>污泥</w:t>
            </w:r>
            <w:r>
              <w:rPr>
                <w:rFonts w:hint="default" w:ascii="Times New Roman" w:hAnsi="Times New Roman" w:cs="Times New Roman"/>
                <w:color w:val="auto"/>
                <w:highlight w:val="none"/>
                <w:lang w:val="en-US" w:eastAsia="zh-CN"/>
              </w:rPr>
              <w:t>收集后于危废暂存间存放，并委托有危废处置资质的单位收集处理。对照《国家危险废物名录（202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eastAsia" w:ascii="Times New Roman" w:hAnsi="Times New Roman" w:cs="Times New Roman"/>
                <w:color w:val="auto"/>
                <w:highlight w:val="none"/>
                <w:lang w:val="en-US" w:eastAsia="zh-CN"/>
              </w:rPr>
              <w:t>该污泥</w:t>
            </w:r>
            <w:r>
              <w:rPr>
                <w:rFonts w:hint="default" w:ascii="Times New Roman" w:hAnsi="Times New Roman" w:cs="Times New Roman"/>
                <w:color w:val="auto"/>
                <w:highlight w:val="none"/>
                <w:lang w:val="en-US" w:eastAsia="zh-CN"/>
              </w:rPr>
              <w:t>危废</w:t>
            </w:r>
            <w:r>
              <w:rPr>
                <w:rFonts w:hint="eastAsia" w:cs="Times New Roman"/>
                <w:color w:val="auto"/>
                <w:highlight w:val="none"/>
                <w:lang w:val="en-US" w:eastAsia="zh-CN"/>
              </w:rPr>
              <w:t>类别为</w:t>
            </w:r>
            <w:r>
              <w:rPr>
                <w:rFonts w:hint="default" w:ascii="Times New Roman" w:hAnsi="Times New Roman" w:cs="Times New Roman"/>
                <w:color w:val="auto"/>
                <w:highlight w:val="none"/>
                <w:lang w:val="en-US" w:eastAsia="zh-CN"/>
              </w:rPr>
              <w:t>HW49，废物代码772-006-49。</w:t>
            </w:r>
          </w:p>
          <w:p w14:paraId="60FDC523">
            <w:pPr>
              <w:pStyle w:val="36"/>
              <w:keepNext w:val="0"/>
              <w:keepLines w:val="0"/>
              <w:suppressLineNumbers w:val="0"/>
              <w:spacing w:before="0" w:beforeAutospacing="0" w:after="0" w:afterAutospacing="0"/>
              <w:ind w:left="0" w:right="0" w:firstLine="480"/>
              <w:rPr>
                <w:rFonts w:hint="eastAsia" w:cs="Times New Roman"/>
                <w:color w:val="auto"/>
                <w:spacing w:val="-6"/>
                <w:sz w:val="24"/>
                <w:szCs w:val="24"/>
                <w:highlight w:val="none"/>
                <w:u w:val="none"/>
                <w:lang w:val="en-US" w:eastAsia="zh-CN"/>
              </w:rPr>
            </w:pPr>
            <w:r>
              <w:rPr>
                <w:rFonts w:hint="eastAsia" w:cs="Times New Roman"/>
                <w:color w:val="auto"/>
                <w:spacing w:val="-6"/>
                <w:sz w:val="24"/>
                <w:szCs w:val="24"/>
                <w:highlight w:val="none"/>
                <w:u w:val="none"/>
                <w:lang w:val="en-US" w:eastAsia="zh-CN"/>
              </w:rPr>
              <w:t>⑧S12废重金属捕捉器</w:t>
            </w:r>
          </w:p>
          <w:p w14:paraId="3700A927">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项目设置</w:t>
            </w:r>
            <w:r>
              <w:rPr>
                <w:rFonts w:hint="eastAsia" w:ascii="Times New Roman" w:hAnsi="Times New Roman" w:cs="Times New Roman"/>
                <w:color w:val="auto"/>
                <w:highlight w:val="none"/>
                <w:lang w:val="en-US" w:eastAsia="zh-CN"/>
              </w:rPr>
              <w:t>实验室废水处理设施</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处理设施运行</w:t>
            </w:r>
            <w:r>
              <w:rPr>
                <w:rFonts w:hint="eastAsia" w:cs="Times New Roman"/>
                <w:color w:val="auto"/>
                <w:highlight w:val="none"/>
                <w:lang w:val="en-US" w:eastAsia="zh-CN"/>
              </w:rPr>
              <w:t>定期需要对</w:t>
            </w:r>
            <w:r>
              <w:rPr>
                <w:rFonts w:hint="eastAsia" w:cs="Times New Roman"/>
                <w:color w:val="auto"/>
                <w:spacing w:val="-6"/>
                <w:sz w:val="24"/>
                <w:szCs w:val="24"/>
                <w:highlight w:val="none"/>
                <w:u w:val="none"/>
                <w:lang w:val="en-US" w:eastAsia="zh-CN"/>
              </w:rPr>
              <w:t>重金属捕捉器进行更换，</w:t>
            </w:r>
            <w:r>
              <w:rPr>
                <w:rFonts w:hint="eastAsia" w:ascii="Times New Roman" w:hAnsi="Times New Roman" w:cs="Times New Roman"/>
                <w:color w:val="auto"/>
                <w:highlight w:val="none"/>
                <w:lang w:val="en-US" w:eastAsia="zh-CN"/>
              </w:rPr>
              <w:t>产生量约</w:t>
            </w:r>
            <w:r>
              <w:rPr>
                <w:rFonts w:hint="default" w:ascii="Times New Roman" w:hAnsi="Times New Roman" w:cs="Times New Roman"/>
                <w:color w:val="auto"/>
                <w:highlight w:val="none"/>
                <w:lang w:val="en-US" w:eastAsia="zh-CN"/>
              </w:rPr>
              <w:t>为</w:t>
            </w:r>
            <w:r>
              <w:rPr>
                <w:rFonts w:hint="eastAsia" w:cs="Times New Roman"/>
                <w:color w:val="auto"/>
                <w:highlight w:val="none"/>
                <w:lang w:val="en-US" w:eastAsia="zh-CN"/>
              </w:rPr>
              <w:t>0.01</w:t>
            </w:r>
            <w:r>
              <w:rPr>
                <w:rFonts w:hint="default" w:ascii="Times New Roman" w:hAnsi="Times New Roman" w:cs="Times New Roman"/>
                <w:color w:val="auto"/>
                <w:highlight w:val="none"/>
                <w:lang w:val="en-US" w:eastAsia="zh-CN"/>
              </w:rPr>
              <w:t>t/a。</w:t>
            </w:r>
            <w:r>
              <w:rPr>
                <w:rFonts w:hint="eastAsia" w:cs="Times New Roman"/>
                <w:color w:val="auto"/>
                <w:spacing w:val="-6"/>
                <w:sz w:val="24"/>
                <w:szCs w:val="24"/>
                <w:highlight w:val="none"/>
                <w:u w:val="none"/>
                <w:lang w:val="en-US" w:eastAsia="zh-CN"/>
              </w:rPr>
              <w:t>废重金属捕捉器收集</w:t>
            </w:r>
            <w:r>
              <w:rPr>
                <w:rFonts w:hint="default" w:ascii="Times New Roman" w:hAnsi="Times New Roman" w:cs="Times New Roman"/>
                <w:color w:val="auto"/>
                <w:highlight w:val="none"/>
                <w:lang w:val="en-US" w:eastAsia="zh-CN"/>
              </w:rPr>
              <w:t>于危废暂存间存放，并委托有危废处置资质的单位收集处理。对照《国家危险废物名录（202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eastAsia" w:cs="Times New Roman"/>
                <w:color w:val="auto"/>
                <w:spacing w:val="-6"/>
                <w:sz w:val="24"/>
                <w:szCs w:val="24"/>
                <w:highlight w:val="none"/>
                <w:u w:val="none"/>
                <w:lang w:val="en-US" w:eastAsia="zh-CN"/>
              </w:rPr>
              <w:t>废重金属捕捉器</w:t>
            </w:r>
            <w:r>
              <w:rPr>
                <w:rFonts w:hint="default" w:ascii="Times New Roman" w:hAnsi="Times New Roman" w:cs="Times New Roman"/>
                <w:color w:val="auto"/>
                <w:highlight w:val="none"/>
                <w:lang w:val="en-US" w:eastAsia="zh-CN"/>
              </w:rPr>
              <w:t>危废</w:t>
            </w:r>
            <w:r>
              <w:rPr>
                <w:rFonts w:hint="eastAsia" w:cs="Times New Roman"/>
                <w:color w:val="auto"/>
                <w:highlight w:val="none"/>
                <w:lang w:val="en-US" w:eastAsia="zh-CN"/>
              </w:rPr>
              <w:t>类别为</w:t>
            </w:r>
            <w:r>
              <w:rPr>
                <w:rFonts w:hint="default" w:ascii="Times New Roman" w:hAnsi="Times New Roman" w:cs="Times New Roman"/>
                <w:color w:val="auto"/>
                <w:highlight w:val="none"/>
                <w:lang w:val="en-US" w:eastAsia="zh-CN"/>
              </w:rPr>
              <w:t>HW49，废物代码900-04</w:t>
            </w:r>
            <w:r>
              <w:rPr>
                <w:rFonts w:hint="eastAsia" w:cs="Times New Roman"/>
                <w:color w:val="auto"/>
                <w:highlight w:val="none"/>
                <w:lang w:val="en-US" w:eastAsia="zh-CN"/>
              </w:rPr>
              <w:t>1</w:t>
            </w:r>
            <w:r>
              <w:rPr>
                <w:rFonts w:hint="default" w:ascii="Times New Roman" w:hAnsi="Times New Roman" w:cs="Times New Roman"/>
                <w:color w:val="auto"/>
                <w:highlight w:val="none"/>
                <w:lang w:val="en-US" w:eastAsia="zh-CN"/>
              </w:rPr>
              <w:t>-49。</w:t>
            </w:r>
          </w:p>
          <w:p w14:paraId="60DD7C68">
            <w:pPr>
              <w:pStyle w:val="36"/>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pacing w:val="-6"/>
                <w:sz w:val="24"/>
                <w:szCs w:val="24"/>
                <w:highlight w:val="none"/>
                <w:u w:val="none"/>
                <w:lang w:val="en-US" w:eastAsia="zh-CN"/>
              </w:rPr>
            </w:pPr>
            <w:r>
              <w:rPr>
                <w:rFonts w:hint="eastAsia" w:cs="Times New Roman"/>
                <w:color w:val="auto"/>
                <w:spacing w:val="-6"/>
                <w:sz w:val="24"/>
                <w:szCs w:val="24"/>
                <w:highlight w:val="none"/>
                <w:u w:val="none"/>
                <w:lang w:val="en-US" w:eastAsia="zh-CN"/>
              </w:rPr>
              <w:t>⑨</w:t>
            </w:r>
            <w:r>
              <w:rPr>
                <w:rFonts w:hint="eastAsia" w:ascii="Times New Roman" w:hAnsi="Times New Roman" w:eastAsia="宋体" w:cs="Times New Roman"/>
                <w:color w:val="auto"/>
                <w:spacing w:val="-6"/>
                <w:sz w:val="24"/>
                <w:szCs w:val="24"/>
                <w:highlight w:val="none"/>
                <w:u w:val="none"/>
                <w:lang w:val="en-US" w:eastAsia="zh-CN"/>
              </w:rPr>
              <w:t>S1</w:t>
            </w:r>
            <w:r>
              <w:rPr>
                <w:rFonts w:hint="eastAsia" w:cs="Times New Roman"/>
                <w:color w:val="auto"/>
                <w:spacing w:val="-6"/>
                <w:sz w:val="24"/>
                <w:szCs w:val="24"/>
                <w:highlight w:val="none"/>
                <w:u w:val="none"/>
                <w:lang w:val="en-US" w:eastAsia="zh-CN"/>
              </w:rPr>
              <w:t>3</w:t>
            </w:r>
            <w:r>
              <w:rPr>
                <w:rFonts w:hint="eastAsia" w:ascii="Times New Roman" w:hAnsi="Times New Roman" w:eastAsia="宋体" w:cs="Times New Roman"/>
                <w:color w:val="auto"/>
                <w:spacing w:val="-6"/>
                <w:sz w:val="24"/>
                <w:szCs w:val="24"/>
                <w:highlight w:val="none"/>
                <w:u w:val="none"/>
                <w:lang w:val="en-US" w:eastAsia="zh-CN"/>
              </w:rPr>
              <w:t>废活性炭</w:t>
            </w:r>
            <w:r>
              <w:rPr>
                <w:rFonts w:hint="eastAsia"/>
                <w:color w:val="auto"/>
                <w:highlight w:val="none"/>
                <w:lang w:val="en-US" w:eastAsia="zh-CN"/>
              </w:rPr>
              <w:t>、</w:t>
            </w:r>
            <w:r>
              <w:rPr>
                <w:rFonts w:hint="default" w:ascii="Times New Roman" w:hAnsi="Times New Roman" w:eastAsia="宋体" w:cs="Times New Roman"/>
                <w:color w:val="auto"/>
                <w:spacing w:val="-6"/>
                <w:sz w:val="24"/>
                <w:szCs w:val="24"/>
                <w:highlight w:val="none"/>
                <w:u w:val="none"/>
                <w:lang w:val="en-US" w:eastAsia="zh-CN"/>
              </w:rPr>
              <w:t>S1</w:t>
            </w:r>
            <w:r>
              <w:rPr>
                <w:rFonts w:hint="eastAsia" w:cs="Times New Roman"/>
                <w:color w:val="auto"/>
                <w:spacing w:val="-6"/>
                <w:sz w:val="24"/>
                <w:szCs w:val="24"/>
                <w:highlight w:val="none"/>
                <w:u w:val="none"/>
                <w:lang w:val="en-US" w:eastAsia="zh-CN"/>
              </w:rPr>
              <w:t>4</w:t>
            </w:r>
            <w:r>
              <w:rPr>
                <w:rFonts w:hint="default" w:ascii="Times New Roman" w:hAnsi="Times New Roman" w:eastAsia="宋体" w:cs="Times New Roman"/>
                <w:color w:val="auto"/>
                <w:spacing w:val="-6"/>
                <w:sz w:val="24"/>
                <w:szCs w:val="24"/>
                <w:highlight w:val="none"/>
                <w:u w:val="none"/>
                <w:lang w:val="en-US" w:eastAsia="zh-CN"/>
              </w:rPr>
              <w:t>废</w:t>
            </w:r>
            <w:r>
              <w:rPr>
                <w:rFonts w:hint="eastAsia" w:ascii="Times New Roman" w:hAnsi="Times New Roman" w:eastAsia="宋体" w:cs="Times New Roman"/>
                <w:color w:val="auto"/>
                <w:spacing w:val="-6"/>
                <w:sz w:val="24"/>
                <w:szCs w:val="24"/>
                <w:highlight w:val="none"/>
                <w:u w:val="none"/>
                <w:lang w:val="en-US" w:eastAsia="zh-CN"/>
              </w:rPr>
              <w:t>石英砂</w:t>
            </w:r>
          </w:p>
          <w:p w14:paraId="4274AAD4">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w:t>
            </w:r>
            <w:r>
              <w:rPr>
                <w:rFonts w:hint="eastAsia" w:ascii="Times New Roman" w:hAnsi="Times New Roman" w:cs="Times New Roman"/>
                <w:color w:val="auto"/>
                <w:highlight w:val="none"/>
                <w:lang w:val="en-US" w:eastAsia="zh-CN"/>
              </w:rPr>
              <w:t>实验室废水处理设施末端设置多介质（</w:t>
            </w:r>
            <w:r>
              <w:rPr>
                <w:rFonts w:hint="eastAsia" w:ascii="Times New Roman" w:hAnsi="Times New Roman" w:eastAsia="宋体" w:cs="Times New Roman"/>
                <w:color w:val="auto"/>
                <w:spacing w:val="-6"/>
                <w:sz w:val="24"/>
                <w:szCs w:val="24"/>
                <w:highlight w:val="none"/>
                <w:u w:val="none"/>
                <w:lang w:val="en-US" w:eastAsia="zh-CN"/>
              </w:rPr>
              <w:t>活性炭、石英砂</w:t>
            </w:r>
            <w:r>
              <w:rPr>
                <w:rFonts w:hint="eastAsia" w:ascii="Times New Roman" w:hAnsi="Times New Roman" w:cs="Times New Roman"/>
                <w:color w:val="auto"/>
                <w:highlight w:val="none"/>
                <w:lang w:val="en-US" w:eastAsia="zh-CN"/>
              </w:rPr>
              <w:t>）过滤系统</w:t>
            </w:r>
            <w:r>
              <w:rPr>
                <w:rFonts w:hint="default" w:ascii="Times New Roman" w:hAnsi="Times New Roman" w:cs="Times New Roman"/>
                <w:color w:val="auto"/>
                <w:highlight w:val="none"/>
                <w:lang w:val="en-US" w:eastAsia="zh-CN"/>
              </w:rPr>
              <w:t>，其更换量</w:t>
            </w:r>
            <w:r>
              <w:rPr>
                <w:rFonts w:hint="eastAsia" w:ascii="Times New Roman" w:hAnsi="Times New Roman" w:cs="Times New Roman"/>
                <w:color w:val="auto"/>
                <w:highlight w:val="none"/>
                <w:lang w:val="en-US" w:eastAsia="zh-CN"/>
              </w:rPr>
              <w:t>约</w:t>
            </w:r>
            <w:r>
              <w:rPr>
                <w:rFonts w:hint="default" w:ascii="Times New Roman" w:hAnsi="Times New Roman" w:cs="Times New Roman"/>
                <w:color w:val="auto"/>
                <w:highlight w:val="none"/>
                <w:lang w:val="en-US" w:eastAsia="zh-CN"/>
              </w:rPr>
              <w:t>为</w:t>
            </w:r>
            <w:r>
              <w:rPr>
                <w:rFonts w:hint="eastAsia" w:cs="Times New Roman"/>
                <w:color w:val="auto"/>
                <w:highlight w:val="none"/>
                <w:lang w:val="en-US" w:eastAsia="zh-CN"/>
              </w:rPr>
              <w:t>0.05</w:t>
            </w:r>
            <w:r>
              <w:rPr>
                <w:rFonts w:hint="default" w:ascii="Times New Roman" w:hAnsi="Times New Roman" w:cs="Times New Roman"/>
                <w:color w:val="auto"/>
                <w:highlight w:val="none"/>
                <w:lang w:val="en-US" w:eastAsia="zh-CN"/>
              </w:rPr>
              <w:t>t/a。</w:t>
            </w:r>
            <w:r>
              <w:rPr>
                <w:rFonts w:hint="eastAsia" w:ascii="Times New Roman" w:hAnsi="Times New Roman" w:eastAsia="宋体" w:cs="Times New Roman"/>
                <w:color w:val="auto"/>
                <w:spacing w:val="-6"/>
                <w:sz w:val="24"/>
                <w:szCs w:val="24"/>
                <w:highlight w:val="none"/>
                <w:u w:val="none"/>
                <w:lang w:val="en-US" w:eastAsia="zh-CN"/>
              </w:rPr>
              <w:t>废活性炭、废石英砂</w:t>
            </w:r>
            <w:r>
              <w:rPr>
                <w:rFonts w:hint="default" w:ascii="Times New Roman" w:hAnsi="Times New Roman" w:cs="Times New Roman"/>
                <w:color w:val="auto"/>
                <w:highlight w:val="none"/>
                <w:lang w:val="en-US" w:eastAsia="zh-CN"/>
              </w:rPr>
              <w:t>收集后于危废暂存间存放，并委托有危废处置资质的单位收集处理。对照《国家危险废物名录（202</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年版）》，</w:t>
            </w:r>
            <w:r>
              <w:rPr>
                <w:rFonts w:hint="eastAsia" w:ascii="Times New Roman" w:hAnsi="Times New Roman" w:eastAsia="宋体" w:cs="Times New Roman"/>
                <w:color w:val="auto"/>
                <w:spacing w:val="-6"/>
                <w:sz w:val="24"/>
                <w:szCs w:val="24"/>
                <w:highlight w:val="none"/>
                <w:u w:val="none"/>
                <w:lang w:val="en-US" w:eastAsia="zh-CN"/>
              </w:rPr>
              <w:t>废活性炭、废石英砂</w:t>
            </w:r>
            <w:r>
              <w:rPr>
                <w:rFonts w:hint="default" w:ascii="Times New Roman" w:hAnsi="Times New Roman" w:cs="Times New Roman"/>
                <w:color w:val="auto"/>
                <w:highlight w:val="none"/>
                <w:lang w:val="en-US" w:eastAsia="zh-CN"/>
              </w:rPr>
              <w:t>危废</w:t>
            </w:r>
            <w:r>
              <w:rPr>
                <w:rFonts w:hint="eastAsia" w:cs="Times New Roman"/>
                <w:color w:val="auto"/>
                <w:highlight w:val="none"/>
                <w:lang w:val="en-US" w:eastAsia="zh-CN"/>
              </w:rPr>
              <w:t>类别为</w:t>
            </w:r>
            <w:r>
              <w:rPr>
                <w:rFonts w:hint="default" w:ascii="Times New Roman" w:hAnsi="Times New Roman" w:cs="Times New Roman"/>
                <w:color w:val="auto"/>
                <w:highlight w:val="none"/>
                <w:lang w:val="en-US" w:eastAsia="zh-CN"/>
              </w:rPr>
              <w:t>HW49，废物代码900-041-49。</w:t>
            </w:r>
          </w:p>
          <w:p w14:paraId="52249E88">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表4.5-1本项目危险固废产生情况及处置一览表</w:t>
            </w:r>
          </w:p>
          <w:tbl>
            <w:tblPr>
              <w:tblStyle w:val="28"/>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757"/>
              <w:gridCol w:w="2034"/>
              <w:gridCol w:w="1339"/>
              <w:gridCol w:w="1961"/>
              <w:gridCol w:w="2041"/>
            </w:tblGrid>
            <w:tr w14:paraId="119DEE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1716" w:type="pct"/>
                  <w:gridSpan w:val="2"/>
                  <w:noWrap w:val="0"/>
                  <w:vAlign w:val="center"/>
                </w:tcPr>
                <w:p w14:paraId="6279E139">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类别</w:t>
                  </w:r>
                </w:p>
              </w:tc>
              <w:tc>
                <w:tcPr>
                  <w:tcW w:w="823" w:type="pct"/>
                  <w:noWrap w:val="0"/>
                  <w:vAlign w:val="center"/>
                </w:tcPr>
                <w:p w14:paraId="0251AE7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产生量（t/a）</w:t>
                  </w:r>
                </w:p>
              </w:tc>
              <w:tc>
                <w:tcPr>
                  <w:tcW w:w="1205" w:type="pct"/>
                  <w:noWrap w:val="0"/>
                  <w:vAlign w:val="center"/>
                </w:tcPr>
                <w:p w14:paraId="79FB723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cs="Times New Roman"/>
                      <w:b w:val="0"/>
                      <w:bCs w:val="0"/>
                      <w:color w:val="auto"/>
                      <w:sz w:val="21"/>
                      <w:szCs w:val="21"/>
                    </w:rPr>
                    <w:t>废物代码</w:t>
                  </w:r>
                </w:p>
              </w:tc>
              <w:tc>
                <w:tcPr>
                  <w:tcW w:w="1254" w:type="pct"/>
                  <w:noWrap w:val="0"/>
                  <w:vAlign w:val="center"/>
                </w:tcPr>
                <w:p w14:paraId="0D16B660">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处置方法</w:t>
                  </w:r>
                </w:p>
              </w:tc>
            </w:tr>
            <w:tr w14:paraId="597B39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restart"/>
                  <w:tcBorders>
                    <w:right w:val="single" w:color="auto" w:sz="4" w:space="0"/>
                  </w:tcBorders>
                  <w:noWrap w:val="0"/>
                  <w:vAlign w:val="center"/>
                </w:tcPr>
                <w:p w14:paraId="409F9A7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危险</w:t>
                  </w:r>
                </w:p>
                <w:p w14:paraId="616B275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废物</w:t>
                  </w:r>
                </w:p>
              </w:tc>
              <w:tc>
                <w:tcPr>
                  <w:tcW w:w="1250" w:type="pct"/>
                  <w:tcBorders>
                    <w:left w:val="single" w:color="auto" w:sz="4" w:space="0"/>
                  </w:tcBorders>
                  <w:noWrap w:val="0"/>
                  <w:vAlign w:val="center"/>
                </w:tcPr>
                <w:p w14:paraId="295EFD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ar-SA"/>
                    </w:rPr>
                  </w:pPr>
                  <w:r>
                    <w:rPr>
                      <w:rFonts w:hint="default"/>
                      <w:color w:val="auto"/>
                      <w:lang w:val="en-US" w:eastAsia="zh-CN"/>
                    </w:rPr>
                    <w:t>废</w:t>
                  </w:r>
                  <w:r>
                    <w:rPr>
                      <w:rFonts w:hint="eastAsia"/>
                      <w:color w:val="auto"/>
                      <w:lang w:val="en-US" w:eastAsia="zh-CN"/>
                    </w:rPr>
                    <w:t>试剂</w:t>
                  </w:r>
                  <w:r>
                    <w:rPr>
                      <w:rFonts w:hint="default"/>
                      <w:color w:val="auto"/>
                      <w:lang w:val="en-US" w:eastAsia="zh-CN"/>
                    </w:rPr>
                    <w:t>包装</w:t>
                  </w:r>
                  <w:r>
                    <w:rPr>
                      <w:rFonts w:hint="eastAsia"/>
                      <w:color w:val="auto"/>
                      <w:lang w:val="en-US" w:eastAsia="zh-CN"/>
                    </w:rPr>
                    <w:t>物</w:t>
                  </w:r>
                </w:p>
              </w:tc>
              <w:tc>
                <w:tcPr>
                  <w:tcW w:w="823" w:type="pct"/>
                  <w:noWrap w:val="0"/>
                  <w:vAlign w:val="center"/>
                </w:tcPr>
                <w:p w14:paraId="3280367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0.02</w:t>
                  </w:r>
                </w:p>
              </w:tc>
              <w:tc>
                <w:tcPr>
                  <w:tcW w:w="1205" w:type="pct"/>
                  <w:noWrap w:val="0"/>
                  <w:vAlign w:val="center"/>
                </w:tcPr>
                <w:p w14:paraId="155F3E8B">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HW49</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900-047-49</w:t>
                  </w:r>
                </w:p>
              </w:tc>
              <w:tc>
                <w:tcPr>
                  <w:tcW w:w="1254" w:type="pct"/>
                  <w:vMerge w:val="restart"/>
                  <w:noWrap w:val="0"/>
                  <w:vAlign w:val="center"/>
                </w:tcPr>
                <w:p w14:paraId="16FB0864">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Calibri" w:hAnsi="Calibri" w:eastAsia="宋体" w:cs="Times New Roman"/>
                      <w:b w:val="0"/>
                      <w:bCs w:val="0"/>
                      <w:color w:val="auto"/>
                      <w:sz w:val="21"/>
                      <w:szCs w:val="21"/>
                      <w:lang w:val="en-US" w:eastAsia="zh-CN"/>
                    </w:rPr>
                  </w:pPr>
                  <w:r>
                    <w:rPr>
                      <w:rFonts w:hint="default" w:ascii="Calibri" w:hAnsi="Calibri" w:eastAsia="宋体" w:cs="Times New Roman"/>
                      <w:b w:val="0"/>
                      <w:bCs w:val="0"/>
                      <w:color w:val="auto"/>
                      <w:sz w:val="21"/>
                      <w:szCs w:val="21"/>
                      <w:lang w:val="en-US" w:eastAsia="zh-CN"/>
                    </w:rPr>
                    <w:t>收集后在实验室设置的危险废物暂存间暂存，委托有资质的危废处置单位进行无害化处理</w:t>
                  </w:r>
                </w:p>
              </w:tc>
            </w:tr>
            <w:tr w14:paraId="21A1E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700E0A6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tcBorders>
                    <w:left w:val="single" w:color="auto" w:sz="4" w:space="0"/>
                  </w:tcBorders>
                  <w:shd w:val="clear" w:color="auto" w:fill="auto"/>
                  <w:noWrap w:val="0"/>
                  <w:vAlign w:val="center"/>
                </w:tcPr>
                <w:p w14:paraId="7C7044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color w:val="auto"/>
                      <w:sz w:val="21"/>
                      <w:szCs w:val="21"/>
                      <w:lang w:val="en-US" w:eastAsia="zh-CN"/>
                    </w:rPr>
                    <w:t>高浓度废液</w:t>
                  </w:r>
                </w:p>
              </w:tc>
              <w:tc>
                <w:tcPr>
                  <w:tcW w:w="823" w:type="pct"/>
                  <w:shd w:val="clear" w:color="auto" w:fill="auto"/>
                  <w:noWrap w:val="0"/>
                  <w:vAlign w:val="center"/>
                </w:tcPr>
                <w:p w14:paraId="07E8032D">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cs="Times New Roman"/>
                      <w:b w:val="0"/>
                      <w:bCs w:val="0"/>
                      <w:color w:val="auto"/>
                      <w:sz w:val="21"/>
                      <w:szCs w:val="21"/>
                      <w:lang w:val="en-US" w:eastAsia="zh-CN"/>
                    </w:rPr>
                    <w:t>4.8</w:t>
                  </w:r>
                </w:p>
              </w:tc>
              <w:tc>
                <w:tcPr>
                  <w:tcW w:w="1205" w:type="pct"/>
                  <w:shd w:val="clear" w:color="auto" w:fill="auto"/>
                  <w:noWrap w:val="0"/>
                  <w:vAlign w:val="center"/>
                </w:tcPr>
                <w:p w14:paraId="45366A9B">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zh-CN" w:eastAsia="zh-CN" w:bidi="zh-CN"/>
                    </w:rPr>
                  </w:pPr>
                  <w:r>
                    <w:rPr>
                      <w:rFonts w:hint="default" w:ascii="Times New Roman" w:hAnsi="Times New Roman" w:eastAsia="宋体" w:cs="Times New Roman"/>
                      <w:b w:val="0"/>
                      <w:bCs w:val="0"/>
                      <w:color w:val="auto"/>
                      <w:sz w:val="21"/>
                      <w:szCs w:val="21"/>
                    </w:rPr>
                    <w:t>HW49</w:t>
                  </w:r>
                  <w:r>
                    <w:rPr>
                      <w:rFonts w:hint="eastAsia" w:ascii="Times New Roman" w:hAnsi="Times New Roman"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rPr>
                    <w:t>900-047-49</w:t>
                  </w:r>
                </w:p>
              </w:tc>
              <w:tc>
                <w:tcPr>
                  <w:tcW w:w="1254" w:type="pct"/>
                  <w:vMerge w:val="continue"/>
                  <w:noWrap w:val="0"/>
                  <w:vAlign w:val="center"/>
                </w:tcPr>
                <w:p w14:paraId="3D1ECFEE">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Calibri" w:hAnsi="Calibri" w:eastAsia="宋体" w:cs="Times New Roman"/>
                      <w:b w:val="0"/>
                      <w:bCs w:val="0"/>
                      <w:color w:val="auto"/>
                      <w:sz w:val="21"/>
                      <w:szCs w:val="21"/>
                      <w:lang w:val="en-US" w:eastAsia="zh-CN"/>
                    </w:rPr>
                  </w:pPr>
                </w:p>
              </w:tc>
            </w:tr>
            <w:tr w14:paraId="6F15D58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37E6F75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tcBorders>
                    <w:left w:val="single" w:color="auto" w:sz="4" w:space="0"/>
                  </w:tcBorders>
                  <w:shd w:val="clear" w:color="auto" w:fill="auto"/>
                  <w:noWrap w:val="0"/>
                  <w:vAlign w:val="center"/>
                </w:tcPr>
                <w:p w14:paraId="17AC6D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宋体"/>
                      <w:color w:val="auto"/>
                      <w:lang w:val="en-US" w:eastAsia="zh-CN"/>
                    </w:rPr>
                    <w:t>实验室废物</w:t>
                  </w:r>
                </w:p>
              </w:tc>
              <w:tc>
                <w:tcPr>
                  <w:tcW w:w="823" w:type="pct"/>
                  <w:shd w:val="clear" w:color="auto" w:fill="auto"/>
                  <w:noWrap w:val="0"/>
                  <w:vAlign w:val="center"/>
                </w:tcPr>
                <w:p w14:paraId="3BF79BD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0.5</w:t>
                  </w:r>
                </w:p>
              </w:tc>
              <w:tc>
                <w:tcPr>
                  <w:tcW w:w="1205" w:type="pct"/>
                  <w:shd w:val="clear" w:color="auto" w:fill="auto"/>
                  <w:noWrap w:val="0"/>
                  <w:vAlign w:val="center"/>
                </w:tcPr>
                <w:p w14:paraId="0AE32B82">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zh-CN"/>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900-047-49</w:t>
                  </w:r>
                </w:p>
              </w:tc>
              <w:tc>
                <w:tcPr>
                  <w:tcW w:w="1254" w:type="pct"/>
                  <w:vMerge w:val="continue"/>
                  <w:noWrap w:val="0"/>
                  <w:vAlign w:val="center"/>
                </w:tcPr>
                <w:p w14:paraId="03F9CEE3">
                  <w:pPr>
                    <w:pStyle w:val="5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Calibri" w:hAnsi="Calibri" w:eastAsia="宋体" w:cs="Times New Roman"/>
                      <w:b w:val="0"/>
                      <w:bCs w:val="0"/>
                      <w:color w:val="auto"/>
                      <w:sz w:val="21"/>
                      <w:szCs w:val="21"/>
                      <w:lang w:val="en-US" w:eastAsia="zh-CN"/>
                    </w:rPr>
                  </w:pPr>
                </w:p>
              </w:tc>
            </w:tr>
            <w:tr w14:paraId="7CDF69D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5D704075">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shd w:val="clear" w:color="auto" w:fill="auto"/>
                  <w:noWrap w:val="0"/>
                  <w:vAlign w:val="center"/>
                </w:tcPr>
                <w:p w14:paraId="04F991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ar-SA"/>
                    </w:rPr>
                  </w:pPr>
                  <w:r>
                    <w:rPr>
                      <w:rFonts w:hint="eastAsia"/>
                      <w:color w:val="auto"/>
                      <w:sz w:val="21"/>
                      <w:szCs w:val="21"/>
                      <w:lang w:val="en-US" w:eastAsia="zh-CN"/>
                    </w:rPr>
                    <w:t>喷淋废液</w:t>
                  </w:r>
                </w:p>
              </w:tc>
              <w:tc>
                <w:tcPr>
                  <w:tcW w:w="823" w:type="pct"/>
                  <w:shd w:val="clear" w:color="auto" w:fill="auto"/>
                  <w:noWrap w:val="0"/>
                  <w:vAlign w:val="center"/>
                </w:tcPr>
                <w:p w14:paraId="094CDBC2">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1</w:t>
                  </w:r>
                </w:p>
              </w:tc>
              <w:tc>
                <w:tcPr>
                  <w:tcW w:w="1205" w:type="pct"/>
                  <w:shd w:val="clear" w:color="auto" w:fill="auto"/>
                  <w:noWrap w:val="0"/>
                  <w:vAlign w:val="center"/>
                </w:tcPr>
                <w:p w14:paraId="5313E07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zh-CN"/>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900-047-49</w:t>
                  </w:r>
                </w:p>
              </w:tc>
              <w:tc>
                <w:tcPr>
                  <w:tcW w:w="1254" w:type="pct"/>
                  <w:vMerge w:val="continue"/>
                  <w:noWrap w:val="0"/>
                  <w:vAlign w:val="center"/>
                </w:tcPr>
                <w:p w14:paraId="3DCE6F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1F7B69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185AD66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shd w:val="clear" w:color="auto" w:fill="auto"/>
                  <w:noWrap w:val="0"/>
                  <w:vAlign w:val="center"/>
                </w:tcPr>
                <w:p w14:paraId="04ED2D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color w:val="auto"/>
                      <w:sz w:val="21"/>
                      <w:szCs w:val="21"/>
                      <w:lang w:val="en-US" w:eastAsia="zh-CN"/>
                    </w:rPr>
                    <w:t>废试剂</w:t>
                  </w:r>
                </w:p>
              </w:tc>
              <w:tc>
                <w:tcPr>
                  <w:tcW w:w="823" w:type="pct"/>
                  <w:shd w:val="clear" w:color="auto" w:fill="auto"/>
                  <w:noWrap w:val="0"/>
                  <w:vAlign w:val="center"/>
                </w:tcPr>
                <w:p w14:paraId="480DC4F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eastAsia" w:ascii="Times New Roman" w:hAnsi="Times New Roman" w:eastAsia="宋体" w:cs="Times New Roman"/>
                      <w:b w:val="0"/>
                      <w:bCs w:val="0"/>
                      <w:color w:val="auto"/>
                      <w:sz w:val="21"/>
                      <w:szCs w:val="21"/>
                      <w:lang w:val="en-US" w:eastAsia="zh-CN"/>
                    </w:rPr>
                    <w:t>0.01</w:t>
                  </w:r>
                </w:p>
              </w:tc>
              <w:tc>
                <w:tcPr>
                  <w:tcW w:w="1205" w:type="pct"/>
                  <w:shd w:val="clear" w:color="auto" w:fill="auto"/>
                  <w:noWrap w:val="0"/>
                  <w:vAlign w:val="center"/>
                </w:tcPr>
                <w:p w14:paraId="6EF4654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zh-CN"/>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900-002-03</w:t>
                  </w:r>
                </w:p>
              </w:tc>
              <w:tc>
                <w:tcPr>
                  <w:tcW w:w="1254" w:type="pct"/>
                  <w:vMerge w:val="continue"/>
                  <w:noWrap w:val="0"/>
                  <w:vAlign w:val="center"/>
                </w:tcPr>
                <w:p w14:paraId="48C55B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1E5075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0CBE8154">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shd w:val="clear" w:color="auto" w:fill="auto"/>
                  <w:noWrap w:val="0"/>
                  <w:vAlign w:val="center"/>
                </w:tcPr>
                <w:p w14:paraId="1E42DF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ar-SA"/>
                    </w:rPr>
                  </w:pPr>
                  <w:r>
                    <w:rPr>
                      <w:rFonts w:hint="eastAsia"/>
                      <w:color w:val="auto"/>
                      <w:sz w:val="21"/>
                      <w:szCs w:val="21"/>
                      <w:lang w:val="en-US" w:eastAsia="zh-CN"/>
                    </w:rPr>
                    <w:t>废活性炭</w:t>
                  </w:r>
                </w:p>
              </w:tc>
              <w:tc>
                <w:tcPr>
                  <w:tcW w:w="823" w:type="pct"/>
                  <w:shd w:val="clear" w:color="auto" w:fill="auto"/>
                  <w:noWrap w:val="0"/>
                  <w:vAlign w:val="center"/>
                </w:tcPr>
                <w:p w14:paraId="62A4A74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zh-CN" w:bidi="zh-CN"/>
                    </w:rPr>
                  </w:pPr>
                  <w:r>
                    <w:rPr>
                      <w:rFonts w:hint="default" w:ascii="Times New Roman" w:hAnsi="Times New Roman" w:cs="Times New Roman"/>
                      <w:color w:val="auto"/>
                      <w:u w:val="none"/>
                      <w:lang w:val="en-US" w:eastAsia="zh-CN"/>
                    </w:rPr>
                    <w:t>0.</w:t>
                  </w:r>
                  <w:r>
                    <w:rPr>
                      <w:rFonts w:hint="eastAsia" w:ascii="Times New Roman" w:hAnsi="Times New Roman" w:cs="Times New Roman"/>
                      <w:color w:val="auto"/>
                      <w:u w:val="none"/>
                      <w:lang w:val="en-US" w:eastAsia="zh-CN"/>
                    </w:rPr>
                    <w:t>141</w:t>
                  </w:r>
                </w:p>
              </w:tc>
              <w:tc>
                <w:tcPr>
                  <w:tcW w:w="1205" w:type="pct"/>
                  <w:shd w:val="clear" w:color="auto" w:fill="auto"/>
                  <w:noWrap w:val="0"/>
                  <w:vAlign w:val="center"/>
                </w:tcPr>
                <w:p w14:paraId="7457E31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kern w:val="2"/>
                      <w:sz w:val="21"/>
                      <w:szCs w:val="21"/>
                      <w:lang w:val="en-US" w:eastAsia="en-US" w:bidi="zh-CN"/>
                    </w:rPr>
                  </w:pPr>
                  <w:r>
                    <w:rPr>
                      <w:rFonts w:hint="default" w:ascii="Times New Roman" w:hAnsi="Times New Roman" w:eastAsia="宋体" w:cs="Times New Roman"/>
                      <w:color w:val="auto"/>
                      <w:highlight w:val="none"/>
                      <w:lang w:val="en-US" w:eastAsia="zh-CN"/>
                    </w:rPr>
                    <w:t>HW49/900-039-49</w:t>
                  </w:r>
                </w:p>
              </w:tc>
              <w:tc>
                <w:tcPr>
                  <w:tcW w:w="1254" w:type="pct"/>
                  <w:vMerge w:val="continue"/>
                  <w:noWrap w:val="0"/>
                  <w:vAlign w:val="center"/>
                </w:tcPr>
                <w:p w14:paraId="625D16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435184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5237AF8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noWrap w:val="0"/>
                  <w:vAlign w:val="center"/>
                </w:tcPr>
                <w:p w14:paraId="1B6CCB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污泥</w:t>
                  </w:r>
                </w:p>
              </w:tc>
              <w:tc>
                <w:tcPr>
                  <w:tcW w:w="823" w:type="pct"/>
                  <w:noWrap w:val="0"/>
                  <w:vAlign w:val="center"/>
                </w:tcPr>
                <w:p w14:paraId="5E5517F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205" w:type="pct"/>
                  <w:noWrap w:val="0"/>
                  <w:vAlign w:val="center"/>
                </w:tcPr>
                <w:p w14:paraId="4F3A832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772-006-49</w:t>
                  </w:r>
                </w:p>
              </w:tc>
              <w:tc>
                <w:tcPr>
                  <w:tcW w:w="1254" w:type="pct"/>
                  <w:vMerge w:val="continue"/>
                  <w:noWrap w:val="0"/>
                  <w:vAlign w:val="center"/>
                </w:tcPr>
                <w:p w14:paraId="3A04E4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101A49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6AECD819">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noWrap w:val="0"/>
                  <w:vAlign w:val="center"/>
                </w:tcPr>
                <w:p w14:paraId="269B47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废重金属捕捉器</w:t>
                  </w:r>
                </w:p>
              </w:tc>
              <w:tc>
                <w:tcPr>
                  <w:tcW w:w="823" w:type="pct"/>
                  <w:noWrap w:val="0"/>
                  <w:vAlign w:val="center"/>
                </w:tcPr>
                <w:p w14:paraId="54D24AD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205" w:type="pct"/>
                  <w:noWrap w:val="0"/>
                  <w:vAlign w:val="center"/>
                </w:tcPr>
                <w:p w14:paraId="7893F50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900-041-49</w:t>
                  </w:r>
                </w:p>
              </w:tc>
              <w:tc>
                <w:tcPr>
                  <w:tcW w:w="1254" w:type="pct"/>
                  <w:vMerge w:val="continue"/>
                  <w:noWrap w:val="0"/>
                  <w:vAlign w:val="center"/>
                </w:tcPr>
                <w:p w14:paraId="3952A5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162555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20" w:hRule="exact"/>
                <w:jc w:val="center"/>
              </w:trPr>
              <w:tc>
                <w:tcPr>
                  <w:tcW w:w="465" w:type="pct"/>
                  <w:vMerge w:val="continue"/>
                  <w:tcBorders>
                    <w:right w:val="single" w:color="auto" w:sz="4" w:space="0"/>
                  </w:tcBorders>
                  <w:noWrap w:val="0"/>
                  <w:vAlign w:val="center"/>
                </w:tcPr>
                <w:p w14:paraId="366E3A8D">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noWrap w:val="0"/>
                  <w:vAlign w:val="center"/>
                </w:tcPr>
                <w:p w14:paraId="35E007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lang w:val="en-US" w:eastAsia="en-US"/>
                    </w:rPr>
                  </w:pPr>
                  <w:r>
                    <w:rPr>
                      <w:rFonts w:hint="eastAsia" w:ascii="Times New Roman" w:hAnsi="Times New Roman" w:eastAsia="宋体" w:cs="Times New Roman"/>
                      <w:color w:val="auto"/>
                      <w:sz w:val="21"/>
                      <w:szCs w:val="21"/>
                      <w:lang w:val="en-US" w:eastAsia="zh-CN"/>
                    </w:rPr>
                    <w:t>废活性炭、废石英砂</w:t>
                  </w:r>
                </w:p>
              </w:tc>
              <w:tc>
                <w:tcPr>
                  <w:tcW w:w="823" w:type="pct"/>
                  <w:noWrap w:val="0"/>
                  <w:vAlign w:val="center"/>
                </w:tcPr>
                <w:p w14:paraId="71EA100B">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p>
              </w:tc>
              <w:tc>
                <w:tcPr>
                  <w:tcW w:w="1205" w:type="pct"/>
                  <w:noWrap w:val="0"/>
                  <w:vAlign w:val="center"/>
                </w:tcPr>
                <w:p w14:paraId="5DA2AA8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cs="Times New Roman"/>
                      <w:color w:val="auto"/>
                      <w:highlight w:val="none"/>
                      <w:lang w:val="en-US" w:eastAsia="zh-CN"/>
                    </w:rPr>
                    <w:t>HW49</w:t>
                  </w:r>
                  <w:r>
                    <w:rPr>
                      <w:rFonts w:hint="eastAsia" w:ascii="Times New Roman" w:hAnsi="Times New Roman" w:cs="Times New Roman"/>
                      <w:color w:val="auto"/>
                      <w:highlight w:val="none"/>
                      <w:lang w:val="en-US" w:eastAsia="zh-CN"/>
                    </w:rPr>
                    <w:t>/</w:t>
                  </w:r>
                  <w:r>
                    <w:rPr>
                      <w:rFonts w:hint="default" w:ascii="Times New Roman" w:hAnsi="Times New Roman" w:cs="Times New Roman"/>
                      <w:color w:val="auto"/>
                      <w:highlight w:val="none"/>
                      <w:lang w:val="en-US" w:eastAsia="zh-CN"/>
                    </w:rPr>
                    <w:t>900-041-49</w:t>
                  </w:r>
                </w:p>
              </w:tc>
              <w:tc>
                <w:tcPr>
                  <w:tcW w:w="1254" w:type="pct"/>
                  <w:vMerge w:val="continue"/>
                  <w:noWrap w:val="0"/>
                  <w:vAlign w:val="center"/>
                </w:tcPr>
                <w:p w14:paraId="312D10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ascii="Times New Roman" w:hAnsi="Times New Roman" w:eastAsia="宋体" w:cs="Times New Roman"/>
                      <w:b w:val="0"/>
                      <w:bCs w:val="0"/>
                      <w:color w:val="auto"/>
                      <w:sz w:val="21"/>
                      <w:szCs w:val="21"/>
                    </w:rPr>
                  </w:pPr>
                </w:p>
              </w:tc>
            </w:tr>
            <w:tr w14:paraId="36B35C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15" w:hRule="exact"/>
                <w:jc w:val="center"/>
              </w:trPr>
              <w:tc>
                <w:tcPr>
                  <w:tcW w:w="465" w:type="pct"/>
                  <w:vMerge w:val="continue"/>
                  <w:tcBorders>
                    <w:right w:val="single" w:color="auto" w:sz="4" w:space="0"/>
                  </w:tcBorders>
                  <w:noWrap w:val="0"/>
                  <w:vAlign w:val="center"/>
                </w:tcPr>
                <w:p w14:paraId="0F5E7C7B">
                  <w:pPr>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rPr>
                  </w:pPr>
                </w:p>
              </w:tc>
              <w:tc>
                <w:tcPr>
                  <w:tcW w:w="1250" w:type="pct"/>
                  <w:noWrap w:val="0"/>
                  <w:vAlign w:val="center"/>
                </w:tcPr>
                <w:p w14:paraId="7BB000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b/>
                      <w:bCs/>
                      <w:color w:val="auto"/>
                      <w:sz w:val="21"/>
                      <w:szCs w:val="21"/>
                      <w:lang w:val="en-US" w:eastAsia="zh-CN"/>
                    </w:rPr>
                  </w:pPr>
                  <w:r>
                    <w:rPr>
                      <w:rFonts w:hint="eastAsia"/>
                      <w:b/>
                      <w:bCs/>
                      <w:color w:val="auto"/>
                      <w:sz w:val="21"/>
                      <w:szCs w:val="21"/>
                      <w:lang w:val="en-US" w:eastAsia="zh-CN"/>
                    </w:rPr>
                    <w:t>小计</w:t>
                  </w:r>
                </w:p>
              </w:tc>
              <w:tc>
                <w:tcPr>
                  <w:tcW w:w="823" w:type="pct"/>
                  <w:noWrap w:val="0"/>
                  <w:vAlign w:val="center"/>
                </w:tcPr>
                <w:p w14:paraId="12A5509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6.54</w:t>
                  </w:r>
                </w:p>
              </w:tc>
              <w:tc>
                <w:tcPr>
                  <w:tcW w:w="1205" w:type="pct"/>
                  <w:noWrap w:val="0"/>
                  <w:vAlign w:val="center"/>
                </w:tcPr>
                <w:p w14:paraId="4D8B569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w:t>
                  </w:r>
                </w:p>
              </w:tc>
              <w:tc>
                <w:tcPr>
                  <w:tcW w:w="1254" w:type="pct"/>
                  <w:noWrap w:val="0"/>
                  <w:vAlign w:val="center"/>
                </w:tcPr>
                <w:p w14:paraId="365F0C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w:t>
                  </w:r>
                </w:p>
              </w:tc>
            </w:tr>
            <w:bookmarkEnd w:id="102"/>
            <w:bookmarkEnd w:id="103"/>
          </w:tbl>
          <w:p w14:paraId="6F25BB3E">
            <w:pPr>
              <w:pStyle w:val="36"/>
              <w:keepNext w:val="0"/>
              <w:keepLines w:val="0"/>
              <w:suppressLineNumbers w:val="0"/>
              <w:spacing w:before="0" w:beforeAutospacing="0" w:after="0" w:afterAutospacing="0"/>
              <w:ind w:left="0" w:right="0" w:firstLine="480"/>
              <w:rPr>
                <w:rFonts w:hint="eastAsia" w:cs="Times New Roman"/>
                <w:b/>
                <w:bCs/>
                <w:color w:val="auto"/>
                <w:highlight w:val="none"/>
                <w:lang w:val="en-US" w:eastAsia="zh-CN"/>
              </w:rPr>
            </w:pPr>
            <w:r>
              <w:rPr>
                <w:rFonts w:hint="eastAsia" w:cs="Times New Roman"/>
                <w:b/>
                <w:bCs/>
                <w:color w:val="auto"/>
                <w:highlight w:val="none"/>
                <w:lang w:val="en-US" w:eastAsia="zh-CN"/>
              </w:rPr>
              <w:t>（3）生活垃圾</w:t>
            </w:r>
          </w:p>
          <w:p w14:paraId="532E1784">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依照我国生活污染物排放系数，不住宿职工0.5kg/人·天，本项目职工人数为</w:t>
            </w:r>
            <w:r>
              <w:rPr>
                <w:rFonts w:hint="eastAsia" w:cs="Times New Roman"/>
                <w:color w:val="auto"/>
                <w:highlight w:val="none"/>
                <w:lang w:val="en-US" w:eastAsia="zh-CN"/>
              </w:rPr>
              <w:t>30</w:t>
            </w:r>
            <w:r>
              <w:rPr>
                <w:rFonts w:hint="default" w:ascii="Times New Roman" w:hAnsi="Times New Roman" w:cs="Times New Roman"/>
                <w:color w:val="auto"/>
                <w:highlight w:val="none"/>
                <w:lang w:val="en-US" w:eastAsia="zh-CN"/>
              </w:rPr>
              <w:t>人（均不住宿），年工作时间以</w:t>
            </w:r>
            <w:r>
              <w:rPr>
                <w:rFonts w:hint="eastAsia" w:cs="Times New Roman"/>
                <w:color w:val="auto"/>
                <w:highlight w:val="none"/>
                <w:lang w:val="en-US" w:eastAsia="zh-CN"/>
              </w:rPr>
              <w:t>300</w:t>
            </w:r>
            <w:r>
              <w:rPr>
                <w:rFonts w:hint="default" w:ascii="Times New Roman" w:hAnsi="Times New Roman" w:cs="Times New Roman"/>
                <w:color w:val="auto"/>
                <w:highlight w:val="none"/>
                <w:lang w:val="en-US" w:eastAsia="zh-CN"/>
              </w:rPr>
              <w:t>天计，则生活垃圾产生量约为</w:t>
            </w:r>
            <w:r>
              <w:rPr>
                <w:rFonts w:hint="eastAsia" w:cs="Times New Roman"/>
                <w:color w:val="auto"/>
                <w:highlight w:val="none"/>
                <w:lang w:val="en-US" w:eastAsia="zh-CN"/>
              </w:rPr>
              <w:t>15</w:t>
            </w:r>
            <w:r>
              <w:rPr>
                <w:rFonts w:hint="default" w:ascii="Times New Roman" w:hAnsi="Times New Roman" w:cs="Times New Roman"/>
                <w:color w:val="auto"/>
                <w:highlight w:val="none"/>
                <w:lang w:val="en-US" w:eastAsia="zh-CN"/>
              </w:rPr>
              <w:t>kg/d，合计为</w:t>
            </w:r>
            <w:r>
              <w:rPr>
                <w:rFonts w:hint="eastAsia" w:cs="Times New Roman"/>
                <w:color w:val="auto"/>
                <w:highlight w:val="none"/>
                <w:lang w:val="en-US" w:eastAsia="zh-CN"/>
              </w:rPr>
              <w:t>4.5</w:t>
            </w:r>
            <w:r>
              <w:rPr>
                <w:rFonts w:hint="default" w:ascii="Times New Roman" w:hAnsi="Times New Roman" w:cs="Times New Roman"/>
                <w:color w:val="auto"/>
                <w:highlight w:val="none"/>
                <w:lang w:val="en-US" w:eastAsia="zh-CN"/>
              </w:rPr>
              <w:t>t/a。</w:t>
            </w:r>
          </w:p>
          <w:p w14:paraId="3CD0C3A0">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运营期固体废物影响分析</w:t>
            </w:r>
          </w:p>
          <w:p w14:paraId="00EF9B1E">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（1）实验室药品废液产生量较小，多为酸碱废液、含重金属离子废液、有机废液，属刺激性、有毒废液，存放于危废暂存间，定期由有资质的危废处置单位外运处置，不外排，不会对周围环境造成不良</w:t>
            </w:r>
            <w:r>
              <w:rPr>
                <w:rFonts w:hint="eastAsia" w:cs="Times New Roman"/>
                <w:color w:val="auto"/>
                <w:highlight w:val="none"/>
                <w:lang w:val="en-US" w:eastAsia="zh-CN"/>
              </w:rPr>
              <w:t>影响</w:t>
            </w:r>
            <w:r>
              <w:rPr>
                <w:rFonts w:hint="default" w:ascii="Times New Roman" w:hAnsi="Times New Roman" w:cs="Times New Roman"/>
                <w:color w:val="auto"/>
                <w:highlight w:val="none"/>
                <w:lang w:val="en-US" w:eastAsia="zh-CN"/>
              </w:rPr>
              <w:t>。</w:t>
            </w:r>
          </w:p>
          <w:p w14:paraId="5A334681">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（2）实验过程中产生的废药品瓶按危险</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处置，在废液室内集中收集后委托有资质危废处置单位处理，对周围环境影响不大。</w:t>
            </w:r>
          </w:p>
          <w:p w14:paraId="7A92B2B7">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（3）实验过程中产生的破裂容器，应加以清理，不可随意抛撒，沾染药品、溶液的按危险</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处置，和废药品瓶一同收集送往有资质危废处置单位处理，其他的作为一般</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处置，对周围环境影响不大。</w:t>
            </w:r>
          </w:p>
          <w:p w14:paraId="0C00DD0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（4）</w:t>
            </w:r>
            <w:r>
              <w:rPr>
                <w:rFonts w:hint="eastAsia"/>
                <w:color w:val="auto"/>
                <w:lang w:val="en-US" w:eastAsia="zh-CN"/>
              </w:rPr>
              <w:t>水样</w:t>
            </w:r>
            <w:r>
              <w:rPr>
                <w:rFonts w:hint="eastAsia"/>
                <w:color w:val="auto"/>
              </w:rPr>
              <w:t>送样</w:t>
            </w:r>
            <w:r>
              <w:rPr>
                <w:rFonts w:hint="default" w:ascii="Times New Roman" w:hAnsi="Times New Roman" w:cs="Times New Roman"/>
                <w:color w:val="auto"/>
                <w:highlight w:val="none"/>
                <w:lang w:val="en-US" w:eastAsia="zh-CN"/>
              </w:rPr>
              <w:t>产生一定的废包装品，如废塑料瓶、废塑料袋、废纸箱等，应分类收集，分类处理。其中直接包装样品的废包装品和检测样品废料一块处理，其他可以回收利用的卖给废品回收公司。</w:t>
            </w:r>
          </w:p>
          <w:p w14:paraId="2317678B">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（5）员工生活垃圾采取袋装分类收集，投放指定地点，然后由环卫部门每日及时统一清运、处置。</w:t>
            </w:r>
          </w:p>
          <w:p w14:paraId="5F304136">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项目危险废物种类多样，建设单位设置有一个危废暂存间，用于临时暂存项目产生的各类危险废物，待存至一定量后及时交由有危险废物处置资质的单位进行处置，不外排，对周边环境影响较小。</w:t>
            </w:r>
          </w:p>
          <w:p w14:paraId="49331A59">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项目产生的危险废物经妥善收集后，可在场区内临时储存，待储存到一定数量后，交由有危险废物处置资质的单位进行处置，危险废物在场内临时贮存时间不得超过一年。临时存放地点应符合《危险废物污染物防治技术政策》和《危险废物贮存污染控制标准》（GB18597-20</w:t>
            </w:r>
            <w:r>
              <w:rPr>
                <w:rFonts w:hint="eastAsia" w:ascii="Times New Roman" w:hAnsi="Times New Roman" w:cs="Times New Roman"/>
                <w:color w:val="auto"/>
                <w:highlight w:val="none"/>
                <w:lang w:val="en-US" w:eastAsia="zh-CN"/>
              </w:rPr>
              <w:t>23</w:t>
            </w:r>
            <w:r>
              <w:rPr>
                <w:rFonts w:hint="default" w:ascii="Times New Roman" w:hAnsi="Times New Roman" w:cs="Times New Roman"/>
                <w:color w:val="auto"/>
                <w:highlight w:val="none"/>
                <w:lang w:val="en-US" w:eastAsia="zh-CN"/>
              </w:rPr>
              <w:t>）及《一般工业固体废物贮存和填埋污染控制标准》（GB18599-2020）等3项国家污染物控制标准的要求，危险废物的贮存容器应满足相应的强度要求，并且保证完好无损。盛装危险废物的容器上必须</w:t>
            </w:r>
            <w:r>
              <w:rPr>
                <w:rFonts w:hint="eastAsia" w:cs="Times New Roman"/>
                <w:color w:val="auto"/>
                <w:highlight w:val="none"/>
                <w:lang w:val="en-US" w:eastAsia="zh-CN"/>
              </w:rPr>
              <w:t>粘贴</w:t>
            </w:r>
            <w:r>
              <w:rPr>
                <w:rFonts w:hint="default" w:ascii="Times New Roman" w:hAnsi="Times New Roman" w:cs="Times New Roman"/>
                <w:color w:val="auto"/>
                <w:highlight w:val="none"/>
                <w:lang w:val="en-US" w:eastAsia="zh-CN"/>
              </w:rPr>
              <w:t>符合</w:t>
            </w:r>
            <w:r>
              <w:rPr>
                <w:rFonts w:hint="eastAsia" w:ascii="Times New Roman" w:hAnsi="Times New Roman" w:cs="Times New Roman"/>
                <w:color w:val="auto"/>
                <w:highlight w:val="none"/>
                <w:lang w:val="en-US" w:eastAsia="zh-CN"/>
              </w:rPr>
              <w:t>《危险废物识别标志设置技术规范》（HJ 1276-2022）</w:t>
            </w:r>
            <w:r>
              <w:rPr>
                <w:rFonts w:hint="default" w:ascii="Times New Roman" w:hAnsi="Times New Roman" w:cs="Times New Roman"/>
                <w:color w:val="auto"/>
                <w:highlight w:val="none"/>
                <w:lang w:val="en-US" w:eastAsia="zh-CN"/>
              </w:rPr>
              <w:t>所示的标签，在标签上详细标明危险废物的名称、重量、成分、特性以及发生泄漏、扩散污染事故时的应急措施和补救方法。建设单位需要对危险</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的产生源及</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产生量进行申报登记。</w:t>
            </w:r>
          </w:p>
          <w:p w14:paraId="4826A86C">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运营期固体废物防治措施</w:t>
            </w:r>
          </w:p>
          <w:p w14:paraId="4D84563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实验过程产生的实验废液、废弃样品、废活性炭属于危险废物中的HW49其他废物，必须严格管理，建设危废暂存间2间（共约29m</w:t>
            </w:r>
            <w:r>
              <w:rPr>
                <w:rFonts w:hint="default" w:ascii="Times New Roman" w:hAnsi="Times New Roman" w:cs="Times New Roman"/>
                <w:color w:val="auto"/>
                <w:highlight w:val="none"/>
                <w:vertAlign w:val="superscript"/>
                <w:lang w:val="en-US" w:eastAsia="zh-CN"/>
              </w:rPr>
              <w:t>2</w:t>
            </w:r>
            <w:r>
              <w:rPr>
                <w:rFonts w:hint="default" w:ascii="Times New Roman" w:hAnsi="Times New Roman" w:cs="Times New Roman"/>
                <w:color w:val="auto"/>
                <w:highlight w:val="none"/>
                <w:lang w:val="en-US" w:eastAsia="zh-CN"/>
              </w:rPr>
              <w:t>），地面硬化且涂抹防渗透材料。实验废液（酸碱废液、有机废液、含</w:t>
            </w:r>
            <w:r>
              <w:rPr>
                <w:rFonts w:hint="eastAsia" w:cs="Times New Roman"/>
                <w:color w:val="auto"/>
                <w:highlight w:val="none"/>
                <w:lang w:val="en-US" w:eastAsia="zh-CN"/>
              </w:rPr>
              <w:t>重金属</w:t>
            </w:r>
            <w:r>
              <w:rPr>
                <w:rFonts w:hint="default" w:ascii="Times New Roman" w:hAnsi="Times New Roman" w:cs="Times New Roman"/>
                <w:color w:val="auto"/>
                <w:highlight w:val="none"/>
                <w:lang w:val="en-US" w:eastAsia="zh-CN"/>
              </w:rPr>
              <w:t>废液）收集后委托有资质的单位处理，微生物实验的材料应采取灭活措施，</w:t>
            </w:r>
            <w:r>
              <w:rPr>
                <w:rFonts w:hint="eastAsia" w:ascii="Times New Roman" w:hAnsi="Times New Roman" w:cs="Times New Roman"/>
                <w:color w:val="auto"/>
                <w:highlight w:val="none"/>
                <w:lang w:val="en-US" w:eastAsia="zh-CN"/>
              </w:rPr>
              <w:t>实验室废物</w:t>
            </w: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过期废试剂</w:t>
            </w:r>
            <w:r>
              <w:rPr>
                <w:rFonts w:hint="default" w:ascii="Times New Roman" w:hAnsi="Times New Roman" w:cs="Times New Roman"/>
                <w:color w:val="auto"/>
                <w:highlight w:val="none"/>
                <w:lang w:val="en-US" w:eastAsia="zh-CN"/>
              </w:rPr>
              <w:t>和废活性炭收集后委托有资质的单位处理。生活、办公垃圾进行分类收集后由环卫部门统一清运处理。因此，项目产生的固体废物得到及时妥善处理处置后，对周围环境影响很小。</w:t>
            </w:r>
          </w:p>
          <w:p w14:paraId="4354DE62">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建议项目在实验室设置危险</w:t>
            </w:r>
            <w:r>
              <w:rPr>
                <w:rFonts w:hint="eastAsia" w:cs="Times New Roman"/>
                <w:color w:val="auto"/>
                <w:highlight w:val="none"/>
                <w:lang w:val="en-US" w:eastAsia="zh-CN"/>
              </w:rPr>
              <w:t>固体废物</w:t>
            </w:r>
            <w:r>
              <w:rPr>
                <w:rFonts w:hint="default" w:ascii="Times New Roman" w:hAnsi="Times New Roman" w:cs="Times New Roman"/>
                <w:color w:val="auto"/>
                <w:highlight w:val="none"/>
                <w:lang w:val="en-US" w:eastAsia="zh-CN"/>
              </w:rPr>
              <w:t>临时储存场所，且危废间具有隔离设施、报警装置和防风、防晒、防雨、防渗、防火措施，具体要求如下：</w:t>
            </w:r>
          </w:p>
          <w:p w14:paraId="45A0B2A3">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①必须按照《中华人民共和国固体废物污染环境防治法》《福建省实验室环境污染防治管理办法（暂行）》以及有关危险废物处置要求严格管理和安全处置。</w:t>
            </w:r>
          </w:p>
          <w:p w14:paraId="47615772">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②项目产生的各项危险废物，必须按照国家有关规定向环境保护主管部门申报登记。</w:t>
            </w:r>
          </w:p>
          <w:p w14:paraId="20075394">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③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项目危险废液应按照危害性质和反应性质分类分区存放，严禁随意混合存放。</w:t>
            </w:r>
          </w:p>
          <w:p w14:paraId="21831E4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④危废贮存间内应配备防腐、防渗、防漏的围堰或收集槽，四周用围墙及屋顶隔离，防止雨水流入；危废贮存间外四周设雨水沟，防止雨水流入。危废贮存间应设置门锁，平时均上锁，以免闲杂人等进入；危废贮存间设置紧急照明系统，紧急警报系统，及灭火器。</w:t>
            </w:r>
          </w:p>
          <w:p w14:paraId="144E61C6">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⑤委托有资质的专业处理公司处置。禁止将危险废物以任何形式转移给无许可证的单位，或转移到非危险废物贮存设施中。</w:t>
            </w:r>
          </w:p>
          <w:p w14:paraId="1031B886">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⑥应严格按照《危险废物贮存污染控制标准》（GB18597-20</w:t>
            </w:r>
            <w:r>
              <w:rPr>
                <w:rFonts w:hint="eastAsia" w:cs="Times New Roman"/>
                <w:color w:val="auto"/>
                <w:highlight w:val="none"/>
                <w:lang w:val="en-US" w:eastAsia="zh-CN"/>
              </w:rPr>
              <w:t>23</w:t>
            </w:r>
            <w:r>
              <w:rPr>
                <w:rFonts w:hint="default" w:ascii="Times New Roman" w:hAnsi="Times New Roman" w:cs="Times New Roman"/>
                <w:color w:val="auto"/>
                <w:highlight w:val="none"/>
                <w:lang w:val="en-US" w:eastAsia="zh-CN"/>
              </w:rPr>
              <w:t>）以及《一般工业固体废物贮存和填埋污染控制标准》（GB18599-2020）的要求，规范建设和维护项目区内的固体废物临时堆放场，必须做好该堆放场防雨、防风、防渗、防漏等措施，并制定好固体废物特别是危险废物污染防范及事故应急措施。</w:t>
            </w:r>
          </w:p>
          <w:p w14:paraId="0473011C">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对危险废物实行从产生、收集、运输到处理的全过程进行管理，加强废物运输过程中的事故风险防范，按照有关法律法规的要求，对危险废物的全过程管理且应当报当地环保行政主管部门批准。严格按照</w:t>
            </w:r>
            <w:r>
              <w:rPr>
                <w:rFonts w:hint="default" w:ascii="Times New Roman" w:hAnsi="Times New Roman" w:cs="Times New Roman"/>
                <w:color w:val="auto"/>
                <w:kern w:val="2"/>
                <w:szCs w:val="24"/>
                <w:highlight w:val="none"/>
                <w:lang w:bidi="ar"/>
              </w:rPr>
              <w:t>《危险废物贮存污染控制标准》</w:t>
            </w:r>
            <w:r>
              <w:rPr>
                <w:rFonts w:hint="eastAsia" w:cs="Times New Roman"/>
                <w:color w:val="auto"/>
                <w:kern w:val="2"/>
                <w:szCs w:val="24"/>
                <w:highlight w:val="none"/>
                <w:lang w:eastAsia="zh-CN" w:bidi="ar"/>
              </w:rPr>
              <w:t>（</w:t>
            </w:r>
            <w:r>
              <w:rPr>
                <w:rFonts w:hint="default" w:ascii="Times New Roman" w:hAnsi="Times New Roman" w:cs="Times New Roman"/>
                <w:color w:val="auto"/>
                <w:kern w:val="2"/>
                <w:szCs w:val="24"/>
                <w:highlight w:val="none"/>
                <w:lang w:bidi="ar"/>
              </w:rPr>
              <w:t>GB18597-20</w:t>
            </w:r>
            <w:r>
              <w:rPr>
                <w:rFonts w:hint="eastAsia" w:cs="Times New Roman"/>
                <w:color w:val="auto"/>
                <w:kern w:val="2"/>
                <w:szCs w:val="24"/>
                <w:highlight w:val="none"/>
                <w:lang w:val="en-US" w:eastAsia="zh-CN" w:bidi="ar"/>
              </w:rPr>
              <w:t>23）</w:t>
            </w:r>
            <w:r>
              <w:rPr>
                <w:rFonts w:hint="default" w:ascii="Times New Roman" w:hAnsi="Times New Roman" w:cs="Times New Roman"/>
                <w:color w:val="auto"/>
                <w:kern w:val="2"/>
                <w:szCs w:val="24"/>
                <w:highlight w:val="none"/>
                <w:lang w:bidi="ar"/>
              </w:rPr>
              <w:t>和《危险废物转移管理办法》</w:t>
            </w:r>
            <w:r>
              <w:rPr>
                <w:rFonts w:hint="default" w:ascii="Times New Roman" w:hAnsi="Times New Roman" w:cs="Times New Roman"/>
                <w:color w:val="auto"/>
                <w:kern w:val="2"/>
                <w:szCs w:val="24"/>
                <w:highlight w:val="none"/>
                <w:lang w:val="en-US" w:eastAsia="zh-CN" w:bidi="ar"/>
              </w:rPr>
              <w:t>要求对危废进行转运和管理</w:t>
            </w:r>
            <w:r>
              <w:rPr>
                <w:rFonts w:hint="default" w:ascii="Times New Roman" w:hAnsi="Times New Roman" w:cs="Times New Roman"/>
                <w:color w:val="auto"/>
                <w:highlight w:val="none"/>
                <w:lang w:val="en-US" w:eastAsia="zh-CN"/>
              </w:rPr>
              <w:t>，保证运输安全，防止非法转移和非法处置，保证危险废物的安全监控，防止危险废物污染事故发生。</w:t>
            </w:r>
          </w:p>
          <w:p w14:paraId="53CBB3E3">
            <w:pPr>
              <w:pStyle w:val="36"/>
              <w:keepNext w:val="0"/>
              <w:keepLines w:val="0"/>
              <w:suppressLineNumbers w:val="0"/>
              <w:bidi w:val="0"/>
              <w:spacing w:before="0" w:beforeAutospacing="0" w:after="0" w:afterAutospacing="0"/>
              <w:ind w:left="0" w:right="0"/>
              <w:rPr>
                <w:rFonts w:hint="default"/>
                <w:color w:val="auto"/>
              </w:rPr>
            </w:pPr>
            <w:r>
              <w:rPr>
                <w:rFonts w:hint="default"/>
                <w:color w:val="auto"/>
              </w:rPr>
              <w:t>建设单位应强化废物产生、收集、贮放各环节的管理，各种</w:t>
            </w:r>
            <w:r>
              <w:rPr>
                <w:rFonts w:hint="eastAsia"/>
                <w:color w:val="auto"/>
                <w:lang w:eastAsia="zh-CN"/>
              </w:rPr>
              <w:t>固体废物</w:t>
            </w:r>
            <w:r>
              <w:rPr>
                <w:rFonts w:hint="default"/>
                <w:color w:val="auto"/>
              </w:rPr>
              <w:t>按照类别分类存放，杜绝</w:t>
            </w:r>
            <w:r>
              <w:rPr>
                <w:rFonts w:hint="default"/>
                <w:color w:val="auto"/>
                <w:lang w:val="en-US" w:eastAsia="zh-CN"/>
              </w:rPr>
              <w:t>危险废物</w:t>
            </w:r>
            <w:r>
              <w:rPr>
                <w:rFonts w:hint="default"/>
                <w:color w:val="auto"/>
              </w:rPr>
              <w:t>散失、渗漏，达到无害化的目的，避免产生二次污染。危险废物的运输应采取危险废物转移电子联单，保证运输安全，防止非法转移和非法处置，保证危险废物的安全监控，防止危险废物污染事故发生。根据《危险废物收集贮存运输技术规范》</w:t>
            </w:r>
            <w:r>
              <w:rPr>
                <w:rFonts w:hint="eastAsia"/>
                <w:color w:val="auto"/>
                <w:lang w:eastAsia="zh-CN"/>
              </w:rPr>
              <w:t>（</w:t>
            </w:r>
            <w:r>
              <w:rPr>
                <w:rFonts w:hint="default"/>
                <w:color w:val="auto"/>
              </w:rPr>
              <w:t>HJ2025</w:t>
            </w:r>
            <w:r>
              <w:rPr>
                <w:rFonts w:hint="default"/>
                <w:color w:val="auto"/>
                <w:lang w:val="en-US" w:eastAsia="zh-CN"/>
              </w:rPr>
              <w:t>-2012</w:t>
            </w:r>
            <w:r>
              <w:rPr>
                <w:rFonts w:hint="eastAsia"/>
                <w:color w:val="auto"/>
                <w:lang w:eastAsia="zh-CN"/>
              </w:rPr>
              <w:t>）</w:t>
            </w:r>
            <w:r>
              <w:rPr>
                <w:rFonts w:hint="default"/>
                <w:color w:val="auto"/>
              </w:rPr>
              <w:t>，危险废物运输中应做到以下几点：</w:t>
            </w:r>
          </w:p>
          <w:p w14:paraId="1CEBDD1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A.危险废物的运输车辆须经主管单位检查，并持有有关单位签发的许可证，负责运输的司机应通过培训，持有证明文件。</w:t>
            </w:r>
          </w:p>
          <w:p w14:paraId="37FA68A9">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B.危险废物公路运输应按照《道路危险货物运输管理规定》</w:t>
            </w:r>
            <w:r>
              <w:rPr>
                <w:rFonts w:hint="eastAsia" w:cs="Times New Roman"/>
                <w:color w:val="auto"/>
                <w:highlight w:val="none"/>
                <w:lang w:eastAsia="zh-CN"/>
              </w:rPr>
              <w:t>（</w:t>
            </w:r>
            <w:r>
              <w:rPr>
                <w:rFonts w:hint="eastAsia" w:cs="Times New Roman"/>
                <w:color w:val="auto"/>
                <w:highlight w:val="none"/>
                <w:shd w:val="clear" w:fill="FFFFFF"/>
                <w:lang w:eastAsia="zh-CN"/>
              </w:rPr>
              <w:t>交通运输部</w:t>
            </w:r>
            <w:r>
              <w:rPr>
                <w:rFonts w:hint="default" w:ascii="Times New Roman" w:hAnsi="Times New Roman" w:cs="Times New Roman"/>
                <w:color w:val="auto"/>
                <w:highlight w:val="none"/>
              </w:rPr>
              <w:t>令</w:t>
            </w:r>
            <w:r>
              <w:rPr>
                <w:rFonts w:hint="eastAsia" w:cs="Times New Roman"/>
                <w:color w:val="auto"/>
                <w:highlight w:val="none"/>
                <w:lang w:eastAsia="zh-CN"/>
              </w:rPr>
              <w:t>〔2005〕9号）</w:t>
            </w:r>
            <w:r>
              <w:rPr>
                <w:rFonts w:hint="default" w:ascii="Times New Roman" w:hAnsi="Times New Roman" w:cs="Times New Roman"/>
                <w:color w:val="auto"/>
                <w:highlight w:val="none"/>
              </w:rPr>
              <w:t>、《危险货物道路运输规则》</w:t>
            </w:r>
            <w:r>
              <w:rPr>
                <w:rFonts w:hint="eastAsia" w:cs="Times New Roman"/>
                <w:color w:val="auto"/>
                <w:highlight w:val="none"/>
                <w:lang w:eastAsia="zh-CN"/>
              </w:rPr>
              <w:t>（JT/T 617-2018）</w:t>
            </w:r>
            <w:r>
              <w:rPr>
                <w:rFonts w:hint="default" w:ascii="Times New Roman" w:hAnsi="Times New Roman" w:cs="Times New Roman"/>
                <w:color w:val="auto"/>
                <w:highlight w:val="none"/>
              </w:rPr>
              <w:t>执行；承载危险废物的车辆须有明显的标志或适当的危险符号，运输车辆按照GB13392设置车辆标志，以引起注意。</w:t>
            </w:r>
          </w:p>
          <w:p w14:paraId="649B81E0">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C.载有危险废物的车辆在公路上行驶时，需持有运输许可证，其上应注明废物来源、性质和运往地点。</w:t>
            </w:r>
          </w:p>
          <w:p w14:paraId="511F7F2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D.组织危险废物的运输单位，在事先需</w:t>
            </w:r>
            <w:r>
              <w:rPr>
                <w:rFonts w:hint="eastAsia" w:cs="Times New Roman"/>
                <w:color w:val="auto"/>
                <w:highlight w:val="none"/>
                <w:lang w:eastAsia="zh-CN"/>
              </w:rPr>
              <w:t>作出</w:t>
            </w:r>
            <w:r>
              <w:rPr>
                <w:rFonts w:hint="default" w:ascii="Times New Roman" w:hAnsi="Times New Roman" w:cs="Times New Roman"/>
                <w:color w:val="auto"/>
                <w:highlight w:val="none"/>
              </w:rPr>
              <w:t>周密的运输计划和行驶路线，其中包括有效的废物</w:t>
            </w:r>
            <w:r>
              <w:rPr>
                <w:rFonts w:hint="eastAsia" w:cs="Times New Roman"/>
                <w:color w:val="auto"/>
                <w:highlight w:val="none"/>
                <w:lang w:eastAsia="zh-CN"/>
              </w:rPr>
              <w:t>泄漏</w:t>
            </w:r>
            <w:r>
              <w:rPr>
                <w:rFonts w:hint="default" w:ascii="Times New Roman" w:hAnsi="Times New Roman" w:cs="Times New Roman"/>
                <w:color w:val="auto"/>
                <w:highlight w:val="none"/>
              </w:rPr>
              <w:t>情况下的应急措施</w:t>
            </w:r>
            <w:r>
              <w:rPr>
                <w:rFonts w:hint="default" w:ascii="Times New Roman" w:hAnsi="Times New Roman" w:cs="Times New Roman"/>
                <w:color w:val="auto"/>
                <w:highlight w:val="none"/>
                <w:lang w:val="en-US" w:eastAsia="zh-CN"/>
              </w:rPr>
              <w:t>。</w:t>
            </w:r>
          </w:p>
          <w:p w14:paraId="3110C775">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rPr>
            </w:pPr>
            <w:r>
              <w:rPr>
                <w:rFonts w:hint="default" w:ascii="Times New Roman" w:hAnsi="Times New Roman" w:cs="Times New Roman"/>
                <w:color w:val="auto"/>
                <w:highlight w:val="none"/>
                <w:lang w:val="en-US" w:eastAsia="zh-CN"/>
              </w:rPr>
              <w:t>综上分析，采取以上措施后，项目各项固体废物均可得到妥善处理处置，固体废物处置率为100%，因此项目固体废物防治措施在经济和技术上是可行的</w:t>
            </w:r>
            <w:r>
              <w:rPr>
                <w:rFonts w:hint="default" w:ascii="Times New Roman" w:hAnsi="Times New Roman" w:cs="Times New Roman"/>
                <w:color w:val="auto"/>
                <w:highlight w:val="none"/>
              </w:rPr>
              <w:t>。</w:t>
            </w:r>
          </w:p>
          <w:p w14:paraId="4C4E4488">
            <w:pPr>
              <w:pStyle w:val="5"/>
              <w:suppressLineNumbers w:val="0"/>
              <w:bidi w:val="0"/>
              <w:spacing w:beforeAutospacing="0" w:afterAutospacing="0"/>
              <w:ind w:right="0"/>
              <w:rPr>
                <w:rFonts w:hint="default"/>
                <w:color w:val="auto"/>
              </w:rPr>
            </w:pPr>
            <w:bookmarkStart w:id="104" w:name="_Toc27383"/>
            <w:r>
              <w:rPr>
                <w:rFonts w:hint="eastAsia"/>
                <w:color w:val="auto"/>
                <w:lang w:val="en-US" w:eastAsia="zh-CN"/>
              </w:rPr>
              <w:t>运营期</w:t>
            </w:r>
            <w:r>
              <w:rPr>
                <w:rFonts w:hint="default"/>
                <w:color w:val="auto"/>
                <w:lang w:val="en-US" w:eastAsia="zh-CN"/>
              </w:rPr>
              <w:t>地下水、土壤</w:t>
            </w:r>
            <w:r>
              <w:rPr>
                <w:rFonts w:hint="eastAsia"/>
                <w:color w:val="auto"/>
                <w:lang w:val="en-US" w:eastAsia="zh-CN"/>
              </w:rPr>
              <w:t>影响分析</w:t>
            </w:r>
            <w:bookmarkEnd w:id="104"/>
          </w:p>
          <w:p w14:paraId="734A1482">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rPr>
              <w:t>项目</w:t>
            </w:r>
            <w:r>
              <w:rPr>
                <w:rFonts w:hint="default" w:ascii="Times New Roman" w:hAnsi="Times New Roman" w:cs="Times New Roman"/>
                <w:color w:val="auto"/>
                <w:lang w:val="en-US" w:eastAsia="zh-CN"/>
              </w:rPr>
              <w:t>实验室位于</w:t>
            </w:r>
            <w:r>
              <w:rPr>
                <w:rFonts w:hint="eastAsia" w:cs="Times New Roman"/>
                <w:color w:val="auto"/>
                <w:lang w:val="en-US" w:eastAsia="zh-CN"/>
              </w:rPr>
              <w:t>办公楼4层、5层</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厂区地面</w:t>
            </w:r>
            <w:r>
              <w:rPr>
                <w:rFonts w:hint="default" w:ascii="Times New Roman" w:hAnsi="Times New Roman" w:cs="Times New Roman"/>
                <w:color w:val="auto"/>
                <w:highlight w:val="none"/>
                <w:lang w:val="en-US" w:eastAsia="zh-CN"/>
              </w:rPr>
              <w:t>采取一般地面硬化处理</w:t>
            </w:r>
            <w:r>
              <w:rPr>
                <w:rFonts w:hint="default" w:ascii="Times New Roman" w:hAnsi="Times New Roman" w:cs="Times New Roman"/>
                <w:color w:val="auto"/>
                <w:highlight w:val="none"/>
              </w:rPr>
              <w:t>，贮存场所及生产设施基本不存在污染地下水及土壤的途径。</w:t>
            </w:r>
            <w:r>
              <w:rPr>
                <w:rFonts w:hint="default" w:ascii="Times New Roman" w:hAnsi="Times New Roman" w:cs="Times New Roman"/>
                <w:color w:val="auto"/>
                <w:highlight w:val="none"/>
                <w:lang w:val="en-US" w:eastAsia="zh-CN"/>
              </w:rPr>
              <w:t>项目运营后对区域地下水、土壤环境基本不影响。</w:t>
            </w:r>
          </w:p>
          <w:p w14:paraId="1DA412EA">
            <w:pPr>
              <w:pStyle w:val="5"/>
              <w:suppressLineNumbers w:val="0"/>
              <w:bidi w:val="0"/>
              <w:spacing w:beforeAutospacing="0" w:afterAutospacing="0"/>
              <w:ind w:right="0"/>
              <w:rPr>
                <w:rFonts w:hint="default"/>
                <w:color w:val="auto"/>
              </w:rPr>
            </w:pPr>
            <w:bookmarkStart w:id="105" w:name="_Toc1606"/>
            <w:r>
              <w:rPr>
                <w:rFonts w:hint="default"/>
                <w:color w:val="auto"/>
              </w:rPr>
              <w:t>环境风险</w:t>
            </w:r>
            <w:bookmarkEnd w:id="105"/>
          </w:p>
          <w:p w14:paraId="3AA56BCD">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项目环境风险评价技术导则》（HJ169-2018）要求，对于涉及有毒有害和易燃易爆物质的生产、使用、储存（包括使用管线运输）的建设项目可能发生的突发事故（不包括人为破坏及自然灾害引发的事故）的环境风险评价。</w:t>
            </w:r>
          </w:p>
          <w:p w14:paraId="55E721F5">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环境风险潜势初判</w:t>
            </w:r>
          </w:p>
          <w:p w14:paraId="67074A2F">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设项目环境风险潜势划分为 I、II、Ⅲ、IV/IV+级。</w:t>
            </w:r>
          </w:p>
          <w:p w14:paraId="6DA46407">
            <w:pPr>
              <w:pStyle w:val="36"/>
              <w:keepNext w:val="0"/>
              <w:keepLines w:val="0"/>
              <w:suppressLineNumbers w:val="0"/>
              <w:spacing w:before="0" w:beforeAutospacing="0" w:after="0" w:afterAutospacing="0"/>
              <w:ind w:left="0" w:right="0" w:firstLine="48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根据建设项目设计的物质和工艺系统的危险性及其所在地的环境敏感程度，结合事故情形下环境影响途径，对建设项目潜在环境危害程度进行概化分析。按下表确定环境风险潜势。</w:t>
            </w:r>
          </w:p>
          <w:p w14:paraId="1B7C5CC4">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评价工作等级划分</w:t>
            </w:r>
          </w:p>
          <w:tbl>
            <w:tblPr>
              <w:tblStyle w:val="28"/>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2131"/>
              <w:gridCol w:w="1498"/>
              <w:gridCol w:w="1498"/>
              <w:gridCol w:w="1498"/>
              <w:gridCol w:w="1508"/>
            </w:tblGrid>
            <w:tr w14:paraId="6EB4A9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1310" w:type="pct"/>
                  <w:vMerge w:val="restart"/>
                  <w:tcBorders>
                    <w:tl2br w:val="nil"/>
                    <w:tr2bl w:val="nil"/>
                  </w:tcBorders>
                  <w:noWrap w:val="0"/>
                  <w:vAlign w:val="center"/>
                </w:tcPr>
                <w:p w14:paraId="7E1502E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环境敏感程度（</w:t>
                  </w:r>
                  <w:r>
                    <w:rPr>
                      <w:rFonts w:hint="default" w:ascii="Times New Roman" w:hAnsi="Times New Roman" w:eastAsia="Times New Roman" w:cs="Times New Roman"/>
                      <w:b w:val="0"/>
                      <w:bCs w:val="0"/>
                      <w:color w:val="auto"/>
                      <w:sz w:val="21"/>
                    </w:rPr>
                    <w:t>E</w:t>
                  </w:r>
                  <w:r>
                    <w:rPr>
                      <w:rFonts w:hint="default" w:ascii="Times New Roman" w:hAnsi="Times New Roman" w:cs="Times New Roman"/>
                      <w:b w:val="0"/>
                      <w:bCs w:val="0"/>
                      <w:color w:val="auto"/>
                      <w:sz w:val="21"/>
                    </w:rPr>
                    <w:t>）</w:t>
                  </w:r>
                </w:p>
              </w:tc>
              <w:tc>
                <w:tcPr>
                  <w:tcW w:w="3689" w:type="pct"/>
                  <w:gridSpan w:val="4"/>
                  <w:tcBorders>
                    <w:tl2br w:val="nil"/>
                    <w:tr2bl w:val="nil"/>
                  </w:tcBorders>
                  <w:noWrap w:val="0"/>
                  <w:vAlign w:val="center"/>
                </w:tcPr>
                <w:p w14:paraId="161E307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危险物质及工艺系统危险性（</w:t>
                  </w:r>
                  <w:r>
                    <w:rPr>
                      <w:rFonts w:hint="default" w:ascii="Times New Roman" w:hAnsi="Times New Roman" w:eastAsia="Times New Roman" w:cs="Times New Roman"/>
                      <w:b w:val="0"/>
                      <w:bCs w:val="0"/>
                      <w:color w:val="auto"/>
                      <w:sz w:val="21"/>
                    </w:rPr>
                    <w:t>P</w:t>
                  </w:r>
                  <w:r>
                    <w:rPr>
                      <w:rFonts w:hint="default" w:ascii="Times New Roman" w:hAnsi="Times New Roman" w:cs="Times New Roman"/>
                      <w:b w:val="0"/>
                      <w:bCs w:val="0"/>
                      <w:color w:val="auto"/>
                      <w:sz w:val="21"/>
                    </w:rPr>
                    <w:t>）</w:t>
                  </w:r>
                </w:p>
              </w:tc>
            </w:tr>
            <w:tr w14:paraId="111501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21" w:hRule="atLeast"/>
                <w:jc w:val="center"/>
              </w:trPr>
              <w:tc>
                <w:tcPr>
                  <w:tcW w:w="1310" w:type="pct"/>
                  <w:vMerge w:val="continue"/>
                  <w:tcBorders>
                    <w:tl2br w:val="nil"/>
                    <w:tr2bl w:val="nil"/>
                  </w:tcBorders>
                  <w:noWrap w:val="0"/>
                  <w:vAlign w:val="center"/>
                </w:tcPr>
                <w:p w14:paraId="2DA280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
                      <w:szCs w:val="2"/>
                    </w:rPr>
                  </w:pPr>
                </w:p>
              </w:tc>
              <w:tc>
                <w:tcPr>
                  <w:tcW w:w="921" w:type="pct"/>
                  <w:tcBorders>
                    <w:tl2br w:val="nil"/>
                    <w:tr2bl w:val="nil"/>
                  </w:tcBorders>
                  <w:noWrap w:val="0"/>
                  <w:vAlign w:val="center"/>
                </w:tcPr>
                <w:p w14:paraId="5F3931F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6"/>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极高危害（</w:t>
                  </w:r>
                  <w:r>
                    <w:rPr>
                      <w:rFonts w:hint="default" w:ascii="Times New Roman" w:hAnsi="Times New Roman" w:eastAsia="宋体" w:cs="Times New Roman"/>
                      <w:b w:val="0"/>
                      <w:bCs w:val="0"/>
                      <w:color w:val="auto"/>
                      <w:sz w:val="21"/>
                      <w:lang w:eastAsia="zh-CN"/>
                    </w:rPr>
                    <w:t>DA001</w:t>
                  </w:r>
                  <w:r>
                    <w:rPr>
                      <w:rFonts w:hint="default" w:ascii="Times New Roman" w:hAnsi="Times New Roman" w:cs="Times New Roman"/>
                      <w:b w:val="0"/>
                      <w:bCs w:val="0"/>
                      <w:color w:val="auto"/>
                      <w:sz w:val="21"/>
                    </w:rPr>
                    <w:t>）</w:t>
                  </w:r>
                </w:p>
              </w:tc>
              <w:tc>
                <w:tcPr>
                  <w:tcW w:w="921" w:type="pct"/>
                  <w:tcBorders>
                    <w:tl2br w:val="nil"/>
                    <w:tr2bl w:val="nil"/>
                  </w:tcBorders>
                  <w:noWrap w:val="0"/>
                  <w:vAlign w:val="center"/>
                </w:tcPr>
                <w:p w14:paraId="6055D83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6"/>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高度危害（</w:t>
                  </w:r>
                  <w:r>
                    <w:rPr>
                      <w:rFonts w:hint="default" w:ascii="Times New Roman" w:hAnsi="Times New Roman" w:eastAsia="Times New Roman" w:cs="Times New Roman"/>
                      <w:b w:val="0"/>
                      <w:bCs w:val="0"/>
                      <w:color w:val="auto"/>
                      <w:sz w:val="21"/>
                    </w:rPr>
                    <w:t>P2</w:t>
                  </w:r>
                  <w:r>
                    <w:rPr>
                      <w:rFonts w:hint="default" w:ascii="Times New Roman" w:hAnsi="Times New Roman" w:cs="Times New Roman"/>
                      <w:b w:val="0"/>
                      <w:bCs w:val="0"/>
                      <w:color w:val="auto"/>
                      <w:sz w:val="21"/>
                    </w:rPr>
                    <w:t>）</w:t>
                  </w:r>
                </w:p>
              </w:tc>
              <w:tc>
                <w:tcPr>
                  <w:tcW w:w="921" w:type="pct"/>
                  <w:tcBorders>
                    <w:tl2br w:val="nil"/>
                    <w:tr2bl w:val="nil"/>
                  </w:tcBorders>
                  <w:noWrap w:val="0"/>
                  <w:vAlign w:val="center"/>
                </w:tcPr>
                <w:p w14:paraId="4F3161E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6"/>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中度危害（</w:t>
                  </w:r>
                  <w:r>
                    <w:rPr>
                      <w:rFonts w:hint="default" w:ascii="Times New Roman" w:hAnsi="Times New Roman" w:eastAsia="Times New Roman" w:cs="Times New Roman"/>
                      <w:b w:val="0"/>
                      <w:bCs w:val="0"/>
                      <w:color w:val="auto"/>
                      <w:sz w:val="21"/>
                    </w:rPr>
                    <w:t>P3</w:t>
                  </w:r>
                  <w:r>
                    <w:rPr>
                      <w:rFonts w:hint="default" w:ascii="Times New Roman" w:hAnsi="Times New Roman" w:cs="Times New Roman"/>
                      <w:b w:val="0"/>
                      <w:bCs w:val="0"/>
                      <w:color w:val="auto"/>
                      <w:sz w:val="21"/>
                    </w:rPr>
                    <w:t>）</w:t>
                  </w:r>
                </w:p>
              </w:tc>
              <w:tc>
                <w:tcPr>
                  <w:tcW w:w="925" w:type="pct"/>
                  <w:tcBorders>
                    <w:tl2br w:val="nil"/>
                    <w:tr2bl w:val="nil"/>
                  </w:tcBorders>
                  <w:noWrap w:val="0"/>
                  <w:vAlign w:val="center"/>
                </w:tcPr>
                <w:p w14:paraId="3EE4C6E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82"/>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轻度危害（</w:t>
                  </w:r>
                  <w:r>
                    <w:rPr>
                      <w:rFonts w:hint="default" w:ascii="Times New Roman" w:hAnsi="Times New Roman" w:eastAsia="Times New Roman" w:cs="Times New Roman"/>
                      <w:b w:val="0"/>
                      <w:bCs w:val="0"/>
                      <w:color w:val="auto"/>
                      <w:sz w:val="21"/>
                    </w:rPr>
                    <w:t>P4</w:t>
                  </w:r>
                  <w:r>
                    <w:rPr>
                      <w:rFonts w:hint="default" w:ascii="Times New Roman" w:hAnsi="Times New Roman" w:cs="Times New Roman"/>
                      <w:b w:val="0"/>
                      <w:bCs w:val="0"/>
                      <w:color w:val="auto"/>
                      <w:sz w:val="21"/>
                    </w:rPr>
                    <w:t>）</w:t>
                  </w:r>
                </w:p>
              </w:tc>
            </w:tr>
            <w:tr w14:paraId="322AE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10" w:type="pct"/>
                  <w:tcBorders>
                    <w:tl2br w:val="nil"/>
                    <w:tr2bl w:val="nil"/>
                  </w:tcBorders>
                  <w:noWrap w:val="0"/>
                  <w:vAlign w:val="center"/>
                </w:tcPr>
                <w:p w14:paraId="1D05257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环境高度敏感区（</w:t>
                  </w:r>
                  <w:r>
                    <w:rPr>
                      <w:rFonts w:hint="default" w:ascii="Times New Roman" w:hAnsi="Times New Roman" w:eastAsia="Times New Roman" w:cs="Times New Roman"/>
                      <w:b w:val="0"/>
                      <w:bCs w:val="0"/>
                      <w:color w:val="auto"/>
                      <w:sz w:val="21"/>
                    </w:rPr>
                    <w:t>E1</w:t>
                  </w:r>
                  <w:r>
                    <w:rPr>
                      <w:rFonts w:hint="default" w:ascii="Times New Roman" w:hAnsi="Times New Roman" w:cs="Times New Roman"/>
                      <w:b w:val="0"/>
                      <w:bCs w:val="0"/>
                      <w:color w:val="auto"/>
                      <w:sz w:val="21"/>
                    </w:rPr>
                    <w:t>）</w:t>
                  </w:r>
                </w:p>
              </w:tc>
              <w:tc>
                <w:tcPr>
                  <w:tcW w:w="921" w:type="pct"/>
                  <w:tcBorders>
                    <w:tl2br w:val="nil"/>
                    <w:tr2bl w:val="nil"/>
                  </w:tcBorders>
                  <w:noWrap w:val="0"/>
                  <w:vAlign w:val="center"/>
                </w:tcPr>
                <w:p w14:paraId="39E58FA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5"/>
                    <w:jc w:val="center"/>
                    <w:textAlignment w:val="auto"/>
                    <w:rPr>
                      <w:rFonts w:hint="default" w:ascii="Times New Roman" w:hAnsi="Times New Roman" w:cs="Times New Roman"/>
                      <w:b w:val="0"/>
                      <w:bCs w:val="0"/>
                      <w:color w:val="auto"/>
                      <w:sz w:val="13"/>
                    </w:rPr>
                  </w:pPr>
                  <w:r>
                    <w:rPr>
                      <w:rFonts w:hint="default" w:ascii="Times New Roman" w:hAnsi="Times New Roman" w:cs="Times New Roman"/>
                      <w:b w:val="0"/>
                      <w:bCs w:val="0"/>
                      <w:color w:val="auto"/>
                      <w:sz w:val="21"/>
                    </w:rPr>
                    <w:t>IV</w:t>
                  </w:r>
                  <w:r>
                    <w:rPr>
                      <w:rFonts w:hint="default" w:ascii="Times New Roman" w:hAnsi="Times New Roman" w:cs="Times New Roman"/>
                      <w:b w:val="0"/>
                      <w:bCs w:val="0"/>
                      <w:color w:val="auto"/>
                      <w:position w:val="7"/>
                      <w:sz w:val="13"/>
                    </w:rPr>
                    <w:t>+</w:t>
                  </w:r>
                </w:p>
              </w:tc>
              <w:tc>
                <w:tcPr>
                  <w:tcW w:w="921" w:type="pct"/>
                  <w:tcBorders>
                    <w:tl2br w:val="nil"/>
                    <w:tr2bl w:val="nil"/>
                  </w:tcBorders>
                  <w:noWrap w:val="0"/>
                  <w:vAlign w:val="center"/>
                </w:tcPr>
                <w:p w14:paraId="6EA17CC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5"/>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IV</w:t>
                  </w:r>
                </w:p>
              </w:tc>
              <w:tc>
                <w:tcPr>
                  <w:tcW w:w="921" w:type="pct"/>
                  <w:tcBorders>
                    <w:tl2br w:val="nil"/>
                    <w:tr2bl w:val="nil"/>
                  </w:tcBorders>
                  <w:noWrap w:val="0"/>
                  <w:vAlign w:val="center"/>
                </w:tcPr>
                <w:p w14:paraId="5015ADA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6"/>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c>
                <w:tcPr>
                  <w:tcW w:w="925" w:type="pct"/>
                  <w:tcBorders>
                    <w:tl2br w:val="nil"/>
                    <w:tr2bl w:val="nil"/>
                  </w:tcBorders>
                  <w:noWrap w:val="0"/>
                  <w:vAlign w:val="center"/>
                </w:tcPr>
                <w:p w14:paraId="0B672E5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80"/>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r>
            <w:tr w14:paraId="71ACF26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10" w:type="pct"/>
                  <w:tcBorders>
                    <w:tl2br w:val="nil"/>
                    <w:tr2bl w:val="nil"/>
                  </w:tcBorders>
                  <w:noWrap w:val="0"/>
                  <w:vAlign w:val="center"/>
                </w:tcPr>
                <w:p w14:paraId="64835F8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环境中度敏感区（</w:t>
                  </w:r>
                  <w:r>
                    <w:rPr>
                      <w:rFonts w:hint="default" w:ascii="Times New Roman" w:hAnsi="Times New Roman" w:eastAsia="Times New Roman" w:cs="Times New Roman"/>
                      <w:b w:val="0"/>
                      <w:bCs w:val="0"/>
                      <w:color w:val="auto"/>
                      <w:sz w:val="21"/>
                    </w:rPr>
                    <w:t>E2</w:t>
                  </w:r>
                  <w:r>
                    <w:rPr>
                      <w:rFonts w:hint="default" w:ascii="Times New Roman" w:hAnsi="Times New Roman" w:cs="Times New Roman"/>
                      <w:b w:val="0"/>
                      <w:bCs w:val="0"/>
                      <w:color w:val="auto"/>
                      <w:sz w:val="21"/>
                    </w:rPr>
                    <w:t>）</w:t>
                  </w:r>
                </w:p>
              </w:tc>
              <w:tc>
                <w:tcPr>
                  <w:tcW w:w="921" w:type="pct"/>
                  <w:tcBorders>
                    <w:tl2br w:val="nil"/>
                    <w:tr2bl w:val="nil"/>
                  </w:tcBorders>
                  <w:noWrap w:val="0"/>
                  <w:vAlign w:val="center"/>
                </w:tcPr>
                <w:p w14:paraId="6C577F3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5"/>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IV</w:t>
                  </w:r>
                </w:p>
              </w:tc>
              <w:tc>
                <w:tcPr>
                  <w:tcW w:w="921" w:type="pct"/>
                  <w:tcBorders>
                    <w:tl2br w:val="nil"/>
                    <w:tr2bl w:val="nil"/>
                  </w:tcBorders>
                  <w:noWrap w:val="0"/>
                  <w:vAlign w:val="center"/>
                </w:tcPr>
                <w:p w14:paraId="6AE3EA3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4"/>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c>
                <w:tcPr>
                  <w:tcW w:w="921" w:type="pct"/>
                  <w:tcBorders>
                    <w:tl2br w:val="nil"/>
                    <w:tr2bl w:val="nil"/>
                  </w:tcBorders>
                  <w:noWrap w:val="0"/>
                  <w:vAlign w:val="center"/>
                </w:tcPr>
                <w:p w14:paraId="5EC2AA2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6"/>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c>
                <w:tcPr>
                  <w:tcW w:w="925" w:type="pct"/>
                  <w:tcBorders>
                    <w:tl2br w:val="nil"/>
                    <w:tr2bl w:val="nil"/>
                  </w:tcBorders>
                  <w:noWrap w:val="0"/>
                  <w:vAlign w:val="center"/>
                </w:tcPr>
                <w:p w14:paraId="620A861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II</w:t>
                  </w:r>
                </w:p>
              </w:tc>
            </w:tr>
            <w:tr w14:paraId="62AE5C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310" w:type="pct"/>
                  <w:tcBorders>
                    <w:tl2br w:val="nil"/>
                    <w:tr2bl w:val="nil"/>
                  </w:tcBorders>
                  <w:noWrap w:val="0"/>
                  <w:vAlign w:val="center"/>
                </w:tcPr>
                <w:p w14:paraId="5A2B590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环境低度敏感区（</w:t>
                  </w:r>
                  <w:r>
                    <w:rPr>
                      <w:rFonts w:hint="default" w:ascii="Times New Roman" w:hAnsi="Times New Roman" w:eastAsia="Times New Roman" w:cs="Times New Roman"/>
                      <w:b w:val="0"/>
                      <w:bCs w:val="0"/>
                      <w:color w:val="auto"/>
                      <w:sz w:val="21"/>
                    </w:rPr>
                    <w:t>E3</w:t>
                  </w:r>
                  <w:r>
                    <w:rPr>
                      <w:rFonts w:hint="default" w:ascii="Times New Roman" w:hAnsi="Times New Roman" w:cs="Times New Roman"/>
                      <w:b w:val="0"/>
                      <w:bCs w:val="0"/>
                      <w:color w:val="auto"/>
                      <w:sz w:val="21"/>
                    </w:rPr>
                    <w:t>）</w:t>
                  </w:r>
                </w:p>
              </w:tc>
              <w:tc>
                <w:tcPr>
                  <w:tcW w:w="921" w:type="pct"/>
                  <w:tcBorders>
                    <w:tl2br w:val="nil"/>
                    <w:tr2bl w:val="nil"/>
                  </w:tcBorders>
                  <w:noWrap w:val="0"/>
                  <w:vAlign w:val="center"/>
                </w:tcPr>
                <w:p w14:paraId="06C69FA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5"/>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c>
                <w:tcPr>
                  <w:tcW w:w="921" w:type="pct"/>
                  <w:tcBorders>
                    <w:tl2br w:val="nil"/>
                    <w:tr2bl w:val="nil"/>
                  </w:tcBorders>
                  <w:noWrap w:val="0"/>
                  <w:vAlign w:val="center"/>
                </w:tcPr>
                <w:p w14:paraId="15858AD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4"/>
                    <w:jc w:val="center"/>
                    <w:textAlignment w:val="auto"/>
                    <w:rPr>
                      <w:rFonts w:hint="eastAsia" w:ascii="Times New Roman" w:hAnsi="Times New Roman" w:eastAsia="宋体" w:cs="Times New Roman"/>
                      <w:b w:val="0"/>
                      <w:bCs w:val="0"/>
                      <w:color w:val="auto"/>
                      <w:sz w:val="21"/>
                      <w:lang w:eastAsia="zh-CN"/>
                    </w:rPr>
                  </w:pPr>
                  <w:r>
                    <w:rPr>
                      <w:rFonts w:hint="eastAsia" w:ascii="Times New Roman" w:hAnsi="Times New Roman" w:cs="Times New Roman"/>
                      <w:b w:val="0"/>
                      <w:bCs w:val="0"/>
                      <w:color w:val="auto"/>
                      <w:sz w:val="21"/>
                      <w:lang w:eastAsia="zh-CN"/>
                    </w:rPr>
                    <w:t>Ⅲ</w:t>
                  </w:r>
                </w:p>
              </w:tc>
              <w:tc>
                <w:tcPr>
                  <w:tcW w:w="921" w:type="pct"/>
                  <w:tcBorders>
                    <w:tl2br w:val="nil"/>
                    <w:tr2bl w:val="nil"/>
                  </w:tcBorders>
                  <w:noWrap w:val="0"/>
                  <w:vAlign w:val="center"/>
                </w:tcPr>
                <w:p w14:paraId="267C9AF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74"/>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II</w:t>
                  </w:r>
                </w:p>
              </w:tc>
              <w:tc>
                <w:tcPr>
                  <w:tcW w:w="925" w:type="pct"/>
                  <w:tcBorders>
                    <w:tl2br w:val="nil"/>
                    <w:tr2bl w:val="nil"/>
                  </w:tcBorders>
                  <w:noWrap w:val="0"/>
                  <w:vAlign w:val="center"/>
                </w:tcPr>
                <w:p w14:paraId="12A2407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w w:val="99"/>
                      <w:sz w:val="21"/>
                    </w:rPr>
                    <w:t>I</w:t>
                  </w:r>
                </w:p>
              </w:tc>
            </w:tr>
            <w:tr w14:paraId="004BED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70" w:hRule="atLeast"/>
                <w:jc w:val="center"/>
              </w:trPr>
              <w:tc>
                <w:tcPr>
                  <w:tcW w:w="5000" w:type="pct"/>
                  <w:gridSpan w:val="5"/>
                  <w:tcBorders>
                    <w:tl2br w:val="nil"/>
                    <w:tr2bl w:val="nil"/>
                  </w:tcBorders>
                  <w:noWrap w:val="0"/>
                  <w:vAlign w:val="center"/>
                </w:tcPr>
                <w:p w14:paraId="3ED794D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left"/>
                    <w:textAlignment w:val="auto"/>
                    <w:rPr>
                      <w:rFonts w:hint="default" w:ascii="Times New Roman" w:hAnsi="Times New Roman" w:eastAsia="宋体" w:cs="Times New Roman"/>
                      <w:b w:val="0"/>
                      <w:bCs w:val="0"/>
                      <w:color w:val="auto"/>
                      <w:w w:val="99"/>
                      <w:sz w:val="21"/>
                      <w:lang w:eastAsia="zh-CN"/>
                    </w:rPr>
                  </w:pPr>
                  <w:r>
                    <w:rPr>
                      <w:rFonts w:hint="default" w:ascii="Times New Roman" w:hAnsi="Times New Roman" w:cs="Times New Roman"/>
                      <w:b/>
                      <w:bCs/>
                      <w:color w:val="auto"/>
                      <w:w w:val="99"/>
                      <w:sz w:val="18"/>
                      <w:szCs w:val="18"/>
                      <w:vertAlign w:val="baseline"/>
                      <w:lang w:eastAsia="zh-CN"/>
                    </w:rPr>
                    <w:t>注：</w:t>
                  </w:r>
                  <w:r>
                    <w:rPr>
                      <w:rFonts w:hint="default" w:ascii="Times New Roman" w:hAnsi="Times New Roman" w:eastAsia="Times New Roman" w:cs="Times New Roman"/>
                      <w:b/>
                      <w:bCs/>
                      <w:color w:val="auto"/>
                      <w:sz w:val="18"/>
                      <w:szCs w:val="18"/>
                      <w:vertAlign w:val="baseline"/>
                    </w:rPr>
                    <w:t>IV</w:t>
                  </w:r>
                  <w:r>
                    <w:rPr>
                      <w:rFonts w:hint="default" w:ascii="Times New Roman" w:hAnsi="Times New Roman" w:eastAsia="Times New Roman" w:cs="Times New Roman"/>
                      <w:b/>
                      <w:bCs/>
                      <w:color w:val="auto"/>
                      <w:position w:val="7"/>
                      <w:sz w:val="18"/>
                      <w:szCs w:val="18"/>
                      <w:vertAlign w:val="baseline"/>
                    </w:rPr>
                    <w:t>+</w:t>
                  </w:r>
                  <w:r>
                    <w:rPr>
                      <w:rFonts w:hint="default" w:ascii="Times New Roman" w:hAnsi="Times New Roman" w:cs="Times New Roman"/>
                      <w:b/>
                      <w:bCs/>
                      <w:color w:val="auto"/>
                      <w:sz w:val="18"/>
                      <w:szCs w:val="18"/>
                      <w:vertAlign w:val="baseline"/>
                    </w:rPr>
                    <w:t>为极高环境风险</w:t>
                  </w:r>
                </w:p>
              </w:tc>
            </w:tr>
          </w:tbl>
          <w:p w14:paraId="6EB752F8">
            <w:pPr>
              <w:pStyle w:val="69"/>
              <w:keepNext w:val="0"/>
              <w:keepLines w:val="0"/>
              <w:suppressLineNumbers w:val="0"/>
              <w:bidi w:val="0"/>
              <w:spacing w:beforeAutospacing="0" w:after="0" w:afterAutospacing="0"/>
              <w:ind w:left="0" w:right="0"/>
              <w:rPr>
                <w:rFonts w:hint="default"/>
                <w:color w:val="auto"/>
                <w:lang w:val="en-US" w:eastAsia="zh-CN"/>
              </w:rPr>
            </w:pPr>
            <w:r>
              <w:rPr>
                <w:rFonts w:hint="default"/>
                <w:color w:val="auto"/>
                <w:lang w:val="en-US" w:eastAsia="zh-CN"/>
              </w:rPr>
              <w:t>本项目原辅材料包括硫酸、氯化氢、硝酸、四氯乙烯等，</w:t>
            </w:r>
            <w:r>
              <w:rPr>
                <w:rFonts w:hint="eastAsia"/>
                <w:color w:val="auto"/>
                <w:lang w:val="en-US" w:eastAsia="zh-CN"/>
              </w:rPr>
              <w:t>根据</w:t>
            </w:r>
            <w:r>
              <w:rPr>
                <w:rFonts w:hint="default"/>
                <w:color w:val="auto"/>
                <w:lang w:val="en-US" w:eastAsia="zh-CN"/>
              </w:rPr>
              <w:t>各原料成分性质分析，项目涉及的危险物质主要为硫酸、氯化氢、硝酸、四氯乙烯、三氯甲烷、氨水、丙酮、甲醛、磷酸、氰化钠、乙醚、乙酸、正己烷、二氧化硫、二硫化碳、次氯酸钠、苯胺和苯酚等，根据《建设项目环境风险评价技术导则》（HJ</w:t>
            </w:r>
            <w:r>
              <w:rPr>
                <w:rFonts w:hint="eastAsia"/>
                <w:color w:val="auto"/>
                <w:lang w:val="en-US" w:eastAsia="zh-CN"/>
              </w:rPr>
              <w:t xml:space="preserve"> </w:t>
            </w:r>
            <w:r>
              <w:rPr>
                <w:rFonts w:hint="default"/>
                <w:color w:val="auto"/>
                <w:lang w:val="en-US" w:eastAsia="zh-CN"/>
              </w:rPr>
              <w:t>169-2018）附录B判断项目危险物质临界量值，详见下表。</w:t>
            </w:r>
          </w:p>
          <w:p w14:paraId="09ED2100">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bookmarkStart w:id="106" w:name="控制措施"/>
            <w:bookmarkEnd w:id="106"/>
            <w:bookmarkStart w:id="107" w:name="风险事故对环境的影响"/>
            <w:bookmarkEnd w:id="107"/>
            <w:bookmarkStart w:id="108" w:name="危险有害因素的识别与分析"/>
            <w:bookmarkEnd w:id="108"/>
            <w:r>
              <w:rPr>
                <w:rFonts w:hint="default" w:ascii="Times New Roman" w:hAnsi="Times New Roman" w:cs="Times New Roman"/>
                <w:color w:val="auto"/>
                <w:highlight w:val="none"/>
                <w:lang w:val="en-US" w:eastAsia="zh-CN"/>
              </w:rPr>
              <w:t>建设项目Q值确定表</w:t>
            </w:r>
          </w:p>
          <w:tbl>
            <w:tblPr>
              <w:tblStyle w:val="28"/>
              <w:tblW w:w="498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422"/>
              <w:gridCol w:w="1131"/>
              <w:gridCol w:w="1281"/>
              <w:gridCol w:w="1961"/>
              <w:gridCol w:w="1154"/>
              <w:gridCol w:w="1062"/>
              <w:gridCol w:w="1092"/>
            </w:tblGrid>
            <w:tr w14:paraId="441544D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634" w:hRule="atLeast"/>
                <w:jc w:val="center"/>
              </w:trPr>
              <w:tc>
                <w:tcPr>
                  <w:tcW w:w="260" w:type="pct"/>
                  <w:tcBorders>
                    <w:tl2br w:val="nil"/>
                    <w:tr2bl w:val="nil"/>
                  </w:tcBorders>
                  <w:noWrap w:val="0"/>
                  <w:vAlign w:val="center"/>
                </w:tcPr>
                <w:p w14:paraId="62E9CB5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序号</w:t>
                  </w:r>
                </w:p>
              </w:tc>
              <w:tc>
                <w:tcPr>
                  <w:tcW w:w="697" w:type="pct"/>
                  <w:tcBorders>
                    <w:tl2br w:val="nil"/>
                    <w:tr2bl w:val="nil"/>
                  </w:tcBorders>
                  <w:noWrap w:val="0"/>
                  <w:vAlign w:val="center"/>
                </w:tcPr>
                <w:p w14:paraId="73260FA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项目危险源</w:t>
                  </w:r>
                </w:p>
              </w:tc>
              <w:tc>
                <w:tcPr>
                  <w:tcW w:w="790" w:type="pct"/>
                  <w:tcBorders>
                    <w:tl2br w:val="nil"/>
                    <w:tr2bl w:val="nil"/>
                  </w:tcBorders>
                  <w:noWrap w:val="0"/>
                  <w:vAlign w:val="center"/>
                </w:tcPr>
                <w:p w14:paraId="0D80272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CAS号</w:t>
                  </w:r>
                </w:p>
              </w:tc>
              <w:tc>
                <w:tcPr>
                  <w:tcW w:w="1210" w:type="pct"/>
                  <w:tcBorders>
                    <w:tl2br w:val="nil"/>
                    <w:tr2bl w:val="nil"/>
                  </w:tcBorders>
                  <w:noWrap w:val="0"/>
                  <w:vAlign w:val="center"/>
                </w:tcPr>
                <w:p w14:paraId="676D03D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危险特性</w:t>
                  </w:r>
                </w:p>
              </w:tc>
              <w:tc>
                <w:tcPr>
                  <w:tcW w:w="712" w:type="pct"/>
                  <w:tcBorders>
                    <w:tl2br w:val="nil"/>
                    <w:tr2bl w:val="nil"/>
                  </w:tcBorders>
                  <w:noWrap w:val="0"/>
                  <w:vAlign w:val="center"/>
                </w:tcPr>
                <w:p w14:paraId="69F1E01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临界量Q/t</w:t>
                  </w:r>
                </w:p>
              </w:tc>
              <w:tc>
                <w:tcPr>
                  <w:tcW w:w="655" w:type="pct"/>
                  <w:tcBorders>
                    <w:tl2br w:val="nil"/>
                    <w:tr2bl w:val="nil"/>
                  </w:tcBorders>
                  <w:noWrap w:val="0"/>
                  <w:vAlign w:val="center"/>
                </w:tcPr>
                <w:p w14:paraId="63E94C7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最大存量qn/t</w:t>
                  </w:r>
                </w:p>
              </w:tc>
              <w:tc>
                <w:tcPr>
                  <w:tcW w:w="673" w:type="pct"/>
                  <w:tcBorders>
                    <w:tl2br w:val="nil"/>
                    <w:tr2bl w:val="nil"/>
                  </w:tcBorders>
                  <w:noWrap w:val="0"/>
                  <w:vAlign w:val="center"/>
                </w:tcPr>
                <w:p w14:paraId="41239D5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lang w:eastAsia="zh-CN"/>
                    </w:rPr>
                  </w:pPr>
                  <w:r>
                    <w:rPr>
                      <w:rFonts w:hint="default" w:ascii="Times New Roman" w:hAnsi="Times New Roman" w:eastAsia="宋体" w:cs="Times New Roman"/>
                      <w:b w:val="0"/>
                      <w:bCs w:val="0"/>
                      <w:color w:val="auto"/>
                      <w:sz w:val="21"/>
                      <w:szCs w:val="21"/>
                      <w:lang w:eastAsia="zh-CN"/>
                    </w:rPr>
                    <w:t>比值Q</w:t>
                  </w:r>
                </w:p>
              </w:tc>
            </w:tr>
            <w:tr w14:paraId="527776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2DE2024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w:t>
                  </w:r>
                </w:p>
              </w:tc>
              <w:tc>
                <w:tcPr>
                  <w:tcW w:w="697" w:type="pct"/>
                  <w:tcBorders>
                    <w:tl2br w:val="nil"/>
                    <w:tr2bl w:val="nil"/>
                  </w:tcBorders>
                  <w:noWrap w:val="0"/>
                  <w:vAlign w:val="center"/>
                </w:tcPr>
                <w:p w14:paraId="7371668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高氯酸</w:t>
                  </w:r>
                </w:p>
              </w:tc>
              <w:tc>
                <w:tcPr>
                  <w:tcW w:w="790" w:type="pct"/>
                  <w:tcBorders>
                    <w:tl2br w:val="nil"/>
                    <w:tr2bl w:val="nil"/>
                  </w:tcBorders>
                  <w:noWrap w:val="0"/>
                  <w:vAlign w:val="center"/>
                </w:tcPr>
                <w:p w14:paraId="0FFF9DC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7601-90-3</w:t>
                  </w:r>
                </w:p>
              </w:tc>
              <w:tc>
                <w:tcPr>
                  <w:tcW w:w="1210" w:type="pct"/>
                  <w:tcBorders>
                    <w:tl2br w:val="nil"/>
                    <w:tr2bl w:val="nil"/>
                  </w:tcBorders>
                  <w:noWrap w:val="0"/>
                  <w:vAlign w:val="center"/>
                </w:tcPr>
                <w:p w14:paraId="3953522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健康危险急性毒性物质（类别3）</w:t>
                  </w:r>
                </w:p>
              </w:tc>
              <w:tc>
                <w:tcPr>
                  <w:tcW w:w="712" w:type="pct"/>
                  <w:tcBorders>
                    <w:tl2br w:val="nil"/>
                    <w:tr2bl w:val="nil"/>
                  </w:tcBorders>
                  <w:noWrap w:val="0"/>
                  <w:vAlign w:val="center"/>
                </w:tcPr>
                <w:p w14:paraId="39F9E2E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076D799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0.000882 </w:t>
                  </w:r>
                </w:p>
              </w:tc>
              <w:tc>
                <w:tcPr>
                  <w:tcW w:w="673" w:type="pct"/>
                  <w:tcBorders>
                    <w:tl2br w:val="nil"/>
                    <w:tr2bl w:val="nil"/>
                  </w:tcBorders>
                  <w:noWrap w:val="0"/>
                  <w:vAlign w:val="center"/>
                </w:tcPr>
                <w:p w14:paraId="703F7DB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0.000018 </w:t>
                  </w:r>
                </w:p>
              </w:tc>
            </w:tr>
            <w:tr w14:paraId="7746E58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86C6CE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w:t>
                  </w:r>
                </w:p>
              </w:tc>
              <w:tc>
                <w:tcPr>
                  <w:tcW w:w="697" w:type="pct"/>
                  <w:tcBorders>
                    <w:tl2br w:val="nil"/>
                    <w:tr2bl w:val="nil"/>
                  </w:tcBorders>
                  <w:noWrap w:val="0"/>
                  <w:vAlign w:val="center"/>
                </w:tcPr>
                <w:p w14:paraId="68B8DEA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硝酸</w:t>
                  </w:r>
                </w:p>
              </w:tc>
              <w:tc>
                <w:tcPr>
                  <w:tcW w:w="790" w:type="pct"/>
                  <w:tcBorders>
                    <w:tl2br w:val="nil"/>
                    <w:tr2bl w:val="nil"/>
                  </w:tcBorders>
                  <w:noWrap w:val="0"/>
                  <w:vAlign w:val="center"/>
                </w:tcPr>
                <w:p w14:paraId="1904428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7697-37-2</w:t>
                  </w:r>
                </w:p>
              </w:tc>
              <w:tc>
                <w:tcPr>
                  <w:tcW w:w="1210" w:type="pct"/>
                  <w:tcBorders>
                    <w:tl2br w:val="nil"/>
                    <w:tr2bl w:val="nil"/>
                  </w:tcBorders>
                  <w:noWrap w:val="0"/>
                  <w:vAlign w:val="center"/>
                </w:tcPr>
                <w:p w14:paraId="230BB69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019D369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7.5</w:t>
                  </w:r>
                </w:p>
              </w:tc>
              <w:tc>
                <w:tcPr>
                  <w:tcW w:w="655" w:type="pct"/>
                  <w:tcBorders>
                    <w:tl2br w:val="nil"/>
                    <w:tr2bl w:val="nil"/>
                  </w:tcBorders>
                  <w:noWrap w:val="0"/>
                  <w:vAlign w:val="center"/>
                </w:tcPr>
                <w:p w14:paraId="11900FE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0.007050 </w:t>
                  </w:r>
                </w:p>
              </w:tc>
              <w:tc>
                <w:tcPr>
                  <w:tcW w:w="673" w:type="pct"/>
                  <w:tcBorders>
                    <w:tl2br w:val="nil"/>
                    <w:tr2bl w:val="nil"/>
                  </w:tcBorders>
                  <w:noWrap w:val="0"/>
                  <w:vAlign w:val="center"/>
                </w:tcPr>
                <w:p w14:paraId="79146A0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0.000940 </w:t>
                  </w:r>
                </w:p>
              </w:tc>
            </w:tr>
            <w:tr w14:paraId="6C6E0F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78BAFD9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w:t>
                  </w:r>
                </w:p>
              </w:tc>
              <w:tc>
                <w:tcPr>
                  <w:tcW w:w="697" w:type="pct"/>
                  <w:tcBorders>
                    <w:tl2br w:val="nil"/>
                    <w:tr2bl w:val="nil"/>
                  </w:tcBorders>
                  <w:noWrap w:val="0"/>
                  <w:vAlign w:val="center"/>
                </w:tcPr>
                <w:p w14:paraId="2DC15F6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重铬酸钾</w:t>
                  </w:r>
                </w:p>
              </w:tc>
              <w:tc>
                <w:tcPr>
                  <w:tcW w:w="790" w:type="pct"/>
                  <w:tcBorders>
                    <w:tl2br w:val="nil"/>
                    <w:tr2bl w:val="nil"/>
                  </w:tcBorders>
                  <w:noWrap w:val="0"/>
                  <w:vAlign w:val="center"/>
                </w:tcPr>
                <w:p w14:paraId="5853D92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7778-50-9</w:t>
                  </w:r>
                </w:p>
              </w:tc>
              <w:tc>
                <w:tcPr>
                  <w:tcW w:w="1210" w:type="pct"/>
                  <w:tcBorders>
                    <w:tl2br w:val="nil"/>
                    <w:tr2bl w:val="nil"/>
                  </w:tcBorders>
                  <w:noWrap w:val="0"/>
                  <w:vAlign w:val="center"/>
                </w:tcPr>
                <w:p w14:paraId="79168BD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健康危险急性毒性物质（类别3）</w:t>
                  </w:r>
                </w:p>
              </w:tc>
              <w:tc>
                <w:tcPr>
                  <w:tcW w:w="712" w:type="pct"/>
                  <w:tcBorders>
                    <w:tl2br w:val="nil"/>
                    <w:tr2bl w:val="nil"/>
                  </w:tcBorders>
                  <w:noWrap w:val="0"/>
                  <w:vAlign w:val="center"/>
                </w:tcPr>
                <w:p w14:paraId="20DF0CE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5553288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0.000500 </w:t>
                  </w:r>
                </w:p>
              </w:tc>
              <w:tc>
                <w:tcPr>
                  <w:tcW w:w="673" w:type="pct"/>
                  <w:tcBorders>
                    <w:tl2br w:val="nil"/>
                    <w:tr2bl w:val="nil"/>
                  </w:tcBorders>
                  <w:noWrap w:val="0"/>
                  <w:vAlign w:val="center"/>
                </w:tcPr>
                <w:p w14:paraId="3C9199F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0.000010 </w:t>
                  </w:r>
                </w:p>
              </w:tc>
            </w:tr>
            <w:tr w14:paraId="52205B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69FDB5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4</w:t>
                  </w:r>
                </w:p>
              </w:tc>
              <w:tc>
                <w:tcPr>
                  <w:tcW w:w="697" w:type="pct"/>
                  <w:tcBorders>
                    <w:tl2br w:val="nil"/>
                    <w:tr2bl w:val="nil"/>
                  </w:tcBorders>
                  <w:noWrap w:val="0"/>
                  <w:vAlign w:val="center"/>
                </w:tcPr>
                <w:p w14:paraId="4579D0A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硝酸银</w:t>
                  </w:r>
                </w:p>
              </w:tc>
              <w:tc>
                <w:tcPr>
                  <w:tcW w:w="790" w:type="pct"/>
                  <w:tcBorders>
                    <w:tl2br w:val="nil"/>
                    <w:tr2bl w:val="nil"/>
                  </w:tcBorders>
                  <w:noWrap w:val="0"/>
                  <w:vAlign w:val="center"/>
                </w:tcPr>
                <w:p w14:paraId="2931E50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7761-88-8</w:t>
                  </w:r>
                </w:p>
              </w:tc>
              <w:tc>
                <w:tcPr>
                  <w:tcW w:w="1210" w:type="pct"/>
                  <w:tcBorders>
                    <w:tl2br w:val="nil"/>
                    <w:tr2bl w:val="nil"/>
                  </w:tcBorders>
                  <w:noWrap w:val="0"/>
                  <w:vAlign w:val="center"/>
                </w:tcPr>
                <w:p w14:paraId="45EC908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75A4A1C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49D1EC9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0.001000 </w:t>
                  </w:r>
                </w:p>
              </w:tc>
              <w:tc>
                <w:tcPr>
                  <w:tcW w:w="673" w:type="pct"/>
                  <w:tcBorders>
                    <w:tl2br w:val="nil"/>
                    <w:tr2bl w:val="nil"/>
                  </w:tcBorders>
                  <w:noWrap w:val="0"/>
                  <w:vAlign w:val="center"/>
                </w:tcPr>
                <w:p w14:paraId="749627B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0.000020 </w:t>
                  </w:r>
                </w:p>
              </w:tc>
            </w:tr>
            <w:tr w14:paraId="76F317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2512027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w:t>
                  </w:r>
                </w:p>
              </w:tc>
              <w:tc>
                <w:tcPr>
                  <w:tcW w:w="697" w:type="pct"/>
                  <w:tcBorders>
                    <w:tl2br w:val="nil"/>
                    <w:tr2bl w:val="nil"/>
                  </w:tcBorders>
                  <w:noWrap w:val="0"/>
                  <w:vAlign w:val="center"/>
                </w:tcPr>
                <w:p w14:paraId="47A086E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叠氮化钠</w:t>
                  </w:r>
                </w:p>
              </w:tc>
              <w:tc>
                <w:tcPr>
                  <w:tcW w:w="790" w:type="pct"/>
                  <w:tcBorders>
                    <w:tl2br w:val="nil"/>
                    <w:tr2bl w:val="nil"/>
                  </w:tcBorders>
                  <w:noWrap w:val="0"/>
                  <w:vAlign w:val="center"/>
                </w:tcPr>
                <w:p w14:paraId="0E3F20E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26628-22-8</w:t>
                  </w:r>
                </w:p>
              </w:tc>
              <w:tc>
                <w:tcPr>
                  <w:tcW w:w="1210" w:type="pct"/>
                  <w:tcBorders>
                    <w:tl2br w:val="nil"/>
                    <w:tr2bl w:val="nil"/>
                  </w:tcBorders>
                  <w:noWrap w:val="0"/>
                  <w:vAlign w:val="center"/>
                </w:tcPr>
                <w:p w14:paraId="12EF11D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46C6F06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3A03DC7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0.000500 </w:t>
                  </w:r>
                </w:p>
              </w:tc>
              <w:tc>
                <w:tcPr>
                  <w:tcW w:w="673" w:type="pct"/>
                  <w:tcBorders>
                    <w:tl2br w:val="nil"/>
                    <w:tr2bl w:val="nil"/>
                  </w:tcBorders>
                  <w:noWrap w:val="0"/>
                  <w:vAlign w:val="center"/>
                </w:tcPr>
                <w:p w14:paraId="2DCE54C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0.000010 </w:t>
                  </w:r>
                </w:p>
              </w:tc>
            </w:tr>
            <w:tr w14:paraId="545AB5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3A5E074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w:t>
                  </w:r>
                </w:p>
              </w:tc>
              <w:tc>
                <w:tcPr>
                  <w:tcW w:w="697" w:type="pct"/>
                  <w:tcBorders>
                    <w:tl2br w:val="nil"/>
                    <w:tr2bl w:val="nil"/>
                  </w:tcBorders>
                  <w:noWrap w:val="0"/>
                  <w:vAlign w:val="center"/>
                </w:tcPr>
                <w:p w14:paraId="2135E01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甲苯</w:t>
                  </w:r>
                </w:p>
              </w:tc>
              <w:tc>
                <w:tcPr>
                  <w:tcW w:w="790" w:type="pct"/>
                  <w:tcBorders>
                    <w:tl2br w:val="nil"/>
                    <w:tr2bl w:val="nil"/>
                  </w:tcBorders>
                  <w:noWrap w:val="0"/>
                  <w:vAlign w:val="center"/>
                </w:tcPr>
                <w:p w14:paraId="0EAF495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108-88-3</w:t>
                  </w:r>
                </w:p>
              </w:tc>
              <w:tc>
                <w:tcPr>
                  <w:tcW w:w="1210" w:type="pct"/>
                  <w:tcBorders>
                    <w:tl2br w:val="nil"/>
                    <w:tr2bl w:val="nil"/>
                  </w:tcBorders>
                  <w:noWrap w:val="0"/>
                  <w:vAlign w:val="center"/>
                </w:tcPr>
                <w:p w14:paraId="250DED3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269753A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41E24B8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0.000435 </w:t>
                  </w:r>
                </w:p>
              </w:tc>
              <w:tc>
                <w:tcPr>
                  <w:tcW w:w="673" w:type="pct"/>
                  <w:tcBorders>
                    <w:tl2br w:val="nil"/>
                    <w:tr2bl w:val="nil"/>
                  </w:tcBorders>
                  <w:noWrap w:val="0"/>
                  <w:vAlign w:val="center"/>
                </w:tcPr>
                <w:p w14:paraId="44F0110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0.000044 </w:t>
                  </w:r>
                </w:p>
              </w:tc>
            </w:tr>
            <w:tr w14:paraId="5128F9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5FFB833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w:t>
                  </w:r>
                </w:p>
              </w:tc>
              <w:tc>
                <w:tcPr>
                  <w:tcW w:w="697" w:type="pct"/>
                  <w:tcBorders>
                    <w:tl2br w:val="nil"/>
                    <w:tr2bl w:val="nil"/>
                  </w:tcBorders>
                  <w:noWrap w:val="0"/>
                  <w:vAlign w:val="center"/>
                </w:tcPr>
                <w:p w14:paraId="51BE1F1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硫酸</w:t>
                  </w:r>
                </w:p>
              </w:tc>
              <w:tc>
                <w:tcPr>
                  <w:tcW w:w="790" w:type="pct"/>
                  <w:tcBorders>
                    <w:tl2br w:val="nil"/>
                    <w:tr2bl w:val="nil"/>
                  </w:tcBorders>
                  <w:noWrap w:val="0"/>
                  <w:vAlign w:val="center"/>
                </w:tcPr>
                <w:p w14:paraId="2AA938C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7664-93-9</w:t>
                  </w:r>
                </w:p>
              </w:tc>
              <w:tc>
                <w:tcPr>
                  <w:tcW w:w="1210" w:type="pct"/>
                  <w:tcBorders>
                    <w:tl2br w:val="nil"/>
                    <w:tr2bl w:val="nil"/>
                  </w:tcBorders>
                  <w:noWrap w:val="0"/>
                  <w:vAlign w:val="center"/>
                </w:tcPr>
                <w:p w14:paraId="60C1CF2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4EAF311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5B73014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0.009200 </w:t>
                  </w:r>
                </w:p>
              </w:tc>
              <w:tc>
                <w:tcPr>
                  <w:tcW w:w="673" w:type="pct"/>
                  <w:tcBorders>
                    <w:tl2br w:val="nil"/>
                    <w:tr2bl w:val="nil"/>
                  </w:tcBorders>
                  <w:noWrap w:val="0"/>
                  <w:vAlign w:val="center"/>
                </w:tcPr>
                <w:p w14:paraId="78998B5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0.000920 </w:t>
                  </w:r>
                </w:p>
              </w:tc>
            </w:tr>
            <w:tr w14:paraId="7D6C94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672EB4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8</w:t>
                  </w:r>
                </w:p>
              </w:tc>
              <w:tc>
                <w:tcPr>
                  <w:tcW w:w="697" w:type="pct"/>
                  <w:tcBorders>
                    <w:tl2br w:val="nil"/>
                    <w:tr2bl w:val="nil"/>
                  </w:tcBorders>
                  <w:noWrap w:val="0"/>
                  <w:vAlign w:val="center"/>
                </w:tcPr>
                <w:p w14:paraId="4595CCC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盐酸</w:t>
                  </w:r>
                </w:p>
              </w:tc>
              <w:tc>
                <w:tcPr>
                  <w:tcW w:w="790" w:type="pct"/>
                  <w:tcBorders>
                    <w:tl2br w:val="nil"/>
                    <w:tr2bl w:val="nil"/>
                  </w:tcBorders>
                  <w:noWrap w:val="0"/>
                  <w:vAlign w:val="center"/>
                </w:tcPr>
                <w:p w14:paraId="7D1FA02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7647-01-0</w:t>
                  </w:r>
                </w:p>
              </w:tc>
              <w:tc>
                <w:tcPr>
                  <w:tcW w:w="1210" w:type="pct"/>
                  <w:tcBorders>
                    <w:tl2br w:val="nil"/>
                    <w:tr2bl w:val="nil"/>
                  </w:tcBorders>
                  <w:noWrap w:val="0"/>
                  <w:vAlign w:val="center"/>
                </w:tcPr>
                <w:p w14:paraId="37A8B3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7C78631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7.5</w:t>
                  </w:r>
                </w:p>
              </w:tc>
              <w:tc>
                <w:tcPr>
                  <w:tcW w:w="655" w:type="pct"/>
                  <w:tcBorders>
                    <w:tl2br w:val="nil"/>
                    <w:tr2bl w:val="nil"/>
                  </w:tcBorders>
                  <w:noWrap w:val="0"/>
                  <w:vAlign w:val="center"/>
                </w:tcPr>
                <w:p w14:paraId="634016B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0.005950 </w:t>
                  </w:r>
                </w:p>
              </w:tc>
              <w:tc>
                <w:tcPr>
                  <w:tcW w:w="673" w:type="pct"/>
                  <w:tcBorders>
                    <w:tl2br w:val="nil"/>
                    <w:tr2bl w:val="nil"/>
                  </w:tcBorders>
                  <w:noWrap w:val="0"/>
                  <w:vAlign w:val="center"/>
                </w:tcPr>
                <w:p w14:paraId="7D34D47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0.000793 </w:t>
                  </w:r>
                </w:p>
              </w:tc>
            </w:tr>
            <w:tr w14:paraId="61C441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A4900E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9</w:t>
                  </w:r>
                </w:p>
              </w:tc>
              <w:tc>
                <w:tcPr>
                  <w:tcW w:w="697" w:type="pct"/>
                  <w:tcBorders>
                    <w:tl2br w:val="nil"/>
                    <w:tr2bl w:val="nil"/>
                  </w:tcBorders>
                  <w:noWrap w:val="0"/>
                  <w:vAlign w:val="center"/>
                </w:tcPr>
                <w:p w14:paraId="72BAC5C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丙酮</w:t>
                  </w:r>
                </w:p>
              </w:tc>
              <w:tc>
                <w:tcPr>
                  <w:tcW w:w="790" w:type="pct"/>
                  <w:tcBorders>
                    <w:tl2br w:val="nil"/>
                    <w:tr2bl w:val="nil"/>
                  </w:tcBorders>
                  <w:noWrap w:val="0"/>
                  <w:vAlign w:val="center"/>
                </w:tcPr>
                <w:p w14:paraId="393A634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67-64-1</w:t>
                  </w:r>
                </w:p>
              </w:tc>
              <w:tc>
                <w:tcPr>
                  <w:tcW w:w="1210" w:type="pct"/>
                  <w:tcBorders>
                    <w:tl2br w:val="nil"/>
                    <w:tr2bl w:val="nil"/>
                  </w:tcBorders>
                  <w:noWrap w:val="0"/>
                  <w:vAlign w:val="center"/>
                </w:tcPr>
                <w:p w14:paraId="0CFD0DD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4A1FB47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37B920F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0.000394 </w:t>
                  </w:r>
                </w:p>
              </w:tc>
              <w:tc>
                <w:tcPr>
                  <w:tcW w:w="673" w:type="pct"/>
                  <w:tcBorders>
                    <w:tl2br w:val="nil"/>
                    <w:tr2bl w:val="nil"/>
                  </w:tcBorders>
                  <w:noWrap w:val="0"/>
                  <w:vAlign w:val="center"/>
                </w:tcPr>
                <w:p w14:paraId="2864BEA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0.000039 </w:t>
                  </w:r>
                </w:p>
              </w:tc>
            </w:tr>
            <w:tr w14:paraId="45A760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ECF572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97" w:type="pct"/>
                  <w:tcBorders>
                    <w:tl2br w:val="nil"/>
                    <w:tr2bl w:val="nil"/>
                  </w:tcBorders>
                  <w:noWrap w:val="0"/>
                  <w:vAlign w:val="center"/>
                </w:tcPr>
                <w:p w14:paraId="7446B95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乙醚</w:t>
                  </w:r>
                </w:p>
              </w:tc>
              <w:tc>
                <w:tcPr>
                  <w:tcW w:w="790" w:type="pct"/>
                  <w:tcBorders>
                    <w:tl2br w:val="nil"/>
                    <w:tr2bl w:val="nil"/>
                  </w:tcBorders>
                  <w:noWrap w:val="0"/>
                  <w:vAlign w:val="center"/>
                </w:tcPr>
                <w:p w14:paraId="448DA53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60-29-7</w:t>
                  </w:r>
                </w:p>
              </w:tc>
              <w:tc>
                <w:tcPr>
                  <w:tcW w:w="1210" w:type="pct"/>
                  <w:tcBorders>
                    <w:tl2br w:val="nil"/>
                    <w:tr2bl w:val="nil"/>
                  </w:tcBorders>
                  <w:noWrap w:val="0"/>
                  <w:vAlign w:val="center"/>
                </w:tcPr>
                <w:p w14:paraId="1B32E68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1C6E9BA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4D7F557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0.000357 </w:t>
                  </w:r>
                </w:p>
              </w:tc>
              <w:tc>
                <w:tcPr>
                  <w:tcW w:w="673" w:type="pct"/>
                  <w:tcBorders>
                    <w:tl2br w:val="nil"/>
                    <w:tr2bl w:val="nil"/>
                  </w:tcBorders>
                  <w:noWrap w:val="0"/>
                  <w:vAlign w:val="center"/>
                </w:tcPr>
                <w:p w14:paraId="7D01119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0.000036 </w:t>
                  </w:r>
                </w:p>
              </w:tc>
            </w:tr>
            <w:tr w14:paraId="58DCE26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DF1E46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11</w:t>
                  </w:r>
                </w:p>
              </w:tc>
              <w:tc>
                <w:tcPr>
                  <w:tcW w:w="697" w:type="pct"/>
                  <w:tcBorders>
                    <w:tl2br w:val="nil"/>
                    <w:tr2bl w:val="nil"/>
                  </w:tcBorders>
                  <w:noWrap w:val="0"/>
                  <w:vAlign w:val="center"/>
                </w:tcPr>
                <w:p w14:paraId="49C28EC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三氯甲烷</w:t>
                  </w:r>
                </w:p>
              </w:tc>
              <w:tc>
                <w:tcPr>
                  <w:tcW w:w="790" w:type="pct"/>
                  <w:tcBorders>
                    <w:tl2br w:val="nil"/>
                    <w:tr2bl w:val="nil"/>
                  </w:tcBorders>
                  <w:noWrap w:val="0"/>
                  <w:vAlign w:val="center"/>
                </w:tcPr>
                <w:p w14:paraId="754887E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67-66-3</w:t>
                  </w:r>
                </w:p>
              </w:tc>
              <w:tc>
                <w:tcPr>
                  <w:tcW w:w="1210" w:type="pct"/>
                  <w:tcBorders>
                    <w:tl2br w:val="nil"/>
                    <w:tr2bl w:val="nil"/>
                  </w:tcBorders>
                  <w:noWrap w:val="0"/>
                  <w:vAlign w:val="center"/>
                </w:tcPr>
                <w:p w14:paraId="5103EB8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6871F29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38750AB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0.003750 </w:t>
                  </w:r>
                </w:p>
              </w:tc>
              <w:tc>
                <w:tcPr>
                  <w:tcW w:w="673" w:type="pct"/>
                  <w:tcBorders>
                    <w:tl2br w:val="nil"/>
                    <w:tr2bl w:val="nil"/>
                  </w:tcBorders>
                  <w:noWrap w:val="0"/>
                  <w:vAlign w:val="center"/>
                </w:tcPr>
                <w:p w14:paraId="45523D2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0.000375 </w:t>
                  </w:r>
                </w:p>
              </w:tc>
            </w:tr>
            <w:tr w14:paraId="394EF7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55187D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12</w:t>
                  </w:r>
                </w:p>
              </w:tc>
              <w:tc>
                <w:tcPr>
                  <w:tcW w:w="697" w:type="pct"/>
                  <w:tcBorders>
                    <w:tl2br w:val="nil"/>
                    <w:tr2bl w:val="nil"/>
                  </w:tcBorders>
                  <w:noWrap w:val="0"/>
                  <w:vAlign w:val="center"/>
                </w:tcPr>
                <w:p w14:paraId="24013C0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无水乙醇</w:t>
                  </w:r>
                </w:p>
              </w:tc>
              <w:tc>
                <w:tcPr>
                  <w:tcW w:w="790" w:type="pct"/>
                  <w:tcBorders>
                    <w:tl2br w:val="nil"/>
                    <w:tr2bl w:val="nil"/>
                  </w:tcBorders>
                  <w:noWrap w:val="0"/>
                  <w:vAlign w:val="center"/>
                </w:tcPr>
                <w:p w14:paraId="7D1F155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64-17-5</w:t>
                  </w:r>
                </w:p>
              </w:tc>
              <w:tc>
                <w:tcPr>
                  <w:tcW w:w="1210" w:type="pct"/>
                  <w:tcBorders>
                    <w:tl2br w:val="nil"/>
                    <w:tr2bl w:val="nil"/>
                  </w:tcBorders>
                  <w:noWrap w:val="0"/>
                  <w:vAlign w:val="center"/>
                </w:tcPr>
                <w:p w14:paraId="7D50694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11AD38B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500</w:t>
                  </w:r>
                </w:p>
              </w:tc>
              <w:tc>
                <w:tcPr>
                  <w:tcW w:w="655" w:type="pct"/>
                  <w:tcBorders>
                    <w:tl2br w:val="nil"/>
                    <w:tr2bl w:val="nil"/>
                  </w:tcBorders>
                  <w:noWrap w:val="0"/>
                  <w:vAlign w:val="center"/>
                </w:tcPr>
                <w:p w14:paraId="726E0CD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0.002367 </w:t>
                  </w:r>
                </w:p>
              </w:tc>
              <w:tc>
                <w:tcPr>
                  <w:tcW w:w="673" w:type="pct"/>
                  <w:tcBorders>
                    <w:tl2br w:val="nil"/>
                    <w:tr2bl w:val="nil"/>
                  </w:tcBorders>
                  <w:noWrap w:val="0"/>
                  <w:vAlign w:val="center"/>
                </w:tcPr>
                <w:p w14:paraId="263EE4A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0.000005 </w:t>
                  </w:r>
                </w:p>
              </w:tc>
            </w:tr>
            <w:tr w14:paraId="3019BD4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287B94B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13</w:t>
                  </w:r>
                </w:p>
              </w:tc>
              <w:tc>
                <w:tcPr>
                  <w:tcW w:w="697" w:type="pct"/>
                  <w:tcBorders>
                    <w:tl2br w:val="nil"/>
                    <w:tr2bl w:val="nil"/>
                  </w:tcBorders>
                  <w:noWrap w:val="0"/>
                  <w:vAlign w:val="center"/>
                </w:tcPr>
                <w:p w14:paraId="04F02FB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乙酸乙酯</w:t>
                  </w:r>
                </w:p>
              </w:tc>
              <w:tc>
                <w:tcPr>
                  <w:tcW w:w="790" w:type="pct"/>
                  <w:tcBorders>
                    <w:tl2br w:val="nil"/>
                    <w:tr2bl w:val="nil"/>
                  </w:tcBorders>
                  <w:noWrap w:val="0"/>
                  <w:vAlign w:val="center"/>
                </w:tcPr>
                <w:p w14:paraId="15A936F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141-78-6</w:t>
                  </w:r>
                </w:p>
              </w:tc>
              <w:tc>
                <w:tcPr>
                  <w:tcW w:w="1210" w:type="pct"/>
                  <w:tcBorders>
                    <w:tl2br w:val="nil"/>
                    <w:tr2bl w:val="nil"/>
                  </w:tcBorders>
                  <w:noWrap w:val="0"/>
                  <w:vAlign w:val="center"/>
                </w:tcPr>
                <w:p w14:paraId="1D25E19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59199DA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75CCB2B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0.000451 </w:t>
                  </w:r>
                </w:p>
              </w:tc>
              <w:tc>
                <w:tcPr>
                  <w:tcW w:w="673" w:type="pct"/>
                  <w:tcBorders>
                    <w:tl2br w:val="nil"/>
                    <w:tr2bl w:val="nil"/>
                  </w:tcBorders>
                  <w:noWrap w:val="0"/>
                  <w:vAlign w:val="center"/>
                </w:tcPr>
                <w:p w14:paraId="25ED33E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0.000045 </w:t>
                  </w:r>
                </w:p>
              </w:tc>
            </w:tr>
            <w:tr w14:paraId="56E42C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7B834D9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14</w:t>
                  </w:r>
                </w:p>
              </w:tc>
              <w:tc>
                <w:tcPr>
                  <w:tcW w:w="697" w:type="pct"/>
                  <w:tcBorders>
                    <w:tl2br w:val="nil"/>
                    <w:tr2bl w:val="nil"/>
                  </w:tcBorders>
                  <w:noWrap w:val="0"/>
                  <w:vAlign w:val="center"/>
                </w:tcPr>
                <w:p w14:paraId="483D7DC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乙醛</w:t>
                  </w:r>
                </w:p>
              </w:tc>
              <w:tc>
                <w:tcPr>
                  <w:tcW w:w="790" w:type="pct"/>
                  <w:tcBorders>
                    <w:tl2br w:val="nil"/>
                    <w:tr2bl w:val="nil"/>
                  </w:tcBorders>
                  <w:noWrap w:val="0"/>
                  <w:vAlign w:val="center"/>
                </w:tcPr>
                <w:p w14:paraId="7F251BE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75-07-0</w:t>
                  </w:r>
                </w:p>
              </w:tc>
              <w:tc>
                <w:tcPr>
                  <w:tcW w:w="1210" w:type="pct"/>
                  <w:tcBorders>
                    <w:tl2br w:val="nil"/>
                    <w:tr2bl w:val="nil"/>
                  </w:tcBorders>
                  <w:noWrap w:val="0"/>
                  <w:vAlign w:val="center"/>
                </w:tcPr>
                <w:p w14:paraId="456FDE0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76A34DF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3A516AF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0.000393 </w:t>
                  </w:r>
                </w:p>
              </w:tc>
              <w:tc>
                <w:tcPr>
                  <w:tcW w:w="673" w:type="pct"/>
                  <w:tcBorders>
                    <w:tl2br w:val="nil"/>
                    <w:tr2bl w:val="nil"/>
                  </w:tcBorders>
                  <w:noWrap w:val="0"/>
                  <w:vAlign w:val="center"/>
                </w:tcPr>
                <w:p w14:paraId="6F1C4CB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0.000039 </w:t>
                  </w:r>
                </w:p>
              </w:tc>
            </w:tr>
            <w:tr w14:paraId="53C5EBD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AF4B0B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15</w:t>
                  </w:r>
                </w:p>
              </w:tc>
              <w:tc>
                <w:tcPr>
                  <w:tcW w:w="697" w:type="pct"/>
                  <w:tcBorders>
                    <w:tl2br w:val="nil"/>
                    <w:tr2bl w:val="nil"/>
                  </w:tcBorders>
                  <w:noWrap w:val="0"/>
                  <w:vAlign w:val="center"/>
                </w:tcPr>
                <w:p w14:paraId="2090F64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异戊醇</w:t>
                  </w:r>
                </w:p>
              </w:tc>
              <w:tc>
                <w:tcPr>
                  <w:tcW w:w="790" w:type="pct"/>
                  <w:tcBorders>
                    <w:tl2br w:val="nil"/>
                    <w:tr2bl w:val="nil"/>
                  </w:tcBorders>
                  <w:noWrap w:val="0"/>
                  <w:vAlign w:val="center"/>
                </w:tcPr>
                <w:p w14:paraId="717D8C6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123-51-3</w:t>
                  </w:r>
                </w:p>
              </w:tc>
              <w:tc>
                <w:tcPr>
                  <w:tcW w:w="1210" w:type="pct"/>
                  <w:tcBorders>
                    <w:tl2br w:val="nil"/>
                    <w:tr2bl w:val="nil"/>
                  </w:tcBorders>
                  <w:noWrap w:val="0"/>
                  <w:vAlign w:val="center"/>
                </w:tcPr>
                <w:p w14:paraId="75740B2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64D7679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0609994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0.000405 </w:t>
                  </w:r>
                </w:p>
              </w:tc>
              <w:tc>
                <w:tcPr>
                  <w:tcW w:w="673" w:type="pct"/>
                  <w:tcBorders>
                    <w:tl2br w:val="nil"/>
                    <w:tr2bl w:val="nil"/>
                  </w:tcBorders>
                  <w:noWrap w:val="0"/>
                  <w:vAlign w:val="center"/>
                </w:tcPr>
                <w:p w14:paraId="0DFFF03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0.000008 </w:t>
                  </w:r>
                </w:p>
              </w:tc>
            </w:tr>
            <w:tr w14:paraId="2ADDE0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1006380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16</w:t>
                  </w:r>
                </w:p>
              </w:tc>
              <w:tc>
                <w:tcPr>
                  <w:tcW w:w="697" w:type="pct"/>
                  <w:tcBorders>
                    <w:tl2br w:val="nil"/>
                    <w:tr2bl w:val="nil"/>
                  </w:tcBorders>
                  <w:noWrap w:val="0"/>
                  <w:vAlign w:val="center"/>
                </w:tcPr>
                <w:p w14:paraId="374F66F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异丙醇</w:t>
                  </w:r>
                </w:p>
              </w:tc>
              <w:tc>
                <w:tcPr>
                  <w:tcW w:w="790" w:type="pct"/>
                  <w:tcBorders>
                    <w:tl2br w:val="nil"/>
                    <w:tr2bl w:val="nil"/>
                  </w:tcBorders>
                  <w:noWrap w:val="0"/>
                  <w:vAlign w:val="center"/>
                </w:tcPr>
                <w:p w14:paraId="50A7E1E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67-63-0</w:t>
                  </w:r>
                </w:p>
              </w:tc>
              <w:tc>
                <w:tcPr>
                  <w:tcW w:w="1210" w:type="pct"/>
                  <w:tcBorders>
                    <w:tl2br w:val="nil"/>
                    <w:tr2bl w:val="nil"/>
                  </w:tcBorders>
                  <w:noWrap w:val="0"/>
                  <w:vAlign w:val="center"/>
                </w:tcPr>
                <w:p w14:paraId="3965343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4953000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1F8D584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0.000393 </w:t>
                  </w:r>
                </w:p>
              </w:tc>
              <w:tc>
                <w:tcPr>
                  <w:tcW w:w="673" w:type="pct"/>
                  <w:tcBorders>
                    <w:tl2br w:val="nil"/>
                    <w:tr2bl w:val="nil"/>
                  </w:tcBorders>
                  <w:noWrap w:val="0"/>
                  <w:vAlign w:val="center"/>
                </w:tcPr>
                <w:p w14:paraId="3642B75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0.000039 </w:t>
                  </w:r>
                </w:p>
              </w:tc>
            </w:tr>
            <w:tr w14:paraId="2A39FF1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324EBBC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17</w:t>
                  </w:r>
                </w:p>
              </w:tc>
              <w:tc>
                <w:tcPr>
                  <w:tcW w:w="697" w:type="pct"/>
                  <w:tcBorders>
                    <w:tl2br w:val="nil"/>
                    <w:tr2bl w:val="nil"/>
                  </w:tcBorders>
                  <w:noWrap w:val="0"/>
                  <w:vAlign w:val="center"/>
                </w:tcPr>
                <w:p w14:paraId="2005950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石油醚</w:t>
                  </w:r>
                </w:p>
              </w:tc>
              <w:tc>
                <w:tcPr>
                  <w:tcW w:w="790" w:type="pct"/>
                  <w:tcBorders>
                    <w:tl2br w:val="nil"/>
                    <w:tr2bl w:val="nil"/>
                  </w:tcBorders>
                  <w:noWrap w:val="0"/>
                  <w:vAlign w:val="center"/>
                </w:tcPr>
                <w:p w14:paraId="7F260A7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8032-32-4</w:t>
                  </w:r>
                </w:p>
              </w:tc>
              <w:tc>
                <w:tcPr>
                  <w:tcW w:w="1210" w:type="pct"/>
                  <w:tcBorders>
                    <w:tl2br w:val="nil"/>
                    <w:tr2bl w:val="nil"/>
                  </w:tcBorders>
                  <w:noWrap w:val="0"/>
                  <w:vAlign w:val="center"/>
                </w:tcPr>
                <w:p w14:paraId="00DE0DC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31FBC31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60B1E6D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0.000385 </w:t>
                  </w:r>
                </w:p>
              </w:tc>
              <w:tc>
                <w:tcPr>
                  <w:tcW w:w="673" w:type="pct"/>
                  <w:tcBorders>
                    <w:tl2br w:val="nil"/>
                    <w:tr2bl w:val="nil"/>
                  </w:tcBorders>
                  <w:noWrap w:val="0"/>
                  <w:vAlign w:val="center"/>
                </w:tcPr>
                <w:p w14:paraId="3AB3A2C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0.000039 </w:t>
                  </w:r>
                </w:p>
              </w:tc>
            </w:tr>
            <w:tr w14:paraId="712E328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2B7418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18</w:t>
                  </w:r>
                </w:p>
              </w:tc>
              <w:tc>
                <w:tcPr>
                  <w:tcW w:w="697" w:type="pct"/>
                  <w:tcBorders>
                    <w:tl2br w:val="nil"/>
                    <w:tr2bl w:val="nil"/>
                  </w:tcBorders>
                  <w:noWrap w:val="0"/>
                  <w:vAlign w:val="center"/>
                </w:tcPr>
                <w:p w14:paraId="5B5E1F5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五氯苯酚</w:t>
                  </w:r>
                </w:p>
              </w:tc>
              <w:tc>
                <w:tcPr>
                  <w:tcW w:w="790" w:type="pct"/>
                  <w:tcBorders>
                    <w:tl2br w:val="nil"/>
                    <w:tr2bl w:val="nil"/>
                  </w:tcBorders>
                  <w:noWrap w:val="0"/>
                  <w:vAlign w:val="center"/>
                </w:tcPr>
                <w:p w14:paraId="29CA082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87-86-5</w:t>
                  </w:r>
                </w:p>
              </w:tc>
              <w:tc>
                <w:tcPr>
                  <w:tcW w:w="1210" w:type="pct"/>
                  <w:tcBorders>
                    <w:tl2br w:val="nil"/>
                    <w:tr2bl w:val="nil"/>
                  </w:tcBorders>
                  <w:noWrap w:val="0"/>
                  <w:vAlign w:val="center"/>
                </w:tcPr>
                <w:p w14:paraId="22B77BE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健康危险急性毒性物质（类别3）</w:t>
                  </w:r>
                </w:p>
              </w:tc>
              <w:tc>
                <w:tcPr>
                  <w:tcW w:w="712" w:type="pct"/>
                  <w:tcBorders>
                    <w:tl2br w:val="nil"/>
                    <w:tr2bl w:val="nil"/>
                  </w:tcBorders>
                  <w:noWrap w:val="0"/>
                  <w:vAlign w:val="center"/>
                </w:tcPr>
                <w:p w14:paraId="7E06F06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182AC8F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7AB04BC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43EA6E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4D73C2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19</w:t>
                  </w:r>
                </w:p>
              </w:tc>
              <w:tc>
                <w:tcPr>
                  <w:tcW w:w="697" w:type="pct"/>
                  <w:tcBorders>
                    <w:tl2br w:val="nil"/>
                    <w:tr2bl w:val="nil"/>
                  </w:tcBorders>
                  <w:noWrap w:val="0"/>
                  <w:vAlign w:val="center"/>
                </w:tcPr>
                <w:p w14:paraId="5CD5605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氯化汞</w:t>
                  </w:r>
                </w:p>
              </w:tc>
              <w:tc>
                <w:tcPr>
                  <w:tcW w:w="790" w:type="pct"/>
                  <w:tcBorders>
                    <w:tl2br w:val="nil"/>
                    <w:tr2bl w:val="nil"/>
                  </w:tcBorders>
                  <w:noWrap w:val="0"/>
                  <w:vAlign w:val="center"/>
                </w:tcPr>
                <w:p w14:paraId="0019265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7487-94-7</w:t>
                  </w:r>
                </w:p>
              </w:tc>
              <w:tc>
                <w:tcPr>
                  <w:tcW w:w="1210" w:type="pct"/>
                  <w:tcBorders>
                    <w:tl2br w:val="nil"/>
                    <w:tr2bl w:val="nil"/>
                  </w:tcBorders>
                  <w:noWrap w:val="0"/>
                  <w:vAlign w:val="center"/>
                </w:tcPr>
                <w:p w14:paraId="1B6237E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305F65D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1E90D74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1D59273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655E24F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289F9A7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20</w:t>
                  </w:r>
                </w:p>
              </w:tc>
              <w:tc>
                <w:tcPr>
                  <w:tcW w:w="697" w:type="pct"/>
                  <w:tcBorders>
                    <w:tl2br w:val="nil"/>
                    <w:tr2bl w:val="nil"/>
                  </w:tcBorders>
                  <w:noWrap w:val="0"/>
                  <w:vAlign w:val="center"/>
                </w:tcPr>
                <w:p w14:paraId="4F569B5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硫氰酸汞</w:t>
                  </w:r>
                </w:p>
              </w:tc>
              <w:tc>
                <w:tcPr>
                  <w:tcW w:w="790" w:type="pct"/>
                  <w:tcBorders>
                    <w:tl2br w:val="nil"/>
                    <w:tr2bl w:val="nil"/>
                  </w:tcBorders>
                  <w:noWrap w:val="0"/>
                  <w:vAlign w:val="center"/>
                </w:tcPr>
                <w:p w14:paraId="6949125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592-85-8</w:t>
                  </w:r>
                </w:p>
              </w:tc>
              <w:tc>
                <w:tcPr>
                  <w:tcW w:w="1210" w:type="pct"/>
                  <w:tcBorders>
                    <w:tl2br w:val="nil"/>
                    <w:tr2bl w:val="nil"/>
                  </w:tcBorders>
                  <w:noWrap w:val="0"/>
                  <w:vAlign w:val="center"/>
                </w:tcPr>
                <w:p w14:paraId="1EF7722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51C1124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7FF55C3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1BA7FD4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7C14D93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75A2A26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21</w:t>
                  </w:r>
                </w:p>
              </w:tc>
              <w:tc>
                <w:tcPr>
                  <w:tcW w:w="697" w:type="pct"/>
                  <w:tcBorders>
                    <w:tl2br w:val="nil"/>
                    <w:tr2bl w:val="nil"/>
                  </w:tcBorders>
                  <w:noWrap w:val="0"/>
                  <w:vAlign w:val="center"/>
                </w:tcPr>
                <w:p w14:paraId="026F4C1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亚砷酸钾</w:t>
                  </w:r>
                </w:p>
              </w:tc>
              <w:tc>
                <w:tcPr>
                  <w:tcW w:w="790" w:type="pct"/>
                  <w:tcBorders>
                    <w:tl2br w:val="nil"/>
                    <w:tr2bl w:val="nil"/>
                  </w:tcBorders>
                  <w:noWrap w:val="0"/>
                  <w:vAlign w:val="center"/>
                </w:tcPr>
                <w:p w14:paraId="04DE567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13464-35-2</w:t>
                  </w:r>
                </w:p>
              </w:tc>
              <w:tc>
                <w:tcPr>
                  <w:tcW w:w="1210" w:type="pct"/>
                  <w:tcBorders>
                    <w:tl2br w:val="nil"/>
                    <w:tr2bl w:val="nil"/>
                  </w:tcBorders>
                  <w:noWrap w:val="0"/>
                  <w:vAlign w:val="center"/>
                </w:tcPr>
                <w:p w14:paraId="4DDE038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52899F9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7614A58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34A62FC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0E26D6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807CAC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22</w:t>
                  </w:r>
                </w:p>
              </w:tc>
              <w:tc>
                <w:tcPr>
                  <w:tcW w:w="697" w:type="pct"/>
                  <w:tcBorders>
                    <w:tl2br w:val="nil"/>
                    <w:tr2bl w:val="nil"/>
                  </w:tcBorders>
                  <w:noWrap w:val="0"/>
                  <w:vAlign w:val="center"/>
                </w:tcPr>
                <w:p w14:paraId="2B97BCC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硫酸镉</w:t>
                  </w:r>
                </w:p>
              </w:tc>
              <w:tc>
                <w:tcPr>
                  <w:tcW w:w="790" w:type="pct"/>
                  <w:tcBorders>
                    <w:tl2br w:val="nil"/>
                    <w:tr2bl w:val="nil"/>
                  </w:tcBorders>
                  <w:noWrap w:val="0"/>
                  <w:vAlign w:val="center"/>
                </w:tcPr>
                <w:p w14:paraId="2D231CB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10124-36-4</w:t>
                  </w:r>
                </w:p>
              </w:tc>
              <w:tc>
                <w:tcPr>
                  <w:tcW w:w="1210" w:type="pct"/>
                  <w:tcBorders>
                    <w:tl2br w:val="nil"/>
                    <w:tr2bl w:val="nil"/>
                  </w:tcBorders>
                  <w:noWrap w:val="0"/>
                  <w:vAlign w:val="center"/>
                </w:tcPr>
                <w:p w14:paraId="63603AE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其他有毒物质</w:t>
                  </w:r>
                </w:p>
              </w:tc>
              <w:tc>
                <w:tcPr>
                  <w:tcW w:w="712" w:type="pct"/>
                  <w:tcBorders>
                    <w:tl2br w:val="nil"/>
                    <w:tr2bl w:val="nil"/>
                  </w:tcBorders>
                  <w:noWrap w:val="0"/>
                  <w:vAlign w:val="center"/>
                </w:tcPr>
                <w:p w14:paraId="091C5FA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0.25</w:t>
                  </w:r>
                </w:p>
              </w:tc>
              <w:tc>
                <w:tcPr>
                  <w:tcW w:w="655" w:type="pct"/>
                  <w:tcBorders>
                    <w:tl2br w:val="nil"/>
                    <w:tr2bl w:val="nil"/>
                  </w:tcBorders>
                  <w:noWrap w:val="0"/>
                  <w:vAlign w:val="center"/>
                </w:tcPr>
                <w:p w14:paraId="4C659F5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1876604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0.000400 </w:t>
                  </w:r>
                </w:p>
              </w:tc>
            </w:tr>
            <w:tr w14:paraId="4E373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210A719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23</w:t>
                  </w:r>
                </w:p>
              </w:tc>
              <w:tc>
                <w:tcPr>
                  <w:tcW w:w="697" w:type="pct"/>
                  <w:tcBorders>
                    <w:tl2br w:val="nil"/>
                    <w:tr2bl w:val="nil"/>
                  </w:tcBorders>
                  <w:noWrap w:val="0"/>
                  <w:vAlign w:val="center"/>
                </w:tcPr>
                <w:p w14:paraId="5335D99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乙酸铅</w:t>
                  </w:r>
                </w:p>
              </w:tc>
              <w:tc>
                <w:tcPr>
                  <w:tcW w:w="790" w:type="pct"/>
                  <w:tcBorders>
                    <w:tl2br w:val="nil"/>
                    <w:tr2bl w:val="nil"/>
                  </w:tcBorders>
                  <w:noWrap w:val="0"/>
                  <w:vAlign w:val="center"/>
                </w:tcPr>
                <w:p w14:paraId="432C84E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301-04-2</w:t>
                  </w:r>
                </w:p>
              </w:tc>
              <w:tc>
                <w:tcPr>
                  <w:tcW w:w="1210" w:type="pct"/>
                  <w:tcBorders>
                    <w:tl2br w:val="nil"/>
                    <w:tr2bl w:val="nil"/>
                  </w:tcBorders>
                  <w:noWrap w:val="0"/>
                  <w:vAlign w:val="center"/>
                </w:tcPr>
                <w:p w14:paraId="325E8EA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健康危险急性毒性物质（类别3）</w:t>
                  </w:r>
                </w:p>
              </w:tc>
              <w:tc>
                <w:tcPr>
                  <w:tcW w:w="712" w:type="pct"/>
                  <w:tcBorders>
                    <w:tl2br w:val="nil"/>
                    <w:tr2bl w:val="nil"/>
                  </w:tcBorders>
                  <w:noWrap w:val="0"/>
                  <w:vAlign w:val="center"/>
                </w:tcPr>
                <w:p w14:paraId="14A7396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4C935E1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1B721C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3904E2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C073C0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24</w:t>
                  </w:r>
                </w:p>
              </w:tc>
              <w:tc>
                <w:tcPr>
                  <w:tcW w:w="697" w:type="pct"/>
                  <w:tcBorders>
                    <w:tl2br w:val="nil"/>
                    <w:tr2bl w:val="nil"/>
                  </w:tcBorders>
                  <w:noWrap w:val="0"/>
                  <w:vAlign w:val="center"/>
                </w:tcPr>
                <w:p w14:paraId="5F48E41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硫酸汞</w:t>
                  </w:r>
                </w:p>
              </w:tc>
              <w:tc>
                <w:tcPr>
                  <w:tcW w:w="790" w:type="pct"/>
                  <w:tcBorders>
                    <w:tl2br w:val="nil"/>
                    <w:tr2bl w:val="nil"/>
                  </w:tcBorders>
                  <w:noWrap w:val="0"/>
                  <w:vAlign w:val="center"/>
                </w:tcPr>
                <w:p w14:paraId="346AE5F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7783-35-9</w:t>
                  </w:r>
                </w:p>
              </w:tc>
              <w:tc>
                <w:tcPr>
                  <w:tcW w:w="1210" w:type="pct"/>
                  <w:tcBorders>
                    <w:tl2br w:val="nil"/>
                    <w:tr2bl w:val="nil"/>
                  </w:tcBorders>
                  <w:noWrap w:val="0"/>
                  <w:vAlign w:val="center"/>
                </w:tcPr>
                <w:p w14:paraId="3FDF0A2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健康危险急性毒性物质（类别3）</w:t>
                  </w:r>
                </w:p>
              </w:tc>
              <w:tc>
                <w:tcPr>
                  <w:tcW w:w="712" w:type="pct"/>
                  <w:tcBorders>
                    <w:tl2br w:val="nil"/>
                    <w:tr2bl w:val="nil"/>
                  </w:tcBorders>
                  <w:noWrap w:val="0"/>
                  <w:vAlign w:val="center"/>
                </w:tcPr>
                <w:p w14:paraId="5038237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47A1E7F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5B20D77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667E73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D1EC02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25</w:t>
                  </w:r>
                </w:p>
              </w:tc>
              <w:tc>
                <w:tcPr>
                  <w:tcW w:w="697" w:type="pct"/>
                  <w:tcBorders>
                    <w:tl2br w:val="nil"/>
                    <w:tr2bl w:val="nil"/>
                  </w:tcBorders>
                  <w:noWrap w:val="0"/>
                  <w:vAlign w:val="center"/>
                </w:tcPr>
                <w:p w14:paraId="004CBEF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shd w:val="clear" w:fill="FFFFFF"/>
                      <w:lang w:val="en-US" w:eastAsia="zh-CN"/>
                    </w:rPr>
                    <w:t>二氯化汞</w:t>
                  </w:r>
                </w:p>
              </w:tc>
              <w:tc>
                <w:tcPr>
                  <w:tcW w:w="790" w:type="pct"/>
                  <w:tcBorders>
                    <w:tl2br w:val="nil"/>
                    <w:tr2bl w:val="nil"/>
                  </w:tcBorders>
                  <w:noWrap w:val="0"/>
                  <w:vAlign w:val="center"/>
                </w:tcPr>
                <w:p w14:paraId="1115314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7487-94-7</w:t>
                  </w:r>
                </w:p>
              </w:tc>
              <w:tc>
                <w:tcPr>
                  <w:tcW w:w="1210" w:type="pct"/>
                  <w:tcBorders>
                    <w:tl2br w:val="nil"/>
                    <w:tr2bl w:val="nil"/>
                  </w:tcBorders>
                  <w:noWrap w:val="0"/>
                  <w:vAlign w:val="center"/>
                </w:tcPr>
                <w:p w14:paraId="264989C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w:t>
                  </w:r>
                </w:p>
              </w:tc>
              <w:tc>
                <w:tcPr>
                  <w:tcW w:w="712" w:type="pct"/>
                  <w:tcBorders>
                    <w:tl2br w:val="nil"/>
                    <w:tr2bl w:val="nil"/>
                  </w:tcBorders>
                  <w:noWrap w:val="0"/>
                  <w:vAlign w:val="center"/>
                </w:tcPr>
                <w:p w14:paraId="55FCBC1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55" w:type="pct"/>
                  <w:tcBorders>
                    <w:tl2br w:val="nil"/>
                    <w:tr2bl w:val="nil"/>
                  </w:tcBorders>
                  <w:noWrap w:val="0"/>
                  <w:vAlign w:val="center"/>
                </w:tcPr>
                <w:p w14:paraId="40F7C34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0.000100 </w:t>
                  </w:r>
                </w:p>
              </w:tc>
              <w:tc>
                <w:tcPr>
                  <w:tcW w:w="673" w:type="pct"/>
                  <w:tcBorders>
                    <w:tl2br w:val="nil"/>
                    <w:tr2bl w:val="nil"/>
                  </w:tcBorders>
                  <w:noWrap w:val="0"/>
                  <w:vAlign w:val="center"/>
                </w:tcPr>
                <w:p w14:paraId="77487A9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0.000002 </w:t>
                  </w:r>
                </w:p>
              </w:tc>
            </w:tr>
            <w:tr w14:paraId="2F38E2F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260" w:type="pct"/>
                  <w:tcBorders>
                    <w:tl2br w:val="nil"/>
                    <w:tr2bl w:val="nil"/>
                  </w:tcBorders>
                  <w:noWrap w:val="0"/>
                  <w:vAlign w:val="center"/>
                </w:tcPr>
                <w:p w14:paraId="2C64E49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26</w:t>
                  </w:r>
                </w:p>
              </w:tc>
              <w:tc>
                <w:tcPr>
                  <w:tcW w:w="697" w:type="pct"/>
                  <w:tcBorders>
                    <w:tl2br w:val="nil"/>
                    <w:tr2bl w:val="nil"/>
                  </w:tcBorders>
                  <w:noWrap w:val="0"/>
                  <w:vAlign w:val="center"/>
                </w:tcPr>
                <w:p w14:paraId="4334809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磷酸</w:t>
                  </w:r>
                </w:p>
              </w:tc>
              <w:tc>
                <w:tcPr>
                  <w:tcW w:w="790" w:type="pct"/>
                  <w:tcBorders>
                    <w:tl2br w:val="nil"/>
                    <w:tr2bl w:val="nil"/>
                  </w:tcBorders>
                  <w:noWrap w:val="0"/>
                  <w:vAlign w:val="center"/>
                </w:tcPr>
                <w:p w14:paraId="4EC4CC4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7664-38-2</w:t>
                  </w:r>
                </w:p>
              </w:tc>
              <w:tc>
                <w:tcPr>
                  <w:tcW w:w="1210" w:type="pct"/>
                  <w:tcBorders>
                    <w:tl2br w:val="nil"/>
                    <w:tr2bl w:val="nil"/>
                  </w:tcBorders>
                  <w:noWrap w:val="0"/>
                  <w:vAlign w:val="center"/>
                </w:tcPr>
                <w:p w14:paraId="722BA76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63C04A1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2445E7D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0.000937 </w:t>
                  </w:r>
                </w:p>
              </w:tc>
              <w:tc>
                <w:tcPr>
                  <w:tcW w:w="673" w:type="pct"/>
                  <w:tcBorders>
                    <w:tl2br w:val="nil"/>
                    <w:tr2bl w:val="nil"/>
                  </w:tcBorders>
                  <w:noWrap w:val="0"/>
                  <w:vAlign w:val="center"/>
                </w:tcPr>
                <w:p w14:paraId="4D9A275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0.000094 </w:t>
                  </w:r>
                </w:p>
              </w:tc>
            </w:tr>
            <w:tr w14:paraId="4A7205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353D8D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27</w:t>
                  </w:r>
                </w:p>
              </w:tc>
              <w:tc>
                <w:tcPr>
                  <w:tcW w:w="697" w:type="pct"/>
                  <w:tcBorders>
                    <w:tl2br w:val="nil"/>
                    <w:tr2bl w:val="nil"/>
                  </w:tcBorders>
                  <w:noWrap w:val="0"/>
                  <w:vAlign w:val="center"/>
                </w:tcPr>
                <w:p w14:paraId="61299A8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冰乙酸</w:t>
                  </w:r>
                </w:p>
              </w:tc>
              <w:tc>
                <w:tcPr>
                  <w:tcW w:w="790" w:type="pct"/>
                  <w:tcBorders>
                    <w:tl2br w:val="nil"/>
                    <w:tr2bl w:val="nil"/>
                  </w:tcBorders>
                  <w:noWrap w:val="0"/>
                  <w:vAlign w:val="center"/>
                </w:tcPr>
                <w:p w14:paraId="7866F94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64-19-7</w:t>
                  </w:r>
                </w:p>
              </w:tc>
              <w:tc>
                <w:tcPr>
                  <w:tcW w:w="1210" w:type="pct"/>
                  <w:tcBorders>
                    <w:tl2br w:val="nil"/>
                    <w:tr2bl w:val="nil"/>
                  </w:tcBorders>
                  <w:noWrap w:val="0"/>
                  <w:vAlign w:val="center"/>
                </w:tcPr>
                <w:p w14:paraId="704F17A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6852365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1D95CC7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0.001049 </w:t>
                  </w:r>
                </w:p>
              </w:tc>
              <w:tc>
                <w:tcPr>
                  <w:tcW w:w="673" w:type="pct"/>
                  <w:tcBorders>
                    <w:tl2br w:val="nil"/>
                    <w:tr2bl w:val="nil"/>
                  </w:tcBorders>
                  <w:noWrap w:val="0"/>
                  <w:vAlign w:val="center"/>
                </w:tcPr>
                <w:p w14:paraId="7062EC2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0.000105 </w:t>
                  </w:r>
                </w:p>
              </w:tc>
            </w:tr>
            <w:tr w14:paraId="6F4D86C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1B5D439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28</w:t>
                  </w:r>
                </w:p>
              </w:tc>
              <w:tc>
                <w:tcPr>
                  <w:tcW w:w="697" w:type="pct"/>
                  <w:tcBorders>
                    <w:tl2br w:val="nil"/>
                    <w:tr2bl w:val="nil"/>
                  </w:tcBorders>
                  <w:noWrap w:val="0"/>
                  <w:vAlign w:val="center"/>
                </w:tcPr>
                <w:p w14:paraId="71A2A41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甲酸</w:t>
                  </w:r>
                </w:p>
              </w:tc>
              <w:tc>
                <w:tcPr>
                  <w:tcW w:w="790" w:type="pct"/>
                  <w:tcBorders>
                    <w:tl2br w:val="nil"/>
                    <w:tr2bl w:val="nil"/>
                  </w:tcBorders>
                  <w:noWrap w:val="0"/>
                  <w:vAlign w:val="center"/>
                </w:tcPr>
                <w:p w14:paraId="490E913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64-18-6</w:t>
                  </w:r>
                </w:p>
              </w:tc>
              <w:tc>
                <w:tcPr>
                  <w:tcW w:w="1210" w:type="pct"/>
                  <w:tcBorders>
                    <w:tl2br w:val="nil"/>
                    <w:tr2bl w:val="nil"/>
                  </w:tcBorders>
                  <w:noWrap w:val="0"/>
                  <w:vAlign w:val="center"/>
                </w:tcPr>
                <w:p w14:paraId="747B79E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3FBF71C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5F446B3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0.000610 </w:t>
                  </w:r>
                </w:p>
              </w:tc>
              <w:tc>
                <w:tcPr>
                  <w:tcW w:w="673" w:type="pct"/>
                  <w:tcBorders>
                    <w:tl2br w:val="nil"/>
                    <w:tr2bl w:val="nil"/>
                  </w:tcBorders>
                  <w:noWrap w:val="0"/>
                  <w:vAlign w:val="center"/>
                </w:tcPr>
                <w:p w14:paraId="2ABD230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0.000061 </w:t>
                  </w:r>
                </w:p>
              </w:tc>
            </w:tr>
            <w:tr w14:paraId="6F0512B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D01BBC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29</w:t>
                  </w:r>
                </w:p>
              </w:tc>
              <w:tc>
                <w:tcPr>
                  <w:tcW w:w="697" w:type="pct"/>
                  <w:tcBorders>
                    <w:tl2br w:val="nil"/>
                    <w:tr2bl w:val="nil"/>
                  </w:tcBorders>
                  <w:noWrap w:val="0"/>
                  <w:vAlign w:val="center"/>
                </w:tcPr>
                <w:p w14:paraId="193EA4B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次氯酸钠</w:t>
                  </w:r>
                </w:p>
              </w:tc>
              <w:tc>
                <w:tcPr>
                  <w:tcW w:w="790" w:type="pct"/>
                  <w:tcBorders>
                    <w:tl2br w:val="nil"/>
                    <w:tr2bl w:val="nil"/>
                  </w:tcBorders>
                  <w:noWrap w:val="0"/>
                  <w:vAlign w:val="center"/>
                </w:tcPr>
                <w:p w14:paraId="4FE29C0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7681-52-9</w:t>
                  </w:r>
                </w:p>
              </w:tc>
              <w:tc>
                <w:tcPr>
                  <w:tcW w:w="1210" w:type="pct"/>
                  <w:tcBorders>
                    <w:tl2br w:val="nil"/>
                    <w:tr2bl w:val="nil"/>
                  </w:tcBorders>
                  <w:noWrap w:val="0"/>
                  <w:vAlign w:val="center"/>
                </w:tcPr>
                <w:p w14:paraId="4BD4872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其他有毒物质</w:t>
                  </w:r>
                </w:p>
              </w:tc>
              <w:tc>
                <w:tcPr>
                  <w:tcW w:w="712" w:type="pct"/>
                  <w:tcBorders>
                    <w:tl2br w:val="nil"/>
                    <w:tr2bl w:val="nil"/>
                  </w:tcBorders>
                  <w:noWrap w:val="0"/>
                  <w:vAlign w:val="center"/>
                </w:tcPr>
                <w:p w14:paraId="564A1D8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w:t>
                  </w:r>
                </w:p>
              </w:tc>
              <w:tc>
                <w:tcPr>
                  <w:tcW w:w="655" w:type="pct"/>
                  <w:tcBorders>
                    <w:tl2br w:val="nil"/>
                    <w:tr2bl w:val="nil"/>
                  </w:tcBorders>
                  <w:noWrap w:val="0"/>
                  <w:vAlign w:val="center"/>
                </w:tcPr>
                <w:p w14:paraId="18426A3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0.000625 </w:t>
                  </w:r>
                </w:p>
              </w:tc>
              <w:tc>
                <w:tcPr>
                  <w:tcW w:w="673" w:type="pct"/>
                  <w:tcBorders>
                    <w:tl2br w:val="nil"/>
                    <w:tr2bl w:val="nil"/>
                  </w:tcBorders>
                  <w:noWrap w:val="0"/>
                  <w:vAlign w:val="center"/>
                </w:tcPr>
                <w:p w14:paraId="5260806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0.000125 </w:t>
                  </w:r>
                </w:p>
              </w:tc>
            </w:tr>
            <w:tr w14:paraId="488D2C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5AA46F7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30</w:t>
                  </w:r>
                </w:p>
              </w:tc>
              <w:tc>
                <w:tcPr>
                  <w:tcW w:w="697" w:type="pct"/>
                  <w:tcBorders>
                    <w:tl2br w:val="nil"/>
                    <w:tr2bl w:val="nil"/>
                  </w:tcBorders>
                  <w:noWrap w:val="0"/>
                  <w:vAlign w:val="center"/>
                </w:tcPr>
                <w:p w14:paraId="1DD7E93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氢气</w:t>
                  </w:r>
                </w:p>
              </w:tc>
              <w:tc>
                <w:tcPr>
                  <w:tcW w:w="790" w:type="pct"/>
                  <w:tcBorders>
                    <w:tl2br w:val="nil"/>
                    <w:tr2bl w:val="nil"/>
                  </w:tcBorders>
                  <w:noWrap w:val="0"/>
                  <w:vAlign w:val="center"/>
                </w:tcPr>
                <w:p w14:paraId="02E2178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1333-74-0</w:t>
                  </w:r>
                </w:p>
              </w:tc>
              <w:tc>
                <w:tcPr>
                  <w:tcW w:w="1210" w:type="pct"/>
                  <w:tcBorders>
                    <w:tl2br w:val="nil"/>
                    <w:tr2bl w:val="nil"/>
                  </w:tcBorders>
                  <w:noWrap w:val="0"/>
                  <w:vAlign w:val="center"/>
                </w:tcPr>
                <w:p w14:paraId="7A6E5B8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易燃易爆气态物质</w:t>
                  </w:r>
                </w:p>
              </w:tc>
              <w:tc>
                <w:tcPr>
                  <w:tcW w:w="712" w:type="pct"/>
                  <w:tcBorders>
                    <w:tl2br w:val="nil"/>
                    <w:tr2bl w:val="nil"/>
                  </w:tcBorders>
                  <w:noWrap w:val="0"/>
                  <w:vAlign w:val="center"/>
                </w:tcPr>
                <w:p w14:paraId="00E75CB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1062" w:type="dxa"/>
                  <w:tcBorders>
                    <w:tl2br w:val="nil"/>
                    <w:tr2bl w:val="nil"/>
                  </w:tcBorders>
                  <w:noWrap w:val="0"/>
                  <w:vAlign w:val="center"/>
                </w:tcPr>
                <w:p w14:paraId="629B739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0.007192 </w:t>
                  </w:r>
                </w:p>
              </w:tc>
              <w:tc>
                <w:tcPr>
                  <w:tcW w:w="1092" w:type="dxa"/>
                  <w:tcBorders>
                    <w:tl2br w:val="nil"/>
                    <w:tr2bl w:val="nil"/>
                  </w:tcBorders>
                  <w:noWrap w:val="0"/>
                  <w:vAlign w:val="center"/>
                </w:tcPr>
                <w:p w14:paraId="312D185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0.000719 </w:t>
                  </w:r>
                </w:p>
              </w:tc>
            </w:tr>
            <w:tr w14:paraId="76AE78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ABF008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31</w:t>
                  </w:r>
                </w:p>
              </w:tc>
              <w:tc>
                <w:tcPr>
                  <w:tcW w:w="697" w:type="pct"/>
                  <w:tcBorders>
                    <w:tl2br w:val="nil"/>
                    <w:tr2bl w:val="nil"/>
                  </w:tcBorders>
                  <w:noWrap w:val="0"/>
                  <w:vAlign w:val="center"/>
                </w:tcPr>
                <w:p w14:paraId="5F513A7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乙炔</w:t>
                  </w:r>
                </w:p>
              </w:tc>
              <w:tc>
                <w:tcPr>
                  <w:tcW w:w="790" w:type="pct"/>
                  <w:tcBorders>
                    <w:tl2br w:val="nil"/>
                    <w:tr2bl w:val="nil"/>
                  </w:tcBorders>
                  <w:noWrap w:val="0"/>
                  <w:vAlign w:val="center"/>
                </w:tcPr>
                <w:p w14:paraId="2514A36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74-86-2</w:t>
                  </w:r>
                </w:p>
              </w:tc>
              <w:tc>
                <w:tcPr>
                  <w:tcW w:w="1210" w:type="pct"/>
                  <w:tcBorders>
                    <w:tl2br w:val="nil"/>
                    <w:tr2bl w:val="nil"/>
                  </w:tcBorders>
                  <w:noWrap w:val="0"/>
                  <w:vAlign w:val="center"/>
                </w:tcPr>
                <w:p w14:paraId="5A14A7D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易燃易爆气态物质</w:t>
                  </w:r>
                </w:p>
              </w:tc>
              <w:tc>
                <w:tcPr>
                  <w:tcW w:w="712" w:type="pct"/>
                  <w:tcBorders>
                    <w:tl2br w:val="nil"/>
                    <w:tr2bl w:val="nil"/>
                  </w:tcBorders>
                  <w:noWrap w:val="0"/>
                  <w:vAlign w:val="center"/>
                </w:tcPr>
                <w:p w14:paraId="29FBE94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1062" w:type="dxa"/>
                  <w:tcBorders>
                    <w:tl2br w:val="nil"/>
                    <w:tr2bl w:val="nil"/>
                  </w:tcBorders>
                  <w:noWrap w:val="0"/>
                  <w:vAlign w:val="center"/>
                </w:tcPr>
                <w:p w14:paraId="2C32156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0.072800 </w:t>
                  </w:r>
                </w:p>
              </w:tc>
              <w:tc>
                <w:tcPr>
                  <w:tcW w:w="1092" w:type="dxa"/>
                  <w:tcBorders>
                    <w:tl2br w:val="nil"/>
                    <w:tr2bl w:val="nil"/>
                  </w:tcBorders>
                  <w:noWrap w:val="0"/>
                  <w:vAlign w:val="center"/>
                </w:tcPr>
                <w:p w14:paraId="1791434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0.007280 </w:t>
                  </w:r>
                </w:p>
              </w:tc>
            </w:tr>
            <w:tr w14:paraId="62A637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028EDF8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32</w:t>
                  </w:r>
                </w:p>
              </w:tc>
              <w:tc>
                <w:tcPr>
                  <w:tcW w:w="697" w:type="pct"/>
                  <w:tcBorders>
                    <w:tl2br w:val="nil"/>
                    <w:tr2bl w:val="nil"/>
                  </w:tcBorders>
                  <w:noWrap w:val="0"/>
                  <w:vAlign w:val="center"/>
                </w:tcPr>
                <w:p w14:paraId="7994647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氨水p=0.91/</w:t>
                  </w:r>
                </w:p>
              </w:tc>
              <w:tc>
                <w:tcPr>
                  <w:tcW w:w="790" w:type="pct"/>
                  <w:tcBorders>
                    <w:tl2br w:val="nil"/>
                    <w:tr2bl w:val="nil"/>
                  </w:tcBorders>
                  <w:noWrap w:val="0"/>
                  <w:vAlign w:val="center"/>
                </w:tcPr>
                <w:p w14:paraId="751AE0F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1336-21-6</w:t>
                  </w:r>
                </w:p>
              </w:tc>
              <w:tc>
                <w:tcPr>
                  <w:tcW w:w="1210" w:type="pct"/>
                  <w:tcBorders>
                    <w:tl2br w:val="nil"/>
                    <w:tr2bl w:val="nil"/>
                  </w:tcBorders>
                  <w:noWrap w:val="0"/>
                  <w:vAlign w:val="center"/>
                </w:tcPr>
                <w:p w14:paraId="10B1677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111A118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0C0FE05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0.000910 </w:t>
                  </w:r>
                </w:p>
              </w:tc>
              <w:tc>
                <w:tcPr>
                  <w:tcW w:w="673" w:type="pct"/>
                  <w:tcBorders>
                    <w:tl2br w:val="nil"/>
                    <w:tr2bl w:val="nil"/>
                  </w:tcBorders>
                  <w:noWrap w:val="0"/>
                  <w:vAlign w:val="center"/>
                </w:tcPr>
                <w:p w14:paraId="5DBA00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0.000091 </w:t>
                  </w:r>
                </w:p>
              </w:tc>
            </w:tr>
            <w:tr w14:paraId="5C5349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00" w:hRule="atLeast"/>
                <w:jc w:val="center"/>
              </w:trPr>
              <w:tc>
                <w:tcPr>
                  <w:tcW w:w="260" w:type="pct"/>
                  <w:tcBorders>
                    <w:tl2br w:val="nil"/>
                    <w:tr2bl w:val="nil"/>
                  </w:tcBorders>
                  <w:noWrap w:val="0"/>
                  <w:vAlign w:val="center"/>
                </w:tcPr>
                <w:p w14:paraId="5C89BDE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33</w:t>
                  </w:r>
                </w:p>
              </w:tc>
              <w:tc>
                <w:tcPr>
                  <w:tcW w:w="697" w:type="pct"/>
                  <w:tcBorders>
                    <w:tl2br w:val="nil"/>
                    <w:tr2bl w:val="nil"/>
                  </w:tcBorders>
                  <w:noWrap w:val="0"/>
                  <w:vAlign w:val="center"/>
                </w:tcPr>
                <w:p w14:paraId="57DA73B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苯酚</w:t>
                  </w:r>
                </w:p>
              </w:tc>
              <w:tc>
                <w:tcPr>
                  <w:tcW w:w="790" w:type="pct"/>
                  <w:tcBorders>
                    <w:tl2br w:val="nil"/>
                    <w:tr2bl w:val="nil"/>
                  </w:tcBorders>
                  <w:noWrap w:val="0"/>
                  <w:vAlign w:val="center"/>
                </w:tcPr>
                <w:p w14:paraId="4125264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108-95-2</w:t>
                  </w:r>
                </w:p>
              </w:tc>
              <w:tc>
                <w:tcPr>
                  <w:tcW w:w="1210" w:type="pct"/>
                  <w:tcBorders>
                    <w:tl2br w:val="nil"/>
                    <w:tr2bl w:val="nil"/>
                  </w:tcBorders>
                  <w:noWrap w:val="0"/>
                  <w:vAlign w:val="center"/>
                </w:tcPr>
                <w:p w14:paraId="594D7A8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其他有毒物质</w:t>
                  </w:r>
                </w:p>
              </w:tc>
              <w:tc>
                <w:tcPr>
                  <w:tcW w:w="712" w:type="pct"/>
                  <w:tcBorders>
                    <w:tl2br w:val="nil"/>
                    <w:tr2bl w:val="nil"/>
                  </w:tcBorders>
                  <w:noWrap w:val="0"/>
                  <w:vAlign w:val="center"/>
                </w:tcPr>
                <w:p w14:paraId="07353D9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w:t>
                  </w:r>
                </w:p>
              </w:tc>
              <w:tc>
                <w:tcPr>
                  <w:tcW w:w="655" w:type="pct"/>
                  <w:tcBorders>
                    <w:tl2br w:val="nil"/>
                    <w:tr2bl w:val="nil"/>
                  </w:tcBorders>
                  <w:noWrap w:val="0"/>
                  <w:vAlign w:val="center"/>
                </w:tcPr>
                <w:p w14:paraId="345374F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0.000250 </w:t>
                  </w:r>
                </w:p>
              </w:tc>
              <w:tc>
                <w:tcPr>
                  <w:tcW w:w="673" w:type="pct"/>
                  <w:tcBorders>
                    <w:tl2br w:val="nil"/>
                    <w:tr2bl w:val="nil"/>
                  </w:tcBorders>
                  <w:noWrap w:val="0"/>
                  <w:vAlign w:val="center"/>
                </w:tcPr>
                <w:p w14:paraId="4C117DC9">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0.000050 </w:t>
                  </w:r>
                </w:p>
              </w:tc>
            </w:tr>
            <w:tr w14:paraId="257727D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DA4FB4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34</w:t>
                  </w:r>
                </w:p>
              </w:tc>
              <w:tc>
                <w:tcPr>
                  <w:tcW w:w="697" w:type="pct"/>
                  <w:tcBorders>
                    <w:tl2br w:val="nil"/>
                    <w:tr2bl w:val="nil"/>
                  </w:tcBorders>
                  <w:noWrap w:val="0"/>
                  <w:vAlign w:val="center"/>
                </w:tcPr>
                <w:p w14:paraId="51AC353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苯</w:t>
                  </w:r>
                </w:p>
              </w:tc>
              <w:tc>
                <w:tcPr>
                  <w:tcW w:w="790" w:type="pct"/>
                  <w:tcBorders>
                    <w:tl2br w:val="nil"/>
                    <w:tr2bl w:val="nil"/>
                  </w:tcBorders>
                  <w:noWrap w:val="0"/>
                  <w:vAlign w:val="center"/>
                </w:tcPr>
                <w:p w14:paraId="3EC117C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71-43-2</w:t>
                  </w:r>
                </w:p>
              </w:tc>
              <w:tc>
                <w:tcPr>
                  <w:tcW w:w="1210" w:type="pct"/>
                  <w:tcBorders>
                    <w:tl2br w:val="nil"/>
                    <w:tr2bl w:val="nil"/>
                  </w:tcBorders>
                  <w:noWrap w:val="0"/>
                  <w:vAlign w:val="center"/>
                </w:tcPr>
                <w:p w14:paraId="5866747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140AC11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008A76B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0.000219 </w:t>
                  </w:r>
                </w:p>
              </w:tc>
              <w:tc>
                <w:tcPr>
                  <w:tcW w:w="673" w:type="pct"/>
                  <w:tcBorders>
                    <w:tl2br w:val="nil"/>
                    <w:tr2bl w:val="nil"/>
                  </w:tcBorders>
                  <w:noWrap w:val="0"/>
                  <w:vAlign w:val="center"/>
                </w:tcPr>
                <w:p w14:paraId="7A4842B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0.000022 </w:t>
                  </w:r>
                </w:p>
              </w:tc>
            </w:tr>
            <w:tr w14:paraId="62D4DD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1167DF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35</w:t>
                  </w:r>
                </w:p>
              </w:tc>
              <w:tc>
                <w:tcPr>
                  <w:tcW w:w="697" w:type="pct"/>
                  <w:tcBorders>
                    <w:tl2br w:val="nil"/>
                    <w:tr2bl w:val="nil"/>
                  </w:tcBorders>
                  <w:noWrap w:val="0"/>
                  <w:vAlign w:val="center"/>
                </w:tcPr>
                <w:p w14:paraId="1070E00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二氯甲烷</w:t>
                  </w:r>
                </w:p>
              </w:tc>
              <w:tc>
                <w:tcPr>
                  <w:tcW w:w="790" w:type="pct"/>
                  <w:tcBorders>
                    <w:tl2br w:val="nil"/>
                    <w:tr2bl w:val="nil"/>
                  </w:tcBorders>
                  <w:noWrap w:val="0"/>
                  <w:vAlign w:val="center"/>
                </w:tcPr>
                <w:p w14:paraId="4E14CD7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75-09-2</w:t>
                  </w:r>
                </w:p>
              </w:tc>
              <w:tc>
                <w:tcPr>
                  <w:tcW w:w="1210" w:type="pct"/>
                  <w:tcBorders>
                    <w:tl2br w:val="nil"/>
                    <w:tr2bl w:val="nil"/>
                  </w:tcBorders>
                  <w:noWrap w:val="0"/>
                  <w:vAlign w:val="center"/>
                </w:tcPr>
                <w:p w14:paraId="52D9B23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1E87B4F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356B1E6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0.000663 </w:t>
                  </w:r>
                </w:p>
              </w:tc>
              <w:tc>
                <w:tcPr>
                  <w:tcW w:w="673" w:type="pct"/>
                  <w:tcBorders>
                    <w:tl2br w:val="nil"/>
                    <w:tr2bl w:val="nil"/>
                  </w:tcBorders>
                  <w:noWrap w:val="0"/>
                  <w:vAlign w:val="center"/>
                </w:tcPr>
                <w:p w14:paraId="384DFD1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0.000066 </w:t>
                  </w:r>
                </w:p>
              </w:tc>
            </w:tr>
            <w:tr w14:paraId="0E64E0A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65288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36</w:t>
                  </w:r>
                </w:p>
              </w:tc>
              <w:tc>
                <w:tcPr>
                  <w:tcW w:w="697" w:type="pct"/>
                  <w:tcBorders>
                    <w:tl2br w:val="nil"/>
                    <w:tr2bl w:val="nil"/>
                  </w:tcBorders>
                  <w:noWrap w:val="0"/>
                  <w:vAlign w:val="center"/>
                </w:tcPr>
                <w:p w14:paraId="61984A8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正己烷</w:t>
                  </w:r>
                </w:p>
              </w:tc>
              <w:tc>
                <w:tcPr>
                  <w:tcW w:w="790" w:type="pct"/>
                  <w:tcBorders>
                    <w:tl2br w:val="nil"/>
                    <w:tr2bl w:val="nil"/>
                  </w:tcBorders>
                  <w:noWrap w:val="0"/>
                  <w:vAlign w:val="center"/>
                </w:tcPr>
                <w:p w14:paraId="7B39204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110-54-3</w:t>
                  </w:r>
                </w:p>
              </w:tc>
              <w:tc>
                <w:tcPr>
                  <w:tcW w:w="1210" w:type="pct"/>
                  <w:tcBorders>
                    <w:tl2br w:val="nil"/>
                    <w:tr2bl w:val="nil"/>
                  </w:tcBorders>
                  <w:noWrap w:val="0"/>
                  <w:vAlign w:val="center"/>
                </w:tcPr>
                <w:p w14:paraId="66D723D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易燃液态物质</w:t>
                  </w:r>
                </w:p>
              </w:tc>
              <w:tc>
                <w:tcPr>
                  <w:tcW w:w="712" w:type="pct"/>
                  <w:tcBorders>
                    <w:tl2br w:val="nil"/>
                    <w:tr2bl w:val="nil"/>
                  </w:tcBorders>
                  <w:noWrap w:val="0"/>
                  <w:vAlign w:val="center"/>
                </w:tcPr>
                <w:p w14:paraId="7A37EED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2DCF804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0.000330 </w:t>
                  </w:r>
                </w:p>
              </w:tc>
              <w:tc>
                <w:tcPr>
                  <w:tcW w:w="673" w:type="pct"/>
                  <w:tcBorders>
                    <w:tl2br w:val="nil"/>
                    <w:tr2bl w:val="nil"/>
                  </w:tcBorders>
                  <w:noWrap w:val="0"/>
                  <w:vAlign w:val="center"/>
                </w:tcPr>
                <w:p w14:paraId="59ADA45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0.000033 </w:t>
                  </w:r>
                </w:p>
              </w:tc>
            </w:tr>
            <w:tr w14:paraId="338432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533926B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37</w:t>
                  </w:r>
                </w:p>
              </w:tc>
              <w:tc>
                <w:tcPr>
                  <w:tcW w:w="697" w:type="pct"/>
                  <w:tcBorders>
                    <w:tl2br w:val="nil"/>
                    <w:tr2bl w:val="nil"/>
                  </w:tcBorders>
                  <w:noWrap w:val="0"/>
                  <w:vAlign w:val="center"/>
                </w:tcPr>
                <w:p w14:paraId="4B4F19F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丙烯醛</w:t>
                  </w:r>
                </w:p>
              </w:tc>
              <w:tc>
                <w:tcPr>
                  <w:tcW w:w="790" w:type="pct"/>
                  <w:tcBorders>
                    <w:tl2br w:val="nil"/>
                    <w:tr2bl w:val="nil"/>
                  </w:tcBorders>
                  <w:noWrap w:val="0"/>
                  <w:vAlign w:val="center"/>
                </w:tcPr>
                <w:p w14:paraId="3EA3E33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107-02-8</w:t>
                  </w:r>
                </w:p>
              </w:tc>
              <w:tc>
                <w:tcPr>
                  <w:tcW w:w="1210" w:type="pct"/>
                  <w:tcBorders>
                    <w:tl2br w:val="nil"/>
                    <w:tr2bl w:val="nil"/>
                  </w:tcBorders>
                  <w:noWrap w:val="0"/>
                  <w:vAlign w:val="center"/>
                </w:tcPr>
                <w:p w14:paraId="38A952F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4A448AE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10</w:t>
                  </w:r>
                </w:p>
              </w:tc>
              <w:tc>
                <w:tcPr>
                  <w:tcW w:w="655" w:type="pct"/>
                  <w:tcBorders>
                    <w:tl2br w:val="nil"/>
                    <w:tr2bl w:val="nil"/>
                  </w:tcBorders>
                  <w:noWrap w:val="0"/>
                  <w:vAlign w:val="center"/>
                </w:tcPr>
                <w:p w14:paraId="7FF3D32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0.000420 </w:t>
                  </w:r>
                </w:p>
              </w:tc>
              <w:tc>
                <w:tcPr>
                  <w:tcW w:w="673" w:type="pct"/>
                  <w:tcBorders>
                    <w:tl2br w:val="nil"/>
                    <w:tr2bl w:val="nil"/>
                  </w:tcBorders>
                  <w:noWrap w:val="0"/>
                  <w:vAlign w:val="center"/>
                </w:tcPr>
                <w:p w14:paraId="4BA1934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0.000042 </w:t>
                  </w:r>
                </w:p>
              </w:tc>
            </w:tr>
            <w:tr w14:paraId="52AEBA9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3A2A2F7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38</w:t>
                  </w:r>
                </w:p>
              </w:tc>
              <w:tc>
                <w:tcPr>
                  <w:tcW w:w="697" w:type="pct"/>
                  <w:tcBorders>
                    <w:tl2br w:val="nil"/>
                    <w:tr2bl w:val="nil"/>
                  </w:tcBorders>
                  <w:noWrap w:val="0"/>
                  <w:vAlign w:val="center"/>
                </w:tcPr>
                <w:p w14:paraId="1C7E85D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苯胺</w:t>
                  </w:r>
                </w:p>
              </w:tc>
              <w:tc>
                <w:tcPr>
                  <w:tcW w:w="790" w:type="pct"/>
                  <w:tcBorders>
                    <w:tl2br w:val="nil"/>
                    <w:tr2bl w:val="nil"/>
                  </w:tcBorders>
                  <w:noWrap w:val="0"/>
                  <w:vAlign w:val="center"/>
                </w:tcPr>
                <w:p w14:paraId="731D111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62-53-3</w:t>
                  </w:r>
                </w:p>
              </w:tc>
              <w:tc>
                <w:tcPr>
                  <w:tcW w:w="1210" w:type="pct"/>
                  <w:tcBorders>
                    <w:tl2br w:val="nil"/>
                    <w:tr2bl w:val="nil"/>
                  </w:tcBorders>
                  <w:noWrap w:val="0"/>
                  <w:vAlign w:val="center"/>
                </w:tcPr>
                <w:p w14:paraId="1DF4F7E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539EB3A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w:t>
                  </w:r>
                </w:p>
              </w:tc>
              <w:tc>
                <w:tcPr>
                  <w:tcW w:w="655" w:type="pct"/>
                  <w:tcBorders>
                    <w:tl2br w:val="nil"/>
                    <w:tr2bl w:val="nil"/>
                  </w:tcBorders>
                  <w:noWrap w:val="0"/>
                  <w:vAlign w:val="center"/>
                </w:tcPr>
                <w:p w14:paraId="4BD6DE7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0.000558 </w:t>
                  </w:r>
                </w:p>
              </w:tc>
              <w:tc>
                <w:tcPr>
                  <w:tcW w:w="673" w:type="pct"/>
                  <w:tcBorders>
                    <w:tl2br w:val="nil"/>
                    <w:tr2bl w:val="nil"/>
                  </w:tcBorders>
                  <w:noWrap w:val="0"/>
                  <w:vAlign w:val="center"/>
                </w:tcPr>
                <w:p w14:paraId="7FE8C4E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0.000112 </w:t>
                  </w:r>
                </w:p>
              </w:tc>
            </w:tr>
            <w:tr w14:paraId="29A309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9D2C5C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39</w:t>
                  </w:r>
                </w:p>
              </w:tc>
              <w:tc>
                <w:tcPr>
                  <w:tcW w:w="697" w:type="pct"/>
                  <w:tcBorders>
                    <w:tl2br w:val="nil"/>
                    <w:tr2bl w:val="nil"/>
                  </w:tcBorders>
                  <w:noWrap w:val="0"/>
                  <w:vAlign w:val="center"/>
                </w:tcPr>
                <w:p w14:paraId="07D7D81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甲醛试剂纯度40%</w:t>
                  </w:r>
                </w:p>
              </w:tc>
              <w:tc>
                <w:tcPr>
                  <w:tcW w:w="790" w:type="pct"/>
                  <w:tcBorders>
                    <w:tl2br w:val="nil"/>
                    <w:tr2bl w:val="nil"/>
                  </w:tcBorders>
                  <w:noWrap w:val="0"/>
                  <w:vAlign w:val="center"/>
                </w:tcPr>
                <w:p w14:paraId="3606FC4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50-00-0</w:t>
                  </w:r>
                </w:p>
              </w:tc>
              <w:tc>
                <w:tcPr>
                  <w:tcW w:w="1210" w:type="pct"/>
                  <w:tcBorders>
                    <w:tl2br w:val="nil"/>
                    <w:tr2bl w:val="nil"/>
                  </w:tcBorders>
                  <w:noWrap w:val="0"/>
                  <w:vAlign w:val="center"/>
                </w:tcPr>
                <w:p w14:paraId="59EDE0D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有毒气态物质</w:t>
                  </w:r>
                </w:p>
              </w:tc>
              <w:tc>
                <w:tcPr>
                  <w:tcW w:w="712" w:type="pct"/>
                  <w:tcBorders>
                    <w:tl2br w:val="nil"/>
                    <w:tr2bl w:val="nil"/>
                  </w:tcBorders>
                  <w:noWrap w:val="0"/>
                  <w:vAlign w:val="center"/>
                </w:tcPr>
                <w:p w14:paraId="270054E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0.5</w:t>
                  </w:r>
                </w:p>
              </w:tc>
              <w:tc>
                <w:tcPr>
                  <w:tcW w:w="655" w:type="pct"/>
                  <w:tcBorders>
                    <w:tl2br w:val="nil"/>
                    <w:tr2bl w:val="nil"/>
                  </w:tcBorders>
                  <w:noWrap w:val="0"/>
                  <w:vAlign w:val="center"/>
                </w:tcPr>
                <w:p w14:paraId="5AD9127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0.000217 </w:t>
                  </w:r>
                </w:p>
              </w:tc>
              <w:tc>
                <w:tcPr>
                  <w:tcW w:w="673" w:type="pct"/>
                  <w:tcBorders>
                    <w:tl2br w:val="nil"/>
                    <w:tr2bl w:val="nil"/>
                  </w:tcBorders>
                  <w:noWrap w:val="0"/>
                  <w:vAlign w:val="center"/>
                </w:tcPr>
                <w:p w14:paraId="4D0376D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0.000433 </w:t>
                  </w:r>
                </w:p>
              </w:tc>
            </w:tr>
            <w:tr w14:paraId="37B411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625F0C0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40</w:t>
                  </w:r>
                </w:p>
              </w:tc>
              <w:tc>
                <w:tcPr>
                  <w:tcW w:w="697" w:type="pct"/>
                  <w:tcBorders>
                    <w:tl2br w:val="nil"/>
                    <w:tr2bl w:val="nil"/>
                  </w:tcBorders>
                  <w:noWrap w:val="0"/>
                  <w:vAlign w:val="center"/>
                </w:tcPr>
                <w:p w14:paraId="547B774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四氯化碳</w:t>
                  </w:r>
                </w:p>
              </w:tc>
              <w:tc>
                <w:tcPr>
                  <w:tcW w:w="790" w:type="pct"/>
                  <w:tcBorders>
                    <w:tl2br w:val="nil"/>
                    <w:tr2bl w:val="nil"/>
                  </w:tcBorders>
                  <w:noWrap w:val="0"/>
                  <w:vAlign w:val="center"/>
                </w:tcPr>
                <w:p w14:paraId="2A1F66C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56-23-5</w:t>
                  </w:r>
                </w:p>
              </w:tc>
              <w:tc>
                <w:tcPr>
                  <w:tcW w:w="1210" w:type="pct"/>
                  <w:tcBorders>
                    <w:tl2br w:val="nil"/>
                    <w:tr2bl w:val="nil"/>
                  </w:tcBorders>
                  <w:noWrap w:val="0"/>
                  <w:vAlign w:val="center"/>
                </w:tcPr>
                <w:p w14:paraId="0E470DA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有毒液态物质</w:t>
                  </w:r>
                </w:p>
              </w:tc>
              <w:tc>
                <w:tcPr>
                  <w:tcW w:w="712" w:type="pct"/>
                  <w:tcBorders>
                    <w:tl2br w:val="nil"/>
                    <w:tr2bl w:val="nil"/>
                  </w:tcBorders>
                  <w:noWrap w:val="0"/>
                  <w:vAlign w:val="center"/>
                </w:tcPr>
                <w:p w14:paraId="01E68D8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7.5</w:t>
                  </w:r>
                </w:p>
              </w:tc>
              <w:tc>
                <w:tcPr>
                  <w:tcW w:w="655" w:type="pct"/>
                  <w:tcBorders>
                    <w:tl2br w:val="nil"/>
                    <w:tr2bl w:val="nil"/>
                  </w:tcBorders>
                  <w:noWrap w:val="0"/>
                  <w:vAlign w:val="center"/>
                </w:tcPr>
                <w:p w14:paraId="47E79CC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0.000399 </w:t>
                  </w:r>
                </w:p>
              </w:tc>
              <w:tc>
                <w:tcPr>
                  <w:tcW w:w="673" w:type="pct"/>
                  <w:tcBorders>
                    <w:tl2br w:val="nil"/>
                    <w:tr2bl w:val="nil"/>
                  </w:tcBorders>
                  <w:noWrap w:val="0"/>
                  <w:vAlign w:val="center"/>
                </w:tcPr>
                <w:p w14:paraId="24FEC22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0.000053 </w:t>
                  </w:r>
                </w:p>
              </w:tc>
            </w:tr>
            <w:tr w14:paraId="078DB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642A63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41</w:t>
                  </w:r>
                </w:p>
              </w:tc>
              <w:tc>
                <w:tcPr>
                  <w:tcW w:w="697" w:type="pct"/>
                  <w:tcBorders>
                    <w:tl2br w:val="nil"/>
                    <w:tr2bl w:val="nil"/>
                  </w:tcBorders>
                  <w:noWrap w:val="0"/>
                  <w:vAlign w:val="center"/>
                </w:tcPr>
                <w:p w14:paraId="0CC7D23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五氯硝基苯</w:t>
                  </w:r>
                </w:p>
              </w:tc>
              <w:tc>
                <w:tcPr>
                  <w:tcW w:w="790" w:type="pct"/>
                  <w:tcBorders>
                    <w:tl2br w:val="nil"/>
                    <w:tr2bl w:val="nil"/>
                  </w:tcBorders>
                  <w:noWrap w:val="0"/>
                  <w:vAlign w:val="center"/>
                </w:tcPr>
                <w:p w14:paraId="7D03E3AA">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82-68-8</w:t>
                  </w:r>
                </w:p>
              </w:tc>
              <w:tc>
                <w:tcPr>
                  <w:tcW w:w="1210" w:type="pct"/>
                  <w:tcBorders>
                    <w:tl2br w:val="nil"/>
                    <w:tr2bl w:val="nil"/>
                  </w:tcBorders>
                  <w:noWrap w:val="0"/>
                  <w:vAlign w:val="center"/>
                </w:tcPr>
                <w:p w14:paraId="25F06F9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其他有毒物质</w:t>
                  </w:r>
                </w:p>
              </w:tc>
              <w:tc>
                <w:tcPr>
                  <w:tcW w:w="712" w:type="pct"/>
                  <w:tcBorders>
                    <w:tl2br w:val="nil"/>
                    <w:tr2bl w:val="nil"/>
                  </w:tcBorders>
                  <w:noWrap w:val="0"/>
                  <w:vAlign w:val="center"/>
                </w:tcPr>
                <w:p w14:paraId="338D9F7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0.5</w:t>
                  </w:r>
                </w:p>
              </w:tc>
              <w:tc>
                <w:tcPr>
                  <w:tcW w:w="655" w:type="pct"/>
                  <w:tcBorders>
                    <w:tl2br w:val="nil"/>
                    <w:tr2bl w:val="nil"/>
                  </w:tcBorders>
                  <w:noWrap w:val="0"/>
                  <w:vAlign w:val="center"/>
                </w:tcPr>
                <w:p w14:paraId="0A9F79D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0.000500 </w:t>
                  </w:r>
                </w:p>
              </w:tc>
              <w:tc>
                <w:tcPr>
                  <w:tcW w:w="673" w:type="pct"/>
                  <w:tcBorders>
                    <w:tl2br w:val="nil"/>
                    <w:tr2bl w:val="nil"/>
                  </w:tcBorders>
                  <w:noWrap w:val="0"/>
                  <w:vAlign w:val="center"/>
                </w:tcPr>
                <w:p w14:paraId="3E0E589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 xml:space="preserve">0.001000 </w:t>
                  </w:r>
                </w:p>
              </w:tc>
            </w:tr>
            <w:tr w14:paraId="57D4060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00" w:hRule="atLeast"/>
                <w:jc w:val="center"/>
              </w:trPr>
              <w:tc>
                <w:tcPr>
                  <w:tcW w:w="260" w:type="pct"/>
                  <w:tcBorders>
                    <w:tl2br w:val="nil"/>
                    <w:tr2bl w:val="nil"/>
                  </w:tcBorders>
                  <w:noWrap w:val="0"/>
                  <w:vAlign w:val="center"/>
                </w:tcPr>
                <w:p w14:paraId="4A8D4148">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42</w:t>
                  </w:r>
                </w:p>
              </w:tc>
              <w:tc>
                <w:tcPr>
                  <w:tcW w:w="697" w:type="pct"/>
                  <w:tcBorders>
                    <w:tl2br w:val="nil"/>
                    <w:tr2bl w:val="nil"/>
                  </w:tcBorders>
                  <w:noWrap w:val="0"/>
                  <w:vAlign w:val="center"/>
                </w:tcPr>
                <w:p w14:paraId="28E8CED6">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危险废物</w:t>
                  </w:r>
                </w:p>
              </w:tc>
              <w:tc>
                <w:tcPr>
                  <w:tcW w:w="790" w:type="pct"/>
                  <w:tcBorders>
                    <w:tl2br w:val="nil"/>
                    <w:tr2bl w:val="nil"/>
                  </w:tcBorders>
                  <w:noWrap w:val="0"/>
                  <w:vAlign w:val="center"/>
                </w:tcPr>
                <w:p w14:paraId="50E032E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w:t>
                  </w:r>
                </w:p>
              </w:tc>
              <w:tc>
                <w:tcPr>
                  <w:tcW w:w="1210" w:type="pct"/>
                  <w:tcBorders>
                    <w:tl2br w:val="nil"/>
                    <w:tr2bl w:val="nil"/>
                  </w:tcBorders>
                  <w:noWrap w:val="0"/>
                  <w:vAlign w:val="center"/>
                </w:tcPr>
                <w:p w14:paraId="5E4B9BF3">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健康危险急性毒性物质（类别2、类别3）</w:t>
                  </w:r>
                </w:p>
              </w:tc>
              <w:tc>
                <w:tcPr>
                  <w:tcW w:w="712" w:type="pct"/>
                  <w:tcBorders>
                    <w:tl2br w:val="nil"/>
                    <w:tr2bl w:val="nil"/>
                  </w:tcBorders>
                  <w:noWrap w:val="0"/>
                  <w:vAlign w:val="center"/>
                </w:tcPr>
                <w:p w14:paraId="330CAE1E">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6.</w:t>
                  </w:r>
                  <w:r>
                    <w:rPr>
                      <w:rFonts w:hint="eastAsia" w:ascii="Times New Roman" w:hAnsi="Times New Roman" w:cs="Times New Roman"/>
                      <w:b w:val="0"/>
                      <w:bCs w:val="0"/>
                      <w:color w:val="auto"/>
                      <w:sz w:val="21"/>
                      <w:lang w:val="en-US" w:eastAsia="zh-CN"/>
                    </w:rPr>
                    <w:t>54</w:t>
                  </w:r>
                </w:p>
              </w:tc>
              <w:tc>
                <w:tcPr>
                  <w:tcW w:w="655" w:type="pct"/>
                  <w:tcBorders>
                    <w:tl2br w:val="nil"/>
                    <w:tr2bl w:val="nil"/>
                  </w:tcBorders>
                  <w:noWrap w:val="0"/>
                  <w:vAlign w:val="center"/>
                </w:tcPr>
                <w:p w14:paraId="15B9A9A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50</w:t>
                  </w:r>
                </w:p>
              </w:tc>
              <w:tc>
                <w:tcPr>
                  <w:tcW w:w="673" w:type="pct"/>
                  <w:tcBorders>
                    <w:tl2br w:val="nil"/>
                    <w:tr2bl w:val="nil"/>
                  </w:tcBorders>
                  <w:noWrap w:val="0"/>
                  <w:vAlign w:val="center"/>
                </w:tcPr>
                <w:p w14:paraId="536DC6A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0.</w:t>
                  </w:r>
                  <w:r>
                    <w:rPr>
                      <w:rFonts w:hint="eastAsia" w:ascii="Times New Roman" w:hAnsi="Times New Roman" w:cs="Times New Roman"/>
                      <w:b w:val="0"/>
                      <w:bCs w:val="0"/>
                      <w:color w:val="auto"/>
                      <w:sz w:val="21"/>
                      <w:lang w:val="en-US" w:eastAsia="zh-CN"/>
                    </w:rPr>
                    <w:t>1306</w:t>
                  </w:r>
                </w:p>
              </w:tc>
            </w:tr>
            <w:tr w14:paraId="449E87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2" w:hRule="atLeast"/>
                <w:jc w:val="center"/>
              </w:trPr>
              <w:tc>
                <w:tcPr>
                  <w:tcW w:w="4326" w:type="pct"/>
                  <w:gridSpan w:val="6"/>
                  <w:tcBorders>
                    <w:tl2br w:val="nil"/>
                    <w:tr2bl w:val="nil"/>
                  </w:tcBorders>
                  <w:noWrap w:val="0"/>
                  <w:vAlign w:val="center"/>
                </w:tcPr>
                <w:p w14:paraId="6A26F33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lang w:val="en-US" w:eastAsia="zh-CN"/>
                    </w:rPr>
                  </w:pPr>
                  <w:r>
                    <w:rPr>
                      <w:rFonts w:hint="default" w:ascii="Times New Roman" w:hAnsi="Times New Roman" w:eastAsia="宋体" w:cs="Times New Roman"/>
                      <w:b w:val="0"/>
                      <w:bCs w:val="0"/>
                      <w:color w:val="auto"/>
                      <w:sz w:val="21"/>
                      <w:lang w:val="en-US" w:eastAsia="zh-CN"/>
                    </w:rPr>
                    <w:t>合计</w:t>
                  </w:r>
                </w:p>
              </w:tc>
              <w:tc>
                <w:tcPr>
                  <w:tcW w:w="673" w:type="pct"/>
                  <w:tcBorders>
                    <w:tl2br w:val="nil"/>
                    <w:tr2bl w:val="nil"/>
                  </w:tcBorders>
                  <w:noWrap w:val="0"/>
                  <w:vAlign w:val="center"/>
                </w:tcPr>
                <w:p w14:paraId="2D10158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val="0"/>
                      <w:bCs w:val="0"/>
                      <w:color w:val="auto"/>
                      <w:sz w:val="21"/>
                      <w:lang w:val="en-US" w:eastAsia="zh-CN"/>
                    </w:rPr>
                  </w:pPr>
                  <w:r>
                    <w:rPr>
                      <w:rFonts w:hint="eastAsia" w:ascii="Times New Roman" w:hAnsi="Times New Roman" w:eastAsia="宋体" w:cs="Times New Roman"/>
                      <w:b w:val="0"/>
                      <w:bCs w:val="0"/>
                      <w:color w:val="auto"/>
                      <w:sz w:val="21"/>
                      <w:lang w:val="en-US" w:eastAsia="zh-CN"/>
                    </w:rPr>
                    <w:t>0.</w:t>
                  </w:r>
                  <w:r>
                    <w:rPr>
                      <w:rFonts w:hint="eastAsia" w:ascii="Times New Roman" w:hAnsi="Times New Roman" w:cs="Times New Roman"/>
                      <w:b w:val="0"/>
                      <w:bCs w:val="0"/>
                      <w:color w:val="auto"/>
                      <w:sz w:val="21"/>
                      <w:lang w:val="en-US" w:eastAsia="zh-CN"/>
                    </w:rPr>
                    <w:t>1447</w:t>
                  </w:r>
                  <w:r>
                    <w:rPr>
                      <w:rFonts w:hint="eastAsia" w:ascii="Times New Roman" w:hAnsi="Times New Roman" w:eastAsia="宋体" w:cs="Times New Roman"/>
                      <w:b w:val="0"/>
                      <w:bCs w:val="0"/>
                      <w:color w:val="auto"/>
                      <w:sz w:val="21"/>
                      <w:lang w:val="en-US" w:eastAsia="zh-CN"/>
                    </w:rPr>
                    <w:t xml:space="preserve"> </w:t>
                  </w:r>
                </w:p>
              </w:tc>
            </w:tr>
            <w:tr w14:paraId="254ECE0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69" w:hRule="atLeast"/>
                <w:jc w:val="center"/>
              </w:trPr>
              <w:tc>
                <w:tcPr>
                  <w:tcW w:w="5000" w:type="pct"/>
                  <w:gridSpan w:val="7"/>
                  <w:tcBorders>
                    <w:tl2br w:val="nil"/>
                    <w:tr2bl w:val="nil"/>
                  </w:tcBorders>
                  <w:noWrap w:val="0"/>
                  <w:vAlign w:val="center"/>
                </w:tcPr>
                <w:p w14:paraId="1FB34450">
                  <w:pPr>
                    <w:keepNext w:val="0"/>
                    <w:keepLines w:val="0"/>
                    <w:pageBreakBefore w:val="0"/>
                    <w:widowControl w:val="0"/>
                    <w:suppressLineNumbers w:val="0"/>
                    <w:kinsoku/>
                    <w:wordWrap/>
                    <w:overflowPunct/>
                    <w:topLinePunct w:val="0"/>
                    <w:autoSpaceDE/>
                    <w:autoSpaceDN/>
                    <w:bidi w:val="0"/>
                    <w:adjustRightInd/>
                    <w:snapToGrid/>
                    <w:spacing w:before="1" w:beforeAutospacing="0" w:after="0" w:afterAutospacing="0" w:line="240" w:lineRule="auto"/>
                    <w:ind w:left="0" w:right="0"/>
                    <w:jc w:val="left"/>
                    <w:textAlignment w:val="auto"/>
                    <w:rPr>
                      <w:rFonts w:hint="eastAsia" w:ascii="Times New Roman" w:hAnsi="Times New Roman" w:eastAsia="宋体" w:cs="Times New Roman"/>
                      <w:b w:val="0"/>
                      <w:bCs w:val="0"/>
                      <w:color w:val="auto"/>
                      <w:sz w:val="21"/>
                      <w:lang w:val="en-US" w:eastAsia="zh-CN"/>
                    </w:rPr>
                  </w:pPr>
                  <w:r>
                    <w:rPr>
                      <w:rFonts w:hint="default" w:ascii="Times New Roman" w:hAnsi="Times New Roman" w:cs="Times New Roman"/>
                      <w:b/>
                      <w:bCs w:val="0"/>
                      <w:color w:val="auto"/>
                      <w:sz w:val="18"/>
                      <w:szCs w:val="21"/>
                    </w:rPr>
                    <w:t>注：</w:t>
                  </w:r>
                  <w:r>
                    <w:rPr>
                      <w:rFonts w:hint="eastAsia" w:ascii="Times New Roman" w:hAnsi="Times New Roman" w:eastAsia="宋体" w:cs="Times New Roman"/>
                      <w:b/>
                      <w:bCs w:val="0"/>
                      <w:color w:val="auto"/>
                      <w:sz w:val="18"/>
                      <w:szCs w:val="21"/>
                      <w:lang w:val="en-US" w:eastAsia="zh-CN"/>
                    </w:rPr>
                    <w:t>危险废物限值参照</w:t>
                  </w:r>
                  <w:r>
                    <w:rPr>
                      <w:rFonts w:hint="default" w:ascii="Times New Roman" w:hAnsi="Times New Roman" w:eastAsia="宋体" w:cs="Times New Roman"/>
                      <w:b/>
                      <w:bCs w:val="0"/>
                      <w:color w:val="auto"/>
                      <w:sz w:val="18"/>
                      <w:szCs w:val="21"/>
                    </w:rPr>
                    <w:t>健康</w:t>
                  </w:r>
                  <w:r>
                    <w:rPr>
                      <w:rFonts w:hint="default" w:ascii="Times New Roman" w:hAnsi="Times New Roman" w:cs="Times New Roman"/>
                      <w:b/>
                      <w:bCs w:val="0"/>
                      <w:color w:val="auto"/>
                      <w:sz w:val="18"/>
                      <w:szCs w:val="21"/>
                    </w:rPr>
                    <w:t>危险急性毒性物质（类别2，类别3）。</w:t>
                  </w:r>
                </w:p>
              </w:tc>
            </w:tr>
          </w:tbl>
          <w:p w14:paraId="06ADA4DE">
            <w:pPr>
              <w:pStyle w:val="69"/>
              <w:keepNext w:val="0"/>
              <w:keepLines w:val="0"/>
              <w:suppressLineNumbers w:val="0"/>
              <w:bidi w:val="0"/>
              <w:spacing w:beforeAutospacing="0" w:after="0" w:afterAutospacing="0"/>
              <w:ind w:left="0" w:right="0"/>
              <w:rPr>
                <w:rFonts w:hint="default"/>
                <w:color w:val="auto"/>
                <w:lang w:val="en-US" w:eastAsia="zh-CN"/>
              </w:rPr>
            </w:pPr>
            <w:r>
              <w:rPr>
                <w:rFonts w:hint="default"/>
                <w:color w:val="auto"/>
                <w:lang w:val="en-US" w:eastAsia="zh-CN"/>
              </w:rPr>
              <w:t>根据附录C表C.2危险物质及工艺系统危险性等级判断（P），当危险物质总量与其临界量比值计算Q值区间为Q&lt;1，根据《建设项目环境风险评价技术导则》（</w:t>
            </w:r>
            <w:r>
              <w:rPr>
                <w:rFonts w:hint="eastAsia"/>
                <w:color w:val="auto"/>
                <w:lang w:val="en-US" w:eastAsia="zh-CN"/>
              </w:rPr>
              <w:t>HJ 169-2018</w:t>
            </w:r>
            <w:r>
              <w:rPr>
                <w:rFonts w:hint="default"/>
                <w:color w:val="auto"/>
                <w:lang w:val="en-US" w:eastAsia="zh-CN"/>
              </w:rPr>
              <w:t>）表1，当环境风险潜势为I时，评价工作等级为简单分析。</w:t>
            </w:r>
          </w:p>
          <w:p w14:paraId="2C3C2111">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危险有害因素的识别与分析</w:t>
            </w:r>
          </w:p>
          <w:p w14:paraId="2B848646">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本项目存在的主要危险因素为：实验试剂的泄漏</w:t>
            </w:r>
            <w:r>
              <w:rPr>
                <w:rFonts w:hint="eastAsia"/>
                <w:color w:val="auto"/>
                <w:lang w:val="en-US" w:eastAsia="zh-CN"/>
              </w:rPr>
              <w:t>、</w:t>
            </w:r>
            <w:r>
              <w:rPr>
                <w:rFonts w:hint="default"/>
                <w:color w:val="auto"/>
                <w:lang w:val="en-US" w:eastAsia="zh-CN"/>
              </w:rPr>
              <w:t>危险废物泄漏事故</w:t>
            </w:r>
            <w:r>
              <w:rPr>
                <w:rFonts w:hint="eastAsia"/>
                <w:color w:val="auto"/>
                <w:lang w:val="en-US" w:eastAsia="zh-CN"/>
              </w:rPr>
              <w:t>和火灾事故，</w:t>
            </w:r>
            <w:r>
              <w:rPr>
                <w:rFonts w:hint="default"/>
                <w:color w:val="auto"/>
                <w:lang w:val="en-US" w:eastAsia="zh-CN"/>
              </w:rPr>
              <w:t>具体见</w:t>
            </w:r>
            <w:r>
              <w:rPr>
                <w:rFonts w:hint="eastAsia"/>
                <w:color w:val="auto"/>
                <w:lang w:val="en-US" w:eastAsia="zh-CN"/>
              </w:rPr>
              <w:t>下</w:t>
            </w:r>
            <w:r>
              <w:rPr>
                <w:rFonts w:hint="default"/>
                <w:color w:val="auto"/>
                <w:lang w:val="en-US" w:eastAsia="zh-CN"/>
              </w:rPr>
              <w:t>表。</w:t>
            </w:r>
          </w:p>
          <w:p w14:paraId="26E271F4">
            <w:pPr>
              <w:pStyle w:val="35"/>
              <w:keepNext w:val="0"/>
              <w:keepLines w:val="0"/>
              <w:pageBreakBefore w:val="0"/>
              <w:widowControl w:val="0"/>
              <w:suppressLineNumbers w:val="0"/>
              <w:tabs>
                <w:tab w:val="left" w:pos="2126"/>
              </w:tabs>
              <w:kinsoku/>
              <w:wordWrap/>
              <w:overflowPunct/>
              <w:topLinePunct w:val="0"/>
              <w:autoSpaceDE w:val="0"/>
              <w:autoSpaceDN w:val="0"/>
              <w:bidi w:val="0"/>
              <w:adjustRightInd/>
              <w:snapToGrid/>
              <w:spacing w:before="0" w:beforeLines="0" w:beforeAutospacing="0" w:after="0" w:afterAutospacing="0"/>
              <w:ind w:right="0"/>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危险有害因子汇总</w:t>
            </w:r>
          </w:p>
          <w:tbl>
            <w:tblPr>
              <w:tblStyle w:val="28"/>
              <w:tblW w:w="4998"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675"/>
              <w:gridCol w:w="1469"/>
              <w:gridCol w:w="2863"/>
              <w:gridCol w:w="1996"/>
              <w:gridCol w:w="1099"/>
            </w:tblGrid>
            <w:tr w14:paraId="1B04273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4" w:hRule="atLeast"/>
                <w:jc w:val="center"/>
              </w:trPr>
              <w:tc>
                <w:tcPr>
                  <w:tcW w:w="416" w:type="pct"/>
                  <w:tcBorders>
                    <w:left w:val="nil"/>
                    <w:bottom w:val="single" w:color="000000" w:sz="4" w:space="0"/>
                    <w:right w:val="single" w:color="000000" w:sz="4" w:space="0"/>
                  </w:tcBorders>
                  <w:noWrap w:val="0"/>
                  <w:vAlign w:val="center"/>
                </w:tcPr>
                <w:p w14:paraId="1ACA615C">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序号</w:t>
                  </w:r>
                </w:p>
              </w:tc>
              <w:tc>
                <w:tcPr>
                  <w:tcW w:w="906" w:type="pct"/>
                  <w:tcBorders>
                    <w:left w:val="single" w:color="000000" w:sz="4" w:space="0"/>
                    <w:bottom w:val="single" w:color="000000" w:sz="4" w:space="0"/>
                    <w:right w:val="single" w:color="000000" w:sz="4" w:space="0"/>
                  </w:tcBorders>
                  <w:noWrap w:val="0"/>
                  <w:vAlign w:val="center"/>
                </w:tcPr>
                <w:p w14:paraId="2915AF2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危险因素识别</w:t>
                  </w:r>
                </w:p>
              </w:tc>
              <w:tc>
                <w:tcPr>
                  <w:tcW w:w="1766" w:type="pct"/>
                  <w:tcBorders>
                    <w:left w:val="single" w:color="000000" w:sz="4" w:space="0"/>
                    <w:bottom w:val="single" w:color="000000" w:sz="4" w:space="0"/>
                    <w:right w:val="single" w:color="000000" w:sz="4" w:space="0"/>
                  </w:tcBorders>
                  <w:noWrap w:val="0"/>
                  <w:vAlign w:val="center"/>
                </w:tcPr>
                <w:p w14:paraId="2923286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b w:val="0"/>
                      <w:bCs w:val="0"/>
                      <w:color w:val="auto"/>
                      <w:sz w:val="21"/>
                    </w:rPr>
                  </w:pPr>
                  <w:r>
                    <w:rPr>
                      <w:rFonts w:hint="default" w:ascii="Times New Roman" w:hAnsi="Times New Roman" w:cs="Times New Roman"/>
                      <w:b w:val="0"/>
                      <w:bCs w:val="0"/>
                      <w:color w:val="auto"/>
                      <w:sz w:val="21"/>
                    </w:rPr>
                    <w:t>事故原因</w:t>
                  </w:r>
                </w:p>
              </w:tc>
              <w:tc>
                <w:tcPr>
                  <w:tcW w:w="1231" w:type="pct"/>
                  <w:tcBorders>
                    <w:left w:val="single" w:color="000000" w:sz="4" w:space="0"/>
                    <w:bottom w:val="single" w:color="000000" w:sz="4" w:space="0"/>
                    <w:right w:val="single" w:color="000000" w:sz="4" w:space="0"/>
                  </w:tcBorders>
                  <w:noWrap w:val="0"/>
                  <w:vAlign w:val="center"/>
                </w:tcPr>
                <w:p w14:paraId="2C31F17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事故后果</w:t>
                  </w:r>
                </w:p>
              </w:tc>
              <w:tc>
                <w:tcPr>
                  <w:tcW w:w="678" w:type="pct"/>
                  <w:tcBorders>
                    <w:left w:val="single" w:color="000000" w:sz="4" w:space="0"/>
                    <w:bottom w:val="single" w:color="000000" w:sz="4" w:space="0"/>
                    <w:right w:val="nil"/>
                  </w:tcBorders>
                  <w:noWrap w:val="0"/>
                  <w:vAlign w:val="center"/>
                </w:tcPr>
                <w:p w14:paraId="6C1D263F">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rPr>
                  </w:pPr>
                  <w:r>
                    <w:rPr>
                      <w:rFonts w:hint="default" w:ascii="Times New Roman" w:hAnsi="Times New Roman" w:eastAsia="宋体" w:cs="Times New Roman"/>
                      <w:b w:val="0"/>
                      <w:bCs w:val="0"/>
                      <w:color w:val="auto"/>
                      <w:sz w:val="21"/>
                    </w:rPr>
                    <w:t>危险程度</w:t>
                  </w:r>
                </w:p>
              </w:tc>
            </w:tr>
            <w:tr w14:paraId="1BB32A5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34" w:hRule="atLeast"/>
                <w:jc w:val="center"/>
              </w:trPr>
              <w:tc>
                <w:tcPr>
                  <w:tcW w:w="416" w:type="pct"/>
                  <w:tcBorders>
                    <w:top w:val="single" w:color="000000" w:sz="4" w:space="0"/>
                    <w:left w:val="nil"/>
                    <w:bottom w:val="single" w:color="000000" w:sz="4" w:space="0"/>
                    <w:right w:val="single" w:color="000000" w:sz="4" w:space="0"/>
                  </w:tcBorders>
                  <w:noWrap w:val="0"/>
                  <w:vAlign w:val="center"/>
                </w:tcPr>
                <w:p w14:paraId="0C25B362">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w w:val="99"/>
                      <w:sz w:val="21"/>
                    </w:rPr>
                    <w:t>1</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51CAE3C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试剂泄</w:t>
                  </w:r>
                  <w:r>
                    <w:rPr>
                      <w:rFonts w:hint="default" w:ascii="Times New Roman" w:hAnsi="Times New Roman" w:cs="Times New Roman"/>
                      <w:color w:val="auto"/>
                      <w:sz w:val="21"/>
                      <w:lang w:val="en-US" w:eastAsia="zh-CN"/>
                    </w:rPr>
                    <w:t>漏</w:t>
                  </w:r>
                </w:p>
              </w:tc>
              <w:tc>
                <w:tcPr>
                  <w:tcW w:w="1766" w:type="pct"/>
                  <w:tcBorders>
                    <w:top w:val="single" w:color="000000" w:sz="4" w:space="0"/>
                    <w:left w:val="single" w:color="000000" w:sz="4" w:space="0"/>
                    <w:bottom w:val="single" w:color="000000" w:sz="4" w:space="0"/>
                    <w:right w:val="single" w:color="000000" w:sz="4" w:space="0"/>
                  </w:tcBorders>
                  <w:noWrap w:val="0"/>
                  <w:vAlign w:val="center"/>
                </w:tcPr>
                <w:p w14:paraId="7F3D90B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试剂因外力作用发生泄</w:t>
                  </w:r>
                  <w:r>
                    <w:rPr>
                      <w:rFonts w:hint="default" w:ascii="Times New Roman" w:hAnsi="Times New Roman" w:cs="Times New Roman"/>
                      <w:color w:val="auto"/>
                      <w:sz w:val="21"/>
                      <w:lang w:val="en-US" w:eastAsia="zh-CN"/>
                    </w:rPr>
                    <w:t>漏</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6011C9F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人员伤亡、财产损失</w:t>
                  </w:r>
                </w:p>
              </w:tc>
              <w:tc>
                <w:tcPr>
                  <w:tcW w:w="678" w:type="pct"/>
                  <w:tcBorders>
                    <w:top w:val="single" w:color="000000" w:sz="4" w:space="0"/>
                    <w:left w:val="single" w:color="000000" w:sz="4" w:space="0"/>
                    <w:bottom w:val="single" w:color="000000" w:sz="4" w:space="0"/>
                    <w:right w:val="nil"/>
                  </w:tcBorders>
                  <w:noWrap w:val="0"/>
                  <w:vAlign w:val="center"/>
                </w:tcPr>
                <w:p w14:paraId="4A6FA26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rPr>
                  </w:pPr>
                  <w:r>
                    <w:rPr>
                      <w:rFonts w:hint="default" w:ascii="Times New Roman" w:hAnsi="Times New Roman" w:eastAsia="宋体" w:cs="Times New Roman"/>
                      <w:color w:val="auto"/>
                      <w:sz w:val="21"/>
                    </w:rPr>
                    <w:t>高度危险</w:t>
                  </w:r>
                </w:p>
              </w:tc>
            </w:tr>
            <w:tr w14:paraId="264B0A3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68" w:hRule="atLeast"/>
                <w:jc w:val="center"/>
              </w:trPr>
              <w:tc>
                <w:tcPr>
                  <w:tcW w:w="416" w:type="pct"/>
                  <w:tcBorders>
                    <w:top w:val="single" w:color="000000" w:sz="4" w:space="0"/>
                    <w:left w:val="nil"/>
                    <w:bottom w:val="single" w:color="000000" w:sz="4" w:space="0"/>
                    <w:right w:val="single" w:color="000000" w:sz="4" w:space="0"/>
                  </w:tcBorders>
                  <w:noWrap w:val="0"/>
                  <w:vAlign w:val="center"/>
                </w:tcPr>
                <w:p w14:paraId="41CF4F51">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w w:val="99"/>
                      <w:sz w:val="21"/>
                    </w:rPr>
                    <w:t>2</w:t>
                  </w:r>
                </w:p>
              </w:tc>
              <w:tc>
                <w:tcPr>
                  <w:tcW w:w="906" w:type="pct"/>
                  <w:tcBorders>
                    <w:top w:val="single" w:color="000000" w:sz="4" w:space="0"/>
                    <w:left w:val="single" w:color="000000" w:sz="4" w:space="0"/>
                    <w:bottom w:val="single" w:color="000000" w:sz="4" w:space="0"/>
                    <w:right w:val="single" w:color="000000" w:sz="4" w:space="0"/>
                  </w:tcBorders>
                  <w:noWrap w:val="0"/>
                  <w:vAlign w:val="center"/>
                </w:tcPr>
                <w:p w14:paraId="4246D03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危废的储存</w:t>
                  </w:r>
                </w:p>
              </w:tc>
              <w:tc>
                <w:tcPr>
                  <w:tcW w:w="1766" w:type="pct"/>
                  <w:tcBorders>
                    <w:top w:val="single" w:color="000000" w:sz="4" w:space="0"/>
                    <w:left w:val="single" w:color="000000" w:sz="4" w:space="0"/>
                    <w:bottom w:val="single" w:color="000000" w:sz="4" w:space="0"/>
                    <w:right w:val="single" w:color="000000" w:sz="4" w:space="0"/>
                  </w:tcBorders>
                  <w:noWrap w:val="0"/>
                  <w:vAlign w:val="center"/>
                </w:tcPr>
                <w:p w14:paraId="7D8EF9B5">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lang w:eastAsia="zh-CN"/>
                    </w:rPr>
                  </w:pPr>
                  <w:r>
                    <w:rPr>
                      <w:rFonts w:hint="default" w:ascii="Times New Roman" w:hAnsi="Times New Roman" w:cs="Times New Roman"/>
                      <w:color w:val="auto"/>
                      <w:sz w:val="21"/>
                    </w:rPr>
                    <w:t>危废储存因外力作用发生泄</w:t>
                  </w:r>
                  <w:r>
                    <w:rPr>
                      <w:rFonts w:hint="default" w:ascii="Times New Roman" w:hAnsi="Times New Roman" w:cs="Times New Roman"/>
                      <w:color w:val="auto"/>
                      <w:sz w:val="21"/>
                      <w:lang w:val="en-US" w:eastAsia="zh-CN"/>
                    </w:rPr>
                    <w:t>漏</w:t>
                  </w:r>
                </w:p>
              </w:tc>
              <w:tc>
                <w:tcPr>
                  <w:tcW w:w="1231" w:type="pct"/>
                  <w:tcBorders>
                    <w:top w:val="single" w:color="000000" w:sz="4" w:space="0"/>
                    <w:left w:val="single" w:color="000000" w:sz="4" w:space="0"/>
                    <w:bottom w:val="single" w:color="000000" w:sz="4" w:space="0"/>
                    <w:right w:val="single" w:color="000000" w:sz="4" w:space="0"/>
                  </w:tcBorders>
                  <w:noWrap w:val="0"/>
                  <w:vAlign w:val="center"/>
                </w:tcPr>
                <w:p w14:paraId="1CF439E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人员伤亡、财产损失</w:t>
                  </w:r>
                </w:p>
              </w:tc>
              <w:tc>
                <w:tcPr>
                  <w:tcW w:w="678" w:type="pct"/>
                  <w:tcBorders>
                    <w:top w:val="single" w:color="000000" w:sz="4" w:space="0"/>
                    <w:left w:val="single" w:color="000000" w:sz="4" w:space="0"/>
                    <w:bottom w:val="single" w:color="000000" w:sz="4" w:space="0"/>
                    <w:right w:val="nil"/>
                  </w:tcBorders>
                  <w:noWrap w:val="0"/>
                  <w:vAlign w:val="center"/>
                </w:tcPr>
                <w:p w14:paraId="6C22DE5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高度危险</w:t>
                  </w:r>
                </w:p>
              </w:tc>
            </w:tr>
            <w:tr w14:paraId="2813CD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jc w:val="center"/>
              </w:trPr>
              <w:tc>
                <w:tcPr>
                  <w:tcW w:w="416" w:type="pct"/>
                  <w:tcBorders>
                    <w:top w:val="single" w:color="000000" w:sz="4" w:space="0"/>
                    <w:left w:val="nil"/>
                    <w:right w:val="single" w:color="000000" w:sz="4" w:space="0"/>
                  </w:tcBorders>
                  <w:noWrap w:val="0"/>
                  <w:vAlign w:val="center"/>
                </w:tcPr>
                <w:p w14:paraId="69D815F4">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w w:val="99"/>
                      <w:sz w:val="21"/>
                      <w:lang w:val="en-US" w:eastAsia="zh-CN"/>
                    </w:rPr>
                  </w:pPr>
                  <w:r>
                    <w:rPr>
                      <w:rFonts w:hint="eastAsia" w:ascii="Times New Roman" w:hAnsi="Times New Roman" w:cs="Times New Roman"/>
                      <w:color w:val="auto"/>
                      <w:w w:val="99"/>
                      <w:sz w:val="21"/>
                      <w:lang w:val="en-US" w:eastAsia="zh-CN"/>
                    </w:rPr>
                    <w:t>3</w:t>
                  </w:r>
                </w:p>
              </w:tc>
              <w:tc>
                <w:tcPr>
                  <w:tcW w:w="906" w:type="pct"/>
                  <w:tcBorders>
                    <w:top w:val="single" w:color="000000" w:sz="4" w:space="0"/>
                    <w:left w:val="single" w:color="000000" w:sz="4" w:space="0"/>
                    <w:right w:val="single" w:color="000000" w:sz="4" w:space="0"/>
                  </w:tcBorders>
                  <w:noWrap w:val="0"/>
                  <w:vAlign w:val="center"/>
                </w:tcPr>
                <w:p w14:paraId="16627DC0">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cs="Times New Roman"/>
                      <w:color w:val="auto"/>
                      <w:sz w:val="21"/>
                      <w:lang w:val="en-US" w:eastAsia="zh-CN"/>
                    </w:rPr>
                  </w:pPr>
                  <w:r>
                    <w:rPr>
                      <w:rFonts w:hint="eastAsia" w:ascii="Times New Roman" w:hAnsi="Times New Roman" w:cs="Times New Roman"/>
                      <w:color w:val="auto"/>
                      <w:sz w:val="21"/>
                      <w:lang w:val="en-US" w:eastAsia="zh-CN"/>
                    </w:rPr>
                    <w:t>火灾事故</w:t>
                  </w:r>
                </w:p>
              </w:tc>
              <w:tc>
                <w:tcPr>
                  <w:tcW w:w="1766" w:type="pct"/>
                  <w:tcBorders>
                    <w:top w:val="single" w:color="000000" w:sz="4" w:space="0"/>
                    <w:left w:val="single" w:color="000000" w:sz="4" w:space="0"/>
                    <w:right w:val="single" w:color="000000" w:sz="4" w:space="0"/>
                  </w:tcBorders>
                  <w:noWrap w:val="0"/>
                  <w:vAlign w:val="center"/>
                </w:tcPr>
                <w:p w14:paraId="1FA39FED">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eastAsia" w:ascii="Times New Roman" w:hAnsi="Times New Roman" w:cs="Times New Roman"/>
                      <w:color w:val="auto"/>
                      <w:sz w:val="21"/>
                      <w:lang w:val="en-US" w:eastAsia="zh-CN"/>
                    </w:rPr>
                    <w:t>易挥发、易燃烧的有机溶剂操作不慎，引起火灾事故</w:t>
                  </w:r>
                </w:p>
              </w:tc>
              <w:tc>
                <w:tcPr>
                  <w:tcW w:w="1231" w:type="pct"/>
                  <w:tcBorders>
                    <w:top w:val="single" w:color="000000" w:sz="4" w:space="0"/>
                    <w:left w:val="single" w:color="000000" w:sz="4" w:space="0"/>
                    <w:right w:val="single" w:color="000000" w:sz="4" w:space="0"/>
                  </w:tcBorders>
                  <w:noWrap w:val="0"/>
                  <w:vAlign w:val="center"/>
                </w:tcPr>
                <w:p w14:paraId="1C9696EB">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人员伤亡、财产损失</w:t>
                  </w:r>
                </w:p>
              </w:tc>
              <w:tc>
                <w:tcPr>
                  <w:tcW w:w="678" w:type="pct"/>
                  <w:tcBorders>
                    <w:top w:val="single" w:color="000000" w:sz="4" w:space="0"/>
                    <w:left w:val="single" w:color="000000" w:sz="4" w:space="0"/>
                    <w:right w:val="nil"/>
                  </w:tcBorders>
                  <w:noWrap w:val="0"/>
                  <w:vAlign w:val="center"/>
                </w:tcPr>
                <w:p w14:paraId="21D363E7">
                  <w:pPr>
                    <w:pStyle w:val="59"/>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高度危险</w:t>
                  </w:r>
                </w:p>
              </w:tc>
            </w:tr>
          </w:tbl>
          <w:p w14:paraId="20FE5E18">
            <w:pPr>
              <w:pStyle w:val="69"/>
              <w:keepNext w:val="0"/>
              <w:keepLines w:val="0"/>
              <w:suppressLineNumbers w:val="0"/>
              <w:bidi w:val="0"/>
              <w:spacing w:beforeAutospacing="0" w:after="0" w:afterAutospacing="0"/>
              <w:ind w:left="0" w:right="0"/>
              <w:rPr>
                <w:rFonts w:hint="default"/>
                <w:color w:val="auto"/>
                <w:lang w:val="en-US" w:eastAsia="zh-CN"/>
              </w:rPr>
            </w:pPr>
            <w:r>
              <w:rPr>
                <w:rFonts w:hint="default"/>
                <w:color w:val="auto"/>
                <w:lang w:val="en-US" w:eastAsia="zh-CN"/>
              </w:rPr>
              <w:t>（1）化学品泄漏事故分析</w:t>
            </w:r>
          </w:p>
          <w:p w14:paraId="764418A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项目化学品设有专用容器中储存，并暂存在仓库中，当化学品容器发生破损会导致泄漏，泄漏后若未及时收集，可能对地表水或地下水造成影响；</w:t>
            </w:r>
          </w:p>
          <w:p w14:paraId="299D1DA8">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（2）危险废物泄漏事故影响分析</w:t>
            </w:r>
          </w:p>
          <w:p w14:paraId="25537F79">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项目的危险废物储存于仓库内，且放置于空桶内，若储存容器发生破裂或者倾倒，可能会对地表水或地下水造成影响。因此建设单位需规范对危险废物仓库进行规范建设，做到防雨、防渗透、防流失的措施。</w:t>
            </w:r>
          </w:p>
          <w:p w14:paraId="6561FFC3">
            <w:pPr>
              <w:pStyle w:val="36"/>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（3）火灾事故风险分析</w:t>
            </w:r>
          </w:p>
          <w:p w14:paraId="646931D4">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在使用乙醇等易挥发、易燃烧的有机溶剂时如操作不慎，易引起火灾事故，引发的伴生/次生污染物影响周边大气环境。</w:t>
            </w:r>
          </w:p>
          <w:p w14:paraId="41A6C69E">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风险事故对环境的影响</w:t>
            </w:r>
          </w:p>
          <w:p w14:paraId="0EEBA0DA">
            <w:pPr>
              <w:pStyle w:val="36"/>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ascii="Times New Roman" w:hAnsi="Times New Roman" w:eastAsia="宋体" w:cs="Times New Roman"/>
                <w:color w:val="auto"/>
                <w:kern w:val="2"/>
                <w:sz w:val="24"/>
                <w:szCs w:val="24"/>
                <w:lang w:val="en-US" w:eastAsia="zh-CN" w:bidi="ar-SA"/>
              </w:rPr>
              <w:t>危险废物</w:t>
            </w:r>
            <w:r>
              <w:rPr>
                <w:rFonts w:hint="eastAsia" w:cs="Times New Roman"/>
                <w:color w:val="auto"/>
                <w:kern w:val="2"/>
                <w:sz w:val="24"/>
                <w:szCs w:val="24"/>
                <w:lang w:val="en-US" w:eastAsia="zh-CN" w:bidi="ar-SA"/>
              </w:rPr>
              <w:t>泄漏</w:t>
            </w:r>
            <w:r>
              <w:rPr>
                <w:rFonts w:hint="default" w:ascii="Times New Roman" w:hAnsi="Times New Roman" w:eastAsia="宋体" w:cs="Times New Roman"/>
                <w:color w:val="auto"/>
                <w:kern w:val="2"/>
                <w:sz w:val="24"/>
                <w:szCs w:val="24"/>
                <w:lang w:val="en-US" w:eastAsia="zh-CN" w:bidi="ar-SA"/>
              </w:rPr>
              <w:t>对人体的危害对人体的危害主要是中毒包括急性中毒和慢性中毒。其表现为：影响呼吸系统，引起呼吸道炎症或发生化学性肺炎或肺水肿。对神经系统的危害，与神经衰弱，运动障碍，肌肉萎缩，头痛，头晕，视力模糊等症状。对骨骼、眼睛、皮肤的损害，引起化学灼伤和职业性肿瘤。</w:t>
            </w:r>
            <w:r>
              <w:rPr>
                <w:rFonts w:hint="eastAsia"/>
                <w:color w:val="auto"/>
                <w:highlight w:val="none"/>
                <w:lang w:val="en-US" w:eastAsia="zh-CN"/>
              </w:rPr>
              <w:t>易燃易爆物品使用不慎</w:t>
            </w:r>
            <w:r>
              <w:rPr>
                <w:rFonts w:hint="default"/>
                <w:color w:val="auto"/>
                <w:highlight w:val="none"/>
                <w:lang w:val="en-US" w:eastAsia="zh-CN"/>
              </w:rPr>
              <w:t>，引发火灾，</w:t>
            </w:r>
            <w:r>
              <w:rPr>
                <w:rFonts w:hint="eastAsia"/>
                <w:color w:val="auto"/>
                <w:highlight w:val="none"/>
                <w:lang w:val="en-US" w:eastAsia="zh-CN"/>
              </w:rPr>
              <w:t>试剂及塑料制品</w:t>
            </w:r>
            <w:r>
              <w:rPr>
                <w:rFonts w:hint="default"/>
                <w:color w:val="auto"/>
                <w:highlight w:val="none"/>
                <w:lang w:val="en-US" w:eastAsia="zh-CN"/>
              </w:rPr>
              <w:t>燃烧将会产生大量的浓烟、CO</w:t>
            </w:r>
            <w:r>
              <w:rPr>
                <w:rFonts w:hint="default"/>
                <w:color w:val="auto"/>
                <w:highlight w:val="none"/>
                <w:vertAlign w:val="subscript"/>
                <w:lang w:val="en-US" w:eastAsia="zh-CN"/>
              </w:rPr>
              <w:t>2</w:t>
            </w:r>
            <w:r>
              <w:rPr>
                <w:rFonts w:hint="default"/>
                <w:color w:val="auto"/>
                <w:highlight w:val="none"/>
                <w:lang w:val="en-US" w:eastAsia="zh-CN"/>
              </w:rPr>
              <w:t>、CO，少量的SO</w:t>
            </w:r>
            <w:r>
              <w:rPr>
                <w:rFonts w:hint="default"/>
                <w:color w:val="auto"/>
                <w:highlight w:val="none"/>
                <w:vertAlign w:val="subscript"/>
                <w:lang w:val="en-US" w:eastAsia="zh-CN"/>
              </w:rPr>
              <w:t>2</w:t>
            </w:r>
            <w:r>
              <w:rPr>
                <w:rFonts w:hint="default"/>
                <w:color w:val="auto"/>
                <w:highlight w:val="none"/>
                <w:lang w:val="en-US" w:eastAsia="zh-CN"/>
              </w:rPr>
              <w:t>、NO</w:t>
            </w:r>
            <w:r>
              <w:rPr>
                <w:rFonts w:hint="default"/>
                <w:color w:val="auto"/>
                <w:highlight w:val="none"/>
                <w:vertAlign w:val="subscript"/>
                <w:lang w:val="en-US" w:eastAsia="zh-CN"/>
              </w:rPr>
              <w:t>X</w:t>
            </w:r>
            <w:r>
              <w:rPr>
                <w:rFonts w:hint="default"/>
                <w:color w:val="auto"/>
                <w:highlight w:val="none"/>
                <w:lang w:val="en-US" w:eastAsia="zh-CN"/>
              </w:rPr>
              <w:t>及微量的HCN等，将会对周围大气环境产生一定影响。</w:t>
            </w:r>
          </w:p>
          <w:p w14:paraId="4332DF6C">
            <w:pPr>
              <w:pStyle w:val="6"/>
              <w:suppressLineNumbers w:val="0"/>
              <w:bidi w:val="0"/>
              <w:spacing w:beforeAutospacing="0" w:afterAutospacing="0"/>
              <w:ind w:right="0"/>
              <w:rPr>
                <w:rFonts w:hint="default"/>
                <w:color w:val="auto"/>
                <w:lang w:val="en-US" w:eastAsia="zh-CN"/>
              </w:rPr>
            </w:pPr>
            <w:r>
              <w:rPr>
                <w:rFonts w:hint="default"/>
                <w:color w:val="auto"/>
                <w:lang w:val="en-US" w:eastAsia="zh-CN"/>
              </w:rPr>
              <w:t>危险物品贮存场所控制要求及措施</w:t>
            </w:r>
          </w:p>
          <w:p w14:paraId="0E09969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（1）对危险废物进行分类储存，所用装满待运走的容器或贮罐都应清楚地标明内盛物的类别与危害说明，以及数量和装进日期，设置危险废物识别标志。</w:t>
            </w:r>
          </w:p>
          <w:p w14:paraId="7F1602C7">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 xml:space="preserve">（2）建造具有防水、防渗、防流失的专用危险废物贮存设施贮存危险废物，并设立明显废物识别标志，设施应具备一个月以上的贮存能力。 </w:t>
            </w:r>
          </w:p>
          <w:p w14:paraId="25B45E2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（3）危险废物临时暂存场应参照《</w:t>
            </w:r>
            <w:r>
              <w:rPr>
                <w:rFonts w:hint="eastAsia"/>
                <w:color w:val="auto"/>
                <w:lang w:val="en-US" w:eastAsia="zh-CN"/>
              </w:rPr>
              <w:t>危险废物贮存污染控制标准</w:t>
            </w:r>
            <w:r>
              <w:rPr>
                <w:rFonts w:hint="default"/>
                <w:color w:val="auto"/>
                <w:lang w:val="en-US" w:eastAsia="zh-CN"/>
              </w:rPr>
              <w:t>》（GB18597-20</w:t>
            </w:r>
            <w:r>
              <w:rPr>
                <w:rFonts w:hint="eastAsia"/>
                <w:color w:val="auto"/>
                <w:lang w:val="en-US" w:eastAsia="zh-CN"/>
              </w:rPr>
              <w:t>23</w:t>
            </w:r>
            <w:r>
              <w:rPr>
                <w:rFonts w:hint="default"/>
                <w:color w:val="auto"/>
                <w:lang w:val="en-US" w:eastAsia="zh-CN"/>
              </w:rPr>
              <w:t>）进行建设。</w:t>
            </w:r>
          </w:p>
          <w:p w14:paraId="4C35C60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（4）实行双人双锁管理。</w:t>
            </w:r>
          </w:p>
          <w:p w14:paraId="349ADAA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（5）入库时要严格按照规章操作，避免泄漏事故的发生；</w:t>
            </w:r>
          </w:p>
          <w:p w14:paraId="19CF50DC">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（6）加强人员巡查及日常的维护，争取在第一时间发现泄漏事故并将其影响降至最低。</w:t>
            </w:r>
          </w:p>
          <w:p w14:paraId="124D69C6">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7）一旦发生泄漏事故，应急措施主要是短源（减少泄出量）、隔离（将事故区域与其他区域隔离，防止扩大、蔓延及连锁反应，降低危害）、回收（及时将泄漏、散落废物收集）、清污（消除现场泄漏物，处理已泄出化学品造成的后果），组织人员撤离及救护。</w:t>
            </w:r>
          </w:p>
          <w:p w14:paraId="4B2DA922">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（8）对于实验室涉及的剧毒化学品，建设单位应按照《</w:t>
            </w:r>
            <w:r>
              <w:rPr>
                <w:rFonts w:hint="eastAsia"/>
                <w:color w:val="auto"/>
                <w:shd w:val="clear" w:fill="FFFFFF"/>
                <w:lang w:val="en-US" w:eastAsia="zh-CN"/>
              </w:rPr>
              <w:t>危险化学品安全管理条例</w:t>
            </w:r>
            <w:r>
              <w:rPr>
                <w:rFonts w:hint="eastAsia"/>
                <w:color w:val="auto"/>
                <w:lang w:val="en-US" w:eastAsia="zh-CN"/>
              </w:rPr>
              <w:t>》进行购买和管理，实行严格的化学品转移、使用登记管理，明确剧毒化学品的来源途径和使用去向，严禁向任何个人和单位出售剧毒化学品。</w:t>
            </w:r>
          </w:p>
          <w:p w14:paraId="4E4D958F">
            <w:pPr>
              <w:pStyle w:val="6"/>
              <w:suppressLineNumbers w:val="0"/>
              <w:bidi w:val="0"/>
              <w:spacing w:beforeAutospacing="0" w:afterAutospacing="0"/>
              <w:ind w:right="0"/>
              <w:rPr>
                <w:rFonts w:hint="default"/>
                <w:color w:val="auto"/>
              </w:rPr>
            </w:pPr>
            <w:r>
              <w:rPr>
                <w:rFonts w:hint="default"/>
                <w:color w:val="auto"/>
                <w:lang w:val="en-US" w:eastAsia="zh-CN"/>
              </w:rPr>
              <w:t>化学品贮存场所要求及应急措施</w:t>
            </w:r>
          </w:p>
          <w:p w14:paraId="3F741113">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（1）对化学品进行分类储存，并对化学品进行标识（类别、危害等），设置化学品识别标志。</w:t>
            </w:r>
          </w:p>
          <w:p w14:paraId="65C43CC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（2）建造具有防水、防渗、防流失的化学品贮存设施贮存化学品，并设立明显化学品识别标志。</w:t>
            </w:r>
          </w:p>
          <w:p w14:paraId="736E2E2F">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（3）储存容器的结构材料与储存物料和储存条件应相适应。储存容器应进行适当的检查，并将记录存档备查。定期对储存容器进行检查，及时发现破损和漏处；</w:t>
            </w:r>
          </w:p>
          <w:p w14:paraId="55C73E2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（4）装卸料时要严格按照规章操作，避免泄漏事故的发生；</w:t>
            </w:r>
          </w:p>
          <w:p w14:paraId="43ABDBB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（5）加强人员巡查及日常的维护，争取在第一时间发现泄漏事故并将其影响降至最低。</w:t>
            </w:r>
          </w:p>
          <w:p w14:paraId="6B27FBE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（6）</w:t>
            </w:r>
            <w:r>
              <w:rPr>
                <w:rFonts w:hint="eastAsia" w:cs="Times New Roman"/>
                <w:color w:val="auto"/>
                <w:szCs w:val="20"/>
                <w:highlight w:val="none"/>
                <w:lang w:val="en-US" w:eastAsia="zh-CN"/>
              </w:rPr>
              <w:t>试剂室、危化品室出入口设置高门槛，</w:t>
            </w:r>
            <w:r>
              <w:rPr>
                <w:rFonts w:hint="default"/>
                <w:color w:val="auto"/>
                <w:lang w:val="en-US" w:eastAsia="zh-CN"/>
              </w:rPr>
              <w:t>一旦发生泄漏事故，</w:t>
            </w:r>
            <w:r>
              <w:rPr>
                <w:rFonts w:hint="eastAsia"/>
                <w:color w:val="auto"/>
                <w:lang w:val="en-US" w:eastAsia="zh-CN"/>
              </w:rPr>
              <w:t>可避免</w:t>
            </w:r>
            <w:r>
              <w:rPr>
                <w:rFonts w:hint="eastAsia" w:cs="Times New Roman"/>
                <w:color w:val="auto"/>
                <w:szCs w:val="20"/>
                <w:highlight w:val="none"/>
                <w:lang w:val="en-US" w:eastAsia="zh-CN"/>
              </w:rPr>
              <w:t>扩散至外围区域</w:t>
            </w:r>
            <w:r>
              <w:rPr>
                <w:rFonts w:hint="eastAsia"/>
                <w:color w:val="auto"/>
                <w:lang w:val="en-US" w:eastAsia="zh-CN"/>
              </w:rPr>
              <w:t>，</w:t>
            </w:r>
            <w:r>
              <w:rPr>
                <w:rFonts w:hint="default"/>
                <w:color w:val="auto"/>
                <w:lang w:val="en-US" w:eastAsia="zh-CN"/>
              </w:rPr>
              <w:t>应急措施主要是</w:t>
            </w:r>
            <w:r>
              <w:rPr>
                <w:rFonts w:hint="eastAsia"/>
                <w:color w:val="auto"/>
                <w:lang w:val="en-US" w:eastAsia="zh-CN"/>
              </w:rPr>
              <w:t>断</w:t>
            </w:r>
            <w:r>
              <w:rPr>
                <w:rFonts w:hint="default"/>
                <w:color w:val="auto"/>
                <w:lang w:val="en-US" w:eastAsia="zh-CN"/>
              </w:rPr>
              <w:t>源（减少</w:t>
            </w:r>
            <w:r>
              <w:rPr>
                <w:rFonts w:hint="eastAsia"/>
                <w:color w:val="auto"/>
                <w:lang w:val="en-US" w:eastAsia="zh-CN"/>
              </w:rPr>
              <w:t>泄漏</w:t>
            </w:r>
            <w:r>
              <w:rPr>
                <w:rFonts w:hint="default"/>
                <w:color w:val="auto"/>
                <w:lang w:val="en-US" w:eastAsia="zh-CN"/>
              </w:rPr>
              <w:t>量）、隔离（将事故区域与其他区域隔离，防止扩大、蔓延及连锁反应，降低危害）、回收（及时将泄漏、散落废物收集）、清污（消除现场泄漏物，处理已泄出化学品造成的后果），组织人员撤离及救护。</w:t>
            </w:r>
          </w:p>
          <w:p w14:paraId="2A572224">
            <w:pPr>
              <w:pStyle w:val="6"/>
              <w:suppressLineNumbers w:val="0"/>
              <w:bidi w:val="0"/>
              <w:spacing w:beforeAutospacing="0" w:afterAutospacing="0"/>
              <w:ind w:right="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化学试剂防范措施</w:t>
            </w:r>
          </w:p>
          <w:p w14:paraId="0023E251">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对于化学试剂的购买、储存、保管、使用等需按照相关规定管理执行，实验药剂应根据需要购买，尽量少危险化学品的储存量。对于化学制剂，特别是涉及危险化学品，项目风险防范措施要求如下。</w:t>
            </w:r>
          </w:p>
          <w:p w14:paraId="10DD378E">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危险化学品必须储存在专用储存室内，储存方式、方法与储存数量必须遵守国家规定，并由专人管理。</w:t>
            </w:r>
          </w:p>
          <w:p w14:paraId="786DD3D9">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（2）</w:t>
            </w:r>
            <w:r>
              <w:rPr>
                <w:rFonts w:hint="eastAsia" w:ascii="Times New Roman" w:hAnsi="Times New Roman" w:eastAsia="宋体" w:cs="Times New Roman"/>
                <w:color w:val="auto"/>
                <w:kern w:val="2"/>
                <w:sz w:val="24"/>
                <w:szCs w:val="24"/>
                <w:lang w:val="en-US" w:eastAsia="zh-CN" w:bidi="ar-SA"/>
              </w:rPr>
              <w:t>危险化学品专用储存室，应当符合国家标准对安全、消防的要求，设置明显标志。储存室的储存设备和安全设施应当定期检查，一旦出现安全隐患，立即排除。</w:t>
            </w:r>
          </w:p>
          <w:p w14:paraId="6AF7D887">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r>
              <w:rPr>
                <w:rFonts w:hint="default"/>
                <w:color w:val="auto"/>
                <w:lang w:val="en-US" w:eastAsia="zh-CN"/>
              </w:rPr>
              <w:t>实验室化学品以酸、碱、有机物的分类原则分开储存，切忌混储。</w:t>
            </w:r>
          </w:p>
          <w:p w14:paraId="725985FD">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r>
              <w:rPr>
                <w:rFonts w:hint="default"/>
                <w:color w:val="auto"/>
                <w:lang w:val="en-US" w:eastAsia="zh-CN"/>
              </w:rPr>
              <w:t>储存不同化学品时需参考对应的《化学品安全技术说明书》。</w:t>
            </w:r>
          </w:p>
          <w:p w14:paraId="4FF3E866">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r>
              <w:rPr>
                <w:rFonts w:hint="default"/>
                <w:color w:val="auto"/>
                <w:lang w:val="en-US" w:eastAsia="zh-CN"/>
              </w:rPr>
              <w:t>危险化学品由专人负责保管，采取使用人领用登记制度，不得向与实验室无关人员外借、使用。</w:t>
            </w:r>
          </w:p>
          <w:p w14:paraId="3D18E914">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r>
              <w:rPr>
                <w:rFonts w:hint="default"/>
                <w:color w:val="auto"/>
                <w:lang w:val="en-US" w:eastAsia="zh-CN"/>
              </w:rPr>
              <w:t>危险化学品必须附有和危险化学品完全一致的化学品安全技术说明书。</w:t>
            </w:r>
          </w:p>
          <w:p w14:paraId="0450FEA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w:t>
            </w:r>
            <w:r>
              <w:rPr>
                <w:rFonts w:hint="default"/>
                <w:color w:val="auto"/>
                <w:lang w:val="en-US" w:eastAsia="zh-CN"/>
              </w:rPr>
              <w:t>储存、使用危险化学品时，应当根据危险化学品的</w:t>
            </w:r>
            <w:r>
              <w:rPr>
                <w:rFonts w:hint="eastAsia"/>
                <w:color w:val="auto"/>
                <w:lang w:val="en-US" w:eastAsia="zh-CN"/>
              </w:rPr>
              <w:t>种类</w:t>
            </w:r>
            <w:r>
              <w:rPr>
                <w:rFonts w:hint="default"/>
                <w:color w:val="auto"/>
                <w:lang w:val="en-US" w:eastAsia="zh-CN"/>
              </w:rPr>
              <w:t>、特性，在作业场所设置相应的通风、防晒、调温、防火、灭火、防爆、防毒</w:t>
            </w:r>
            <w:bookmarkStart w:id="119" w:name="_GoBack"/>
            <w:r>
              <w:rPr>
                <w:rFonts w:hint="default"/>
                <w:color w:val="auto"/>
                <w:shd w:val="clear" w:fill="FFFFFF"/>
                <w:lang w:val="en-US" w:eastAsia="zh-CN"/>
              </w:rPr>
              <w:t>、或者</w:t>
            </w:r>
            <w:bookmarkEnd w:id="119"/>
            <w:r>
              <w:rPr>
                <w:rFonts w:hint="default"/>
                <w:color w:val="auto"/>
                <w:lang w:val="en-US" w:eastAsia="zh-CN"/>
              </w:rPr>
              <w:t>隔离操作等安全设施、设备，并按照国家标准和相关规定进行维护、保养，保证符合安全运行要求。</w:t>
            </w:r>
          </w:p>
          <w:p w14:paraId="31CBE307">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w:t>
            </w:r>
            <w:r>
              <w:rPr>
                <w:rFonts w:hint="default"/>
                <w:color w:val="auto"/>
                <w:lang w:val="en-US" w:eastAsia="zh-CN"/>
              </w:rPr>
              <w:t>有效期已过的危险化学品，由实验室负责人按照</w:t>
            </w:r>
            <w:r>
              <w:rPr>
                <w:rFonts w:hint="eastAsia" w:ascii="宋体" w:hAnsi="宋体" w:eastAsia="宋体" w:cs="宋体"/>
                <w:color w:val="auto"/>
                <w:lang w:val="en-US" w:eastAsia="zh-CN"/>
              </w:rPr>
              <w:t>“危险废弃物及其包装物管理”进</w:t>
            </w:r>
            <w:r>
              <w:rPr>
                <w:rFonts w:hint="default"/>
                <w:color w:val="auto"/>
                <w:lang w:val="en-US" w:eastAsia="zh-CN"/>
              </w:rPr>
              <w:t>行处理，并负责清洗容器。</w:t>
            </w:r>
          </w:p>
          <w:p w14:paraId="4B6FEC6C">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（9）</w:t>
            </w:r>
            <w:r>
              <w:rPr>
                <w:rFonts w:hint="default"/>
                <w:color w:val="auto"/>
                <w:lang w:val="en-US" w:eastAsia="zh-CN"/>
              </w:rPr>
              <w:t>在使用过程中出现操作人员不慎</w:t>
            </w:r>
            <w:r>
              <w:rPr>
                <w:rFonts w:hint="eastAsia"/>
                <w:color w:val="auto"/>
                <w:lang w:val="en-US" w:eastAsia="zh-CN"/>
              </w:rPr>
              <w:t>将</w:t>
            </w:r>
            <w:r>
              <w:rPr>
                <w:rFonts w:hint="default"/>
                <w:color w:val="auto"/>
                <w:lang w:val="en-US" w:eastAsia="zh-CN"/>
              </w:rPr>
              <w:t>危险化学品</w:t>
            </w:r>
            <w:r>
              <w:rPr>
                <w:rFonts w:hint="eastAsia"/>
                <w:color w:val="auto"/>
                <w:lang w:val="en-US" w:eastAsia="zh-CN"/>
              </w:rPr>
              <w:t>洒落</w:t>
            </w:r>
            <w:r>
              <w:rPr>
                <w:rFonts w:hint="default"/>
                <w:color w:val="auto"/>
                <w:lang w:val="en-US" w:eastAsia="zh-CN"/>
              </w:rPr>
              <w:t>、泄漏</w:t>
            </w:r>
            <w:r>
              <w:rPr>
                <w:rFonts w:hint="eastAsia"/>
                <w:color w:val="auto"/>
                <w:lang w:val="en-US" w:eastAsia="zh-CN"/>
              </w:rPr>
              <w:t>的</w:t>
            </w:r>
            <w:r>
              <w:rPr>
                <w:rFonts w:hint="default"/>
                <w:color w:val="auto"/>
                <w:lang w:val="en-US" w:eastAsia="zh-CN"/>
              </w:rPr>
              <w:t>情况，应根据</w:t>
            </w:r>
            <w:r>
              <w:rPr>
                <w:rFonts w:hint="eastAsia"/>
                <w:color w:val="auto"/>
                <w:lang w:val="en-US" w:eastAsia="zh-CN"/>
              </w:rPr>
              <w:t>洒落</w:t>
            </w:r>
            <w:r>
              <w:rPr>
                <w:rFonts w:hint="default"/>
                <w:color w:val="auto"/>
                <w:lang w:val="en-US" w:eastAsia="zh-CN"/>
              </w:rPr>
              <w:t>化学品的性质采取不同的处置措施。由于实验室储存量有限，不会发生大量泄漏情况。例如酸性化学品泄漏，可用沙土或生石灰吸附，然后用清水冲洗；吸附品及冲洗水均按危废处置。</w:t>
            </w:r>
          </w:p>
          <w:p w14:paraId="212E5265">
            <w:pPr>
              <w:pStyle w:val="6"/>
              <w:suppressLineNumbers w:val="0"/>
              <w:bidi w:val="0"/>
              <w:spacing w:beforeAutospacing="0" w:afterAutospacing="0"/>
              <w:ind w:right="0"/>
              <w:rPr>
                <w:rFonts w:hint="default"/>
                <w:color w:val="auto"/>
                <w:lang w:val="en-US" w:eastAsia="zh-CN"/>
              </w:rPr>
            </w:pPr>
            <w:r>
              <w:rPr>
                <w:rFonts w:hint="eastAsia"/>
                <w:color w:val="auto"/>
                <w:lang w:val="en-US" w:eastAsia="zh-CN"/>
              </w:rPr>
              <w:t>火灾</w:t>
            </w:r>
            <w:r>
              <w:rPr>
                <w:rFonts w:hint="default"/>
                <w:color w:val="auto"/>
                <w:lang w:val="en-US" w:eastAsia="zh-CN"/>
              </w:rPr>
              <w:t>应急措施</w:t>
            </w:r>
          </w:p>
          <w:p w14:paraId="2DEDD2C8">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在使用乙醇等易挥发、易燃烧的有机溶剂时如操作不慎，易引起火灾事故。为了防止事故发生，必须随时注意以下几点：</w:t>
            </w:r>
          </w:p>
          <w:p w14:paraId="5BF145A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（1）操作和处理易燃、易爆溶剂时，应远离火源；对易爆炸固体的残渣，必须小心销毁；不要把未熄灭的火柴梗乱丢；对于易发生自燃的物质及沾有它们的滤纸，不能随意丢弃，以免造成新的火源，引起火灾。</w:t>
            </w:r>
          </w:p>
          <w:p w14:paraId="7EE64490">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（2）实验前应仔细检查仪器装置是否正确、稳妥与严密；操作要求正确、严格；常压操作时，切勿造成系统密闭，否则可能会发生爆炸事故；对沸点低于</w:t>
            </w:r>
            <w:r>
              <w:rPr>
                <w:rFonts w:hint="default"/>
                <w:color w:val="auto"/>
                <w:lang w:val="en-US" w:eastAsia="zh-CN"/>
              </w:rPr>
              <w:t>80℃</w:t>
            </w:r>
            <w:r>
              <w:rPr>
                <w:rFonts w:hint="eastAsia"/>
                <w:color w:val="auto"/>
                <w:lang w:val="en-US" w:eastAsia="zh-CN"/>
              </w:rPr>
              <w:t xml:space="preserve">的液体，一般蒸馏时应采用水浴加热，不能直接用火加热；实验操作中，应防止有机物蒸气泄漏出来，更不要用敞口装置加热。若要进行除去溶剂的操作，则必须在通风橱里进行。 </w:t>
            </w:r>
          </w:p>
          <w:p w14:paraId="6AC29E0B">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（3）实验室里不允许存放大量易燃物。</w:t>
            </w:r>
          </w:p>
          <w:p w14:paraId="5E4129EE">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常用的实验室火灾应急处理方法有：</w:t>
            </w:r>
          </w:p>
          <w:p w14:paraId="152602C6">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在可燃液体燃着时，应立即拿开着火区域内的一切可燃物质，关闭通风器，防止扩大燃烧。酒精及其他可溶于水的液体着火时，可用水灭火。甲醇等有机溶剂着火时，应用石棉布或干砂扑灭。绝对不能用水，否则反而会扩大燃烧面积。注意电器设备导线等着火时，不能用水及二氧化碳灭火器（泡沫灭火器），以免触电。应先切断电源，再用二氧化碳或四氯化碳灭火器灭火。</w:t>
            </w:r>
          </w:p>
          <w:p w14:paraId="1AAF78D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（2）发现烘箱有异味或冒烟时，应迅速切断电源，使其慢慢降温，并准备好灭火器备用。千万不要急于打开烘箱门，以免突然供入空气助燃（爆），引起火灾。</w:t>
            </w:r>
          </w:p>
          <w:p w14:paraId="75E7BE8B">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宋体" w:hAnsi="宋体" w:cs="宋体"/>
                <w:bCs/>
                <w:color w:val="auto"/>
                <w:sz w:val="24"/>
                <w:highlight w:val="none"/>
                <w:lang w:eastAsia="zh-CN" w:bidi="ar"/>
              </w:rPr>
            </w:pPr>
            <w:r>
              <w:rPr>
                <w:rFonts w:hint="eastAsia" w:cs="Times New Roman"/>
                <w:color w:val="auto"/>
                <w:kern w:val="2"/>
                <w:sz w:val="24"/>
                <w:szCs w:val="24"/>
                <w:lang w:val="en-US" w:eastAsia="zh-CN" w:bidi="ar-SA"/>
              </w:rPr>
              <w:t>（3）</w:t>
            </w:r>
            <w:r>
              <w:rPr>
                <w:rFonts w:hint="eastAsia" w:ascii="宋体" w:hAnsi="宋体" w:cs="宋体"/>
                <w:bCs/>
                <w:color w:val="auto"/>
                <w:sz w:val="24"/>
                <w:highlight w:val="none"/>
                <w:lang w:bidi="ar"/>
              </w:rPr>
              <w:t>对所有建筑物的防火要求，包括材料的选用、布置、构造、疏散等均按</w:t>
            </w:r>
            <w:r>
              <w:rPr>
                <w:rFonts w:hint="eastAsia" w:ascii="宋体" w:hAnsi="宋体" w:cs="宋体"/>
                <w:bCs/>
                <w:color w:val="auto"/>
                <w:sz w:val="24"/>
                <w:szCs w:val="24"/>
                <w:highlight w:val="none"/>
                <w:lang w:bidi="ar"/>
              </w:rPr>
              <w:t>《</w:t>
            </w:r>
            <w:r>
              <w:rPr>
                <w:rFonts w:hint="eastAsia"/>
                <w:color w:val="auto"/>
                <w:sz w:val="24"/>
                <w:szCs w:val="24"/>
              </w:rPr>
              <w:t>建筑防火通用规范</w:t>
            </w:r>
            <w:r>
              <w:rPr>
                <w:rFonts w:hint="eastAsia" w:ascii="宋体" w:hAnsi="宋体" w:cs="宋体"/>
                <w:bCs/>
                <w:color w:val="auto"/>
                <w:sz w:val="24"/>
                <w:highlight w:val="none"/>
                <w:lang w:bidi="ar"/>
              </w:rPr>
              <w:t>》《建筑内部装修设计的防火规范》《建筑灭火器配置设计规范》等要求进行设计与施工</w:t>
            </w:r>
            <w:r>
              <w:rPr>
                <w:rFonts w:hint="eastAsia" w:ascii="宋体" w:hAnsi="宋体" w:cs="宋体"/>
                <w:bCs/>
                <w:color w:val="auto"/>
                <w:sz w:val="24"/>
                <w:highlight w:val="none"/>
                <w:lang w:eastAsia="zh-CN" w:bidi="ar"/>
              </w:rPr>
              <w:t>。</w:t>
            </w:r>
          </w:p>
          <w:p w14:paraId="7EAA168C">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highlight w:val="none"/>
                <w:lang w:bidi="ar"/>
              </w:rPr>
            </w:pPr>
            <w:r>
              <w:rPr>
                <w:rFonts w:hint="default" w:ascii="Times New Roman" w:hAnsi="Times New Roman" w:cs="Times New Roman"/>
                <w:bCs/>
                <w:color w:val="auto"/>
                <w:sz w:val="24"/>
                <w:highlight w:val="none"/>
                <w:lang w:eastAsia="zh-CN" w:bidi="ar"/>
              </w:rPr>
              <w:t>（</w:t>
            </w:r>
            <w:r>
              <w:rPr>
                <w:rFonts w:hint="default" w:ascii="Times New Roman" w:hAnsi="Times New Roman" w:cs="Times New Roman"/>
                <w:bCs/>
                <w:color w:val="auto"/>
                <w:sz w:val="24"/>
                <w:highlight w:val="none"/>
                <w:lang w:val="en-US" w:eastAsia="zh-CN" w:bidi="ar"/>
              </w:rPr>
              <w:t>4</w:t>
            </w:r>
            <w:r>
              <w:rPr>
                <w:rFonts w:hint="default" w:ascii="Times New Roman" w:hAnsi="Times New Roman" w:cs="Times New Roman"/>
                <w:bCs/>
                <w:color w:val="auto"/>
                <w:sz w:val="24"/>
                <w:highlight w:val="none"/>
                <w:lang w:eastAsia="zh-CN" w:bidi="ar"/>
              </w:rPr>
              <w:t>）</w:t>
            </w:r>
            <w:r>
              <w:rPr>
                <w:rFonts w:hint="default" w:ascii="Times New Roman" w:hAnsi="Times New Roman" w:cs="Times New Roman"/>
                <w:bCs/>
                <w:color w:val="auto"/>
                <w:sz w:val="24"/>
                <w:highlight w:val="none"/>
                <w:lang w:bidi="ar"/>
              </w:rPr>
              <w:t>企业应建立严格的消防管理制度，在</w:t>
            </w:r>
            <w:r>
              <w:rPr>
                <w:rFonts w:hint="default" w:ascii="Times New Roman" w:hAnsi="Times New Roman" w:cs="Times New Roman"/>
                <w:bCs/>
                <w:color w:val="auto"/>
                <w:sz w:val="24"/>
                <w:highlight w:val="none"/>
                <w:lang w:val="en-US" w:eastAsia="zh-CN" w:bidi="ar"/>
              </w:rPr>
              <w:t>实验室</w:t>
            </w:r>
            <w:r>
              <w:rPr>
                <w:rFonts w:hint="default" w:ascii="Times New Roman" w:hAnsi="Times New Roman" w:cs="Times New Roman"/>
                <w:bCs/>
                <w:color w:val="auto"/>
                <w:sz w:val="24"/>
                <w:highlight w:val="none"/>
                <w:lang w:bidi="ar"/>
              </w:rPr>
              <w:t>内设置灭火器材，如手提式或推车式干粉灭火器；严格落实有关消防技术规范的规定，加强人员疏散设施管理，保证疏散通道畅通。定期进行防火安全检查，确保消防设施完整好用。</w:t>
            </w:r>
          </w:p>
          <w:p w14:paraId="50A73AF7">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2"/>
                <w:sz w:val="24"/>
                <w:szCs w:val="24"/>
                <w:lang w:val="en-US" w:eastAsia="zh-CN" w:bidi="ar-SA"/>
              </w:rPr>
            </w:pPr>
            <w:r>
              <w:rPr>
                <w:rFonts w:hint="eastAsia" w:cs="宋体"/>
                <w:bCs/>
                <w:color w:val="auto"/>
                <w:sz w:val="24"/>
                <w:highlight w:val="none"/>
                <w:lang w:eastAsia="zh-CN" w:bidi="ar"/>
              </w:rPr>
              <w:t>（</w:t>
            </w:r>
            <w:r>
              <w:rPr>
                <w:rFonts w:hint="eastAsia" w:cs="宋体"/>
                <w:bCs/>
                <w:color w:val="auto"/>
                <w:sz w:val="24"/>
                <w:highlight w:val="none"/>
                <w:lang w:val="en-US" w:eastAsia="zh-CN" w:bidi="ar"/>
              </w:rPr>
              <w:t>5</w:t>
            </w:r>
            <w:r>
              <w:rPr>
                <w:rFonts w:hint="eastAsia" w:cs="宋体"/>
                <w:bCs/>
                <w:color w:val="auto"/>
                <w:sz w:val="24"/>
                <w:highlight w:val="none"/>
                <w:lang w:eastAsia="zh-CN" w:bidi="ar"/>
              </w:rPr>
              <w:t>）</w:t>
            </w:r>
            <w:r>
              <w:rPr>
                <w:rFonts w:hint="eastAsia" w:ascii="宋体" w:hAnsi="宋体" w:cs="宋体"/>
                <w:bCs/>
                <w:color w:val="auto"/>
                <w:sz w:val="24"/>
                <w:highlight w:val="none"/>
                <w:lang w:bidi="ar"/>
              </w:rPr>
              <w:t>企业</w:t>
            </w:r>
            <w:r>
              <w:rPr>
                <w:rFonts w:hint="eastAsia" w:cs="宋体"/>
                <w:bCs/>
                <w:color w:val="auto"/>
                <w:sz w:val="24"/>
                <w:highlight w:val="none"/>
                <w:lang w:bidi="ar"/>
              </w:rPr>
              <w:t>要求职工应遵守各项规章制度，</w:t>
            </w:r>
            <w:r>
              <w:rPr>
                <w:rFonts w:hint="eastAsia" w:cs="宋体"/>
                <w:bCs/>
                <w:color w:val="auto"/>
                <w:sz w:val="24"/>
                <w:highlight w:val="none"/>
                <w:lang w:val="en-US" w:eastAsia="zh-CN" w:bidi="ar"/>
              </w:rPr>
              <w:t>加强员工消防意识和技能培训，</w:t>
            </w:r>
            <w:r>
              <w:rPr>
                <w:rFonts w:hint="eastAsia" w:ascii="Times New Roman" w:hAnsi="Times New Roman" w:eastAsia="宋体" w:cs="Times New Roman"/>
                <w:color w:val="auto"/>
                <w:kern w:val="2"/>
                <w:sz w:val="24"/>
                <w:szCs w:val="24"/>
                <w:lang w:val="en-US" w:eastAsia="zh-CN" w:bidi="ar-SA"/>
              </w:rPr>
              <w:t>熟悉实验室内灭火器材的位置和灭火器的使用方法。</w:t>
            </w:r>
          </w:p>
          <w:p w14:paraId="2A9F68C4">
            <w:pPr>
              <w:pStyle w:val="6"/>
              <w:suppressLineNumbers w:val="0"/>
              <w:bidi w:val="0"/>
              <w:spacing w:beforeAutospacing="0" w:afterAutospacing="0"/>
              <w:ind w:right="0"/>
              <w:rPr>
                <w:rFonts w:hint="default"/>
                <w:color w:val="auto"/>
              </w:rPr>
            </w:pPr>
            <w:bookmarkStart w:id="109" w:name="_Toc5316"/>
            <w:bookmarkStart w:id="110" w:name="_Toc15654715"/>
            <w:r>
              <w:rPr>
                <w:rFonts w:hint="eastAsia"/>
                <w:color w:val="auto"/>
                <w:lang w:val="en-US" w:eastAsia="zh-CN"/>
              </w:rPr>
              <w:t>环境</w:t>
            </w:r>
            <w:r>
              <w:rPr>
                <w:rFonts w:hint="default"/>
                <w:color w:val="auto"/>
              </w:rPr>
              <w:t>风险结论</w:t>
            </w:r>
            <w:bookmarkEnd w:id="109"/>
            <w:bookmarkEnd w:id="110"/>
          </w:p>
          <w:p w14:paraId="0B0431C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综合以上分析，本项目事故风险评价得出如下结论：</w:t>
            </w:r>
          </w:p>
          <w:p w14:paraId="58E61F95">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（1）项目主要危险物质为检测过程中使用的挥发性有机试剂、酸碱试剂</w:t>
            </w:r>
            <w:r>
              <w:rPr>
                <w:rFonts w:hint="eastAsia"/>
                <w:color w:val="auto"/>
                <w:lang w:val="en-US" w:eastAsia="zh-CN"/>
              </w:rPr>
              <w:t>、</w:t>
            </w:r>
            <w:r>
              <w:rPr>
                <w:rFonts w:hint="default"/>
                <w:color w:val="auto"/>
                <w:lang w:val="en-US" w:eastAsia="zh-CN"/>
              </w:rPr>
              <w:t>少量有毒有害化学品</w:t>
            </w:r>
            <w:r>
              <w:rPr>
                <w:rFonts w:hint="eastAsia"/>
                <w:color w:val="auto"/>
                <w:lang w:val="en-US" w:eastAsia="zh-CN"/>
              </w:rPr>
              <w:t>和易燃易爆物品</w:t>
            </w:r>
            <w:r>
              <w:rPr>
                <w:rFonts w:hint="default"/>
                <w:color w:val="auto"/>
                <w:lang w:val="en-US" w:eastAsia="zh-CN"/>
              </w:rPr>
              <w:t>等，主要分布在危险</w:t>
            </w:r>
            <w:r>
              <w:rPr>
                <w:rFonts w:hint="eastAsia"/>
                <w:color w:val="auto"/>
                <w:lang w:val="en-US" w:eastAsia="zh-CN"/>
              </w:rPr>
              <w:t>固体废物</w:t>
            </w:r>
            <w:r>
              <w:rPr>
                <w:rFonts w:hint="default"/>
                <w:color w:val="auto"/>
                <w:lang w:val="en-US" w:eastAsia="zh-CN"/>
              </w:rPr>
              <w:t>暂存间及化学品仓库，可能发生的环境风险主要为泄漏</w:t>
            </w:r>
            <w:r>
              <w:rPr>
                <w:rFonts w:hint="eastAsia"/>
                <w:color w:val="auto"/>
                <w:lang w:val="en-US" w:eastAsia="zh-CN"/>
              </w:rPr>
              <w:t>和火灾</w:t>
            </w:r>
            <w:r>
              <w:rPr>
                <w:rFonts w:hint="default"/>
                <w:color w:val="auto"/>
                <w:lang w:val="en-US" w:eastAsia="zh-CN"/>
              </w:rPr>
              <w:t>。</w:t>
            </w:r>
          </w:p>
          <w:p w14:paraId="16DEEC3D">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（2）根据风险事故分析，泄漏</w:t>
            </w:r>
            <w:r>
              <w:rPr>
                <w:rFonts w:hint="eastAsia"/>
                <w:color w:val="auto"/>
                <w:lang w:val="en-US" w:eastAsia="zh-CN"/>
              </w:rPr>
              <w:t>和火灾将对区域大气环境和周边人群健康造成一定危害</w:t>
            </w:r>
            <w:r>
              <w:rPr>
                <w:rFonts w:hint="default"/>
                <w:color w:val="auto"/>
                <w:lang w:val="en-US" w:eastAsia="zh-CN"/>
              </w:rPr>
              <w:t>。</w:t>
            </w:r>
          </w:p>
          <w:p w14:paraId="697D3F03">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（3）项目应建立环境风险管理制度，严格按照环境风险防控章节提出的措施要求开展环境风险防控工作。</w:t>
            </w:r>
          </w:p>
          <w:p w14:paraId="482CA04A">
            <w:pPr>
              <w:pStyle w:val="36"/>
              <w:keepNext w:val="0"/>
              <w:keepLines w:val="0"/>
              <w:suppressLineNumbers w:val="0"/>
              <w:bidi w:val="0"/>
              <w:spacing w:before="0" w:beforeAutospacing="0" w:after="0" w:afterAutospacing="0"/>
              <w:ind w:left="0" w:right="0"/>
              <w:rPr>
                <w:rFonts w:hint="default"/>
                <w:color w:val="auto"/>
                <w:lang w:val="en-US" w:eastAsia="zh-CN"/>
              </w:rPr>
            </w:pPr>
            <w:r>
              <w:rPr>
                <w:rFonts w:hint="default"/>
                <w:color w:val="auto"/>
                <w:lang w:val="en-US" w:eastAsia="zh-CN"/>
              </w:rPr>
              <w:t>综上所述，项目在做好风险防控措施的前提下，可能产生的环境风险是可以防控的</w:t>
            </w:r>
            <w:r>
              <w:rPr>
                <w:rFonts w:hint="eastAsia"/>
                <w:color w:val="auto"/>
                <w:lang w:val="en-US" w:eastAsia="zh-CN"/>
              </w:rPr>
              <w:t>。</w:t>
            </w:r>
          </w:p>
        </w:tc>
      </w:tr>
    </w:tbl>
    <w:p w14:paraId="15727509">
      <w:pPr>
        <w:rPr>
          <w:color w:val="auto"/>
        </w:rPr>
        <w:sectPr>
          <w:pgSz w:w="11907" w:h="16840"/>
          <w:pgMar w:top="1701" w:right="1531" w:bottom="2127"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0111DEB4">
      <w:pPr>
        <w:pStyle w:val="4"/>
        <w:keepNext/>
        <w:keepLines w:val="0"/>
        <w:pageBreakBefore w:val="0"/>
        <w:widowControl w:val="0"/>
        <w:kinsoku/>
        <w:wordWrap/>
        <w:overflowPunct w:val="0"/>
        <w:topLinePunct w:val="0"/>
        <w:autoSpaceDE/>
        <w:autoSpaceDN/>
        <w:bidi w:val="0"/>
        <w:adjustRightInd/>
        <w:snapToGrid w:val="0"/>
        <w:spacing w:line="240" w:lineRule="auto"/>
        <w:ind w:left="431" w:hanging="431"/>
        <w:textAlignment w:val="auto"/>
        <w:rPr>
          <w:rFonts w:hint="default"/>
          <w:color w:val="auto"/>
        </w:rPr>
      </w:pPr>
      <w:bookmarkStart w:id="111" w:name="_Toc12816"/>
      <w:bookmarkStart w:id="112" w:name="_Toc23791"/>
      <w:bookmarkStart w:id="113" w:name="_Hlk54167917"/>
      <w:r>
        <w:rPr>
          <w:rFonts w:hint="default"/>
          <w:color w:val="auto"/>
        </w:rPr>
        <w:t>环境保护措施监督检查清单</w:t>
      </w:r>
      <w:bookmarkEnd w:id="111"/>
      <w:bookmarkEnd w:id="112"/>
      <w:bookmarkEnd w:id="113"/>
    </w:p>
    <w:tbl>
      <w:tblPr>
        <w:tblStyle w:val="28"/>
        <w:tblW w:w="90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000"/>
        <w:gridCol w:w="1465"/>
        <w:gridCol w:w="1358"/>
        <w:gridCol w:w="2264"/>
        <w:gridCol w:w="2966"/>
      </w:tblGrid>
      <w:tr w14:paraId="189344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dxa"/>
            <w:tcBorders>
              <w:tl2br w:val="single" w:color="auto" w:sz="4" w:space="0"/>
            </w:tcBorders>
            <w:noWrap w:val="0"/>
            <w:vAlign w:val="center"/>
          </w:tcPr>
          <w:p w14:paraId="2CA4E162">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right"/>
              <w:textAlignment w:val="auto"/>
              <w:rPr>
                <w:rFonts w:hint="default"/>
                <w:color w:val="auto"/>
                <w:sz w:val="21"/>
                <w:szCs w:val="21"/>
                <w:lang w:val="en-US" w:eastAsia="zh-CN"/>
              </w:rPr>
            </w:pPr>
            <w:r>
              <w:rPr>
                <w:rFonts w:hint="default"/>
                <w:color w:val="auto"/>
                <w:sz w:val="21"/>
                <w:szCs w:val="21"/>
                <w:lang w:val="en-US" w:eastAsia="zh-CN"/>
              </w:rPr>
              <w:t>内容</w:t>
            </w:r>
          </w:p>
          <w:p w14:paraId="231BA37A">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lang w:val="en-US" w:eastAsia="zh-CN"/>
              </w:rPr>
            </w:pPr>
          </w:p>
          <w:p w14:paraId="3853DE5D">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left"/>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要素</w:t>
            </w:r>
          </w:p>
        </w:tc>
        <w:tc>
          <w:tcPr>
            <w:tcW w:w="1465" w:type="dxa"/>
            <w:noWrap w:val="0"/>
            <w:vAlign w:val="center"/>
          </w:tcPr>
          <w:p w14:paraId="151538D4">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排放口</w:t>
            </w:r>
            <w:r>
              <w:rPr>
                <w:rFonts w:hint="eastAsia"/>
                <w:color w:val="auto"/>
                <w:sz w:val="21"/>
                <w:szCs w:val="21"/>
                <w:lang w:val="en-US" w:eastAsia="zh-CN"/>
              </w:rPr>
              <w:t>（</w:t>
            </w:r>
            <w:r>
              <w:rPr>
                <w:rFonts w:hint="default"/>
                <w:color w:val="auto"/>
                <w:sz w:val="21"/>
                <w:szCs w:val="21"/>
                <w:lang w:val="en-US" w:eastAsia="zh-CN"/>
              </w:rPr>
              <w:t>编号、名称</w:t>
            </w:r>
            <w:r>
              <w:rPr>
                <w:rFonts w:hint="eastAsia"/>
                <w:color w:val="auto"/>
                <w:sz w:val="21"/>
                <w:szCs w:val="21"/>
                <w:lang w:val="en-US" w:eastAsia="zh-CN"/>
              </w:rPr>
              <w:t>）</w:t>
            </w:r>
            <w:r>
              <w:rPr>
                <w:rFonts w:hint="default"/>
                <w:color w:val="auto"/>
                <w:sz w:val="21"/>
                <w:szCs w:val="21"/>
                <w:lang w:val="en-US" w:eastAsia="zh-CN"/>
              </w:rPr>
              <w:t>/污染源</w:t>
            </w:r>
          </w:p>
        </w:tc>
        <w:tc>
          <w:tcPr>
            <w:tcW w:w="1358" w:type="dxa"/>
            <w:noWrap w:val="0"/>
            <w:vAlign w:val="center"/>
          </w:tcPr>
          <w:p w14:paraId="65B9B91A">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污染物</w:t>
            </w:r>
          </w:p>
          <w:p w14:paraId="3F71F3A9">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项目</w:t>
            </w:r>
          </w:p>
        </w:tc>
        <w:tc>
          <w:tcPr>
            <w:tcW w:w="2264" w:type="dxa"/>
            <w:noWrap w:val="0"/>
            <w:vAlign w:val="center"/>
          </w:tcPr>
          <w:p w14:paraId="203D18E1">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环境保护措施</w:t>
            </w:r>
          </w:p>
        </w:tc>
        <w:tc>
          <w:tcPr>
            <w:tcW w:w="2966" w:type="dxa"/>
            <w:noWrap w:val="0"/>
            <w:vAlign w:val="center"/>
          </w:tcPr>
          <w:p w14:paraId="30345EEF">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color w:val="auto"/>
                <w:sz w:val="21"/>
                <w:szCs w:val="21"/>
                <w:lang w:val="en-US" w:eastAsia="zh-CN"/>
              </w:rPr>
              <w:t>执行标准</w:t>
            </w:r>
          </w:p>
        </w:tc>
      </w:tr>
      <w:tr w14:paraId="604099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dxa"/>
            <w:vMerge w:val="restart"/>
            <w:noWrap w:val="0"/>
            <w:vAlign w:val="center"/>
          </w:tcPr>
          <w:p w14:paraId="37367309">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大气环境</w:t>
            </w:r>
          </w:p>
        </w:tc>
        <w:tc>
          <w:tcPr>
            <w:tcW w:w="1465" w:type="dxa"/>
            <w:noWrap w:val="0"/>
            <w:vAlign w:val="center"/>
          </w:tcPr>
          <w:p w14:paraId="7613D088">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DA001</w:t>
            </w:r>
            <w:r>
              <w:rPr>
                <w:rFonts w:hint="eastAsia"/>
                <w:color w:val="auto"/>
                <w:sz w:val="21"/>
                <w:szCs w:val="21"/>
                <w:lang w:val="en-US" w:eastAsia="zh-CN"/>
              </w:rPr>
              <w:t>、</w:t>
            </w:r>
            <w:r>
              <w:rPr>
                <w:rFonts w:hint="default"/>
                <w:color w:val="auto"/>
                <w:sz w:val="21"/>
                <w:szCs w:val="21"/>
                <w:lang w:val="en-US" w:eastAsia="zh-CN"/>
              </w:rPr>
              <w:t>DA00</w:t>
            </w:r>
            <w:r>
              <w:rPr>
                <w:rFonts w:hint="eastAsia"/>
                <w:color w:val="auto"/>
                <w:sz w:val="21"/>
                <w:szCs w:val="21"/>
                <w:lang w:val="en-US" w:eastAsia="zh-CN"/>
              </w:rPr>
              <w:t>2</w:t>
            </w:r>
          </w:p>
          <w:p w14:paraId="40064B8D">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（酸性废气</w:t>
            </w:r>
            <w:r>
              <w:rPr>
                <w:rFonts w:hint="default"/>
                <w:color w:val="auto"/>
                <w:sz w:val="21"/>
                <w:szCs w:val="21"/>
                <w:lang w:val="en-US" w:eastAsia="zh-CN"/>
              </w:rPr>
              <w:t>排气筒</w:t>
            </w:r>
            <w:r>
              <w:rPr>
                <w:rFonts w:hint="eastAsia"/>
                <w:color w:val="auto"/>
                <w:sz w:val="21"/>
                <w:szCs w:val="21"/>
                <w:lang w:val="en-US" w:eastAsia="zh-CN"/>
              </w:rPr>
              <w:t>）</w:t>
            </w:r>
          </w:p>
        </w:tc>
        <w:tc>
          <w:tcPr>
            <w:tcW w:w="1358" w:type="dxa"/>
            <w:noWrap w:val="0"/>
            <w:vAlign w:val="center"/>
          </w:tcPr>
          <w:p w14:paraId="1D170CCD">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氯化氢、硫酸雾</w:t>
            </w:r>
          </w:p>
        </w:tc>
        <w:tc>
          <w:tcPr>
            <w:tcW w:w="2264" w:type="dxa"/>
            <w:noWrap w:val="0"/>
            <w:vAlign w:val="center"/>
          </w:tcPr>
          <w:p w14:paraId="410A5188">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经通风橱柜</w:t>
            </w:r>
            <w:r>
              <w:rPr>
                <w:rFonts w:hint="eastAsia"/>
                <w:color w:val="auto"/>
                <w:sz w:val="21"/>
                <w:szCs w:val="21"/>
                <w:lang w:val="en-US" w:eastAsia="zh-CN"/>
              </w:rPr>
              <w:t>/集气罩</w:t>
            </w:r>
            <w:r>
              <w:rPr>
                <w:rFonts w:hint="default"/>
                <w:color w:val="auto"/>
                <w:sz w:val="21"/>
                <w:szCs w:val="21"/>
                <w:lang w:val="en-US" w:eastAsia="zh-CN"/>
              </w:rPr>
              <w:t>收集经</w:t>
            </w:r>
            <w:r>
              <w:rPr>
                <w:rFonts w:hint="eastAsia"/>
                <w:color w:val="auto"/>
                <w:sz w:val="21"/>
                <w:szCs w:val="21"/>
                <w:lang w:val="en-US" w:eastAsia="zh-CN"/>
              </w:rPr>
              <w:t>碱液喷淋塔处理后</w:t>
            </w:r>
            <w:r>
              <w:rPr>
                <w:rFonts w:hint="default"/>
                <w:color w:val="auto"/>
                <w:sz w:val="21"/>
                <w:szCs w:val="21"/>
                <w:lang w:val="en-US" w:eastAsia="zh-CN"/>
              </w:rPr>
              <w:t>引屋顶排气筒（DA001</w:t>
            </w:r>
            <w:r>
              <w:rPr>
                <w:rFonts w:hint="eastAsia"/>
                <w:color w:val="auto"/>
                <w:sz w:val="21"/>
                <w:szCs w:val="21"/>
                <w:lang w:val="en-US" w:eastAsia="zh-CN"/>
              </w:rPr>
              <w:t>、</w:t>
            </w:r>
            <w:r>
              <w:rPr>
                <w:rFonts w:hint="default"/>
                <w:color w:val="auto"/>
                <w:sz w:val="21"/>
                <w:szCs w:val="21"/>
                <w:lang w:val="en-US" w:eastAsia="zh-CN"/>
              </w:rPr>
              <w:t>DA00</w:t>
            </w:r>
            <w:r>
              <w:rPr>
                <w:rFonts w:hint="eastAsia"/>
                <w:color w:val="auto"/>
                <w:sz w:val="21"/>
                <w:szCs w:val="21"/>
                <w:lang w:val="en-US" w:eastAsia="zh-CN"/>
              </w:rPr>
              <w:t>2</w:t>
            </w:r>
            <w:r>
              <w:rPr>
                <w:rFonts w:hint="default"/>
                <w:color w:val="auto"/>
                <w:sz w:val="21"/>
                <w:szCs w:val="21"/>
                <w:lang w:val="en-US" w:eastAsia="zh-CN"/>
              </w:rPr>
              <w:t>）排放，排放高度约2</w:t>
            </w:r>
            <w:r>
              <w:rPr>
                <w:rFonts w:hint="eastAsia"/>
                <w:color w:val="auto"/>
                <w:sz w:val="21"/>
                <w:szCs w:val="21"/>
                <w:lang w:val="en-US" w:eastAsia="zh-CN"/>
              </w:rPr>
              <w:t>5</w:t>
            </w:r>
            <w:r>
              <w:rPr>
                <w:rFonts w:hint="default"/>
                <w:color w:val="auto"/>
                <w:sz w:val="21"/>
                <w:szCs w:val="21"/>
                <w:lang w:val="en-US" w:eastAsia="zh-CN"/>
              </w:rPr>
              <w:t>m</w:t>
            </w:r>
          </w:p>
        </w:tc>
        <w:tc>
          <w:tcPr>
            <w:tcW w:w="2966" w:type="dxa"/>
            <w:vMerge w:val="restart"/>
            <w:noWrap w:val="0"/>
            <w:vAlign w:val="center"/>
          </w:tcPr>
          <w:p w14:paraId="30837109">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eastAsia" w:ascii="Times New Roman" w:hAnsi="Times New Roman" w:eastAsia="宋体" w:cs="Times New Roman"/>
                <w:color w:val="auto"/>
                <w:sz w:val="21"/>
                <w:szCs w:val="21"/>
                <w:lang w:val="en-US" w:eastAsia="zh-CN"/>
              </w:rPr>
            </w:pPr>
            <w:r>
              <w:rPr>
                <w:rFonts w:hint="eastAsia"/>
                <w:color w:val="auto"/>
                <w:sz w:val="21"/>
                <w:szCs w:val="21"/>
                <w:lang w:val="en-US" w:eastAsia="zh-CN"/>
              </w:rPr>
              <w:t>硫酸雾、氯化氢排放执行《大气污染物综合排放标准》（GB16297-1996）中表2二级排放标准，非甲烷总烃排放执行《工业企业挥发性有机物排放标准》(DB35/ 1782-2018</w:t>
            </w:r>
            <w:r>
              <w:rPr>
                <w:rFonts w:hint="eastAsia"/>
                <w:color w:val="auto"/>
                <w:sz w:val="21"/>
                <w:szCs w:val="21"/>
                <w:shd w:val="clear" w:fill="FFFFFF"/>
                <w:lang w:val="en-US" w:eastAsia="zh-CN"/>
              </w:rPr>
              <w:t>)</w:t>
            </w:r>
            <w:r>
              <w:rPr>
                <w:rFonts w:hint="eastAsia"/>
                <w:color w:val="auto"/>
                <w:sz w:val="21"/>
                <w:szCs w:val="21"/>
                <w:lang w:val="en-US" w:eastAsia="zh-CN"/>
              </w:rPr>
              <w:t>表1标准，氨、臭气浓度执行《恶臭污染物排放标准》(GB 14554-93</w:t>
            </w:r>
            <w:r>
              <w:rPr>
                <w:rFonts w:hint="eastAsia"/>
                <w:color w:val="auto"/>
                <w:sz w:val="21"/>
                <w:szCs w:val="21"/>
                <w:shd w:val="clear" w:fill="FFFFFF"/>
                <w:lang w:val="en-US" w:eastAsia="zh-CN"/>
              </w:rPr>
              <w:t>)</w:t>
            </w:r>
            <w:r>
              <w:rPr>
                <w:rFonts w:hint="eastAsia"/>
                <w:color w:val="auto"/>
                <w:sz w:val="21"/>
                <w:szCs w:val="21"/>
                <w:lang w:val="en-US" w:eastAsia="zh-CN"/>
              </w:rPr>
              <w:t>中表2标准限值</w:t>
            </w:r>
          </w:p>
        </w:tc>
      </w:tr>
      <w:tr w14:paraId="3CE992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6" w:hRule="atLeast"/>
          <w:jc w:val="center"/>
        </w:trPr>
        <w:tc>
          <w:tcPr>
            <w:tcW w:w="1000" w:type="dxa"/>
            <w:vMerge w:val="continue"/>
            <w:noWrap w:val="0"/>
            <w:vAlign w:val="center"/>
          </w:tcPr>
          <w:p w14:paraId="756A70C5">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color w:val="auto"/>
                <w:sz w:val="21"/>
                <w:szCs w:val="21"/>
                <w:lang w:val="en-US" w:eastAsia="zh-CN"/>
              </w:rPr>
            </w:pPr>
          </w:p>
        </w:tc>
        <w:tc>
          <w:tcPr>
            <w:tcW w:w="1465" w:type="dxa"/>
            <w:noWrap w:val="0"/>
            <w:vAlign w:val="center"/>
          </w:tcPr>
          <w:p w14:paraId="14716F40">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eastAsia"/>
                <w:color w:val="auto"/>
                <w:sz w:val="21"/>
                <w:szCs w:val="21"/>
                <w:lang w:val="en-US" w:eastAsia="zh-CN"/>
              </w:rPr>
            </w:pPr>
            <w:r>
              <w:rPr>
                <w:rFonts w:hint="default"/>
                <w:color w:val="auto"/>
                <w:sz w:val="21"/>
                <w:szCs w:val="21"/>
                <w:lang w:val="en-US" w:eastAsia="zh-CN"/>
              </w:rPr>
              <w:t>DA00</w:t>
            </w:r>
            <w:r>
              <w:rPr>
                <w:rFonts w:hint="eastAsia"/>
                <w:color w:val="auto"/>
                <w:sz w:val="21"/>
                <w:szCs w:val="21"/>
                <w:lang w:val="en-US" w:eastAsia="zh-CN"/>
              </w:rPr>
              <w:t>3、</w:t>
            </w:r>
            <w:r>
              <w:rPr>
                <w:rFonts w:hint="default"/>
                <w:color w:val="auto"/>
                <w:sz w:val="21"/>
                <w:szCs w:val="21"/>
                <w:lang w:val="en-US" w:eastAsia="zh-CN"/>
              </w:rPr>
              <w:t>DA00</w:t>
            </w:r>
            <w:r>
              <w:rPr>
                <w:rFonts w:hint="eastAsia"/>
                <w:color w:val="auto"/>
                <w:sz w:val="21"/>
                <w:szCs w:val="21"/>
                <w:lang w:val="en-US" w:eastAsia="zh-CN"/>
              </w:rPr>
              <w:t>4（有机废气、臭气</w:t>
            </w:r>
            <w:r>
              <w:rPr>
                <w:rFonts w:hint="default"/>
                <w:color w:val="auto"/>
                <w:sz w:val="21"/>
                <w:szCs w:val="21"/>
                <w:lang w:val="en-US" w:eastAsia="zh-CN"/>
              </w:rPr>
              <w:t>排气筒</w:t>
            </w:r>
            <w:r>
              <w:rPr>
                <w:rFonts w:hint="eastAsia"/>
                <w:color w:val="auto"/>
                <w:sz w:val="21"/>
                <w:szCs w:val="21"/>
                <w:lang w:val="en-US" w:eastAsia="zh-CN"/>
              </w:rPr>
              <w:t>）</w:t>
            </w:r>
          </w:p>
        </w:tc>
        <w:tc>
          <w:tcPr>
            <w:tcW w:w="1358" w:type="dxa"/>
            <w:noWrap w:val="0"/>
            <w:vAlign w:val="center"/>
          </w:tcPr>
          <w:p w14:paraId="442CB052">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非甲烷总烃、</w:t>
            </w:r>
            <w:r>
              <w:rPr>
                <w:rFonts w:hint="eastAsia"/>
                <w:color w:val="auto"/>
                <w:sz w:val="21"/>
                <w:szCs w:val="21"/>
                <w:lang w:val="en-US" w:eastAsia="zh-CN"/>
              </w:rPr>
              <w:t>氨、</w:t>
            </w:r>
            <w:r>
              <w:rPr>
                <w:rFonts w:hint="eastAsia"/>
                <w:color w:val="auto"/>
                <w:sz w:val="21"/>
                <w:szCs w:val="21"/>
                <w:shd w:val="clear" w:fill="FFFFFF"/>
                <w:lang w:val="en-US" w:eastAsia="zh-CN"/>
              </w:rPr>
              <w:t>臭气浓度</w:t>
            </w:r>
          </w:p>
        </w:tc>
        <w:tc>
          <w:tcPr>
            <w:tcW w:w="2264" w:type="dxa"/>
            <w:noWrap w:val="0"/>
            <w:vAlign w:val="center"/>
          </w:tcPr>
          <w:p w14:paraId="16199578">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color w:val="auto"/>
                <w:sz w:val="21"/>
                <w:szCs w:val="21"/>
                <w:lang w:val="en-US" w:eastAsia="zh-CN"/>
              </w:rPr>
            </w:pPr>
            <w:r>
              <w:rPr>
                <w:rFonts w:hint="default"/>
                <w:color w:val="auto"/>
                <w:sz w:val="21"/>
                <w:szCs w:val="21"/>
                <w:lang w:val="en-US" w:eastAsia="zh-CN"/>
              </w:rPr>
              <w:t>通风橱柜</w:t>
            </w:r>
            <w:r>
              <w:rPr>
                <w:rFonts w:hint="eastAsia"/>
                <w:color w:val="auto"/>
                <w:sz w:val="21"/>
                <w:szCs w:val="21"/>
                <w:lang w:val="en-US" w:eastAsia="zh-CN"/>
              </w:rPr>
              <w:t>/集气罩</w:t>
            </w:r>
            <w:r>
              <w:rPr>
                <w:rFonts w:hint="default"/>
                <w:color w:val="auto"/>
                <w:sz w:val="21"/>
                <w:szCs w:val="21"/>
                <w:lang w:val="en-US" w:eastAsia="zh-CN"/>
              </w:rPr>
              <w:t>收集经活性炭吸附设备处理后引屋顶排气筒（DA00</w:t>
            </w:r>
            <w:r>
              <w:rPr>
                <w:rFonts w:hint="eastAsia"/>
                <w:color w:val="auto"/>
                <w:sz w:val="21"/>
                <w:szCs w:val="21"/>
                <w:lang w:val="en-US" w:eastAsia="zh-CN"/>
              </w:rPr>
              <w:t>3、</w:t>
            </w:r>
            <w:r>
              <w:rPr>
                <w:rFonts w:hint="default"/>
                <w:color w:val="auto"/>
                <w:sz w:val="21"/>
                <w:szCs w:val="21"/>
                <w:lang w:val="en-US" w:eastAsia="zh-CN"/>
              </w:rPr>
              <w:t>DA00</w:t>
            </w:r>
            <w:r>
              <w:rPr>
                <w:rFonts w:hint="eastAsia"/>
                <w:color w:val="auto"/>
                <w:sz w:val="21"/>
                <w:szCs w:val="21"/>
                <w:lang w:val="en-US" w:eastAsia="zh-CN"/>
              </w:rPr>
              <w:t>4</w:t>
            </w:r>
            <w:r>
              <w:rPr>
                <w:rFonts w:hint="default"/>
                <w:color w:val="auto"/>
                <w:sz w:val="21"/>
                <w:szCs w:val="21"/>
                <w:lang w:val="en-US" w:eastAsia="zh-CN"/>
              </w:rPr>
              <w:t>）排放，排放高度约</w:t>
            </w:r>
            <w:r>
              <w:rPr>
                <w:rFonts w:hint="eastAsia"/>
                <w:color w:val="auto"/>
                <w:sz w:val="21"/>
                <w:szCs w:val="21"/>
                <w:lang w:val="en-US" w:eastAsia="zh-CN"/>
              </w:rPr>
              <w:t>25</w:t>
            </w:r>
            <w:r>
              <w:rPr>
                <w:rFonts w:hint="default"/>
                <w:color w:val="auto"/>
                <w:sz w:val="21"/>
                <w:szCs w:val="21"/>
                <w:lang w:val="en-US" w:eastAsia="zh-CN"/>
              </w:rPr>
              <w:t>m</w:t>
            </w:r>
          </w:p>
        </w:tc>
        <w:tc>
          <w:tcPr>
            <w:tcW w:w="2966" w:type="dxa"/>
            <w:vMerge w:val="continue"/>
            <w:noWrap w:val="0"/>
            <w:vAlign w:val="center"/>
          </w:tcPr>
          <w:p w14:paraId="66D74A6D">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color w:val="auto"/>
                <w:sz w:val="21"/>
                <w:szCs w:val="21"/>
                <w:lang w:val="en-US" w:eastAsia="zh-CN"/>
              </w:rPr>
            </w:pPr>
          </w:p>
        </w:tc>
      </w:tr>
      <w:tr w14:paraId="0CB49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1000" w:type="dxa"/>
            <w:vMerge w:val="continue"/>
            <w:noWrap w:val="0"/>
            <w:vAlign w:val="center"/>
          </w:tcPr>
          <w:p w14:paraId="603FC78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p>
        </w:tc>
        <w:tc>
          <w:tcPr>
            <w:tcW w:w="1465" w:type="dxa"/>
            <w:noWrap w:val="0"/>
            <w:vAlign w:val="center"/>
          </w:tcPr>
          <w:p w14:paraId="49E7ED89">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color w:val="auto"/>
                <w:sz w:val="21"/>
                <w:szCs w:val="21"/>
                <w:lang w:val="en-US" w:eastAsia="zh-CN"/>
              </w:rPr>
            </w:pPr>
            <w:r>
              <w:rPr>
                <w:rFonts w:hint="default"/>
                <w:color w:val="auto"/>
                <w:szCs w:val="21"/>
              </w:rPr>
              <w:t>厂界</w:t>
            </w:r>
            <w:r>
              <w:rPr>
                <w:rFonts w:hint="eastAsia"/>
                <w:color w:val="auto"/>
                <w:szCs w:val="21"/>
              </w:rPr>
              <w:t>/实验废气</w:t>
            </w:r>
          </w:p>
        </w:tc>
        <w:tc>
          <w:tcPr>
            <w:tcW w:w="1358" w:type="dxa"/>
            <w:noWrap w:val="0"/>
            <w:vAlign w:val="center"/>
          </w:tcPr>
          <w:p w14:paraId="114A6659">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非甲烷总烃、氯化氢、硫酸雾</w:t>
            </w:r>
            <w:r>
              <w:rPr>
                <w:rFonts w:hint="eastAsia"/>
                <w:color w:val="auto"/>
                <w:sz w:val="21"/>
                <w:szCs w:val="21"/>
                <w:lang w:val="en-US" w:eastAsia="zh-CN"/>
              </w:rPr>
              <w:t>、氨、臭气浓度</w:t>
            </w:r>
          </w:p>
        </w:tc>
        <w:tc>
          <w:tcPr>
            <w:tcW w:w="2264" w:type="dxa"/>
            <w:vMerge w:val="restart"/>
            <w:noWrap w:val="0"/>
            <w:vAlign w:val="center"/>
          </w:tcPr>
          <w:p w14:paraId="7410D5D6">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rPr>
              <w:t>加强</w:t>
            </w:r>
            <w:r>
              <w:rPr>
                <w:rFonts w:hint="eastAsia"/>
                <w:color w:val="auto"/>
                <w:sz w:val="21"/>
                <w:szCs w:val="21"/>
                <w:lang w:val="en-US" w:eastAsia="zh-CN"/>
              </w:rPr>
              <w:t>通风橱/集气罩废气收集</w:t>
            </w:r>
            <w:r>
              <w:rPr>
                <w:rFonts w:hint="eastAsia"/>
                <w:color w:val="auto"/>
                <w:sz w:val="21"/>
                <w:szCs w:val="21"/>
              </w:rPr>
              <w:t>效率</w:t>
            </w:r>
            <w:r>
              <w:rPr>
                <w:rFonts w:hint="eastAsia"/>
                <w:color w:val="auto"/>
                <w:sz w:val="21"/>
                <w:szCs w:val="21"/>
                <w:lang w:eastAsia="zh-CN"/>
              </w:rPr>
              <w:t>，</w:t>
            </w:r>
            <w:r>
              <w:rPr>
                <w:rFonts w:hint="eastAsia"/>
                <w:color w:val="auto"/>
                <w:sz w:val="21"/>
                <w:szCs w:val="21"/>
                <w:lang w:val="en-US" w:eastAsia="zh-CN"/>
              </w:rPr>
              <w:t>规范实验操作流程</w:t>
            </w:r>
            <w:r>
              <w:rPr>
                <w:rFonts w:hint="eastAsia"/>
                <w:color w:val="auto"/>
                <w:sz w:val="21"/>
                <w:szCs w:val="21"/>
                <w:lang w:eastAsia="zh-CN"/>
              </w:rPr>
              <w:t>；</w:t>
            </w:r>
            <w:r>
              <w:rPr>
                <w:rFonts w:hint="eastAsia"/>
                <w:color w:val="auto"/>
                <w:sz w:val="21"/>
                <w:szCs w:val="21"/>
                <w:lang w:val="en-US" w:eastAsia="zh-CN"/>
              </w:rPr>
              <w:t>优化布局，加强</w:t>
            </w:r>
            <w:r>
              <w:rPr>
                <w:rFonts w:hint="eastAsia"/>
                <w:color w:val="auto"/>
                <w:sz w:val="21"/>
                <w:szCs w:val="21"/>
                <w:lang w:eastAsia="zh-CN"/>
              </w:rPr>
              <w:t>设备管理。</w:t>
            </w:r>
          </w:p>
        </w:tc>
        <w:tc>
          <w:tcPr>
            <w:tcW w:w="2966" w:type="dxa"/>
            <w:noWrap w:val="0"/>
            <w:vAlign w:val="center"/>
          </w:tcPr>
          <w:p w14:paraId="1F76291D">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硫酸雾、氯化氢排放执行《大气污染物综合排放标准》（GB16297-1996）中表2无组织监控浓度限值，非甲烷总烃排放执行《工业企业挥发性有机物排放标准》表3标准，氨、臭气浓度执行《恶臭污染物排放标准》(GB 14554-93</w:t>
            </w:r>
            <w:r>
              <w:rPr>
                <w:rFonts w:hint="eastAsia"/>
                <w:color w:val="auto"/>
                <w:sz w:val="21"/>
                <w:szCs w:val="21"/>
                <w:shd w:val="clear" w:fill="FFFFFF"/>
                <w:lang w:val="en-US" w:eastAsia="zh-CN"/>
              </w:rPr>
              <w:t>)</w:t>
            </w:r>
            <w:r>
              <w:rPr>
                <w:rFonts w:hint="eastAsia"/>
                <w:color w:val="auto"/>
                <w:sz w:val="21"/>
                <w:szCs w:val="21"/>
                <w:lang w:val="en-US" w:eastAsia="zh-CN"/>
              </w:rPr>
              <w:t>中表1标准限值</w:t>
            </w:r>
          </w:p>
        </w:tc>
      </w:tr>
      <w:tr w14:paraId="390F83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00" w:type="dxa"/>
            <w:vMerge w:val="continue"/>
            <w:noWrap w:val="0"/>
            <w:vAlign w:val="center"/>
          </w:tcPr>
          <w:p w14:paraId="4AABC481">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color w:val="auto"/>
              </w:rPr>
            </w:pPr>
          </w:p>
        </w:tc>
        <w:tc>
          <w:tcPr>
            <w:tcW w:w="1465" w:type="dxa"/>
            <w:noWrap w:val="0"/>
            <w:vAlign w:val="center"/>
          </w:tcPr>
          <w:p w14:paraId="7ECA3054">
            <w:pPr>
              <w:keepNext w:val="0"/>
              <w:keepLines w:val="0"/>
              <w:suppressLineNumbers w:val="0"/>
              <w:adjustRightInd w:val="0"/>
              <w:snapToGrid w:val="0"/>
              <w:spacing w:before="0" w:beforeAutospacing="0" w:after="0" w:afterAutospacing="0" w:line="340" w:lineRule="exact"/>
              <w:ind w:left="0" w:right="0"/>
              <w:jc w:val="center"/>
              <w:rPr>
                <w:rFonts w:hint="eastAsia"/>
                <w:color w:val="auto"/>
                <w:sz w:val="21"/>
                <w:szCs w:val="21"/>
                <w:lang w:val="en-US" w:eastAsia="zh-CN"/>
              </w:rPr>
            </w:pPr>
            <w:r>
              <w:rPr>
                <w:rFonts w:hint="eastAsia"/>
                <w:color w:val="auto"/>
                <w:szCs w:val="21"/>
              </w:rPr>
              <w:t>厂内/实验废气</w:t>
            </w:r>
          </w:p>
        </w:tc>
        <w:tc>
          <w:tcPr>
            <w:tcW w:w="1358" w:type="dxa"/>
            <w:noWrap w:val="0"/>
            <w:vAlign w:val="center"/>
          </w:tcPr>
          <w:p w14:paraId="244969D3">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eastAsia"/>
                <w:color w:val="auto"/>
                <w:sz w:val="21"/>
                <w:szCs w:val="21"/>
                <w:lang w:val="en-US" w:eastAsia="zh-CN"/>
              </w:rPr>
            </w:pPr>
            <w:r>
              <w:rPr>
                <w:rFonts w:hint="eastAsia"/>
                <w:color w:val="auto"/>
                <w:sz w:val="21"/>
                <w:szCs w:val="21"/>
                <w:lang w:val="en-US" w:eastAsia="zh-CN"/>
              </w:rPr>
              <w:t>非甲烷总烃</w:t>
            </w:r>
          </w:p>
        </w:tc>
        <w:tc>
          <w:tcPr>
            <w:tcW w:w="2264" w:type="dxa"/>
            <w:vMerge w:val="continue"/>
            <w:noWrap w:val="0"/>
            <w:vAlign w:val="center"/>
          </w:tcPr>
          <w:p w14:paraId="072F1234">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eastAsia"/>
                <w:color w:val="auto"/>
                <w:sz w:val="21"/>
                <w:szCs w:val="21"/>
                <w:lang w:val="en-US" w:eastAsia="zh-CN"/>
              </w:rPr>
            </w:pPr>
          </w:p>
        </w:tc>
        <w:tc>
          <w:tcPr>
            <w:tcW w:w="2966" w:type="dxa"/>
            <w:noWrap w:val="0"/>
            <w:vAlign w:val="center"/>
          </w:tcPr>
          <w:p w14:paraId="126EE3E4">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非甲烷总烃厂区内监控点任意一次浓度值满足《挥发性有机物无组织排放控制标准》(GB37822-2019</w:t>
            </w:r>
            <w:r>
              <w:rPr>
                <w:rFonts w:hint="eastAsia"/>
                <w:color w:val="auto"/>
                <w:sz w:val="21"/>
                <w:szCs w:val="21"/>
                <w:shd w:val="clear" w:fill="FFFFFF"/>
                <w:lang w:val="en-US" w:eastAsia="zh-CN"/>
              </w:rPr>
              <w:t>)</w:t>
            </w:r>
            <w:r>
              <w:rPr>
                <w:rFonts w:hint="eastAsia"/>
                <w:color w:val="auto"/>
                <w:sz w:val="21"/>
                <w:szCs w:val="21"/>
                <w:lang w:val="en-US" w:eastAsia="zh-CN"/>
              </w:rPr>
              <w:t>中附录A表A.1限值标准，1h平均值满足《工业企业挥发性有机物排放标准》(DB35/ 1782-2018</w:t>
            </w:r>
            <w:r>
              <w:rPr>
                <w:rFonts w:hint="eastAsia"/>
                <w:color w:val="auto"/>
                <w:sz w:val="21"/>
                <w:szCs w:val="21"/>
                <w:shd w:val="clear" w:fill="FFFFFF"/>
                <w:lang w:val="en-US" w:eastAsia="zh-CN"/>
              </w:rPr>
              <w:t>)</w:t>
            </w:r>
            <w:r>
              <w:rPr>
                <w:rFonts w:hint="eastAsia"/>
                <w:color w:val="auto"/>
                <w:sz w:val="21"/>
                <w:szCs w:val="21"/>
                <w:lang w:val="en-US" w:eastAsia="zh-CN"/>
              </w:rPr>
              <w:t>中表2标准限值</w:t>
            </w:r>
            <w:r>
              <w:rPr>
                <w:rFonts w:hint="eastAsia"/>
                <w:color w:val="auto"/>
                <w:sz w:val="21"/>
                <w:szCs w:val="21"/>
                <w:shd w:val="clear" w:fill="FFFFFF"/>
                <w:lang w:val="en-US" w:eastAsia="zh-CN"/>
              </w:rPr>
              <w:t>(</w:t>
            </w:r>
            <w:r>
              <w:rPr>
                <w:rFonts w:hint="eastAsia"/>
                <w:color w:val="auto"/>
                <w:sz w:val="21"/>
                <w:szCs w:val="21"/>
                <w:lang w:val="en-US" w:eastAsia="zh-CN"/>
              </w:rPr>
              <w:t>非甲烷总烃任意一次浓度值≤30.0mg/m</w:t>
            </w:r>
            <w:r>
              <w:rPr>
                <w:rFonts w:hint="eastAsia"/>
                <w:color w:val="auto"/>
                <w:sz w:val="21"/>
                <w:szCs w:val="21"/>
                <w:vertAlign w:val="superscript"/>
                <w:lang w:val="en-US" w:eastAsia="zh-CN"/>
              </w:rPr>
              <w:t>3</w:t>
            </w:r>
            <w:r>
              <w:rPr>
                <w:rFonts w:hint="eastAsia"/>
                <w:color w:val="auto"/>
                <w:sz w:val="21"/>
                <w:szCs w:val="21"/>
                <w:lang w:val="en-US" w:eastAsia="zh-CN"/>
              </w:rPr>
              <w:t>，1h平均浓度值≤8.0mg/m</w:t>
            </w:r>
            <w:r>
              <w:rPr>
                <w:rFonts w:hint="eastAsia"/>
                <w:color w:val="auto"/>
                <w:sz w:val="21"/>
                <w:szCs w:val="21"/>
                <w:vertAlign w:val="superscript"/>
                <w:lang w:val="en-US" w:eastAsia="zh-CN"/>
              </w:rPr>
              <w:t>3</w:t>
            </w:r>
            <w:r>
              <w:rPr>
                <w:rFonts w:hint="eastAsia"/>
                <w:color w:val="auto"/>
                <w:sz w:val="21"/>
                <w:szCs w:val="21"/>
                <w:shd w:val="clear" w:fill="FFFFFF"/>
                <w:lang w:val="en-US" w:eastAsia="zh-CN"/>
              </w:rPr>
              <w:t>)</w:t>
            </w:r>
          </w:p>
        </w:tc>
      </w:tr>
      <w:tr w14:paraId="0A7E54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82" w:hRule="atLeast"/>
          <w:jc w:val="center"/>
        </w:trPr>
        <w:tc>
          <w:tcPr>
            <w:tcW w:w="1000" w:type="dxa"/>
            <w:noWrap w:val="0"/>
            <w:vAlign w:val="center"/>
          </w:tcPr>
          <w:p w14:paraId="6CFCFFF4">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color w:val="auto"/>
                <w:sz w:val="21"/>
                <w:szCs w:val="21"/>
                <w:lang w:val="en-US" w:eastAsia="zh-CN"/>
              </w:rPr>
            </w:pPr>
            <w:r>
              <w:rPr>
                <w:rFonts w:hint="default"/>
                <w:color w:val="auto"/>
                <w:sz w:val="21"/>
                <w:szCs w:val="21"/>
                <w:lang w:val="en-US" w:eastAsia="zh-CN"/>
              </w:rPr>
              <w:t>地表水</w:t>
            </w:r>
          </w:p>
          <w:p w14:paraId="04B7FAC5">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环境</w:t>
            </w:r>
          </w:p>
        </w:tc>
        <w:tc>
          <w:tcPr>
            <w:tcW w:w="1465" w:type="dxa"/>
            <w:noWrap w:val="0"/>
            <w:vAlign w:val="center"/>
          </w:tcPr>
          <w:p w14:paraId="28E2820A">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DW001</w:t>
            </w:r>
          </w:p>
        </w:tc>
        <w:tc>
          <w:tcPr>
            <w:tcW w:w="1358" w:type="dxa"/>
            <w:noWrap w:val="0"/>
            <w:vAlign w:val="center"/>
          </w:tcPr>
          <w:p w14:paraId="40585785">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COD、BOD</w:t>
            </w:r>
            <w:r>
              <w:rPr>
                <w:rFonts w:hint="default"/>
                <w:color w:val="auto"/>
                <w:sz w:val="21"/>
                <w:szCs w:val="21"/>
                <w:vertAlign w:val="subscript"/>
                <w:lang w:val="en-US" w:eastAsia="zh-CN"/>
              </w:rPr>
              <w:t>5</w:t>
            </w:r>
            <w:r>
              <w:rPr>
                <w:rFonts w:hint="default"/>
                <w:color w:val="auto"/>
                <w:sz w:val="21"/>
                <w:szCs w:val="21"/>
                <w:lang w:val="en-US" w:eastAsia="zh-CN"/>
              </w:rPr>
              <w:t>、悬浮物、氨氮、pH</w:t>
            </w:r>
          </w:p>
        </w:tc>
        <w:tc>
          <w:tcPr>
            <w:tcW w:w="2264" w:type="dxa"/>
            <w:noWrap w:val="0"/>
            <w:vAlign w:val="center"/>
          </w:tcPr>
          <w:p w14:paraId="5D5BC615">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实验室废水（实验器具清洗废水、纯水机浓水、实验室仪器用排水等）</w:t>
            </w:r>
            <w:r>
              <w:rPr>
                <w:rFonts w:hint="default"/>
                <w:color w:val="auto"/>
                <w:sz w:val="21"/>
                <w:szCs w:val="21"/>
                <w:lang w:val="en-US" w:eastAsia="zh-CN"/>
              </w:rPr>
              <w:t>经</w:t>
            </w:r>
            <w:r>
              <w:rPr>
                <w:rFonts w:hint="eastAsia"/>
                <w:color w:val="auto"/>
                <w:sz w:val="21"/>
                <w:szCs w:val="21"/>
                <w:lang w:val="en-US" w:eastAsia="zh-CN"/>
              </w:rPr>
              <w:t>污水处理设施（处理工艺：预处理，调节pH值，重金属吸附，高级氧化，过滤，消毒）</w:t>
            </w:r>
            <w:r>
              <w:rPr>
                <w:rFonts w:hint="default"/>
                <w:color w:val="auto"/>
                <w:sz w:val="21"/>
                <w:szCs w:val="21"/>
                <w:lang w:val="en-US" w:eastAsia="zh-CN"/>
              </w:rPr>
              <w:t>处理后，与生活污水</w:t>
            </w:r>
            <w:r>
              <w:rPr>
                <w:rFonts w:hint="eastAsia"/>
                <w:color w:val="auto"/>
                <w:sz w:val="21"/>
                <w:szCs w:val="21"/>
                <w:lang w:val="en-US" w:eastAsia="zh-CN"/>
              </w:rPr>
              <w:t>一并进入出租方厂区已建化粪池处理后排入市政污水管网，送往福清市融元污水处理厂集中处理。</w:t>
            </w:r>
          </w:p>
        </w:tc>
        <w:tc>
          <w:tcPr>
            <w:tcW w:w="2966" w:type="dxa"/>
            <w:noWrap w:val="0"/>
            <w:vAlign w:val="center"/>
          </w:tcPr>
          <w:p w14:paraId="36C0DB79">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执行《污水综合排放标准》（GB8978-1996）表4中三级排放标准，氨氮执行《污水排入城镇下水道水质标准》</w:t>
            </w:r>
            <w:r>
              <w:rPr>
                <w:rFonts w:hint="eastAsia"/>
                <w:color w:val="auto"/>
                <w:sz w:val="21"/>
                <w:szCs w:val="21"/>
                <w:lang w:val="en-US" w:eastAsia="zh-CN"/>
              </w:rPr>
              <w:t>（</w:t>
            </w:r>
            <w:r>
              <w:rPr>
                <w:rFonts w:hint="default"/>
                <w:color w:val="auto"/>
                <w:sz w:val="21"/>
                <w:szCs w:val="21"/>
                <w:lang w:val="en-US" w:eastAsia="zh-CN"/>
              </w:rPr>
              <w:t>GB/T31962-2015）表1中B级标准</w:t>
            </w:r>
          </w:p>
        </w:tc>
      </w:tr>
      <w:tr w14:paraId="643D9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15" w:hRule="atLeast"/>
          <w:jc w:val="center"/>
        </w:trPr>
        <w:tc>
          <w:tcPr>
            <w:tcW w:w="1000" w:type="dxa"/>
            <w:noWrap w:val="0"/>
            <w:vAlign w:val="center"/>
          </w:tcPr>
          <w:p w14:paraId="313FA0F9">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声环境</w:t>
            </w:r>
          </w:p>
        </w:tc>
        <w:tc>
          <w:tcPr>
            <w:tcW w:w="1465" w:type="dxa"/>
            <w:noWrap w:val="0"/>
            <w:vAlign w:val="center"/>
          </w:tcPr>
          <w:p w14:paraId="34C1E53E">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厂界四周</w:t>
            </w:r>
          </w:p>
        </w:tc>
        <w:tc>
          <w:tcPr>
            <w:tcW w:w="1358" w:type="dxa"/>
            <w:noWrap w:val="0"/>
            <w:vAlign w:val="center"/>
          </w:tcPr>
          <w:p w14:paraId="598496BA">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等效A声级</w:t>
            </w:r>
          </w:p>
        </w:tc>
        <w:tc>
          <w:tcPr>
            <w:tcW w:w="2264" w:type="dxa"/>
            <w:noWrap w:val="0"/>
            <w:vAlign w:val="center"/>
          </w:tcPr>
          <w:p w14:paraId="5CE83E9A">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主要高噪声设备安装</w:t>
            </w:r>
            <w:r>
              <w:rPr>
                <w:rFonts w:hint="eastAsia"/>
                <w:color w:val="auto"/>
                <w:sz w:val="21"/>
                <w:szCs w:val="21"/>
                <w:lang w:val="en-US" w:eastAsia="zh-CN"/>
              </w:rPr>
              <w:t>减振</w:t>
            </w:r>
            <w:r>
              <w:rPr>
                <w:rFonts w:hint="default"/>
                <w:color w:val="auto"/>
                <w:sz w:val="21"/>
                <w:szCs w:val="21"/>
                <w:lang w:val="en-US" w:eastAsia="zh-CN"/>
              </w:rPr>
              <w:t>垫、消声设备；安装隔声门窗，合理布局，使高噪声设备尽可能远离噪声敏感点；加强设备的安装、调试、使用和维护管理。</w:t>
            </w:r>
          </w:p>
        </w:tc>
        <w:tc>
          <w:tcPr>
            <w:tcW w:w="2966" w:type="dxa"/>
            <w:noWrap w:val="0"/>
            <w:vAlign w:val="center"/>
          </w:tcPr>
          <w:p w14:paraId="1A3B6F6A">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olor w:val="auto"/>
                <w:sz w:val="21"/>
                <w:szCs w:val="21"/>
                <w:lang w:val="en-US" w:eastAsia="zh-CN"/>
              </w:rPr>
              <w:t>执行《工业企业厂界环境噪声排放标准》（GB12348-2008）中3类标准</w:t>
            </w:r>
          </w:p>
        </w:tc>
      </w:tr>
      <w:tr w14:paraId="7C0B78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1000" w:type="dxa"/>
            <w:noWrap w:val="0"/>
            <w:vAlign w:val="center"/>
          </w:tcPr>
          <w:p w14:paraId="0350C2FC">
            <w:pPr>
              <w:pStyle w:val="36"/>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电磁辐射</w:t>
            </w:r>
          </w:p>
        </w:tc>
        <w:tc>
          <w:tcPr>
            <w:tcW w:w="1465" w:type="dxa"/>
            <w:noWrap w:val="0"/>
            <w:vAlign w:val="center"/>
          </w:tcPr>
          <w:p w14:paraId="666DDA10">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w:t>
            </w:r>
          </w:p>
        </w:tc>
        <w:tc>
          <w:tcPr>
            <w:tcW w:w="1358" w:type="dxa"/>
            <w:noWrap w:val="0"/>
            <w:vAlign w:val="center"/>
          </w:tcPr>
          <w:p w14:paraId="2DB1263E">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w:t>
            </w:r>
          </w:p>
        </w:tc>
        <w:tc>
          <w:tcPr>
            <w:tcW w:w="2264" w:type="dxa"/>
            <w:noWrap w:val="0"/>
            <w:vAlign w:val="center"/>
          </w:tcPr>
          <w:p w14:paraId="331F2B15">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w:t>
            </w:r>
          </w:p>
        </w:tc>
        <w:tc>
          <w:tcPr>
            <w:tcW w:w="2966" w:type="dxa"/>
            <w:noWrap w:val="0"/>
            <w:vAlign w:val="center"/>
          </w:tcPr>
          <w:p w14:paraId="08658775">
            <w:pPr>
              <w:pStyle w:val="36"/>
              <w:keepNext w:val="0"/>
              <w:keepLines w:val="0"/>
              <w:pageBreakBefore w:val="0"/>
              <w:widowControl w:val="0"/>
              <w:suppressLineNumbers w:val="0"/>
              <w:kinsoku/>
              <w:wordWrap/>
              <w:overflowPunct/>
              <w:topLinePunct w:val="0"/>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w:t>
            </w:r>
          </w:p>
        </w:tc>
      </w:tr>
      <w:tr w14:paraId="66F53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9" w:hRule="atLeast"/>
          <w:jc w:val="center"/>
        </w:trPr>
        <w:tc>
          <w:tcPr>
            <w:tcW w:w="1000" w:type="dxa"/>
            <w:noWrap w:val="0"/>
            <w:vAlign w:val="center"/>
          </w:tcPr>
          <w:p w14:paraId="201BB0FB">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固体废物</w:t>
            </w:r>
          </w:p>
        </w:tc>
        <w:tc>
          <w:tcPr>
            <w:tcW w:w="8053" w:type="dxa"/>
            <w:gridSpan w:val="4"/>
            <w:noWrap w:val="0"/>
            <w:vAlign w:val="center"/>
          </w:tcPr>
          <w:p w14:paraId="0F10773F">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color w:val="auto"/>
                <w:sz w:val="21"/>
                <w:szCs w:val="21"/>
                <w:lang w:val="en-GB" w:eastAsia="zh-CN"/>
              </w:rPr>
            </w:pPr>
            <w:r>
              <w:rPr>
                <w:rFonts w:hint="default"/>
                <w:b/>
                <w:bCs/>
                <w:color w:val="auto"/>
                <w:sz w:val="21"/>
                <w:szCs w:val="21"/>
                <w:lang w:val="en-GB" w:eastAsia="zh-CN"/>
              </w:rPr>
              <w:t>一般工业</w:t>
            </w:r>
            <w:r>
              <w:rPr>
                <w:rFonts w:hint="eastAsia"/>
                <w:b/>
                <w:bCs/>
                <w:color w:val="auto"/>
                <w:sz w:val="21"/>
                <w:szCs w:val="21"/>
                <w:lang w:val="en-US" w:eastAsia="zh-CN"/>
              </w:rPr>
              <w:t>固体废物（水样包装物、废树脂、废过滤材料、微生物废样品等）</w:t>
            </w:r>
            <w:r>
              <w:rPr>
                <w:rFonts w:hint="default"/>
                <w:b/>
                <w:bCs/>
                <w:color w:val="auto"/>
                <w:sz w:val="21"/>
                <w:szCs w:val="21"/>
                <w:lang w:val="en-GB" w:eastAsia="zh-CN"/>
              </w:rPr>
              <w:t>：</w:t>
            </w:r>
            <w:r>
              <w:rPr>
                <w:rFonts w:hint="default"/>
                <w:color w:val="auto"/>
                <w:sz w:val="21"/>
                <w:szCs w:val="21"/>
                <w:lang w:val="en-GB" w:eastAsia="zh-CN"/>
              </w:rPr>
              <w:t>设置一般工业</w:t>
            </w:r>
            <w:r>
              <w:rPr>
                <w:rFonts w:hint="eastAsia"/>
                <w:color w:val="auto"/>
                <w:sz w:val="21"/>
                <w:szCs w:val="21"/>
                <w:lang w:val="en-GB" w:eastAsia="zh-CN"/>
              </w:rPr>
              <w:t>固体废物</w:t>
            </w:r>
            <w:r>
              <w:rPr>
                <w:rFonts w:hint="default"/>
                <w:color w:val="auto"/>
                <w:sz w:val="21"/>
                <w:szCs w:val="21"/>
                <w:lang w:val="en-GB" w:eastAsia="zh-CN"/>
              </w:rPr>
              <w:t>暂存间，妥善分类收集后出售给回收企业综合利用；满足</w:t>
            </w:r>
            <w:r>
              <w:rPr>
                <w:rFonts w:hint="default"/>
                <w:color w:val="auto"/>
                <w:sz w:val="21"/>
                <w:szCs w:val="21"/>
                <w:lang w:val="en-US" w:eastAsia="zh-CN"/>
              </w:rPr>
              <w:t>《一般工业固体废物贮存和填埋污染控制标准》（</w:t>
            </w:r>
            <w:r>
              <w:rPr>
                <w:rFonts w:hint="default"/>
                <w:color w:val="auto"/>
                <w:sz w:val="21"/>
                <w:szCs w:val="21"/>
                <w:lang w:val="en-GB" w:eastAsia="zh-CN"/>
              </w:rPr>
              <w:t>GB18599-20</w:t>
            </w:r>
            <w:r>
              <w:rPr>
                <w:rFonts w:hint="default"/>
                <w:color w:val="auto"/>
                <w:sz w:val="21"/>
                <w:szCs w:val="21"/>
                <w:lang w:val="en-US" w:eastAsia="zh-CN"/>
              </w:rPr>
              <w:t>20）</w:t>
            </w:r>
            <w:r>
              <w:rPr>
                <w:rFonts w:hint="default"/>
                <w:color w:val="auto"/>
                <w:sz w:val="21"/>
                <w:szCs w:val="21"/>
                <w:lang w:val="en-GB" w:eastAsia="zh-CN"/>
              </w:rPr>
              <w:t>；</w:t>
            </w:r>
          </w:p>
          <w:p w14:paraId="21F34F2F">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b/>
                <w:bCs/>
                <w:color w:val="auto"/>
                <w:sz w:val="21"/>
                <w:szCs w:val="21"/>
                <w:lang w:val="en-US" w:eastAsia="zh-CN"/>
              </w:rPr>
              <w:t>危险废物</w:t>
            </w:r>
            <w:r>
              <w:rPr>
                <w:rFonts w:hint="eastAsia"/>
                <w:b/>
                <w:bCs/>
                <w:color w:val="auto"/>
                <w:sz w:val="21"/>
                <w:szCs w:val="21"/>
                <w:lang w:val="en-US" w:eastAsia="zh-CN"/>
              </w:rPr>
              <w:t>（废试剂包装物、高浓度废液、实验室废物、喷淋废液、废试剂、废活性炭</w:t>
            </w:r>
            <w:r>
              <w:rPr>
                <w:rFonts w:hint="eastAsia"/>
                <w:b/>
                <w:bCs/>
                <w:color w:val="auto"/>
                <w:sz w:val="21"/>
                <w:szCs w:val="21"/>
                <w:shd w:val="clear" w:fill="FFFFFF"/>
                <w:lang w:val="en-US" w:eastAsia="zh-CN"/>
              </w:rPr>
              <w:t>（</w:t>
            </w:r>
            <w:r>
              <w:rPr>
                <w:rFonts w:hint="eastAsia"/>
                <w:b/>
                <w:bCs/>
                <w:color w:val="auto"/>
                <w:sz w:val="21"/>
                <w:szCs w:val="21"/>
                <w:lang w:val="en-US" w:eastAsia="zh-CN"/>
              </w:rPr>
              <w:t>废气处理）、污泥、废重金属捕捉器、废活性炭、废石英砂</w:t>
            </w:r>
            <w:r>
              <w:rPr>
                <w:rFonts w:hint="eastAsia"/>
                <w:b/>
                <w:bCs/>
                <w:color w:val="auto"/>
                <w:sz w:val="21"/>
                <w:szCs w:val="21"/>
                <w:shd w:val="clear" w:fill="FFFFFF"/>
                <w:lang w:val="en-US" w:eastAsia="zh-CN"/>
              </w:rPr>
              <w:t>（</w:t>
            </w:r>
            <w:r>
              <w:rPr>
                <w:rFonts w:hint="eastAsia"/>
                <w:b/>
                <w:bCs/>
                <w:color w:val="auto"/>
                <w:sz w:val="21"/>
                <w:szCs w:val="21"/>
                <w:lang w:val="en-US" w:eastAsia="zh-CN"/>
              </w:rPr>
              <w:t>废水处理）等）</w:t>
            </w:r>
            <w:r>
              <w:rPr>
                <w:rFonts w:hint="default"/>
                <w:b/>
                <w:bCs/>
                <w:color w:val="auto"/>
                <w:sz w:val="21"/>
                <w:szCs w:val="21"/>
                <w:lang w:val="en-US" w:eastAsia="zh-CN"/>
              </w:rPr>
              <w:t>：</w:t>
            </w:r>
            <w:r>
              <w:rPr>
                <w:rFonts w:hint="default"/>
                <w:color w:val="auto"/>
                <w:sz w:val="21"/>
                <w:szCs w:val="21"/>
                <w:lang w:val="en-US" w:eastAsia="zh-CN"/>
              </w:rPr>
              <w:t>设置危险废物暂存间</w:t>
            </w:r>
            <w:r>
              <w:rPr>
                <w:rFonts w:hint="eastAsia"/>
                <w:color w:val="auto"/>
                <w:sz w:val="21"/>
                <w:szCs w:val="21"/>
                <w:lang w:val="en-US" w:eastAsia="zh-CN"/>
              </w:rPr>
              <w:t>1间（6.1m</w:t>
            </w:r>
            <w:r>
              <w:rPr>
                <w:rFonts w:hint="eastAsia"/>
                <w:color w:val="auto"/>
                <w:sz w:val="21"/>
                <w:szCs w:val="21"/>
                <w:vertAlign w:val="superscript"/>
                <w:lang w:val="en-US" w:eastAsia="zh-CN"/>
              </w:rPr>
              <w:t>2</w:t>
            </w:r>
            <w:r>
              <w:rPr>
                <w:rFonts w:hint="eastAsia"/>
                <w:color w:val="auto"/>
                <w:sz w:val="21"/>
                <w:szCs w:val="21"/>
                <w:lang w:val="en-US" w:eastAsia="zh-CN"/>
              </w:rPr>
              <w:t>）</w:t>
            </w:r>
            <w:r>
              <w:rPr>
                <w:rFonts w:hint="default"/>
                <w:color w:val="auto"/>
                <w:sz w:val="21"/>
                <w:szCs w:val="21"/>
                <w:lang w:val="en-US" w:eastAsia="zh-CN"/>
              </w:rPr>
              <w:t>，</w:t>
            </w:r>
            <w:r>
              <w:rPr>
                <w:rFonts w:hint="default"/>
                <w:color w:val="auto"/>
                <w:sz w:val="21"/>
                <w:szCs w:val="21"/>
                <w:lang w:val="en-GB" w:eastAsia="zh-CN"/>
              </w:rPr>
              <w:t>妥善分类收集后</w:t>
            </w:r>
            <w:r>
              <w:rPr>
                <w:rFonts w:hint="default"/>
                <w:color w:val="auto"/>
                <w:sz w:val="21"/>
                <w:szCs w:val="21"/>
                <w:lang w:val="en-US" w:eastAsia="zh-CN"/>
              </w:rPr>
              <w:t>定期委托有资质的单位进行处置，</w:t>
            </w:r>
            <w:r>
              <w:rPr>
                <w:rFonts w:hint="default"/>
                <w:color w:val="auto"/>
                <w:sz w:val="21"/>
                <w:szCs w:val="21"/>
                <w:lang w:val="en-GB" w:eastAsia="zh-CN"/>
              </w:rPr>
              <w:t>满足《危险废物贮存污染控制标准》（GB18597-20</w:t>
            </w:r>
            <w:r>
              <w:rPr>
                <w:rFonts w:hint="eastAsia"/>
                <w:color w:val="auto"/>
                <w:sz w:val="21"/>
                <w:szCs w:val="21"/>
                <w:lang w:val="en-US" w:eastAsia="zh-CN"/>
              </w:rPr>
              <w:t>23</w:t>
            </w:r>
            <w:r>
              <w:rPr>
                <w:rFonts w:hint="default"/>
                <w:color w:val="auto"/>
                <w:sz w:val="21"/>
                <w:szCs w:val="21"/>
                <w:lang w:val="en-GB" w:eastAsia="zh-CN"/>
              </w:rPr>
              <w:t>）。</w:t>
            </w:r>
            <w:r>
              <w:rPr>
                <w:rFonts w:hint="default"/>
                <w:color w:val="auto"/>
                <w:sz w:val="21"/>
                <w:szCs w:val="21"/>
                <w:lang w:val="en-US" w:eastAsia="zh-CN"/>
              </w:rPr>
              <w:t>危废转移应严格按照</w:t>
            </w:r>
            <w:r>
              <w:rPr>
                <w:rFonts w:hint="default"/>
                <w:color w:val="auto"/>
                <w:sz w:val="21"/>
                <w:szCs w:val="21"/>
              </w:rPr>
              <w:t>《危险废物转移管理办法》</w:t>
            </w:r>
            <w:r>
              <w:rPr>
                <w:rFonts w:hint="default"/>
                <w:color w:val="auto"/>
                <w:sz w:val="21"/>
                <w:szCs w:val="21"/>
                <w:lang w:val="en-US" w:eastAsia="zh-CN"/>
              </w:rPr>
              <w:t>要求；</w:t>
            </w:r>
          </w:p>
          <w:p w14:paraId="250B49FC">
            <w:pPr>
              <w:pStyle w:val="3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360" w:lineRule="auto"/>
              <w:ind w:left="0" w:right="0"/>
              <w:jc w:val="both"/>
              <w:textAlignment w:val="auto"/>
              <w:rPr>
                <w:rFonts w:hint="default" w:ascii="Times New Roman" w:hAnsi="Times New Roman" w:eastAsia="宋体" w:cs="Times New Roman"/>
                <w:color w:val="auto"/>
                <w:sz w:val="21"/>
                <w:szCs w:val="21"/>
                <w:lang w:val="en-US" w:eastAsia="zh-CN"/>
              </w:rPr>
            </w:pPr>
            <w:r>
              <w:rPr>
                <w:rFonts w:hint="default"/>
                <w:b/>
                <w:bCs/>
                <w:color w:val="auto"/>
                <w:sz w:val="21"/>
                <w:szCs w:val="21"/>
                <w:lang w:val="en-US" w:eastAsia="zh-CN"/>
              </w:rPr>
              <w:t>生活垃圾：</w:t>
            </w:r>
            <w:r>
              <w:rPr>
                <w:rFonts w:hint="default"/>
                <w:color w:val="auto"/>
                <w:sz w:val="21"/>
                <w:szCs w:val="21"/>
                <w:lang w:val="en-US" w:eastAsia="zh-CN"/>
              </w:rPr>
              <w:t>由垃圾桶收集，由市政环卫部门统一清运处理。</w:t>
            </w:r>
          </w:p>
        </w:tc>
      </w:tr>
      <w:tr w14:paraId="341931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2" w:hRule="atLeast"/>
          <w:jc w:val="center"/>
        </w:trPr>
        <w:tc>
          <w:tcPr>
            <w:tcW w:w="1000" w:type="dxa"/>
            <w:noWrap w:val="0"/>
            <w:vAlign w:val="center"/>
          </w:tcPr>
          <w:p w14:paraId="1E4D3642">
            <w:pPr>
              <w:pStyle w:val="36"/>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土壤及地下水污染防治措施</w:t>
            </w:r>
          </w:p>
        </w:tc>
        <w:tc>
          <w:tcPr>
            <w:tcW w:w="8053" w:type="dxa"/>
            <w:gridSpan w:val="4"/>
            <w:noWrap w:val="0"/>
            <w:vAlign w:val="center"/>
          </w:tcPr>
          <w:p w14:paraId="043BE2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本项目不涉及土壤及地下水环境影响。</w:t>
            </w:r>
          </w:p>
        </w:tc>
      </w:tr>
      <w:tr w14:paraId="0E24F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7" w:hRule="atLeast"/>
          <w:jc w:val="center"/>
        </w:trPr>
        <w:tc>
          <w:tcPr>
            <w:tcW w:w="1000" w:type="dxa"/>
            <w:noWrap w:val="0"/>
            <w:vAlign w:val="center"/>
          </w:tcPr>
          <w:p w14:paraId="09B4F36C">
            <w:pPr>
              <w:pStyle w:val="36"/>
              <w:keepNext w:val="0"/>
              <w:keepLines w:val="0"/>
              <w:pageBreakBefore w:val="0"/>
              <w:widowControl w:val="0"/>
              <w:suppressLineNumbers w:val="0"/>
              <w:kinsoku/>
              <w:wordWrap/>
              <w:overflowPunct/>
              <w:topLinePunct w:val="0"/>
              <w:bidi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生态保护措施</w:t>
            </w:r>
          </w:p>
        </w:tc>
        <w:tc>
          <w:tcPr>
            <w:tcW w:w="8053" w:type="dxa"/>
            <w:gridSpan w:val="4"/>
            <w:noWrap w:val="0"/>
            <w:vAlign w:val="center"/>
          </w:tcPr>
          <w:p w14:paraId="2045224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val="en-US" w:eastAsia="zh-CN"/>
              </w:rPr>
              <w:t>本项目不涉及生态环境影响。</w:t>
            </w:r>
          </w:p>
        </w:tc>
      </w:tr>
      <w:tr w14:paraId="0BB090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84" w:hRule="atLeast"/>
          <w:jc w:val="center"/>
        </w:trPr>
        <w:tc>
          <w:tcPr>
            <w:tcW w:w="1000" w:type="dxa"/>
            <w:noWrap w:val="0"/>
            <w:vAlign w:val="center"/>
          </w:tcPr>
          <w:p w14:paraId="5F97C15D">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环境风险防范措施</w:t>
            </w:r>
          </w:p>
        </w:tc>
        <w:tc>
          <w:tcPr>
            <w:tcW w:w="8053" w:type="dxa"/>
            <w:gridSpan w:val="4"/>
            <w:noWrap w:val="0"/>
            <w:vAlign w:val="center"/>
          </w:tcPr>
          <w:p w14:paraId="594FB6D1">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0" w:firstLineChars="0"/>
              <w:jc w:val="both"/>
              <w:textAlignment w:val="auto"/>
              <w:rPr>
                <w:rFonts w:hint="default"/>
                <w:color w:val="auto"/>
                <w:sz w:val="21"/>
                <w:szCs w:val="21"/>
                <w:lang w:val="en-US" w:eastAsia="zh-CN"/>
              </w:rPr>
            </w:pPr>
            <w:r>
              <w:rPr>
                <w:rFonts w:hint="eastAsia"/>
                <w:color w:val="auto"/>
                <w:sz w:val="21"/>
                <w:szCs w:val="21"/>
                <w:lang w:val="en-US" w:eastAsia="zh-CN"/>
              </w:rPr>
              <w:t>① 试剂室、危化室、</w:t>
            </w:r>
            <w:r>
              <w:rPr>
                <w:rFonts w:hint="default"/>
                <w:color w:val="auto"/>
                <w:sz w:val="21"/>
                <w:szCs w:val="21"/>
                <w:lang w:val="en-US" w:eastAsia="zh-CN"/>
              </w:rPr>
              <w:t>危废暂存间地面采取防渗、设置托盘、</w:t>
            </w:r>
            <w:r>
              <w:rPr>
                <w:rFonts w:hint="eastAsia"/>
                <w:color w:val="auto"/>
                <w:sz w:val="21"/>
                <w:szCs w:val="21"/>
                <w:lang w:val="en-US" w:eastAsia="zh-CN"/>
              </w:rPr>
              <w:t>高门槛</w:t>
            </w:r>
            <w:r>
              <w:rPr>
                <w:rFonts w:hint="default"/>
                <w:color w:val="auto"/>
                <w:sz w:val="21"/>
                <w:szCs w:val="21"/>
                <w:lang w:val="en-US" w:eastAsia="zh-CN"/>
              </w:rPr>
              <w:t>等风险防范措施；</w:t>
            </w:r>
          </w:p>
          <w:p w14:paraId="599AA645">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0" w:firstLineChars="0"/>
              <w:jc w:val="both"/>
              <w:textAlignment w:val="auto"/>
              <w:rPr>
                <w:rFonts w:hint="default"/>
                <w:color w:val="auto"/>
                <w:sz w:val="21"/>
                <w:szCs w:val="21"/>
                <w:lang w:val="en-US" w:eastAsia="zh-CN"/>
              </w:rPr>
            </w:pPr>
            <w:r>
              <w:rPr>
                <w:rFonts w:hint="eastAsia"/>
                <w:color w:val="auto"/>
                <w:sz w:val="21"/>
                <w:szCs w:val="21"/>
                <w:lang w:val="en-US" w:eastAsia="zh-CN"/>
              </w:rPr>
              <w:t xml:space="preserve">② </w:t>
            </w:r>
            <w:r>
              <w:rPr>
                <w:rFonts w:hint="default"/>
                <w:color w:val="auto"/>
                <w:sz w:val="21"/>
                <w:szCs w:val="21"/>
                <w:lang w:val="en-US" w:eastAsia="zh-CN"/>
              </w:rPr>
              <w:t>加强</w:t>
            </w:r>
            <w:r>
              <w:rPr>
                <w:rFonts w:hint="eastAsia"/>
                <w:color w:val="auto"/>
                <w:sz w:val="21"/>
                <w:szCs w:val="21"/>
                <w:lang w:val="en-US" w:eastAsia="zh-CN"/>
              </w:rPr>
              <w:t>废气</w:t>
            </w:r>
            <w:r>
              <w:rPr>
                <w:rFonts w:hint="default"/>
                <w:color w:val="auto"/>
                <w:sz w:val="21"/>
                <w:szCs w:val="21"/>
                <w:lang w:val="en-US" w:eastAsia="zh-CN"/>
              </w:rPr>
              <w:t>处理设施管理及维护，避免事故排放；</w:t>
            </w:r>
          </w:p>
          <w:p w14:paraId="43FE3A41">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0" w:firstLineChars="0"/>
              <w:jc w:val="both"/>
              <w:textAlignment w:val="auto"/>
              <w:rPr>
                <w:rFonts w:hint="eastAsia"/>
                <w:color w:val="auto"/>
                <w:sz w:val="21"/>
                <w:szCs w:val="21"/>
                <w:lang w:val="en-US" w:eastAsia="zh-CN"/>
              </w:rPr>
            </w:pPr>
            <w:r>
              <w:rPr>
                <w:rFonts w:hint="eastAsia"/>
                <w:color w:val="auto"/>
                <w:sz w:val="21"/>
                <w:szCs w:val="21"/>
                <w:lang w:val="en-US" w:eastAsia="zh-CN"/>
              </w:rPr>
              <w:t>③ 实验室</w:t>
            </w:r>
            <w:r>
              <w:rPr>
                <w:rFonts w:hint="default"/>
                <w:color w:val="auto"/>
                <w:sz w:val="21"/>
                <w:szCs w:val="21"/>
                <w:lang w:val="en-US" w:eastAsia="zh-CN"/>
              </w:rPr>
              <w:t>内严禁烟火</w:t>
            </w:r>
            <w:r>
              <w:rPr>
                <w:rFonts w:hint="eastAsia"/>
                <w:color w:val="auto"/>
                <w:sz w:val="21"/>
                <w:szCs w:val="21"/>
                <w:lang w:val="en-US" w:eastAsia="zh-CN"/>
              </w:rPr>
              <w:t>，加强员工消防意识和技能培训，配套各类必要消防设备；</w:t>
            </w:r>
          </w:p>
          <w:p w14:paraId="6A20DA35">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leftChars="0" w:right="0" w:firstLine="0" w:firstLineChars="0"/>
              <w:jc w:val="both"/>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④ 配备防护工作服和口罩、手套</w:t>
            </w:r>
            <w:r>
              <w:rPr>
                <w:rFonts w:hint="eastAsia"/>
                <w:color w:val="auto"/>
                <w:sz w:val="21"/>
                <w:szCs w:val="21"/>
                <w:shd w:val="clear" w:fill="FFFFFF"/>
                <w:lang w:val="en-US" w:eastAsia="zh-CN"/>
              </w:rPr>
              <w:t>等</w:t>
            </w:r>
            <w:r>
              <w:rPr>
                <w:rFonts w:hint="eastAsia"/>
                <w:color w:val="auto"/>
                <w:sz w:val="21"/>
                <w:szCs w:val="21"/>
                <w:lang w:val="en-US" w:eastAsia="zh-CN"/>
              </w:rPr>
              <w:t>及应急医治伤员的必要药品，加强管理操作人员的劳动保护用品的穿戴加强管理，确保安全作业</w:t>
            </w:r>
          </w:p>
        </w:tc>
      </w:tr>
      <w:tr w14:paraId="545730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01" w:hRule="atLeast"/>
          <w:jc w:val="center"/>
        </w:trPr>
        <w:tc>
          <w:tcPr>
            <w:tcW w:w="1000" w:type="dxa"/>
            <w:noWrap w:val="0"/>
            <w:vAlign w:val="center"/>
          </w:tcPr>
          <w:p w14:paraId="7407ACFB">
            <w:pPr>
              <w:pStyle w:val="36"/>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color w:val="auto"/>
                <w:sz w:val="21"/>
                <w:szCs w:val="21"/>
                <w:lang w:val="en-US" w:eastAsia="zh-CN"/>
              </w:rPr>
              <w:t>其他环境管理要求</w:t>
            </w:r>
          </w:p>
        </w:tc>
        <w:tc>
          <w:tcPr>
            <w:tcW w:w="8053" w:type="dxa"/>
            <w:gridSpan w:val="4"/>
            <w:noWrap w:val="0"/>
            <w:vAlign w:val="center"/>
          </w:tcPr>
          <w:p w14:paraId="3B6AAEB5">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1、竣工环境保护验收</w:t>
            </w:r>
          </w:p>
          <w:p w14:paraId="14BBEB81">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根据《建设项目竣工环境保护验收暂行办法》的规定，建设项目竣工后，建设单位应当如实查验、监测、记载建设项目环境保护设施的建设和调试情况，编制验收监测报告表。除按照国家规定需要保密的情形外，建设单位应当依法向社会公开验收报告。建设项目配套建设的环境保护设施经验收合格，方可投入生产或者使用；未经验收或者验收不合格的，不得投入生产或者使用。</w:t>
            </w:r>
          </w:p>
          <w:p w14:paraId="6828B121">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2、排污许可管理要求</w:t>
            </w:r>
          </w:p>
          <w:p w14:paraId="5E79AF9B">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根据《固定污染源排污许可分类管理名录</w:t>
            </w:r>
            <w:r>
              <w:rPr>
                <w:rFonts w:hint="eastAsia"/>
                <w:color w:val="auto"/>
                <w:sz w:val="21"/>
                <w:szCs w:val="21"/>
                <w:lang w:val="en-US" w:eastAsia="zh-CN"/>
              </w:rPr>
              <w:t>（</w:t>
            </w:r>
            <w:r>
              <w:rPr>
                <w:rFonts w:hint="default"/>
                <w:color w:val="auto"/>
                <w:sz w:val="21"/>
                <w:szCs w:val="21"/>
                <w:lang w:val="en-US" w:eastAsia="zh-CN"/>
              </w:rPr>
              <w:t>2019年版</w:t>
            </w:r>
            <w:r>
              <w:rPr>
                <w:rFonts w:hint="eastAsia"/>
                <w:color w:val="auto"/>
                <w:sz w:val="21"/>
                <w:szCs w:val="21"/>
                <w:lang w:val="en-US" w:eastAsia="zh-CN"/>
              </w:rPr>
              <w:t>）</w:t>
            </w:r>
            <w:r>
              <w:rPr>
                <w:rFonts w:hint="default"/>
                <w:color w:val="auto"/>
                <w:sz w:val="21"/>
                <w:szCs w:val="21"/>
                <w:lang w:val="en-US" w:eastAsia="zh-CN"/>
              </w:rPr>
              <w:t>》（生态环境部令 第11号）可知，本项目未纳入排污许可管理名录。</w:t>
            </w:r>
          </w:p>
          <w:p w14:paraId="7A8C21B7">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3、建立环境管理制度</w:t>
            </w:r>
          </w:p>
          <w:p w14:paraId="6CF3DE3F">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从本项目建设全过程进行，如设计阶段污染防范、施工阶段污染防治、运营后环保设施环境管理、信息反馈和群众监督各方面形成网络管理，使环境管理工作贯穿于生产的全过程中。</w:t>
            </w:r>
          </w:p>
          <w:p w14:paraId="13E4CE62">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4、排污口规范管理</w:t>
            </w:r>
          </w:p>
          <w:p w14:paraId="2940D69F">
            <w:pPr>
              <w:pStyle w:val="36"/>
              <w:keepNext w:val="0"/>
              <w:keepLines w:val="0"/>
              <w:pageBreakBefore w:val="0"/>
              <w:widowControl w:val="0"/>
              <w:suppressLineNumbers w:val="0"/>
              <w:kinsoku/>
              <w:wordWrap/>
              <w:overflowPunct/>
              <w:topLinePunct w:val="0"/>
              <w:bidi w:val="0"/>
              <w:spacing w:before="0" w:beforeAutospacing="0" w:after="0" w:afterAutospacing="0" w:line="360" w:lineRule="auto"/>
              <w:ind w:left="0" w:right="0"/>
              <w:jc w:val="both"/>
              <w:textAlignment w:val="auto"/>
              <w:rPr>
                <w:rFonts w:hint="default"/>
                <w:color w:val="auto"/>
                <w:sz w:val="21"/>
                <w:szCs w:val="21"/>
                <w:lang w:val="en-US" w:eastAsia="zh-CN"/>
              </w:rPr>
            </w:pPr>
            <w:r>
              <w:rPr>
                <w:rFonts w:hint="default"/>
                <w:color w:val="auto"/>
                <w:sz w:val="21"/>
                <w:szCs w:val="21"/>
                <w:lang w:val="en-US" w:eastAsia="zh-CN"/>
              </w:rPr>
              <w:t>规范化排放口：排放口应预留监测口做到便于采样和测定流量，并设立专门的标志（有要求监控的项目应论述），执行《环境保护图形标志排放口（源）》（GB15562.1-1995）</w:t>
            </w:r>
            <w:r>
              <w:rPr>
                <w:rFonts w:hint="eastAsia"/>
                <w:color w:val="auto"/>
                <w:sz w:val="21"/>
                <w:szCs w:val="21"/>
                <w:lang w:val="en-US" w:eastAsia="zh-CN"/>
              </w:rPr>
              <w:t>、</w:t>
            </w:r>
            <w:r>
              <w:rPr>
                <w:rFonts w:hint="default"/>
                <w:color w:val="auto"/>
                <w:sz w:val="21"/>
                <w:szCs w:val="21"/>
                <w:lang w:val="en-US" w:eastAsia="zh-CN"/>
              </w:rPr>
              <w:t>《</w:t>
            </w:r>
            <w:r>
              <w:rPr>
                <w:rFonts w:hint="eastAsia"/>
                <w:color w:val="auto"/>
                <w:sz w:val="21"/>
                <w:szCs w:val="21"/>
                <w:lang w:val="en-US" w:eastAsia="zh-CN"/>
              </w:rPr>
              <w:t>环境保护图形标志固体废物贮存（处置）场</w:t>
            </w:r>
            <w:r>
              <w:rPr>
                <w:rFonts w:hint="default"/>
                <w:color w:val="auto"/>
                <w:sz w:val="21"/>
                <w:szCs w:val="21"/>
                <w:lang w:val="en-US" w:eastAsia="zh-CN"/>
              </w:rPr>
              <w:t>》（GB 15562.2-1995）</w:t>
            </w:r>
            <w:r>
              <w:rPr>
                <w:rFonts w:hint="eastAsia"/>
                <w:color w:val="auto"/>
                <w:sz w:val="21"/>
                <w:szCs w:val="21"/>
                <w:lang w:val="en-US" w:eastAsia="zh-CN"/>
              </w:rPr>
              <w:t>及其修改单（2023年1月20日）和《危险废物识别标志设置技术规范》（HJ 1276-2022）。</w:t>
            </w:r>
            <w:r>
              <w:rPr>
                <w:rFonts w:hint="default"/>
                <w:color w:val="auto"/>
                <w:sz w:val="21"/>
                <w:szCs w:val="21"/>
                <w:lang w:val="en-US" w:eastAsia="zh-CN"/>
              </w:rPr>
              <w:t>标志牌应设在与之功能相应的醒目处，并保持清晰、完整。</w:t>
            </w:r>
          </w:p>
          <w:p w14:paraId="091D478F">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auto"/>
              <w:ind w:left="0" w:right="0" w:firstLineChars="0"/>
              <w:jc w:val="center"/>
              <w:textAlignment w:val="auto"/>
              <w:rPr>
                <w:rFonts w:hint="default" w:ascii="Times New Roman" w:hAnsi="Times New Roman" w:eastAsia="宋体" w:cs="Times New Roman"/>
                <w:color w:val="auto"/>
                <w:sz w:val="21"/>
                <w:szCs w:val="21"/>
                <w:lang w:val="en-US" w:eastAsia="zh-CN"/>
              </w:rPr>
            </w:pPr>
          </w:p>
        </w:tc>
      </w:tr>
    </w:tbl>
    <w:p w14:paraId="66DBFA7B">
      <w:pPr>
        <w:bidi w:val="0"/>
        <w:rPr>
          <w:rFonts w:hint="default" w:ascii="Times New Roman" w:hAnsi="Times New Roman" w:cs="Times New Roman"/>
          <w:color w:val="auto"/>
          <w:highlight w:val="none"/>
        </w:rPr>
      </w:pPr>
      <w:r>
        <w:rPr>
          <w:rFonts w:hint="default" w:ascii="Times New Roman" w:hAnsi="Times New Roman" w:cs="Times New Roman"/>
          <w:color w:val="auto"/>
          <w:sz w:val="21"/>
          <w:szCs w:val="21"/>
          <w:highlight w:val="none"/>
        </w:rPr>
        <w:br w:type="page"/>
      </w:r>
    </w:p>
    <w:p w14:paraId="611DDC83">
      <w:pPr>
        <w:pStyle w:val="4"/>
        <w:bidi w:val="0"/>
        <w:rPr>
          <w:rFonts w:hint="default"/>
          <w:color w:val="auto"/>
        </w:rPr>
      </w:pPr>
      <w:bookmarkStart w:id="114" w:name="_Toc12861"/>
      <w:bookmarkStart w:id="115" w:name="_Toc2902"/>
      <w:r>
        <w:rPr>
          <w:rFonts w:hint="default"/>
          <w:color w:val="auto"/>
        </w:rPr>
        <w:t>结论</w:t>
      </w:r>
      <w:bookmarkEnd w:id="114"/>
      <w:bookmarkEnd w:id="115"/>
    </w:p>
    <w:tbl>
      <w:tblPr>
        <w:tblStyle w:val="28"/>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2D9161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1095A8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本项目符合国家产业政策，符合规划及规划环评要求，符合生态环境分区管控要求，选址基本合理。通过对本项目的环境影响分析，项目运营过程中废水、废气、噪声、固废等污染物对周围环境空气质量、水环境、声环境、地下水和土壤环境</w:t>
            </w:r>
            <w:r>
              <w:rPr>
                <w:rFonts w:hint="eastAsia" w:ascii="Times New Roman" w:hAnsi="Times New Roman" w:eastAsia="宋体" w:cs="Times New Roman"/>
                <w:color w:val="auto"/>
                <w:kern w:val="2"/>
                <w:sz w:val="24"/>
                <w:szCs w:val="20"/>
                <w:highlight w:val="none"/>
                <w:shd w:val="clear" w:fill="FFFFFF"/>
                <w:lang w:val="en-US" w:eastAsia="zh-CN" w:bidi="ar-SA"/>
              </w:rPr>
              <w:t>等会</w:t>
            </w:r>
            <w:r>
              <w:rPr>
                <w:rFonts w:hint="eastAsia" w:ascii="Times New Roman" w:hAnsi="Times New Roman" w:eastAsia="宋体" w:cs="Times New Roman"/>
                <w:color w:val="auto"/>
                <w:kern w:val="2"/>
                <w:sz w:val="24"/>
                <w:szCs w:val="20"/>
                <w:highlight w:val="none"/>
                <w:lang w:val="en-US" w:eastAsia="zh-CN" w:bidi="ar-SA"/>
              </w:rPr>
              <w:t>造成一定不利影响，经采取综合性、积极有效的防治措施并确保污染物达标排放后，可避免或减少这些不利影响，影响均在环境可接受的范围内。</w:t>
            </w:r>
          </w:p>
          <w:p w14:paraId="60875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综上所述，在严格执行环保“三同时”制度，全面落实环境影响报告表提出的各项污染防治措施、加强环境风险管理并确保各类污染物达标排放的前提下，从环境影响的角度分析，项目建设可行。</w:t>
            </w:r>
          </w:p>
          <w:p w14:paraId="0A985FE0">
            <w:pPr>
              <w:keepNext w:val="0"/>
              <w:keepLines w:val="0"/>
              <w:suppressLineNumbers w:val="0"/>
              <w:spacing w:before="0" w:beforeAutospacing="0" w:after="0" w:afterAutospacing="0"/>
              <w:ind w:left="0" w:right="0"/>
              <w:rPr>
                <w:rFonts w:hint="default" w:ascii="Times New Roman" w:hAnsi="Times New Roman" w:cs="Times New Roman"/>
                <w:color w:val="auto"/>
                <w:highlight w:val="none"/>
              </w:rPr>
            </w:pPr>
          </w:p>
          <w:p w14:paraId="43F4B738">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5BCAFF4A">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78BFDD4B">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6A5B7552">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3B55BFEC">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szCs w:val="24"/>
                <w:highlight w:val="none"/>
                <w:lang w:eastAsia="zh-CN"/>
              </w:rPr>
            </w:pPr>
          </w:p>
          <w:p w14:paraId="681F8059">
            <w:pPr>
              <w:keepNext w:val="0"/>
              <w:keepLines w:val="0"/>
              <w:suppressLineNumbers w:val="0"/>
              <w:spacing w:before="0" w:beforeAutospacing="0" w:after="0" w:afterAutospacing="0"/>
              <w:ind w:left="0" w:right="0"/>
              <w:rPr>
                <w:rFonts w:hint="default" w:ascii="Times New Roman" w:hAnsi="Times New Roman" w:cs="Times New Roman"/>
                <w:color w:val="auto"/>
                <w:sz w:val="24"/>
                <w:szCs w:val="24"/>
                <w:highlight w:val="none"/>
              </w:rPr>
            </w:pPr>
          </w:p>
          <w:p w14:paraId="4E164362">
            <w:pPr>
              <w:keepNext w:val="0"/>
              <w:keepLines w:val="0"/>
              <w:suppressLineNumbers w:val="0"/>
              <w:spacing w:before="0" w:beforeAutospacing="0" w:after="0" w:afterAutospacing="0"/>
              <w:ind w:left="0" w:right="0"/>
              <w:jc w:val="right"/>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福建省闽创环保科技有限公司</w:t>
            </w:r>
          </w:p>
          <w:p w14:paraId="6AD4AF6A">
            <w:pPr>
              <w:keepNext w:val="0"/>
              <w:keepLines w:val="0"/>
              <w:suppressLineNumbers w:val="0"/>
              <w:wordWrap w:val="0"/>
              <w:spacing w:before="0" w:beforeAutospacing="0" w:after="0" w:afterAutospacing="0"/>
              <w:ind w:left="0" w:right="0"/>
              <w:jc w:val="right"/>
              <w:rPr>
                <w:rFonts w:hint="default" w:ascii="Times New Roman" w:hAnsi="Times New Roman" w:eastAsia="宋体" w:cs="Times New Roman"/>
                <w:b/>
                <w:bCs/>
                <w:color w:val="auto"/>
                <w:sz w:val="24"/>
                <w:highlight w:val="none"/>
                <w:lang w:val="en-US" w:eastAsia="zh-CN"/>
              </w:rPr>
            </w:pPr>
            <w:r>
              <w:rPr>
                <w:rFonts w:hint="default" w:ascii="Times New Roman" w:hAnsi="Times New Roman" w:cs="Times New Roman"/>
                <w:b/>
                <w:bCs/>
                <w:color w:val="auto"/>
                <w:sz w:val="24"/>
                <w:highlight w:val="none"/>
                <w:shd w:val="clear" w:fill="FFFFFF"/>
                <w:lang w:val="zh-CN"/>
              </w:rPr>
              <w:t>202</w:t>
            </w:r>
            <w:r>
              <w:rPr>
                <w:rFonts w:hint="eastAsia" w:cs="Times New Roman"/>
                <w:b/>
                <w:bCs/>
                <w:color w:val="auto"/>
                <w:sz w:val="24"/>
                <w:highlight w:val="none"/>
                <w:shd w:val="clear" w:fill="FFFFFF"/>
                <w:lang w:val="en-US" w:eastAsia="zh-CN"/>
              </w:rPr>
              <w:t>5</w:t>
            </w:r>
            <w:r>
              <w:rPr>
                <w:rFonts w:hint="default" w:ascii="Times New Roman" w:hAnsi="Times New Roman" w:cs="Times New Roman"/>
                <w:b/>
                <w:bCs/>
                <w:color w:val="auto"/>
                <w:sz w:val="24"/>
                <w:highlight w:val="none"/>
                <w:shd w:val="clear" w:fill="FFFFFF"/>
                <w:lang w:val="zh-CN"/>
              </w:rPr>
              <w:t>年</w:t>
            </w:r>
            <w:r>
              <w:rPr>
                <w:rFonts w:hint="eastAsia" w:cs="Times New Roman"/>
                <w:b/>
                <w:bCs/>
                <w:color w:val="auto"/>
                <w:sz w:val="24"/>
                <w:highlight w:val="none"/>
                <w:shd w:val="clear" w:fill="FFFFFF"/>
                <w:lang w:val="en-US" w:eastAsia="zh-CN"/>
              </w:rPr>
              <w:t>03</w:t>
            </w:r>
            <w:r>
              <w:rPr>
                <w:rFonts w:hint="default" w:ascii="Times New Roman" w:hAnsi="Times New Roman" w:cs="Times New Roman"/>
                <w:b/>
                <w:bCs/>
                <w:color w:val="auto"/>
                <w:sz w:val="24"/>
                <w:highlight w:val="none"/>
                <w:shd w:val="clear" w:fill="FFFFFF"/>
                <w:lang w:val="zh-CN"/>
              </w:rPr>
              <w:t>月</w:t>
            </w:r>
            <w:r>
              <w:rPr>
                <w:rFonts w:hint="eastAsia" w:cs="Times New Roman"/>
                <w:b/>
                <w:bCs/>
                <w:color w:val="auto"/>
                <w:sz w:val="24"/>
                <w:highlight w:val="none"/>
                <w:lang w:val="en-US" w:eastAsia="zh-CN"/>
              </w:rPr>
              <w:t xml:space="preserve">       </w:t>
            </w:r>
          </w:p>
          <w:p w14:paraId="399107D9">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highlight w:val="none"/>
              </w:rPr>
            </w:pPr>
          </w:p>
        </w:tc>
      </w:tr>
    </w:tbl>
    <w:p w14:paraId="3E46CFC4">
      <w:pPr>
        <w:jc w:val="center"/>
        <w:rPr>
          <w:rFonts w:hint="default" w:ascii="Times New Roman" w:hAnsi="Times New Roman" w:cs="Times New Roman"/>
          <w:color w:val="auto"/>
          <w:highlight w:val="none"/>
        </w:rPr>
        <w:sectPr>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32AB944F">
      <w:pPr>
        <w:spacing w:line="360" w:lineRule="auto"/>
        <w:outlineLvl w:val="0"/>
        <w:rPr>
          <w:rFonts w:hint="default"/>
          <w:b/>
          <w:bCs/>
          <w:color w:val="auto"/>
          <w:sz w:val="28"/>
          <w:szCs w:val="28"/>
          <w:lang w:val="en-US" w:eastAsia="zh-CN"/>
        </w:rPr>
      </w:pPr>
      <w:bookmarkStart w:id="116" w:name="_Toc28936"/>
      <w:bookmarkStart w:id="117" w:name="_Toc14758"/>
      <w:r>
        <w:rPr>
          <w:rFonts w:hint="eastAsia"/>
          <w:b/>
          <w:bCs/>
          <w:color w:val="auto"/>
          <w:sz w:val="28"/>
          <w:szCs w:val="28"/>
          <w:lang w:val="en-US" w:eastAsia="zh-CN"/>
        </w:rPr>
        <w:t>附表 建设项目污染物排放量汇总表</w:t>
      </w:r>
      <w:bookmarkEnd w:id="116"/>
      <w:bookmarkEnd w:id="117"/>
    </w:p>
    <w:p w14:paraId="6F4D6690">
      <w:pPr>
        <w:keepNext w:val="0"/>
        <w:keepLines w:val="0"/>
        <w:pageBreakBefore w:val="0"/>
        <w:widowControl w:val="0"/>
        <w:kinsoku/>
        <w:wordWrap/>
        <w:overflowPunct/>
        <w:topLinePunct w:val="0"/>
        <w:autoSpaceDE/>
        <w:autoSpaceDN/>
        <w:bidi w:val="0"/>
        <w:adjustRightInd w:val="0"/>
        <w:snapToGrid w:val="0"/>
        <w:jc w:val="center"/>
        <w:textAlignment w:val="auto"/>
        <w:outlineLvl w:val="9"/>
        <w:rPr>
          <w:rFonts w:hint="default" w:eastAsia="方正小标宋_GBK"/>
          <w:snapToGrid w:val="0"/>
          <w:color w:val="auto"/>
          <w:sz w:val="38"/>
          <w:szCs w:val="38"/>
          <w:lang w:val="en-US" w:eastAsia="zh-CN"/>
        </w:rPr>
      </w:pPr>
      <w:r>
        <w:rPr>
          <w:rFonts w:eastAsia="方正小标宋_GBK"/>
          <w:snapToGrid w:val="0"/>
          <w:color w:val="auto"/>
          <w:sz w:val="38"/>
          <w:szCs w:val="38"/>
        </w:rPr>
        <w:t>建设项目污染物排放量汇总表</w:t>
      </w:r>
      <w:r>
        <w:rPr>
          <w:rFonts w:hint="eastAsia" w:eastAsia="方正小标宋_GBK"/>
          <w:snapToGrid w:val="0"/>
          <w:color w:val="auto"/>
          <w:sz w:val="38"/>
          <w:szCs w:val="38"/>
          <w:lang w:val="en-US" w:eastAsia="zh-CN"/>
        </w:rPr>
        <w:t xml:space="preserve">  单</w:t>
      </w:r>
      <w:r>
        <w:rPr>
          <w:rFonts w:hint="eastAsia" w:ascii="Times New Roman" w:hAnsi="Times New Roman" w:eastAsia="方正小标宋_GBK" w:cs="Times New Roman"/>
          <w:snapToGrid w:val="0"/>
          <w:color w:val="auto"/>
          <w:sz w:val="38"/>
          <w:szCs w:val="38"/>
          <w:lang w:val="en-US" w:eastAsia="zh-CN"/>
        </w:rPr>
        <w:t>位：t/a</w:t>
      </w:r>
    </w:p>
    <w:tbl>
      <w:tblPr>
        <w:tblStyle w:val="28"/>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775"/>
        <w:gridCol w:w="1650"/>
        <w:gridCol w:w="1346"/>
        <w:gridCol w:w="1573"/>
        <w:gridCol w:w="1559"/>
        <w:gridCol w:w="1557"/>
        <w:gridCol w:w="1590"/>
        <w:gridCol w:w="1399"/>
      </w:tblGrid>
      <w:tr w14:paraId="6CBF83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blHeader/>
        </w:trPr>
        <w:tc>
          <w:tcPr>
            <w:tcW w:w="1339" w:type="dxa"/>
            <w:tcBorders>
              <w:tl2br w:val="single" w:color="auto" w:sz="4" w:space="0"/>
            </w:tcBorders>
            <w:tcMar>
              <w:left w:w="28" w:type="dxa"/>
              <w:right w:w="28" w:type="dxa"/>
            </w:tcMar>
            <w:vAlign w:val="center"/>
          </w:tcPr>
          <w:p w14:paraId="1BFE2000">
            <w:pPr>
              <w:keepNext w:val="0"/>
              <w:keepLines w:val="0"/>
              <w:suppressLineNumbers w:val="0"/>
              <w:wordWrap w:val="0"/>
              <w:spacing w:before="0" w:beforeAutospacing="0" w:after="0" w:afterAutospacing="0"/>
              <w:ind w:left="0" w:right="0"/>
              <w:jc w:val="right"/>
              <w:rPr>
                <w:rFonts w:hint="default"/>
                <w:snapToGrid w:val="0"/>
                <w:color w:val="auto"/>
                <w:spacing w:val="-6"/>
                <w:kern w:val="21"/>
                <w:szCs w:val="21"/>
              </w:rPr>
            </w:pPr>
            <w:r>
              <w:rPr>
                <w:rFonts w:hint="default"/>
                <w:snapToGrid w:val="0"/>
                <w:color w:val="auto"/>
                <w:spacing w:val="-6"/>
                <w:kern w:val="21"/>
                <w:szCs w:val="21"/>
              </w:rPr>
              <w:t>项目</w:t>
            </w:r>
            <w:r>
              <w:rPr>
                <w:rFonts w:hint="eastAsia"/>
                <w:snapToGrid w:val="0"/>
                <w:color w:val="auto"/>
                <w:spacing w:val="-6"/>
                <w:kern w:val="21"/>
                <w:szCs w:val="21"/>
              </w:rPr>
              <w:t xml:space="preserve"> </w:t>
            </w:r>
          </w:p>
          <w:p w14:paraId="71F68FEA">
            <w:pPr>
              <w:keepNext w:val="0"/>
              <w:keepLines w:val="0"/>
              <w:suppressLineNumbers w:val="0"/>
              <w:spacing w:before="0" w:beforeAutospacing="0" w:after="0" w:afterAutospacing="0"/>
              <w:ind w:left="0" w:right="0" w:firstLine="198" w:firstLineChars="100"/>
              <w:jc w:val="left"/>
              <w:rPr>
                <w:rFonts w:hint="default"/>
                <w:snapToGrid w:val="0"/>
                <w:color w:val="auto"/>
                <w:spacing w:val="-6"/>
                <w:kern w:val="21"/>
                <w:szCs w:val="21"/>
              </w:rPr>
            </w:pPr>
            <w:r>
              <w:rPr>
                <w:rFonts w:hint="default"/>
                <w:snapToGrid w:val="0"/>
                <w:color w:val="auto"/>
                <w:spacing w:val="-6"/>
                <w:kern w:val="21"/>
                <w:szCs w:val="21"/>
              </w:rPr>
              <w:t>分类</w:t>
            </w:r>
          </w:p>
        </w:tc>
        <w:tc>
          <w:tcPr>
            <w:tcW w:w="1775" w:type="dxa"/>
            <w:tcMar>
              <w:left w:w="28" w:type="dxa"/>
              <w:right w:w="28" w:type="dxa"/>
            </w:tcMar>
            <w:vAlign w:val="center"/>
          </w:tcPr>
          <w:p w14:paraId="6930CFCD">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污染物名称</w:t>
            </w:r>
          </w:p>
        </w:tc>
        <w:tc>
          <w:tcPr>
            <w:tcW w:w="1650" w:type="dxa"/>
            <w:tcMar>
              <w:left w:w="28" w:type="dxa"/>
              <w:right w:w="28" w:type="dxa"/>
            </w:tcMar>
            <w:vAlign w:val="center"/>
          </w:tcPr>
          <w:p w14:paraId="5C386A58">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现有工程</w:t>
            </w:r>
          </w:p>
          <w:p w14:paraId="5753A30D">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排放量</w:t>
            </w:r>
            <w:r>
              <w:rPr>
                <w:rFonts w:hint="eastAsia"/>
                <w:snapToGrid w:val="0"/>
                <w:color w:val="auto"/>
                <w:spacing w:val="-6"/>
                <w:kern w:val="21"/>
                <w:szCs w:val="21"/>
              </w:rPr>
              <w:t>（</w:t>
            </w:r>
            <w:r>
              <w:rPr>
                <w:rFonts w:hint="default"/>
                <w:snapToGrid w:val="0"/>
                <w:color w:val="auto"/>
                <w:spacing w:val="-6"/>
                <w:kern w:val="21"/>
                <w:szCs w:val="21"/>
              </w:rPr>
              <w:t>固体废物产生量</w:t>
            </w:r>
            <w:r>
              <w:rPr>
                <w:rFonts w:hint="eastAsia"/>
                <w:snapToGrid w:val="0"/>
                <w:color w:val="auto"/>
                <w:spacing w:val="-6"/>
                <w:kern w:val="21"/>
                <w:szCs w:val="21"/>
              </w:rPr>
              <w:t>）</w:t>
            </w:r>
            <w:r>
              <w:rPr>
                <w:rFonts w:hint="default"/>
                <w:snapToGrid w:val="0"/>
                <w:color w:val="auto"/>
                <w:spacing w:val="-6"/>
                <w:kern w:val="21"/>
                <w:szCs w:val="21"/>
              </w:rPr>
              <w:fldChar w:fldCharType="begin"/>
            </w:r>
            <w:r>
              <w:rPr>
                <w:rFonts w:hint="default"/>
                <w:snapToGrid w:val="0"/>
                <w:color w:val="auto"/>
                <w:spacing w:val="-6"/>
                <w:kern w:val="21"/>
                <w:szCs w:val="21"/>
              </w:rPr>
              <w:instrText xml:space="preserve"> = 1 \* GB3 \* MERGEFORMAT </w:instrText>
            </w:r>
            <w:r>
              <w:rPr>
                <w:rFonts w:hint="default"/>
                <w:snapToGrid w:val="0"/>
                <w:color w:val="auto"/>
                <w:spacing w:val="-6"/>
                <w:kern w:val="21"/>
                <w:szCs w:val="21"/>
              </w:rPr>
              <w:fldChar w:fldCharType="separate"/>
            </w:r>
            <w:r>
              <w:rPr>
                <w:rFonts w:hint="eastAsia" w:ascii="宋体" w:hAnsi="宋体" w:cs="宋体"/>
                <w:color w:val="auto"/>
                <w:szCs w:val="21"/>
              </w:rPr>
              <w:t>①</w:t>
            </w:r>
            <w:r>
              <w:rPr>
                <w:rFonts w:hint="default"/>
                <w:snapToGrid w:val="0"/>
                <w:color w:val="auto"/>
                <w:spacing w:val="-6"/>
                <w:kern w:val="21"/>
                <w:szCs w:val="21"/>
              </w:rPr>
              <w:fldChar w:fldCharType="end"/>
            </w:r>
          </w:p>
        </w:tc>
        <w:tc>
          <w:tcPr>
            <w:tcW w:w="1346" w:type="dxa"/>
            <w:tcMar>
              <w:left w:w="28" w:type="dxa"/>
              <w:right w:w="28" w:type="dxa"/>
            </w:tcMar>
            <w:vAlign w:val="center"/>
          </w:tcPr>
          <w:p w14:paraId="1B1C18CD">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现有工程</w:t>
            </w:r>
          </w:p>
          <w:p w14:paraId="31CC06C4">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许可排放量</w:t>
            </w:r>
          </w:p>
          <w:p w14:paraId="30452256">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fldChar w:fldCharType="begin"/>
            </w:r>
            <w:r>
              <w:rPr>
                <w:rFonts w:hint="default"/>
                <w:snapToGrid w:val="0"/>
                <w:color w:val="auto"/>
                <w:spacing w:val="-6"/>
                <w:kern w:val="21"/>
                <w:szCs w:val="21"/>
              </w:rPr>
              <w:instrText xml:space="preserve"> = 2 \* GB3 \* MERGEFORMAT </w:instrText>
            </w:r>
            <w:r>
              <w:rPr>
                <w:rFonts w:hint="default"/>
                <w:snapToGrid w:val="0"/>
                <w:color w:val="auto"/>
                <w:spacing w:val="-6"/>
                <w:kern w:val="21"/>
                <w:szCs w:val="21"/>
              </w:rPr>
              <w:fldChar w:fldCharType="separate"/>
            </w:r>
            <w:r>
              <w:rPr>
                <w:rFonts w:hint="eastAsia" w:ascii="宋体" w:hAnsi="宋体" w:cs="宋体"/>
                <w:snapToGrid w:val="0"/>
                <w:color w:val="auto"/>
                <w:spacing w:val="-6"/>
                <w:kern w:val="21"/>
                <w:szCs w:val="21"/>
              </w:rPr>
              <w:t>②</w:t>
            </w:r>
            <w:r>
              <w:rPr>
                <w:rFonts w:hint="default"/>
                <w:snapToGrid w:val="0"/>
                <w:color w:val="auto"/>
                <w:spacing w:val="-6"/>
                <w:kern w:val="21"/>
                <w:szCs w:val="21"/>
              </w:rPr>
              <w:fldChar w:fldCharType="end"/>
            </w:r>
          </w:p>
        </w:tc>
        <w:tc>
          <w:tcPr>
            <w:tcW w:w="1573" w:type="dxa"/>
            <w:tcMar>
              <w:left w:w="28" w:type="dxa"/>
              <w:right w:w="28" w:type="dxa"/>
            </w:tcMar>
            <w:vAlign w:val="center"/>
          </w:tcPr>
          <w:p w14:paraId="61FFCB85">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在建工程</w:t>
            </w:r>
          </w:p>
          <w:p w14:paraId="098E35E5">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排放量</w:t>
            </w:r>
            <w:r>
              <w:rPr>
                <w:rFonts w:hint="eastAsia"/>
                <w:snapToGrid w:val="0"/>
                <w:color w:val="auto"/>
                <w:spacing w:val="-6"/>
                <w:kern w:val="21"/>
                <w:szCs w:val="21"/>
              </w:rPr>
              <w:t>（</w:t>
            </w:r>
            <w:r>
              <w:rPr>
                <w:rFonts w:hint="default"/>
                <w:snapToGrid w:val="0"/>
                <w:color w:val="auto"/>
                <w:spacing w:val="-6"/>
                <w:kern w:val="21"/>
                <w:szCs w:val="21"/>
              </w:rPr>
              <w:t>固体废物产生量</w:t>
            </w:r>
            <w:r>
              <w:rPr>
                <w:rFonts w:hint="eastAsia"/>
                <w:snapToGrid w:val="0"/>
                <w:color w:val="auto"/>
                <w:spacing w:val="-6"/>
                <w:kern w:val="21"/>
                <w:szCs w:val="21"/>
              </w:rPr>
              <w:t>）</w:t>
            </w:r>
            <w:r>
              <w:rPr>
                <w:rFonts w:hint="default"/>
                <w:snapToGrid w:val="0"/>
                <w:color w:val="auto"/>
                <w:spacing w:val="-6"/>
                <w:kern w:val="21"/>
                <w:szCs w:val="21"/>
              </w:rPr>
              <w:fldChar w:fldCharType="begin"/>
            </w:r>
            <w:r>
              <w:rPr>
                <w:rFonts w:hint="default"/>
                <w:snapToGrid w:val="0"/>
                <w:color w:val="auto"/>
                <w:spacing w:val="-6"/>
                <w:kern w:val="21"/>
                <w:szCs w:val="21"/>
              </w:rPr>
              <w:instrText xml:space="preserve"> = 3 \* GB3 \* MERGEFORMAT </w:instrText>
            </w:r>
            <w:r>
              <w:rPr>
                <w:rFonts w:hint="default"/>
                <w:snapToGrid w:val="0"/>
                <w:color w:val="auto"/>
                <w:spacing w:val="-6"/>
                <w:kern w:val="21"/>
                <w:szCs w:val="21"/>
              </w:rPr>
              <w:fldChar w:fldCharType="separate"/>
            </w:r>
            <w:r>
              <w:rPr>
                <w:rFonts w:hint="eastAsia" w:ascii="宋体" w:hAnsi="宋体" w:cs="宋体"/>
                <w:color w:val="auto"/>
                <w:szCs w:val="21"/>
              </w:rPr>
              <w:t>③</w:t>
            </w:r>
            <w:r>
              <w:rPr>
                <w:rFonts w:hint="default"/>
                <w:snapToGrid w:val="0"/>
                <w:color w:val="auto"/>
                <w:spacing w:val="-6"/>
                <w:kern w:val="21"/>
                <w:szCs w:val="21"/>
              </w:rPr>
              <w:fldChar w:fldCharType="end"/>
            </w:r>
          </w:p>
        </w:tc>
        <w:tc>
          <w:tcPr>
            <w:tcW w:w="1559" w:type="dxa"/>
            <w:tcMar>
              <w:left w:w="28" w:type="dxa"/>
              <w:right w:w="28" w:type="dxa"/>
            </w:tcMar>
            <w:vAlign w:val="center"/>
          </w:tcPr>
          <w:p w14:paraId="6F6F5854">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本项目</w:t>
            </w:r>
          </w:p>
          <w:p w14:paraId="42799C6C">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排放量</w:t>
            </w:r>
            <w:r>
              <w:rPr>
                <w:rFonts w:hint="eastAsia"/>
                <w:snapToGrid w:val="0"/>
                <w:color w:val="auto"/>
                <w:spacing w:val="-6"/>
                <w:kern w:val="21"/>
                <w:szCs w:val="21"/>
              </w:rPr>
              <w:t>（</w:t>
            </w:r>
            <w:r>
              <w:rPr>
                <w:rFonts w:hint="default"/>
                <w:snapToGrid w:val="0"/>
                <w:color w:val="auto"/>
                <w:spacing w:val="-6"/>
                <w:kern w:val="21"/>
                <w:szCs w:val="21"/>
              </w:rPr>
              <w:t>固体废物产生量</w:t>
            </w:r>
            <w:r>
              <w:rPr>
                <w:rFonts w:hint="eastAsia"/>
                <w:snapToGrid w:val="0"/>
                <w:color w:val="auto"/>
                <w:spacing w:val="-6"/>
                <w:kern w:val="21"/>
                <w:szCs w:val="21"/>
              </w:rPr>
              <w:t>）</w:t>
            </w:r>
            <w:r>
              <w:rPr>
                <w:rFonts w:hint="default"/>
                <w:snapToGrid w:val="0"/>
                <w:color w:val="auto"/>
                <w:spacing w:val="-6"/>
                <w:kern w:val="21"/>
                <w:szCs w:val="21"/>
              </w:rPr>
              <w:fldChar w:fldCharType="begin"/>
            </w:r>
            <w:r>
              <w:rPr>
                <w:rFonts w:hint="default"/>
                <w:snapToGrid w:val="0"/>
                <w:color w:val="auto"/>
                <w:spacing w:val="-6"/>
                <w:kern w:val="21"/>
                <w:szCs w:val="21"/>
              </w:rPr>
              <w:instrText xml:space="preserve"> = 4 \* GB3 \* MERGEFORMAT </w:instrText>
            </w:r>
            <w:r>
              <w:rPr>
                <w:rFonts w:hint="default"/>
                <w:snapToGrid w:val="0"/>
                <w:color w:val="auto"/>
                <w:spacing w:val="-6"/>
                <w:kern w:val="21"/>
                <w:szCs w:val="21"/>
              </w:rPr>
              <w:fldChar w:fldCharType="separate"/>
            </w:r>
            <w:r>
              <w:rPr>
                <w:rFonts w:hint="eastAsia" w:ascii="宋体" w:hAnsi="宋体" w:cs="宋体"/>
                <w:color w:val="auto"/>
                <w:szCs w:val="21"/>
              </w:rPr>
              <w:t>④</w:t>
            </w:r>
            <w:r>
              <w:rPr>
                <w:rFonts w:hint="default"/>
                <w:snapToGrid w:val="0"/>
                <w:color w:val="auto"/>
                <w:spacing w:val="-6"/>
                <w:kern w:val="21"/>
                <w:szCs w:val="21"/>
              </w:rPr>
              <w:fldChar w:fldCharType="end"/>
            </w:r>
          </w:p>
        </w:tc>
        <w:tc>
          <w:tcPr>
            <w:tcW w:w="1557" w:type="dxa"/>
            <w:tcMar>
              <w:left w:w="28" w:type="dxa"/>
              <w:right w:w="28" w:type="dxa"/>
            </w:tcMar>
            <w:vAlign w:val="center"/>
          </w:tcPr>
          <w:p w14:paraId="5D374EAC">
            <w:pPr>
              <w:keepNext w:val="0"/>
              <w:keepLines w:val="0"/>
              <w:suppressLineNumbers w:val="0"/>
              <w:spacing w:before="0" w:beforeAutospacing="0" w:after="0" w:afterAutospacing="0"/>
              <w:ind w:left="0" w:right="0"/>
              <w:jc w:val="center"/>
              <w:rPr>
                <w:rFonts w:hint="default"/>
                <w:snapToGrid w:val="0"/>
                <w:color w:val="auto"/>
                <w:spacing w:val="-16"/>
                <w:kern w:val="21"/>
                <w:szCs w:val="21"/>
              </w:rPr>
            </w:pPr>
            <w:r>
              <w:rPr>
                <w:rFonts w:hint="default"/>
                <w:snapToGrid w:val="0"/>
                <w:color w:val="auto"/>
                <w:spacing w:val="-16"/>
                <w:kern w:val="21"/>
                <w:szCs w:val="21"/>
              </w:rPr>
              <w:t>以新带老削减量</w:t>
            </w:r>
          </w:p>
          <w:p w14:paraId="75886D85">
            <w:pPr>
              <w:keepNext w:val="0"/>
              <w:keepLines w:val="0"/>
              <w:suppressLineNumbers w:val="0"/>
              <w:spacing w:before="0" w:beforeAutospacing="0" w:after="0" w:afterAutospacing="0"/>
              <w:ind w:left="0" w:right="0"/>
              <w:jc w:val="center"/>
              <w:rPr>
                <w:rFonts w:hint="default"/>
                <w:snapToGrid w:val="0"/>
                <w:color w:val="auto"/>
                <w:spacing w:val="-16"/>
                <w:kern w:val="21"/>
                <w:szCs w:val="21"/>
              </w:rPr>
            </w:pPr>
            <w:r>
              <w:rPr>
                <w:rFonts w:hint="eastAsia"/>
                <w:snapToGrid w:val="0"/>
                <w:color w:val="auto"/>
                <w:spacing w:val="-16"/>
                <w:kern w:val="21"/>
                <w:szCs w:val="21"/>
              </w:rPr>
              <w:t>（</w:t>
            </w:r>
            <w:r>
              <w:rPr>
                <w:rFonts w:hint="default"/>
                <w:snapToGrid w:val="0"/>
                <w:color w:val="auto"/>
                <w:spacing w:val="-16"/>
                <w:kern w:val="21"/>
                <w:szCs w:val="21"/>
              </w:rPr>
              <w:t>新建项目不填</w:t>
            </w:r>
            <w:r>
              <w:rPr>
                <w:rFonts w:hint="eastAsia"/>
                <w:snapToGrid w:val="0"/>
                <w:color w:val="auto"/>
                <w:spacing w:val="-16"/>
                <w:kern w:val="21"/>
                <w:szCs w:val="21"/>
              </w:rPr>
              <w:t>）</w:t>
            </w:r>
            <w:r>
              <w:rPr>
                <w:rFonts w:hint="default"/>
                <w:snapToGrid w:val="0"/>
                <w:color w:val="auto"/>
                <w:spacing w:val="-16"/>
                <w:kern w:val="21"/>
                <w:szCs w:val="21"/>
              </w:rPr>
              <w:fldChar w:fldCharType="begin"/>
            </w:r>
            <w:r>
              <w:rPr>
                <w:rFonts w:hint="default"/>
                <w:snapToGrid w:val="0"/>
                <w:color w:val="auto"/>
                <w:spacing w:val="-16"/>
                <w:kern w:val="21"/>
                <w:szCs w:val="21"/>
              </w:rPr>
              <w:instrText xml:space="preserve"> = 5 \* GB3 \* MERGEFORMAT </w:instrText>
            </w:r>
            <w:r>
              <w:rPr>
                <w:rFonts w:hint="default"/>
                <w:snapToGrid w:val="0"/>
                <w:color w:val="auto"/>
                <w:spacing w:val="-16"/>
                <w:kern w:val="21"/>
                <w:szCs w:val="21"/>
              </w:rPr>
              <w:fldChar w:fldCharType="separate"/>
            </w:r>
            <w:r>
              <w:rPr>
                <w:rFonts w:hint="eastAsia" w:ascii="宋体" w:hAnsi="宋体" w:cs="宋体"/>
                <w:color w:val="auto"/>
                <w:szCs w:val="21"/>
              </w:rPr>
              <w:t>⑤</w:t>
            </w:r>
            <w:r>
              <w:rPr>
                <w:rFonts w:hint="default"/>
                <w:snapToGrid w:val="0"/>
                <w:color w:val="auto"/>
                <w:spacing w:val="-16"/>
                <w:kern w:val="21"/>
                <w:szCs w:val="21"/>
              </w:rPr>
              <w:fldChar w:fldCharType="end"/>
            </w:r>
          </w:p>
        </w:tc>
        <w:tc>
          <w:tcPr>
            <w:tcW w:w="1590" w:type="dxa"/>
            <w:tcMar>
              <w:left w:w="28" w:type="dxa"/>
              <w:right w:w="28" w:type="dxa"/>
            </w:tcMar>
            <w:vAlign w:val="center"/>
          </w:tcPr>
          <w:p w14:paraId="4E42D52C">
            <w:pPr>
              <w:keepNext w:val="0"/>
              <w:keepLines w:val="0"/>
              <w:suppressLineNumbers w:val="0"/>
              <w:spacing w:before="0" w:beforeAutospacing="0" w:after="0" w:afterAutospacing="0"/>
              <w:ind w:left="0" w:right="0"/>
              <w:jc w:val="center"/>
              <w:rPr>
                <w:rFonts w:hint="default"/>
                <w:snapToGrid w:val="0"/>
                <w:color w:val="auto"/>
                <w:spacing w:val="-16"/>
                <w:kern w:val="21"/>
                <w:szCs w:val="21"/>
              </w:rPr>
            </w:pPr>
            <w:r>
              <w:rPr>
                <w:rFonts w:hint="default"/>
                <w:snapToGrid w:val="0"/>
                <w:color w:val="auto"/>
                <w:spacing w:val="-16"/>
                <w:kern w:val="21"/>
                <w:szCs w:val="21"/>
              </w:rPr>
              <w:t>本项目建成后</w:t>
            </w:r>
          </w:p>
          <w:p w14:paraId="51B12DA0">
            <w:pPr>
              <w:keepNext w:val="0"/>
              <w:keepLines w:val="0"/>
              <w:suppressLineNumbers w:val="0"/>
              <w:spacing w:before="0" w:beforeAutospacing="0" w:after="0" w:afterAutospacing="0"/>
              <w:ind w:left="0" w:right="0"/>
              <w:jc w:val="center"/>
              <w:rPr>
                <w:rFonts w:hint="default"/>
                <w:snapToGrid w:val="0"/>
                <w:color w:val="auto"/>
                <w:spacing w:val="-16"/>
                <w:kern w:val="21"/>
                <w:szCs w:val="21"/>
              </w:rPr>
            </w:pPr>
            <w:r>
              <w:rPr>
                <w:rFonts w:hint="default"/>
                <w:snapToGrid w:val="0"/>
                <w:color w:val="auto"/>
                <w:spacing w:val="-16"/>
                <w:kern w:val="21"/>
                <w:szCs w:val="21"/>
              </w:rPr>
              <w:t>全厂排放量</w:t>
            </w:r>
            <w:r>
              <w:rPr>
                <w:rFonts w:hint="eastAsia"/>
                <w:snapToGrid w:val="0"/>
                <w:color w:val="auto"/>
                <w:spacing w:val="-6"/>
                <w:kern w:val="21"/>
                <w:szCs w:val="21"/>
              </w:rPr>
              <w:t>（</w:t>
            </w:r>
            <w:r>
              <w:rPr>
                <w:rFonts w:hint="default"/>
                <w:snapToGrid w:val="0"/>
                <w:color w:val="auto"/>
                <w:spacing w:val="-6"/>
                <w:kern w:val="21"/>
                <w:szCs w:val="21"/>
              </w:rPr>
              <w:t>固体废物产生量</w:t>
            </w:r>
            <w:r>
              <w:rPr>
                <w:rFonts w:hint="eastAsia"/>
                <w:snapToGrid w:val="0"/>
                <w:color w:val="auto"/>
                <w:spacing w:val="-6"/>
                <w:kern w:val="21"/>
                <w:szCs w:val="21"/>
              </w:rPr>
              <w:t>）</w:t>
            </w:r>
            <w:r>
              <w:rPr>
                <w:rFonts w:hint="default"/>
                <w:snapToGrid w:val="0"/>
                <w:color w:val="auto"/>
                <w:spacing w:val="-16"/>
                <w:kern w:val="21"/>
                <w:szCs w:val="21"/>
              </w:rPr>
              <w:fldChar w:fldCharType="begin"/>
            </w:r>
            <w:r>
              <w:rPr>
                <w:rFonts w:hint="default"/>
                <w:snapToGrid w:val="0"/>
                <w:color w:val="auto"/>
                <w:spacing w:val="-16"/>
                <w:kern w:val="21"/>
                <w:szCs w:val="21"/>
              </w:rPr>
              <w:instrText xml:space="preserve"> = 6 \* GB3 \* MERGEFORMAT </w:instrText>
            </w:r>
            <w:r>
              <w:rPr>
                <w:rFonts w:hint="default"/>
                <w:snapToGrid w:val="0"/>
                <w:color w:val="auto"/>
                <w:spacing w:val="-16"/>
                <w:kern w:val="21"/>
                <w:szCs w:val="21"/>
              </w:rPr>
              <w:fldChar w:fldCharType="separate"/>
            </w:r>
            <w:r>
              <w:rPr>
                <w:rFonts w:hint="eastAsia" w:ascii="宋体" w:hAnsi="宋体" w:cs="宋体"/>
                <w:color w:val="auto"/>
                <w:szCs w:val="21"/>
              </w:rPr>
              <w:t>⑥</w:t>
            </w:r>
            <w:r>
              <w:rPr>
                <w:rFonts w:hint="default"/>
                <w:snapToGrid w:val="0"/>
                <w:color w:val="auto"/>
                <w:spacing w:val="-16"/>
                <w:kern w:val="21"/>
                <w:szCs w:val="21"/>
              </w:rPr>
              <w:fldChar w:fldCharType="end"/>
            </w:r>
          </w:p>
        </w:tc>
        <w:tc>
          <w:tcPr>
            <w:tcW w:w="1399" w:type="dxa"/>
            <w:tcMar>
              <w:left w:w="28" w:type="dxa"/>
              <w:right w:w="28" w:type="dxa"/>
            </w:tcMar>
            <w:vAlign w:val="center"/>
          </w:tcPr>
          <w:p w14:paraId="695A0068">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t>变化量</w:t>
            </w:r>
          </w:p>
          <w:p w14:paraId="14367F86">
            <w:pPr>
              <w:keepNext w:val="0"/>
              <w:keepLines w:val="0"/>
              <w:suppressLineNumbers w:val="0"/>
              <w:spacing w:before="0" w:beforeAutospacing="0" w:after="0" w:afterAutospacing="0"/>
              <w:ind w:left="0" w:right="0"/>
              <w:jc w:val="center"/>
              <w:rPr>
                <w:rFonts w:hint="default"/>
                <w:snapToGrid w:val="0"/>
                <w:color w:val="auto"/>
                <w:spacing w:val="-6"/>
                <w:kern w:val="21"/>
                <w:szCs w:val="21"/>
              </w:rPr>
            </w:pPr>
            <w:r>
              <w:rPr>
                <w:rFonts w:hint="default"/>
                <w:snapToGrid w:val="0"/>
                <w:color w:val="auto"/>
                <w:spacing w:val="-6"/>
                <w:kern w:val="21"/>
                <w:szCs w:val="21"/>
              </w:rPr>
              <w:fldChar w:fldCharType="begin"/>
            </w:r>
            <w:r>
              <w:rPr>
                <w:rFonts w:hint="default"/>
                <w:snapToGrid w:val="0"/>
                <w:color w:val="auto"/>
                <w:spacing w:val="-6"/>
                <w:kern w:val="21"/>
                <w:szCs w:val="21"/>
              </w:rPr>
              <w:instrText xml:space="preserve"> = 7 \* GB3 \* MERGEFORMAT </w:instrText>
            </w:r>
            <w:r>
              <w:rPr>
                <w:rFonts w:hint="default"/>
                <w:snapToGrid w:val="0"/>
                <w:color w:val="auto"/>
                <w:spacing w:val="-6"/>
                <w:kern w:val="21"/>
                <w:szCs w:val="21"/>
              </w:rPr>
              <w:fldChar w:fldCharType="separate"/>
            </w:r>
            <w:r>
              <w:rPr>
                <w:rFonts w:hint="eastAsia" w:ascii="宋体" w:hAnsi="宋体" w:cs="宋体"/>
                <w:color w:val="auto"/>
                <w:szCs w:val="21"/>
              </w:rPr>
              <w:t>⑦</w:t>
            </w:r>
            <w:r>
              <w:rPr>
                <w:rFonts w:hint="default"/>
                <w:snapToGrid w:val="0"/>
                <w:color w:val="auto"/>
                <w:spacing w:val="-6"/>
                <w:kern w:val="21"/>
                <w:szCs w:val="21"/>
              </w:rPr>
              <w:fldChar w:fldCharType="end"/>
            </w:r>
          </w:p>
        </w:tc>
      </w:tr>
      <w:tr w14:paraId="68DB29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restart"/>
            <w:vAlign w:val="center"/>
          </w:tcPr>
          <w:p w14:paraId="7C94559A">
            <w:pPr>
              <w:keepNext w:val="0"/>
              <w:keepLines w:val="0"/>
              <w:suppressLineNumbers w:val="0"/>
              <w:spacing w:before="0" w:beforeAutospacing="0" w:after="0" w:afterAutospacing="0"/>
              <w:ind w:left="0" w:right="0"/>
              <w:jc w:val="center"/>
              <w:rPr>
                <w:rFonts w:hint="default"/>
                <w:snapToGrid w:val="0"/>
                <w:color w:val="auto"/>
                <w:kern w:val="21"/>
                <w:szCs w:val="21"/>
              </w:rPr>
            </w:pPr>
            <w:r>
              <w:rPr>
                <w:rFonts w:hint="default"/>
                <w:snapToGrid w:val="0"/>
                <w:color w:val="auto"/>
                <w:kern w:val="21"/>
                <w:szCs w:val="21"/>
              </w:rPr>
              <w:t>废气</w:t>
            </w:r>
          </w:p>
        </w:tc>
        <w:tc>
          <w:tcPr>
            <w:tcW w:w="1775" w:type="dxa"/>
            <w:vAlign w:val="center"/>
          </w:tcPr>
          <w:p w14:paraId="2CF0DF2B">
            <w:pPr>
              <w:pStyle w:val="37"/>
              <w:keepNext w:val="0"/>
              <w:keepLines w:val="0"/>
              <w:widowControl/>
              <w:suppressLineNumbers w:val="0"/>
              <w:bidi w:val="0"/>
              <w:spacing w:before="0" w:beforeAutospacing="0" w:after="0" w:afterAutospacing="0"/>
              <w:ind w:left="0" w:leftChars="0" w:right="0" w:rightChars="0" w:firstLine="0" w:firstLineChars="0"/>
              <w:rPr>
                <w:rFonts w:hint="default" w:eastAsia="宋体"/>
                <w:snapToGrid w:val="0"/>
                <w:color w:val="auto"/>
                <w:kern w:val="21"/>
                <w:szCs w:val="21"/>
                <w:lang w:val="en-US" w:eastAsia="zh-CN"/>
              </w:rPr>
            </w:pPr>
            <w:r>
              <w:rPr>
                <w:rFonts w:hint="default"/>
                <w:color w:val="auto"/>
                <w:szCs w:val="20"/>
                <w:lang w:val="en-US" w:eastAsia="zh-CN"/>
              </w:rPr>
              <w:t>氯化氢</w:t>
            </w:r>
          </w:p>
        </w:tc>
        <w:tc>
          <w:tcPr>
            <w:tcW w:w="1650" w:type="dxa"/>
            <w:vAlign w:val="center"/>
          </w:tcPr>
          <w:p w14:paraId="1A598802">
            <w:pPr>
              <w:keepNext w:val="0"/>
              <w:keepLines w:val="0"/>
              <w:suppressLineNumbers w:val="0"/>
              <w:spacing w:before="0" w:beforeAutospacing="0" w:after="0" w:afterAutospacing="0"/>
              <w:ind w:left="0" w:right="0"/>
              <w:jc w:val="center"/>
              <w:rPr>
                <w:rFonts w:hint="default"/>
                <w:snapToGrid w:val="0"/>
                <w:color w:val="auto"/>
                <w:kern w:val="21"/>
                <w:szCs w:val="21"/>
                <w:lang w:val="en-US"/>
              </w:rPr>
            </w:pPr>
          </w:p>
        </w:tc>
        <w:tc>
          <w:tcPr>
            <w:tcW w:w="1346" w:type="dxa"/>
            <w:vAlign w:val="center"/>
          </w:tcPr>
          <w:p w14:paraId="0E06F1DA">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73" w:type="dxa"/>
            <w:vAlign w:val="center"/>
          </w:tcPr>
          <w:p w14:paraId="2AF5AEAE">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p>
        </w:tc>
        <w:tc>
          <w:tcPr>
            <w:tcW w:w="1559" w:type="dxa"/>
            <w:vAlign w:val="center"/>
          </w:tcPr>
          <w:p w14:paraId="7BB7BC0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0.0019 </w:t>
            </w:r>
          </w:p>
        </w:tc>
        <w:tc>
          <w:tcPr>
            <w:tcW w:w="1557" w:type="dxa"/>
            <w:vAlign w:val="center"/>
          </w:tcPr>
          <w:p w14:paraId="6C170B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snapToGrid w:val="0"/>
                <w:color w:val="auto"/>
                <w:kern w:val="21"/>
                <w:szCs w:val="21"/>
                <w:lang w:val="en-US" w:eastAsia="zh-CN"/>
              </w:rPr>
            </w:pPr>
          </w:p>
        </w:tc>
        <w:tc>
          <w:tcPr>
            <w:tcW w:w="1590" w:type="dxa"/>
            <w:vAlign w:val="center"/>
          </w:tcPr>
          <w:p w14:paraId="45D4278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0.0019 </w:t>
            </w:r>
          </w:p>
        </w:tc>
        <w:tc>
          <w:tcPr>
            <w:tcW w:w="1399" w:type="dxa"/>
            <w:vAlign w:val="center"/>
          </w:tcPr>
          <w:p w14:paraId="3363F26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0.0019 </w:t>
            </w:r>
          </w:p>
        </w:tc>
      </w:tr>
      <w:tr w14:paraId="0DCF6D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17BD45F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7FCF2E5A">
            <w:pPr>
              <w:pStyle w:val="37"/>
              <w:keepNext w:val="0"/>
              <w:keepLines w:val="0"/>
              <w:widowControl/>
              <w:suppressLineNumbers w:val="0"/>
              <w:bidi w:val="0"/>
              <w:spacing w:before="0" w:beforeAutospacing="0" w:after="0" w:afterAutospacing="0"/>
              <w:ind w:left="0" w:leftChars="0" w:right="0" w:rightChars="0" w:firstLine="0" w:firstLineChars="0"/>
              <w:rPr>
                <w:rFonts w:hint="default"/>
                <w:snapToGrid w:val="0"/>
                <w:color w:val="auto"/>
                <w:kern w:val="21"/>
                <w:szCs w:val="21"/>
              </w:rPr>
            </w:pPr>
            <w:r>
              <w:rPr>
                <w:rFonts w:hint="default"/>
                <w:color w:val="auto"/>
                <w:szCs w:val="20"/>
                <w:lang w:val="en-US" w:eastAsia="zh-CN"/>
              </w:rPr>
              <w:t>硫酸雾</w:t>
            </w:r>
          </w:p>
        </w:tc>
        <w:tc>
          <w:tcPr>
            <w:tcW w:w="1650" w:type="dxa"/>
            <w:vAlign w:val="center"/>
          </w:tcPr>
          <w:p w14:paraId="2A0E0D0F">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346" w:type="dxa"/>
            <w:vAlign w:val="center"/>
          </w:tcPr>
          <w:p w14:paraId="102A61D8">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73" w:type="dxa"/>
            <w:vAlign w:val="center"/>
          </w:tcPr>
          <w:p w14:paraId="3843100B">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6DB4D87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0.0035 </w:t>
            </w:r>
          </w:p>
        </w:tc>
        <w:tc>
          <w:tcPr>
            <w:tcW w:w="1557" w:type="dxa"/>
            <w:vAlign w:val="center"/>
          </w:tcPr>
          <w:p w14:paraId="06CE9A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default" w:ascii="Times New Roman" w:hAnsi="Times New Roman" w:eastAsia="宋体" w:cs="Times New Roman"/>
                <w:snapToGrid w:val="0"/>
                <w:color w:val="auto"/>
                <w:kern w:val="21"/>
                <w:szCs w:val="21"/>
                <w:lang w:val="en-US" w:eastAsia="zh-CN"/>
              </w:rPr>
            </w:pPr>
          </w:p>
        </w:tc>
        <w:tc>
          <w:tcPr>
            <w:tcW w:w="1590" w:type="dxa"/>
            <w:vAlign w:val="center"/>
          </w:tcPr>
          <w:p w14:paraId="698F501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0.0035 </w:t>
            </w:r>
          </w:p>
        </w:tc>
        <w:tc>
          <w:tcPr>
            <w:tcW w:w="1399" w:type="dxa"/>
            <w:vAlign w:val="center"/>
          </w:tcPr>
          <w:p w14:paraId="68BC232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0.0035 </w:t>
            </w:r>
          </w:p>
        </w:tc>
      </w:tr>
      <w:tr w14:paraId="3BBD99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6184CD0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2097D61F">
            <w:pPr>
              <w:pStyle w:val="37"/>
              <w:keepNext w:val="0"/>
              <w:keepLines w:val="0"/>
              <w:widowControl/>
              <w:suppressLineNumbers w:val="0"/>
              <w:bidi w:val="0"/>
              <w:spacing w:before="0" w:beforeAutospacing="0" w:after="0" w:afterAutospacing="0"/>
              <w:ind w:left="0" w:leftChars="0" w:right="0" w:rightChars="0" w:firstLine="0" w:firstLineChars="0"/>
              <w:rPr>
                <w:rFonts w:hint="eastAsia"/>
                <w:color w:val="auto"/>
                <w:szCs w:val="20"/>
                <w:lang w:val="en-US" w:eastAsia="zh-CN"/>
              </w:rPr>
            </w:pPr>
            <w:r>
              <w:rPr>
                <w:rFonts w:hint="default"/>
                <w:color w:val="auto"/>
                <w:szCs w:val="20"/>
                <w:lang w:val="en-US" w:eastAsia="zh-CN"/>
              </w:rPr>
              <w:t>非甲烷总烃</w:t>
            </w:r>
          </w:p>
        </w:tc>
        <w:tc>
          <w:tcPr>
            <w:tcW w:w="1650" w:type="dxa"/>
            <w:vAlign w:val="center"/>
          </w:tcPr>
          <w:p w14:paraId="31B2800F">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346" w:type="dxa"/>
            <w:vAlign w:val="center"/>
          </w:tcPr>
          <w:p w14:paraId="6BB8EE3C">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573" w:type="dxa"/>
            <w:vAlign w:val="center"/>
          </w:tcPr>
          <w:p w14:paraId="20D2FD6D">
            <w:pPr>
              <w:keepNext w:val="0"/>
              <w:keepLines w:val="0"/>
              <w:suppressLineNumbers w:val="0"/>
              <w:spacing w:before="0" w:beforeAutospacing="0" w:after="0" w:afterAutospacing="0"/>
              <w:ind w:left="0" w:right="0"/>
              <w:jc w:val="center"/>
              <w:rPr>
                <w:rFonts w:hint="eastAsia"/>
                <w:snapToGrid w:val="0"/>
                <w:color w:val="auto"/>
                <w:kern w:val="21"/>
                <w:szCs w:val="21"/>
                <w:lang w:val="en-US" w:eastAsia="zh-CN"/>
              </w:rPr>
            </w:pPr>
          </w:p>
        </w:tc>
        <w:tc>
          <w:tcPr>
            <w:tcW w:w="1559" w:type="dxa"/>
            <w:vAlign w:val="center"/>
          </w:tcPr>
          <w:p w14:paraId="0182EB8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0.0159</w:t>
            </w:r>
            <w:r>
              <w:rPr>
                <w:rFonts w:hint="eastAsia" w:ascii="Times New Roman" w:hAnsi="Times New Roman" w:eastAsia="宋体" w:cs="Times New Roman"/>
                <w:snapToGrid w:val="0"/>
                <w:color w:val="auto"/>
                <w:kern w:val="21"/>
                <w:szCs w:val="21"/>
                <w:lang w:val="en-US" w:eastAsia="zh-CN"/>
              </w:rPr>
              <w:t xml:space="preserve"> </w:t>
            </w:r>
          </w:p>
        </w:tc>
        <w:tc>
          <w:tcPr>
            <w:tcW w:w="1557" w:type="dxa"/>
            <w:vAlign w:val="center"/>
          </w:tcPr>
          <w:p w14:paraId="41CF0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snapToGrid w:val="0"/>
                <w:color w:val="auto"/>
                <w:kern w:val="21"/>
                <w:szCs w:val="21"/>
                <w:lang w:val="en-US" w:eastAsia="zh-CN"/>
              </w:rPr>
            </w:pPr>
          </w:p>
        </w:tc>
        <w:tc>
          <w:tcPr>
            <w:tcW w:w="1590" w:type="dxa"/>
            <w:vAlign w:val="center"/>
          </w:tcPr>
          <w:p w14:paraId="55B29DB0">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0.0159</w:t>
            </w:r>
            <w:r>
              <w:rPr>
                <w:rFonts w:hint="eastAsia" w:ascii="Times New Roman" w:hAnsi="Times New Roman" w:eastAsia="宋体" w:cs="Times New Roman"/>
                <w:snapToGrid w:val="0"/>
                <w:color w:val="auto"/>
                <w:kern w:val="21"/>
                <w:szCs w:val="21"/>
                <w:lang w:val="en-US" w:eastAsia="zh-CN"/>
              </w:rPr>
              <w:t xml:space="preserve"> </w:t>
            </w:r>
          </w:p>
        </w:tc>
        <w:tc>
          <w:tcPr>
            <w:tcW w:w="1399" w:type="dxa"/>
            <w:vAlign w:val="center"/>
          </w:tcPr>
          <w:p w14:paraId="15990767">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21"/>
                <w:szCs w:val="21"/>
                <w:lang w:val="en-US" w:eastAsia="zh-CN"/>
              </w:rPr>
            </w:pPr>
            <w:r>
              <w:rPr>
                <w:rFonts w:hint="eastAsia" w:cs="Times New Roman"/>
                <w:snapToGrid w:val="0"/>
                <w:color w:val="auto"/>
                <w:kern w:val="21"/>
                <w:szCs w:val="21"/>
                <w:lang w:val="en-US" w:eastAsia="zh-CN"/>
              </w:rPr>
              <w:t>0.0159</w:t>
            </w:r>
            <w:r>
              <w:rPr>
                <w:rFonts w:hint="eastAsia" w:ascii="Times New Roman" w:hAnsi="Times New Roman" w:eastAsia="宋体" w:cs="Times New Roman"/>
                <w:snapToGrid w:val="0"/>
                <w:color w:val="auto"/>
                <w:kern w:val="21"/>
                <w:szCs w:val="21"/>
                <w:lang w:val="en-US" w:eastAsia="zh-CN"/>
              </w:rPr>
              <w:t xml:space="preserve"> </w:t>
            </w:r>
          </w:p>
        </w:tc>
      </w:tr>
      <w:tr w14:paraId="36E07D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10D7703A">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7431A460">
            <w:pPr>
              <w:pStyle w:val="37"/>
              <w:keepNext w:val="0"/>
              <w:keepLines w:val="0"/>
              <w:widowControl/>
              <w:suppressLineNumbers w:val="0"/>
              <w:bidi w:val="0"/>
              <w:spacing w:before="0" w:beforeAutospacing="0" w:after="0" w:afterAutospacing="0"/>
              <w:ind w:left="0" w:leftChars="0" w:right="0" w:rightChars="0" w:firstLine="0" w:firstLineChars="0"/>
              <w:rPr>
                <w:rFonts w:hint="default"/>
                <w:color w:val="auto"/>
                <w:szCs w:val="20"/>
                <w:lang w:val="en-US" w:eastAsia="zh-CN"/>
              </w:rPr>
            </w:pPr>
            <w:r>
              <w:rPr>
                <w:rFonts w:hint="eastAsia"/>
                <w:color w:val="auto"/>
                <w:szCs w:val="20"/>
                <w:lang w:val="en-US" w:eastAsia="zh-CN"/>
              </w:rPr>
              <w:t>氨</w:t>
            </w:r>
          </w:p>
        </w:tc>
        <w:tc>
          <w:tcPr>
            <w:tcW w:w="1650" w:type="dxa"/>
            <w:vAlign w:val="center"/>
          </w:tcPr>
          <w:p w14:paraId="17F4A919">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346" w:type="dxa"/>
            <w:vAlign w:val="center"/>
          </w:tcPr>
          <w:p w14:paraId="4854633B">
            <w:pPr>
              <w:keepNext w:val="0"/>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rPr>
            </w:pPr>
          </w:p>
        </w:tc>
        <w:tc>
          <w:tcPr>
            <w:tcW w:w="1573" w:type="dxa"/>
            <w:vAlign w:val="center"/>
          </w:tcPr>
          <w:p w14:paraId="7902C8EA">
            <w:pPr>
              <w:keepNext w:val="0"/>
              <w:keepLines w:val="0"/>
              <w:suppressLineNumbers w:val="0"/>
              <w:spacing w:before="0" w:beforeAutospacing="0" w:after="0" w:afterAutospacing="0"/>
              <w:ind w:left="0" w:right="0"/>
              <w:jc w:val="center"/>
              <w:rPr>
                <w:rFonts w:hint="eastAsia"/>
                <w:snapToGrid w:val="0"/>
                <w:color w:val="auto"/>
                <w:kern w:val="21"/>
                <w:szCs w:val="21"/>
                <w:lang w:val="en-US" w:eastAsia="zh-CN"/>
              </w:rPr>
            </w:pPr>
          </w:p>
        </w:tc>
        <w:tc>
          <w:tcPr>
            <w:tcW w:w="1559" w:type="dxa"/>
            <w:vAlign w:val="center"/>
          </w:tcPr>
          <w:p w14:paraId="1E783804">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0.0001 </w:t>
            </w:r>
          </w:p>
        </w:tc>
        <w:tc>
          <w:tcPr>
            <w:tcW w:w="1557" w:type="dxa"/>
            <w:vAlign w:val="center"/>
          </w:tcPr>
          <w:p w14:paraId="40FD9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42" w:leftChars="20" w:right="42" w:rightChars="20" w:firstLine="0" w:firstLineChars="0"/>
              <w:jc w:val="center"/>
              <w:textAlignment w:val="auto"/>
              <w:rPr>
                <w:rFonts w:hint="eastAsia" w:ascii="Times New Roman" w:hAnsi="Times New Roman" w:eastAsia="宋体" w:cs="Times New Roman"/>
                <w:snapToGrid w:val="0"/>
                <w:color w:val="auto"/>
                <w:kern w:val="21"/>
                <w:szCs w:val="21"/>
                <w:lang w:val="en-US" w:eastAsia="zh-CN"/>
              </w:rPr>
            </w:pPr>
          </w:p>
        </w:tc>
        <w:tc>
          <w:tcPr>
            <w:tcW w:w="1590" w:type="dxa"/>
            <w:vAlign w:val="center"/>
          </w:tcPr>
          <w:p w14:paraId="32C78628">
            <w:pPr>
              <w:keepNext w:val="0"/>
              <w:keepLines w:val="0"/>
              <w:widowControl/>
              <w:suppressLineNumbers w:val="0"/>
              <w:spacing w:before="0" w:beforeAutospacing="0" w:after="0" w:afterAutospacing="0"/>
              <w:ind w:left="0" w:leftChars="0" w:right="0" w:rightChars="0"/>
              <w:jc w:val="center"/>
              <w:textAlignment w:val="center"/>
              <w:rPr>
                <w:rFonts w:hint="eastAsia"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0.0001 </w:t>
            </w:r>
          </w:p>
        </w:tc>
        <w:tc>
          <w:tcPr>
            <w:tcW w:w="1399" w:type="dxa"/>
            <w:vAlign w:val="center"/>
          </w:tcPr>
          <w:p w14:paraId="02BB024B">
            <w:pPr>
              <w:keepNext w:val="0"/>
              <w:keepLines w:val="0"/>
              <w:widowControl/>
              <w:suppressLineNumbers w:val="0"/>
              <w:spacing w:before="0" w:beforeAutospacing="0" w:after="0" w:afterAutospacing="0"/>
              <w:ind w:left="0" w:leftChars="0" w:right="0" w:rightChars="0"/>
              <w:jc w:val="center"/>
              <w:textAlignment w:val="center"/>
              <w:rPr>
                <w:rFonts w:hint="eastAsia" w:cs="Times New Roman"/>
                <w:snapToGrid w:val="0"/>
                <w:color w:val="auto"/>
                <w:kern w:val="21"/>
                <w:szCs w:val="21"/>
                <w:lang w:val="en-US" w:eastAsia="zh-CN"/>
              </w:rPr>
            </w:pPr>
            <w:r>
              <w:rPr>
                <w:rFonts w:hint="eastAsia" w:ascii="Times New Roman" w:hAnsi="Times New Roman" w:eastAsia="宋体" w:cs="Times New Roman"/>
                <w:snapToGrid w:val="0"/>
                <w:color w:val="auto"/>
                <w:kern w:val="21"/>
                <w:szCs w:val="21"/>
                <w:lang w:val="en-US" w:eastAsia="zh-CN"/>
              </w:rPr>
              <w:t xml:space="preserve">0.0001 </w:t>
            </w:r>
          </w:p>
        </w:tc>
      </w:tr>
      <w:tr w14:paraId="1D2E6A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restart"/>
            <w:vAlign w:val="center"/>
          </w:tcPr>
          <w:p w14:paraId="1379AF2F">
            <w:pPr>
              <w:keepNext w:val="0"/>
              <w:keepLines w:val="0"/>
              <w:suppressLineNumbers w:val="0"/>
              <w:spacing w:before="0" w:beforeAutospacing="0" w:after="0" w:afterAutospacing="0"/>
              <w:ind w:left="0" w:right="0"/>
              <w:jc w:val="center"/>
              <w:rPr>
                <w:rFonts w:hint="eastAsia" w:eastAsia="宋体"/>
                <w:snapToGrid w:val="0"/>
                <w:color w:val="auto"/>
                <w:kern w:val="21"/>
                <w:szCs w:val="21"/>
                <w:lang w:eastAsia="zh-CN"/>
              </w:rPr>
            </w:pPr>
            <w:r>
              <w:rPr>
                <w:rFonts w:hint="eastAsia"/>
                <w:snapToGrid w:val="0"/>
                <w:color w:val="auto"/>
                <w:kern w:val="21"/>
                <w:szCs w:val="21"/>
                <w:lang w:val="en-US" w:eastAsia="zh-CN"/>
              </w:rPr>
              <w:t>废水</w:t>
            </w:r>
          </w:p>
        </w:tc>
        <w:tc>
          <w:tcPr>
            <w:tcW w:w="1775" w:type="dxa"/>
            <w:vAlign w:val="center"/>
          </w:tcPr>
          <w:p w14:paraId="6CC615A2">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r>
              <w:rPr>
                <w:rFonts w:hint="eastAsia" w:ascii="Times New Roman" w:hAnsi="Times New Roman" w:eastAsia="宋体" w:cs="Times New Roman"/>
                <w:color w:val="auto"/>
                <w:kern w:val="2"/>
                <w:sz w:val="21"/>
                <w:szCs w:val="24"/>
                <w:lang w:val="en-US" w:eastAsia="zh-CN" w:bidi="ar-SA"/>
              </w:rPr>
              <w:t>废水量</w:t>
            </w:r>
          </w:p>
        </w:tc>
        <w:tc>
          <w:tcPr>
            <w:tcW w:w="1650" w:type="dxa"/>
            <w:vAlign w:val="center"/>
          </w:tcPr>
          <w:p w14:paraId="534EBE4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33FF041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21E5DFE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shd w:val="clear" w:color="auto" w:fill="auto"/>
            <w:vAlign w:val="center"/>
          </w:tcPr>
          <w:p w14:paraId="0DC3964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642.85</w:t>
            </w:r>
          </w:p>
        </w:tc>
        <w:tc>
          <w:tcPr>
            <w:tcW w:w="1557" w:type="dxa"/>
            <w:vAlign w:val="center"/>
          </w:tcPr>
          <w:p w14:paraId="57790EC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p>
        </w:tc>
        <w:tc>
          <w:tcPr>
            <w:tcW w:w="1590" w:type="dxa"/>
            <w:shd w:val="clear" w:color="auto" w:fill="auto"/>
            <w:vAlign w:val="center"/>
          </w:tcPr>
          <w:p w14:paraId="3F55E7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642.85</w:t>
            </w:r>
          </w:p>
        </w:tc>
        <w:tc>
          <w:tcPr>
            <w:tcW w:w="1399" w:type="dxa"/>
            <w:vAlign w:val="center"/>
          </w:tcPr>
          <w:p w14:paraId="780E1328">
            <w:pPr>
              <w:keepNext w:val="0"/>
              <w:keepLines w:val="0"/>
              <w:widowControl/>
              <w:suppressLineNumbers w:val="0"/>
              <w:spacing w:before="0" w:beforeAutospacing="0" w:after="0" w:afterAutospacing="0"/>
              <w:ind w:left="0" w:leftChars="0" w:right="0" w:rightChars="0"/>
              <w:jc w:val="center"/>
              <w:textAlignment w:val="center"/>
              <w:rPr>
                <w:rFonts w:hint="default"/>
                <w:snapToGrid w:val="0"/>
                <w:color w:val="auto"/>
                <w:kern w:val="21"/>
                <w:szCs w:val="21"/>
              </w:rPr>
            </w:pPr>
            <w:r>
              <w:rPr>
                <w:rFonts w:hint="default" w:ascii="Times New Roman" w:hAnsi="Times New Roman" w:eastAsia="宋体" w:cs="Times New Roman"/>
                <w:i w:val="0"/>
                <w:iCs w:val="0"/>
                <w:color w:val="auto"/>
                <w:kern w:val="0"/>
                <w:sz w:val="21"/>
                <w:szCs w:val="21"/>
                <w:u w:val="none"/>
                <w:lang w:val="en-US" w:eastAsia="zh-CN" w:bidi="ar"/>
              </w:rPr>
              <w:t>668.5</w:t>
            </w:r>
          </w:p>
        </w:tc>
      </w:tr>
      <w:tr w14:paraId="3ABD24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0DFF870D">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15CD4563">
            <w:pPr>
              <w:pStyle w:val="37"/>
              <w:keepNext w:val="0"/>
              <w:keepLines w:val="0"/>
              <w:widowControl/>
              <w:suppressLineNumbers w:val="0"/>
              <w:bidi w:val="0"/>
              <w:spacing w:before="0" w:beforeAutospacing="0" w:after="0" w:afterAutospacing="0"/>
              <w:ind w:left="0" w:leftChars="0" w:right="0" w:firstLine="0" w:firstLineChars="0"/>
              <w:jc w:val="center"/>
              <w:rPr>
                <w:rFonts w:hint="default"/>
                <w:color w:val="auto"/>
                <w:szCs w:val="20"/>
              </w:rPr>
            </w:pPr>
            <w:r>
              <w:rPr>
                <w:rFonts w:hint="eastAsia" w:ascii="Times New Roman" w:hAnsi="Times New Roman" w:eastAsia="宋体" w:cs="Times New Roman"/>
                <w:color w:val="auto"/>
                <w:kern w:val="2"/>
                <w:sz w:val="21"/>
                <w:szCs w:val="24"/>
                <w:lang w:val="en-US" w:eastAsia="zh-CN" w:bidi="ar-SA"/>
              </w:rPr>
              <w:t>COD</w:t>
            </w:r>
          </w:p>
        </w:tc>
        <w:tc>
          <w:tcPr>
            <w:tcW w:w="1650" w:type="dxa"/>
            <w:vAlign w:val="center"/>
          </w:tcPr>
          <w:p w14:paraId="4358639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2D77E9CC">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D045067">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1A406F9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0.158 </w:t>
            </w:r>
          </w:p>
        </w:tc>
        <w:tc>
          <w:tcPr>
            <w:tcW w:w="1557" w:type="dxa"/>
            <w:vAlign w:val="center"/>
          </w:tcPr>
          <w:p w14:paraId="3773F6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p>
        </w:tc>
        <w:tc>
          <w:tcPr>
            <w:tcW w:w="1590" w:type="dxa"/>
            <w:vAlign w:val="center"/>
          </w:tcPr>
          <w:p w14:paraId="7EBC623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0.158 </w:t>
            </w:r>
          </w:p>
        </w:tc>
        <w:tc>
          <w:tcPr>
            <w:tcW w:w="1399" w:type="dxa"/>
            <w:vAlign w:val="center"/>
          </w:tcPr>
          <w:p w14:paraId="1E36A843">
            <w:pPr>
              <w:keepNext w:val="0"/>
              <w:keepLines w:val="0"/>
              <w:widowControl/>
              <w:suppressLineNumbers w:val="0"/>
              <w:spacing w:before="0" w:beforeAutospacing="0" w:after="0" w:afterAutospacing="0"/>
              <w:ind w:left="0" w:leftChars="0" w:right="0" w:rightChars="0"/>
              <w:jc w:val="center"/>
              <w:textAlignment w:val="center"/>
              <w:rPr>
                <w:rFonts w:hint="default" w:eastAsia="等线"/>
                <w:color w:val="auto"/>
                <w:kern w:val="0"/>
                <w:szCs w:val="21"/>
              </w:rPr>
            </w:pPr>
            <w:r>
              <w:rPr>
                <w:rFonts w:hint="default" w:ascii="Times New Roman" w:hAnsi="Times New Roman" w:eastAsia="宋体" w:cs="Times New Roman"/>
                <w:i w:val="0"/>
                <w:iCs w:val="0"/>
                <w:color w:val="auto"/>
                <w:kern w:val="0"/>
                <w:sz w:val="21"/>
                <w:szCs w:val="21"/>
                <w:u w:val="none"/>
                <w:lang w:val="en-US" w:eastAsia="zh-CN" w:bidi="ar"/>
              </w:rPr>
              <w:t xml:space="preserve">0.1509 </w:t>
            </w:r>
          </w:p>
        </w:tc>
      </w:tr>
      <w:tr w14:paraId="3351FF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7AC6BCF3">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582A3E93">
            <w:pPr>
              <w:pStyle w:val="37"/>
              <w:keepNext w:val="0"/>
              <w:keepLines w:val="0"/>
              <w:widowControl/>
              <w:suppressLineNumbers w:val="0"/>
              <w:bidi w:val="0"/>
              <w:spacing w:before="0" w:beforeAutospacing="0" w:after="0" w:afterAutospacing="0"/>
              <w:ind w:left="0" w:leftChars="0" w:right="0" w:firstLine="0" w:firstLineChars="0"/>
              <w:jc w:val="center"/>
              <w:rPr>
                <w:rFonts w:hint="default"/>
                <w:color w:val="auto"/>
                <w:szCs w:val="20"/>
              </w:rPr>
            </w:pPr>
            <w:r>
              <w:rPr>
                <w:rFonts w:hint="eastAsia" w:ascii="Times New Roman" w:hAnsi="Times New Roman" w:eastAsia="宋体" w:cs="Times New Roman"/>
                <w:color w:val="auto"/>
                <w:kern w:val="2"/>
                <w:sz w:val="21"/>
                <w:szCs w:val="24"/>
                <w:lang w:val="en-US" w:eastAsia="zh-CN" w:bidi="ar-SA"/>
              </w:rPr>
              <w:t>氨氮</w:t>
            </w:r>
          </w:p>
        </w:tc>
        <w:tc>
          <w:tcPr>
            <w:tcW w:w="1650" w:type="dxa"/>
            <w:vAlign w:val="center"/>
          </w:tcPr>
          <w:p w14:paraId="695ABE77">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10851CE3">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CE2CFC4">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59503F7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0.013 </w:t>
            </w:r>
          </w:p>
        </w:tc>
        <w:tc>
          <w:tcPr>
            <w:tcW w:w="1557" w:type="dxa"/>
            <w:vAlign w:val="center"/>
          </w:tcPr>
          <w:p w14:paraId="58E097C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p>
        </w:tc>
        <w:tc>
          <w:tcPr>
            <w:tcW w:w="1590" w:type="dxa"/>
            <w:vAlign w:val="center"/>
          </w:tcPr>
          <w:p w14:paraId="5376A43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0.013 </w:t>
            </w:r>
          </w:p>
        </w:tc>
        <w:tc>
          <w:tcPr>
            <w:tcW w:w="1399" w:type="dxa"/>
            <w:vAlign w:val="center"/>
          </w:tcPr>
          <w:p w14:paraId="254DAC72">
            <w:pPr>
              <w:keepNext w:val="0"/>
              <w:keepLines w:val="0"/>
              <w:widowControl/>
              <w:suppressLineNumbers w:val="0"/>
              <w:spacing w:before="0" w:beforeAutospacing="0" w:after="0" w:afterAutospacing="0"/>
              <w:ind w:left="0" w:leftChars="0" w:right="0" w:rightChars="0"/>
              <w:jc w:val="center"/>
              <w:textAlignment w:val="center"/>
              <w:rPr>
                <w:rFonts w:hint="default" w:eastAsia="等线"/>
                <w:color w:val="auto"/>
                <w:szCs w:val="21"/>
              </w:rPr>
            </w:pPr>
            <w:r>
              <w:rPr>
                <w:rFonts w:hint="default" w:ascii="Times New Roman" w:hAnsi="Times New Roman" w:eastAsia="宋体" w:cs="Times New Roman"/>
                <w:i w:val="0"/>
                <w:iCs w:val="0"/>
                <w:color w:val="auto"/>
                <w:kern w:val="0"/>
                <w:sz w:val="21"/>
                <w:szCs w:val="21"/>
                <w:u w:val="none"/>
                <w:lang w:val="en-US" w:eastAsia="zh-CN" w:bidi="ar"/>
              </w:rPr>
              <w:t xml:space="preserve">0.0136 </w:t>
            </w:r>
          </w:p>
        </w:tc>
      </w:tr>
      <w:tr w14:paraId="0C0A3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53EE2934">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0C3EDC15">
            <w:pPr>
              <w:pStyle w:val="37"/>
              <w:keepNext w:val="0"/>
              <w:keepLines w:val="0"/>
              <w:widowControl/>
              <w:suppressLineNumbers w:val="0"/>
              <w:bidi w:val="0"/>
              <w:spacing w:before="0" w:beforeAutospacing="0" w:after="0" w:afterAutospacing="0"/>
              <w:ind w:left="0" w:leftChars="0" w:right="0" w:firstLine="0" w:firstLineChars="0"/>
              <w:jc w:val="center"/>
              <w:rPr>
                <w:rFonts w:hint="eastAsia" w:eastAsia="宋体"/>
                <w:color w:val="auto"/>
                <w:szCs w:val="20"/>
                <w:lang w:val="en-US" w:eastAsia="zh-CN"/>
              </w:rPr>
            </w:pPr>
            <w:r>
              <w:rPr>
                <w:rFonts w:hint="eastAsia" w:ascii="Times New Roman" w:hAnsi="Times New Roman" w:eastAsia="宋体" w:cs="Times New Roman"/>
                <w:color w:val="auto"/>
                <w:kern w:val="2"/>
                <w:sz w:val="21"/>
                <w:szCs w:val="24"/>
                <w:lang w:val="en-US" w:eastAsia="zh-CN" w:bidi="ar-SA"/>
              </w:rPr>
              <w:t>BOD</w:t>
            </w:r>
            <w:r>
              <w:rPr>
                <w:rFonts w:hint="eastAsia" w:ascii="Times New Roman" w:hAnsi="Times New Roman" w:eastAsia="宋体" w:cs="Times New Roman"/>
                <w:color w:val="auto"/>
                <w:kern w:val="2"/>
                <w:sz w:val="21"/>
                <w:szCs w:val="24"/>
                <w:vertAlign w:val="subscript"/>
                <w:lang w:val="en-US" w:eastAsia="zh-CN" w:bidi="ar-SA"/>
              </w:rPr>
              <w:t>5</w:t>
            </w:r>
          </w:p>
        </w:tc>
        <w:tc>
          <w:tcPr>
            <w:tcW w:w="1650" w:type="dxa"/>
            <w:vAlign w:val="center"/>
          </w:tcPr>
          <w:p w14:paraId="06C64492">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044CA9E2">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E71120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7B17E46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0.077 </w:t>
            </w:r>
          </w:p>
        </w:tc>
        <w:tc>
          <w:tcPr>
            <w:tcW w:w="1557" w:type="dxa"/>
            <w:vAlign w:val="center"/>
          </w:tcPr>
          <w:p w14:paraId="7CAFD1E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p>
        </w:tc>
        <w:tc>
          <w:tcPr>
            <w:tcW w:w="1590" w:type="dxa"/>
            <w:vAlign w:val="center"/>
          </w:tcPr>
          <w:p w14:paraId="6B9514E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0.077 </w:t>
            </w:r>
          </w:p>
        </w:tc>
        <w:tc>
          <w:tcPr>
            <w:tcW w:w="1399" w:type="dxa"/>
            <w:vAlign w:val="center"/>
          </w:tcPr>
          <w:p w14:paraId="7852473B">
            <w:pPr>
              <w:keepNext w:val="0"/>
              <w:keepLines w:val="0"/>
              <w:widowControl/>
              <w:suppressLineNumbers w:val="0"/>
              <w:spacing w:before="0" w:beforeAutospacing="0" w:after="0" w:afterAutospacing="0"/>
              <w:ind w:left="0" w:leftChars="0" w:right="0" w:rightChars="0"/>
              <w:jc w:val="center"/>
              <w:textAlignment w:val="center"/>
              <w:rPr>
                <w:rFonts w:hint="default" w:eastAsia="等线"/>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0.0765 </w:t>
            </w:r>
          </w:p>
        </w:tc>
      </w:tr>
      <w:tr w14:paraId="024AF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23002B6F">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2DC7FFB8">
            <w:pPr>
              <w:pStyle w:val="37"/>
              <w:keepNext w:val="0"/>
              <w:keepLines w:val="0"/>
              <w:widowControl/>
              <w:suppressLineNumbers w:val="0"/>
              <w:bidi w:val="0"/>
              <w:spacing w:before="0" w:beforeAutospacing="0" w:after="0" w:afterAutospacing="0"/>
              <w:ind w:left="0" w:leftChars="0" w:right="0" w:firstLine="0" w:firstLineChars="0"/>
              <w:jc w:val="center"/>
              <w:rPr>
                <w:rFonts w:hint="eastAsia"/>
                <w:color w:val="auto"/>
                <w:szCs w:val="20"/>
                <w:lang w:val="en-US" w:eastAsia="zh-CN"/>
              </w:rPr>
            </w:pPr>
            <w:r>
              <w:rPr>
                <w:rFonts w:hint="eastAsia" w:ascii="Times New Roman" w:hAnsi="Times New Roman" w:eastAsia="宋体" w:cs="Times New Roman"/>
                <w:color w:val="auto"/>
                <w:kern w:val="2"/>
                <w:sz w:val="21"/>
                <w:szCs w:val="24"/>
                <w:lang w:val="en-US" w:eastAsia="zh-CN" w:bidi="ar-SA"/>
              </w:rPr>
              <w:t>SS</w:t>
            </w:r>
          </w:p>
        </w:tc>
        <w:tc>
          <w:tcPr>
            <w:tcW w:w="1650" w:type="dxa"/>
            <w:vAlign w:val="center"/>
          </w:tcPr>
          <w:p w14:paraId="12C8E2F2">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65A0DFD6">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4B9A46EE">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4CDEFC40">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0.063 </w:t>
            </w:r>
          </w:p>
        </w:tc>
        <w:tc>
          <w:tcPr>
            <w:tcW w:w="1557" w:type="dxa"/>
            <w:vAlign w:val="center"/>
          </w:tcPr>
          <w:p w14:paraId="2810EEF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p>
        </w:tc>
        <w:tc>
          <w:tcPr>
            <w:tcW w:w="1590" w:type="dxa"/>
            <w:vAlign w:val="center"/>
          </w:tcPr>
          <w:p w14:paraId="4404032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napToGrid w:val="0"/>
                <w:color w:val="auto"/>
                <w:kern w:val="21"/>
                <w:szCs w:val="21"/>
                <w:lang w:val="en-US" w:eastAsia="zh-CN"/>
              </w:rPr>
            </w:pPr>
            <w:r>
              <w:rPr>
                <w:rFonts w:hint="default" w:ascii="Times New Roman" w:hAnsi="Times New Roman" w:eastAsia="宋体" w:cs="Times New Roman"/>
                <w:snapToGrid w:val="0"/>
                <w:color w:val="auto"/>
                <w:kern w:val="21"/>
                <w:szCs w:val="21"/>
                <w:lang w:val="en-US" w:eastAsia="zh-CN"/>
              </w:rPr>
              <w:t xml:space="preserve">0.063 </w:t>
            </w:r>
          </w:p>
        </w:tc>
        <w:tc>
          <w:tcPr>
            <w:tcW w:w="1399" w:type="dxa"/>
            <w:vAlign w:val="center"/>
          </w:tcPr>
          <w:p w14:paraId="03391513">
            <w:pPr>
              <w:keepNext w:val="0"/>
              <w:keepLines w:val="0"/>
              <w:widowControl/>
              <w:suppressLineNumbers w:val="0"/>
              <w:spacing w:before="0" w:beforeAutospacing="0" w:after="0" w:afterAutospacing="0"/>
              <w:ind w:left="0" w:leftChars="0" w:right="0" w:rightChars="0"/>
              <w:jc w:val="center"/>
              <w:textAlignment w:val="center"/>
              <w:rPr>
                <w:rFonts w:hint="default" w:eastAsia="等线"/>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0.0659 </w:t>
            </w:r>
          </w:p>
        </w:tc>
      </w:tr>
      <w:tr w14:paraId="331CE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restart"/>
            <w:vAlign w:val="center"/>
          </w:tcPr>
          <w:p w14:paraId="1835269B">
            <w:pPr>
              <w:keepNext w:val="0"/>
              <w:keepLines w:val="0"/>
              <w:suppressLineNumbers w:val="0"/>
              <w:spacing w:before="0" w:beforeAutospacing="0" w:after="0" w:afterAutospacing="0"/>
              <w:ind w:left="0" w:right="0"/>
              <w:jc w:val="center"/>
              <w:rPr>
                <w:rFonts w:hint="default"/>
                <w:snapToGrid w:val="0"/>
                <w:color w:val="auto"/>
                <w:kern w:val="21"/>
                <w:szCs w:val="21"/>
              </w:rPr>
            </w:pPr>
            <w:r>
              <w:rPr>
                <w:rFonts w:hint="default"/>
                <w:snapToGrid w:val="0"/>
                <w:color w:val="auto"/>
                <w:kern w:val="21"/>
                <w:szCs w:val="21"/>
              </w:rPr>
              <w:t>一般工业</w:t>
            </w:r>
          </w:p>
          <w:p w14:paraId="4AABEA4D">
            <w:pPr>
              <w:keepNext w:val="0"/>
              <w:keepLines w:val="0"/>
              <w:suppressLineNumbers w:val="0"/>
              <w:spacing w:before="0" w:beforeAutospacing="0" w:after="0" w:afterAutospacing="0"/>
              <w:ind w:left="0" w:right="0"/>
              <w:jc w:val="center"/>
              <w:rPr>
                <w:rFonts w:hint="default"/>
                <w:snapToGrid w:val="0"/>
                <w:color w:val="auto"/>
                <w:kern w:val="21"/>
                <w:szCs w:val="21"/>
              </w:rPr>
            </w:pPr>
            <w:r>
              <w:rPr>
                <w:rFonts w:hint="default"/>
                <w:snapToGrid w:val="0"/>
                <w:color w:val="auto"/>
                <w:kern w:val="21"/>
                <w:szCs w:val="21"/>
              </w:rPr>
              <w:t>固体废物</w:t>
            </w:r>
          </w:p>
        </w:tc>
        <w:tc>
          <w:tcPr>
            <w:tcW w:w="1775" w:type="dxa"/>
            <w:vAlign w:val="center"/>
          </w:tcPr>
          <w:p w14:paraId="38379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kern w:val="0"/>
              </w:rPr>
            </w:pPr>
            <w:r>
              <w:rPr>
                <w:rFonts w:hint="default" w:ascii="Times New Roman" w:hAnsi="Times New Roman" w:cs="Times New Roman"/>
                <w:color w:val="auto"/>
                <w:lang w:val="en-US" w:eastAsia="zh-CN"/>
              </w:rPr>
              <w:t>水样</w:t>
            </w:r>
            <w:r>
              <w:rPr>
                <w:rFonts w:hint="eastAsia" w:ascii="Times New Roman" w:hAnsi="Times New Roman" w:cs="Times New Roman"/>
                <w:color w:val="auto"/>
                <w:lang w:val="en-US" w:eastAsia="zh-CN"/>
              </w:rPr>
              <w:t>包装物</w:t>
            </w:r>
          </w:p>
        </w:tc>
        <w:tc>
          <w:tcPr>
            <w:tcW w:w="1650" w:type="dxa"/>
            <w:vAlign w:val="center"/>
          </w:tcPr>
          <w:p w14:paraId="42809B98">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5C3CA0EE">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123268F8">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p>
        </w:tc>
        <w:tc>
          <w:tcPr>
            <w:tcW w:w="1559" w:type="dxa"/>
            <w:vAlign w:val="center"/>
          </w:tcPr>
          <w:p w14:paraId="02ECE54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0.2</w:t>
            </w:r>
          </w:p>
        </w:tc>
        <w:tc>
          <w:tcPr>
            <w:tcW w:w="1557" w:type="dxa"/>
            <w:vAlign w:val="center"/>
          </w:tcPr>
          <w:p w14:paraId="7E7CEE84">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113BA54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color w:val="auto"/>
                <w:lang w:val="en-US" w:eastAsia="zh-CN"/>
              </w:rPr>
            </w:pPr>
            <w:r>
              <w:rPr>
                <w:rFonts w:hint="eastAsia" w:ascii="Times New Roman" w:hAnsi="Times New Roman" w:cs="Times New Roman"/>
                <w:b w:val="0"/>
                <w:bCs w:val="0"/>
                <w:color w:val="auto"/>
                <w:sz w:val="21"/>
                <w:szCs w:val="21"/>
                <w:lang w:val="en-US" w:eastAsia="zh-CN"/>
              </w:rPr>
              <w:t>0.2</w:t>
            </w:r>
          </w:p>
        </w:tc>
        <w:tc>
          <w:tcPr>
            <w:tcW w:w="1399" w:type="dxa"/>
            <w:vAlign w:val="center"/>
          </w:tcPr>
          <w:p w14:paraId="4FA8B500">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0.2</w:t>
            </w:r>
          </w:p>
        </w:tc>
      </w:tr>
      <w:tr w14:paraId="69815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6567BAE4">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6981E8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default"/>
                <w:color w:val="auto"/>
                <w:kern w:val="0"/>
              </w:rPr>
            </w:pPr>
            <w:r>
              <w:rPr>
                <w:rFonts w:hint="eastAsia"/>
                <w:color w:val="auto"/>
                <w:sz w:val="21"/>
                <w:szCs w:val="21"/>
                <w:lang w:val="en-US" w:eastAsia="zh-CN"/>
              </w:rPr>
              <w:t>废树脂、废过滤材料</w:t>
            </w:r>
          </w:p>
        </w:tc>
        <w:tc>
          <w:tcPr>
            <w:tcW w:w="1650" w:type="dxa"/>
            <w:vAlign w:val="center"/>
          </w:tcPr>
          <w:p w14:paraId="7EC8614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4A24B535">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BDC3EC6">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p>
        </w:tc>
        <w:tc>
          <w:tcPr>
            <w:tcW w:w="1559" w:type="dxa"/>
            <w:vAlign w:val="center"/>
          </w:tcPr>
          <w:p w14:paraId="7E50203B">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0.035</w:t>
            </w:r>
          </w:p>
        </w:tc>
        <w:tc>
          <w:tcPr>
            <w:tcW w:w="1557" w:type="dxa"/>
            <w:vAlign w:val="center"/>
          </w:tcPr>
          <w:p w14:paraId="4B78A89F">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76E4FA9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color w:val="auto"/>
                <w:lang w:val="en-US" w:eastAsia="zh-CN"/>
              </w:rPr>
            </w:pPr>
            <w:r>
              <w:rPr>
                <w:rFonts w:hint="eastAsia" w:ascii="Times New Roman" w:hAnsi="Times New Roman" w:cs="Times New Roman"/>
                <w:b w:val="0"/>
                <w:bCs w:val="0"/>
                <w:color w:val="auto"/>
                <w:sz w:val="21"/>
                <w:szCs w:val="21"/>
                <w:lang w:val="en-US" w:eastAsia="zh-CN"/>
              </w:rPr>
              <w:t>0.035</w:t>
            </w:r>
          </w:p>
        </w:tc>
        <w:tc>
          <w:tcPr>
            <w:tcW w:w="1399" w:type="dxa"/>
            <w:vAlign w:val="center"/>
          </w:tcPr>
          <w:p w14:paraId="193EF2A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0.035</w:t>
            </w:r>
          </w:p>
        </w:tc>
      </w:tr>
      <w:tr w14:paraId="486939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431A3F63">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536BF6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105" w:leftChars="50" w:right="105" w:rightChars="50"/>
              <w:jc w:val="center"/>
              <w:textAlignment w:val="auto"/>
              <w:rPr>
                <w:rFonts w:hint="eastAsia"/>
                <w:color w:val="auto"/>
                <w:sz w:val="21"/>
                <w:szCs w:val="21"/>
                <w:lang w:val="en-US" w:eastAsia="zh-CN"/>
              </w:rPr>
            </w:pPr>
            <w:r>
              <w:rPr>
                <w:rFonts w:hint="eastAsia" w:ascii="Times New Roman" w:hAnsi="Times New Roman" w:cs="Times New Roman"/>
                <w:color w:val="auto"/>
                <w:sz w:val="21"/>
                <w:szCs w:val="21"/>
                <w:lang w:val="en-US" w:eastAsia="zh-CN"/>
              </w:rPr>
              <w:t>微生物废样品</w:t>
            </w:r>
          </w:p>
        </w:tc>
        <w:tc>
          <w:tcPr>
            <w:tcW w:w="1650" w:type="dxa"/>
            <w:vAlign w:val="center"/>
          </w:tcPr>
          <w:p w14:paraId="369B12DA">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66C8D12C">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3F9AA4A4">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p>
        </w:tc>
        <w:tc>
          <w:tcPr>
            <w:tcW w:w="1559" w:type="dxa"/>
            <w:vAlign w:val="center"/>
          </w:tcPr>
          <w:p w14:paraId="7E366AC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w:t>
            </w:r>
          </w:p>
        </w:tc>
        <w:tc>
          <w:tcPr>
            <w:tcW w:w="1557" w:type="dxa"/>
            <w:vAlign w:val="center"/>
          </w:tcPr>
          <w:p w14:paraId="5DB25030">
            <w:pPr>
              <w:keepNext w:val="0"/>
              <w:keepLines w:val="0"/>
              <w:suppressLineNumbers w:val="0"/>
              <w:spacing w:before="0" w:beforeAutospacing="0" w:after="0" w:afterAutospacing="0"/>
              <w:ind w:left="0" w:leftChars="0" w:right="0" w:rightChars="0"/>
              <w:jc w:val="center"/>
              <w:rPr>
                <w:rFonts w:hint="default"/>
                <w:color w:val="auto"/>
              </w:rPr>
            </w:pPr>
          </w:p>
        </w:tc>
        <w:tc>
          <w:tcPr>
            <w:tcW w:w="1590" w:type="dxa"/>
            <w:vAlign w:val="center"/>
          </w:tcPr>
          <w:p w14:paraId="3A482BB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w:t>
            </w:r>
          </w:p>
        </w:tc>
        <w:tc>
          <w:tcPr>
            <w:tcW w:w="1399" w:type="dxa"/>
            <w:vAlign w:val="center"/>
          </w:tcPr>
          <w:p w14:paraId="3453DE6A">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0.2</w:t>
            </w:r>
          </w:p>
        </w:tc>
      </w:tr>
      <w:tr w14:paraId="426048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restart"/>
            <w:vAlign w:val="center"/>
          </w:tcPr>
          <w:p w14:paraId="6626025A">
            <w:pPr>
              <w:keepNext w:val="0"/>
              <w:keepLines w:val="0"/>
              <w:suppressLineNumbers w:val="0"/>
              <w:spacing w:before="0" w:beforeAutospacing="0" w:after="0" w:afterAutospacing="0"/>
              <w:ind w:left="0" w:right="0"/>
              <w:jc w:val="center"/>
              <w:rPr>
                <w:rFonts w:hint="default"/>
                <w:snapToGrid w:val="0"/>
                <w:color w:val="auto"/>
                <w:kern w:val="21"/>
                <w:szCs w:val="21"/>
              </w:rPr>
            </w:pPr>
            <w:r>
              <w:rPr>
                <w:rFonts w:hint="default"/>
                <w:snapToGrid w:val="0"/>
                <w:color w:val="auto"/>
                <w:kern w:val="21"/>
                <w:szCs w:val="21"/>
              </w:rPr>
              <w:t>危险废物</w:t>
            </w:r>
          </w:p>
        </w:tc>
        <w:tc>
          <w:tcPr>
            <w:tcW w:w="1775" w:type="dxa"/>
            <w:vAlign w:val="center"/>
          </w:tcPr>
          <w:p w14:paraId="7D987E3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rPr>
            </w:pPr>
            <w:r>
              <w:rPr>
                <w:rFonts w:hint="default"/>
                <w:color w:val="auto"/>
                <w:lang w:val="en-US" w:eastAsia="zh-CN"/>
              </w:rPr>
              <w:t>废</w:t>
            </w:r>
            <w:r>
              <w:rPr>
                <w:rFonts w:hint="eastAsia"/>
                <w:color w:val="auto"/>
                <w:lang w:val="en-US" w:eastAsia="zh-CN"/>
              </w:rPr>
              <w:t>试剂</w:t>
            </w:r>
            <w:r>
              <w:rPr>
                <w:rFonts w:hint="default"/>
                <w:color w:val="auto"/>
                <w:lang w:val="en-US" w:eastAsia="zh-CN"/>
              </w:rPr>
              <w:t>包装</w:t>
            </w:r>
            <w:r>
              <w:rPr>
                <w:rFonts w:hint="eastAsia"/>
                <w:color w:val="auto"/>
                <w:lang w:val="en-US" w:eastAsia="zh-CN"/>
              </w:rPr>
              <w:t>物</w:t>
            </w:r>
          </w:p>
        </w:tc>
        <w:tc>
          <w:tcPr>
            <w:tcW w:w="1650" w:type="dxa"/>
            <w:vAlign w:val="center"/>
          </w:tcPr>
          <w:p w14:paraId="72242A68">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52FD56C0">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28776B94">
            <w:pPr>
              <w:keepNext w:val="0"/>
              <w:keepLines w:val="0"/>
              <w:suppressLineNumbers w:val="0"/>
              <w:spacing w:before="0" w:beforeAutospacing="0" w:after="0" w:afterAutospacing="0"/>
              <w:ind w:left="0" w:right="0"/>
              <w:jc w:val="center"/>
              <w:rPr>
                <w:rFonts w:hint="eastAsia" w:eastAsia="宋体"/>
                <w:snapToGrid w:val="0"/>
                <w:color w:val="auto"/>
                <w:kern w:val="21"/>
                <w:szCs w:val="21"/>
                <w:lang w:val="en-US" w:eastAsia="zh-CN"/>
              </w:rPr>
            </w:pPr>
          </w:p>
        </w:tc>
        <w:tc>
          <w:tcPr>
            <w:tcW w:w="1559" w:type="dxa"/>
            <w:vAlign w:val="center"/>
          </w:tcPr>
          <w:p w14:paraId="50116BAD">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0.02</w:t>
            </w:r>
          </w:p>
        </w:tc>
        <w:tc>
          <w:tcPr>
            <w:tcW w:w="1557" w:type="dxa"/>
            <w:vAlign w:val="center"/>
          </w:tcPr>
          <w:p w14:paraId="1942CC2E">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5E5DCD99">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color w:val="auto"/>
                <w:lang w:val="en-US" w:eastAsia="zh-CN"/>
              </w:rPr>
            </w:pPr>
            <w:r>
              <w:rPr>
                <w:rFonts w:hint="eastAsia" w:ascii="Times New Roman" w:hAnsi="Times New Roman" w:cs="Times New Roman"/>
                <w:b w:val="0"/>
                <w:bCs w:val="0"/>
                <w:color w:val="auto"/>
                <w:sz w:val="21"/>
                <w:szCs w:val="21"/>
                <w:lang w:val="en-US" w:eastAsia="zh-CN"/>
              </w:rPr>
              <w:t>0.02</w:t>
            </w:r>
          </w:p>
        </w:tc>
        <w:tc>
          <w:tcPr>
            <w:tcW w:w="1399" w:type="dxa"/>
            <w:vAlign w:val="center"/>
          </w:tcPr>
          <w:p w14:paraId="75F80B6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0.02</w:t>
            </w:r>
          </w:p>
        </w:tc>
      </w:tr>
      <w:tr w14:paraId="471345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59D33D0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610DD6D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rPr>
            </w:pPr>
            <w:r>
              <w:rPr>
                <w:rFonts w:hint="eastAsia"/>
                <w:color w:val="auto"/>
                <w:sz w:val="21"/>
                <w:szCs w:val="21"/>
                <w:lang w:val="en-US" w:eastAsia="zh-CN"/>
              </w:rPr>
              <w:t>高浓度废液</w:t>
            </w:r>
          </w:p>
        </w:tc>
        <w:tc>
          <w:tcPr>
            <w:tcW w:w="1650" w:type="dxa"/>
            <w:vAlign w:val="center"/>
          </w:tcPr>
          <w:p w14:paraId="7A15623A">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70CCF8B6">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65EDD51">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175BB451">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4.8</w:t>
            </w:r>
          </w:p>
        </w:tc>
        <w:tc>
          <w:tcPr>
            <w:tcW w:w="1557" w:type="dxa"/>
            <w:vAlign w:val="center"/>
          </w:tcPr>
          <w:p w14:paraId="337A991E">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1F203FA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color w:val="auto"/>
                <w:lang w:val="en-US" w:eastAsia="zh-CN"/>
              </w:rPr>
            </w:pPr>
            <w:r>
              <w:rPr>
                <w:rFonts w:hint="eastAsia" w:ascii="Times New Roman" w:hAnsi="Times New Roman" w:cs="Times New Roman"/>
                <w:b w:val="0"/>
                <w:bCs w:val="0"/>
                <w:color w:val="auto"/>
                <w:sz w:val="21"/>
                <w:szCs w:val="21"/>
                <w:lang w:val="en-US" w:eastAsia="zh-CN"/>
              </w:rPr>
              <w:t>4.8</w:t>
            </w:r>
          </w:p>
        </w:tc>
        <w:tc>
          <w:tcPr>
            <w:tcW w:w="1399" w:type="dxa"/>
            <w:vAlign w:val="center"/>
          </w:tcPr>
          <w:p w14:paraId="4C8C37D2">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cs="Times New Roman"/>
                <w:b w:val="0"/>
                <w:bCs w:val="0"/>
                <w:color w:val="auto"/>
                <w:sz w:val="21"/>
                <w:szCs w:val="21"/>
                <w:lang w:val="en-US" w:eastAsia="zh-CN"/>
              </w:rPr>
              <w:t>4.8</w:t>
            </w:r>
          </w:p>
        </w:tc>
      </w:tr>
      <w:tr w14:paraId="34B43E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25E17156">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48E090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rPr>
            </w:pPr>
            <w:r>
              <w:rPr>
                <w:rFonts w:hint="eastAsia" w:ascii="Times New Roman" w:hAnsi="Times New Roman" w:eastAsia="宋体" w:cs="宋体"/>
                <w:color w:val="auto"/>
                <w:lang w:val="en-US" w:eastAsia="zh-CN"/>
              </w:rPr>
              <w:t>实验室废物</w:t>
            </w:r>
          </w:p>
        </w:tc>
        <w:tc>
          <w:tcPr>
            <w:tcW w:w="1650" w:type="dxa"/>
            <w:vAlign w:val="center"/>
          </w:tcPr>
          <w:p w14:paraId="01714056">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3A315F35">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28E29C5">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48375C0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0.5</w:t>
            </w:r>
          </w:p>
        </w:tc>
        <w:tc>
          <w:tcPr>
            <w:tcW w:w="1557" w:type="dxa"/>
            <w:vAlign w:val="center"/>
          </w:tcPr>
          <w:p w14:paraId="0E47EC36">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116E8609">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color w:val="auto"/>
                <w:lang w:val="en-US" w:eastAsia="zh-CN"/>
              </w:rPr>
            </w:pPr>
            <w:r>
              <w:rPr>
                <w:rFonts w:hint="eastAsia" w:ascii="Times New Roman" w:hAnsi="Times New Roman" w:eastAsia="宋体" w:cs="Times New Roman"/>
                <w:b w:val="0"/>
                <w:bCs w:val="0"/>
                <w:color w:val="auto"/>
                <w:sz w:val="21"/>
                <w:szCs w:val="21"/>
                <w:lang w:val="en-US" w:eastAsia="zh-CN"/>
              </w:rPr>
              <w:t>0.5</w:t>
            </w:r>
          </w:p>
        </w:tc>
        <w:tc>
          <w:tcPr>
            <w:tcW w:w="1399" w:type="dxa"/>
            <w:vAlign w:val="center"/>
          </w:tcPr>
          <w:p w14:paraId="678F0A57">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0.5</w:t>
            </w:r>
          </w:p>
        </w:tc>
      </w:tr>
      <w:tr w14:paraId="65839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4BCE7C2E">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256412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rPr>
            </w:pPr>
            <w:r>
              <w:rPr>
                <w:rFonts w:hint="eastAsia"/>
                <w:color w:val="auto"/>
                <w:sz w:val="21"/>
                <w:szCs w:val="21"/>
                <w:lang w:val="en-US" w:eastAsia="zh-CN"/>
              </w:rPr>
              <w:t>喷淋废液</w:t>
            </w:r>
          </w:p>
        </w:tc>
        <w:tc>
          <w:tcPr>
            <w:tcW w:w="1650" w:type="dxa"/>
            <w:vAlign w:val="center"/>
          </w:tcPr>
          <w:p w14:paraId="3460AF0A">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33F711BA">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AE9C7D9">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1DFCC7B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p>
        </w:tc>
        <w:tc>
          <w:tcPr>
            <w:tcW w:w="1557" w:type="dxa"/>
            <w:vAlign w:val="center"/>
          </w:tcPr>
          <w:p w14:paraId="654003EE">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708218DB">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color w:val="auto"/>
                <w:lang w:val="en-US" w:eastAsia="zh-CN"/>
              </w:rPr>
            </w:pPr>
            <w:r>
              <w:rPr>
                <w:rFonts w:hint="eastAsia" w:ascii="Times New Roman" w:hAnsi="Times New Roman" w:eastAsia="宋体" w:cs="Times New Roman"/>
                <w:b w:val="0"/>
                <w:bCs w:val="0"/>
                <w:color w:val="auto"/>
                <w:sz w:val="21"/>
                <w:szCs w:val="21"/>
                <w:lang w:val="en-US" w:eastAsia="zh-CN"/>
              </w:rPr>
              <w:t>1</w:t>
            </w:r>
          </w:p>
        </w:tc>
        <w:tc>
          <w:tcPr>
            <w:tcW w:w="1399" w:type="dxa"/>
            <w:vAlign w:val="center"/>
          </w:tcPr>
          <w:p w14:paraId="73E339FD">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1</w:t>
            </w:r>
          </w:p>
        </w:tc>
      </w:tr>
      <w:tr w14:paraId="105396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434F352E">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3B4EA83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rPr>
            </w:pPr>
            <w:r>
              <w:rPr>
                <w:rFonts w:hint="eastAsia"/>
                <w:color w:val="auto"/>
                <w:sz w:val="21"/>
                <w:szCs w:val="21"/>
                <w:lang w:val="en-US" w:eastAsia="zh-CN"/>
              </w:rPr>
              <w:t>废试剂</w:t>
            </w:r>
          </w:p>
        </w:tc>
        <w:tc>
          <w:tcPr>
            <w:tcW w:w="1650" w:type="dxa"/>
            <w:vAlign w:val="center"/>
          </w:tcPr>
          <w:p w14:paraId="79D1CE6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425D8061">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22AF631">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6895C76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0.01</w:t>
            </w:r>
          </w:p>
        </w:tc>
        <w:tc>
          <w:tcPr>
            <w:tcW w:w="1557" w:type="dxa"/>
            <w:vAlign w:val="center"/>
          </w:tcPr>
          <w:p w14:paraId="13F3BB3D">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642F78C0">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color w:val="auto"/>
                <w:lang w:val="en-US" w:eastAsia="zh-CN"/>
              </w:rPr>
            </w:pPr>
            <w:r>
              <w:rPr>
                <w:rFonts w:hint="eastAsia" w:ascii="Times New Roman" w:hAnsi="Times New Roman" w:eastAsia="宋体" w:cs="Times New Roman"/>
                <w:b w:val="0"/>
                <w:bCs w:val="0"/>
                <w:color w:val="auto"/>
                <w:sz w:val="21"/>
                <w:szCs w:val="21"/>
                <w:lang w:val="en-US" w:eastAsia="zh-CN"/>
              </w:rPr>
              <w:t>0.01</w:t>
            </w:r>
          </w:p>
        </w:tc>
        <w:tc>
          <w:tcPr>
            <w:tcW w:w="1399" w:type="dxa"/>
            <w:vAlign w:val="center"/>
          </w:tcPr>
          <w:p w14:paraId="1DE9FAE6">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eastAsia" w:ascii="Times New Roman" w:hAnsi="Times New Roman" w:eastAsia="宋体" w:cs="Times New Roman"/>
                <w:b w:val="0"/>
                <w:bCs w:val="0"/>
                <w:color w:val="auto"/>
                <w:sz w:val="21"/>
                <w:szCs w:val="21"/>
                <w:lang w:val="en-US" w:eastAsia="zh-CN"/>
              </w:rPr>
              <w:t>0.01</w:t>
            </w:r>
          </w:p>
        </w:tc>
      </w:tr>
      <w:tr w14:paraId="715784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003B24BF">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275ADF6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color w:val="auto"/>
                <w:sz w:val="21"/>
                <w:szCs w:val="21"/>
                <w:lang w:val="en-US" w:eastAsia="zh-CN"/>
              </w:rPr>
              <w:t>废活性炭</w:t>
            </w:r>
          </w:p>
          <w:p w14:paraId="27CF4A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rPr>
            </w:pPr>
            <w:r>
              <w:rPr>
                <w:rFonts w:hint="eastAsia"/>
                <w:color w:val="auto"/>
                <w:sz w:val="21"/>
                <w:szCs w:val="21"/>
                <w:lang w:val="en-US" w:eastAsia="zh-CN"/>
              </w:rPr>
              <w:t>（废气处理）</w:t>
            </w:r>
          </w:p>
        </w:tc>
        <w:tc>
          <w:tcPr>
            <w:tcW w:w="1650" w:type="dxa"/>
            <w:vAlign w:val="center"/>
          </w:tcPr>
          <w:p w14:paraId="18C4B915">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7796C127">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2A20EA57">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788795BF">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color w:val="auto"/>
                <w:u w:val="none"/>
                <w:lang w:val="en-US" w:eastAsia="zh-CN"/>
              </w:rPr>
              <w:t>0.</w:t>
            </w:r>
            <w:r>
              <w:rPr>
                <w:rFonts w:hint="eastAsia" w:ascii="Times New Roman" w:hAnsi="Times New Roman" w:cs="Times New Roman"/>
                <w:color w:val="auto"/>
                <w:u w:val="none"/>
                <w:lang w:val="en-US" w:eastAsia="zh-CN"/>
              </w:rPr>
              <w:t>141</w:t>
            </w:r>
          </w:p>
        </w:tc>
        <w:tc>
          <w:tcPr>
            <w:tcW w:w="1557" w:type="dxa"/>
            <w:vAlign w:val="center"/>
          </w:tcPr>
          <w:p w14:paraId="60D4EF54">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4D1544A7">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color w:val="auto"/>
                <w:lang w:val="en-US" w:eastAsia="zh-CN"/>
              </w:rPr>
            </w:pPr>
            <w:r>
              <w:rPr>
                <w:rFonts w:hint="default" w:ascii="Times New Roman" w:hAnsi="Times New Roman" w:cs="Times New Roman"/>
                <w:color w:val="auto"/>
                <w:u w:val="none"/>
                <w:lang w:val="en-US" w:eastAsia="zh-CN"/>
              </w:rPr>
              <w:t>0.</w:t>
            </w:r>
            <w:r>
              <w:rPr>
                <w:rFonts w:hint="eastAsia" w:ascii="Times New Roman" w:hAnsi="Times New Roman" w:cs="Times New Roman"/>
                <w:color w:val="auto"/>
                <w:u w:val="none"/>
                <w:lang w:val="en-US" w:eastAsia="zh-CN"/>
              </w:rPr>
              <w:t>141</w:t>
            </w:r>
          </w:p>
        </w:tc>
        <w:tc>
          <w:tcPr>
            <w:tcW w:w="1399" w:type="dxa"/>
            <w:vAlign w:val="center"/>
          </w:tcPr>
          <w:p w14:paraId="44141F50">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cs="Times New Roman"/>
                <w:color w:val="auto"/>
                <w:u w:val="none"/>
                <w:lang w:val="en-US" w:eastAsia="zh-CN"/>
              </w:rPr>
              <w:t>0.</w:t>
            </w:r>
            <w:r>
              <w:rPr>
                <w:rFonts w:hint="eastAsia" w:ascii="Times New Roman" w:hAnsi="Times New Roman" w:cs="Times New Roman"/>
                <w:color w:val="auto"/>
                <w:u w:val="none"/>
                <w:lang w:val="en-US" w:eastAsia="zh-CN"/>
              </w:rPr>
              <w:t>141</w:t>
            </w:r>
          </w:p>
        </w:tc>
      </w:tr>
      <w:tr w14:paraId="59B8F1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28F01644">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69468D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污泥</w:t>
            </w:r>
          </w:p>
        </w:tc>
        <w:tc>
          <w:tcPr>
            <w:tcW w:w="1650" w:type="dxa"/>
            <w:vAlign w:val="center"/>
          </w:tcPr>
          <w:p w14:paraId="01E9DD59">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713D3D91">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02167F75">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3BAC801C">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557" w:type="dxa"/>
            <w:vAlign w:val="center"/>
          </w:tcPr>
          <w:p w14:paraId="637170BB">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300931A3">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399" w:type="dxa"/>
            <w:vAlign w:val="center"/>
          </w:tcPr>
          <w:p w14:paraId="0B25CD1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r>
      <w:tr w14:paraId="5068E6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35390D07">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58A897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废重金属捕捉器</w:t>
            </w:r>
          </w:p>
        </w:tc>
        <w:tc>
          <w:tcPr>
            <w:tcW w:w="1650" w:type="dxa"/>
            <w:vAlign w:val="center"/>
          </w:tcPr>
          <w:p w14:paraId="4A461C6F">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5ED9B97D">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7C1BEE8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3C20639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557" w:type="dxa"/>
            <w:vAlign w:val="center"/>
          </w:tcPr>
          <w:p w14:paraId="3FA20568">
            <w:pPr>
              <w:keepNext w:val="0"/>
              <w:keepLines w:val="0"/>
              <w:suppressLineNumbers w:val="0"/>
              <w:spacing w:before="0" w:beforeAutospacing="0" w:after="0" w:afterAutospacing="0"/>
              <w:ind w:left="0" w:leftChars="0" w:right="0" w:rightChars="0"/>
              <w:jc w:val="center"/>
              <w:rPr>
                <w:rFonts w:hint="default"/>
                <w:color w:val="auto"/>
              </w:rPr>
            </w:pPr>
          </w:p>
        </w:tc>
        <w:tc>
          <w:tcPr>
            <w:tcW w:w="1590" w:type="dxa"/>
            <w:vAlign w:val="center"/>
          </w:tcPr>
          <w:p w14:paraId="2524321E">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c>
          <w:tcPr>
            <w:tcW w:w="1399" w:type="dxa"/>
            <w:vAlign w:val="center"/>
          </w:tcPr>
          <w:p w14:paraId="125CBF2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0.01</w:t>
            </w:r>
          </w:p>
        </w:tc>
      </w:tr>
      <w:tr w14:paraId="791642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39" w:type="dxa"/>
            <w:vMerge w:val="continue"/>
            <w:vAlign w:val="center"/>
          </w:tcPr>
          <w:p w14:paraId="69C5A5E0">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775" w:type="dxa"/>
            <w:vAlign w:val="center"/>
          </w:tcPr>
          <w:p w14:paraId="0F2DFC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color w:val="auto"/>
                <w:sz w:val="21"/>
                <w:szCs w:val="21"/>
                <w:lang w:val="en-US" w:eastAsia="zh-CN"/>
              </w:rPr>
            </w:pPr>
            <w:r>
              <w:rPr>
                <w:rFonts w:hint="eastAsia" w:ascii="Times New Roman" w:hAnsi="Times New Roman" w:eastAsia="宋体" w:cs="Times New Roman"/>
                <w:color w:val="auto"/>
                <w:sz w:val="21"/>
                <w:szCs w:val="21"/>
                <w:lang w:val="en-US" w:eastAsia="zh-CN"/>
              </w:rPr>
              <w:t>废活性炭、废石英砂（废水处理）</w:t>
            </w:r>
          </w:p>
        </w:tc>
        <w:tc>
          <w:tcPr>
            <w:tcW w:w="1650" w:type="dxa"/>
            <w:vAlign w:val="center"/>
          </w:tcPr>
          <w:p w14:paraId="65D36265">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346" w:type="dxa"/>
            <w:vAlign w:val="center"/>
          </w:tcPr>
          <w:p w14:paraId="362C396B">
            <w:pPr>
              <w:pStyle w:val="37"/>
              <w:keepNext w:val="0"/>
              <w:keepLines w:val="0"/>
              <w:widowControl/>
              <w:suppressLineNumbers w:val="0"/>
              <w:bidi w:val="0"/>
              <w:spacing w:before="0" w:beforeAutospacing="0" w:after="0" w:afterAutospacing="0"/>
              <w:ind w:left="0" w:leftChars="0" w:right="0" w:firstLine="0" w:firstLineChars="0"/>
              <w:jc w:val="center"/>
              <w:rPr>
                <w:rFonts w:hint="default"/>
                <w:snapToGrid w:val="0"/>
                <w:color w:val="auto"/>
                <w:kern w:val="21"/>
                <w:szCs w:val="21"/>
              </w:rPr>
            </w:pPr>
          </w:p>
        </w:tc>
        <w:tc>
          <w:tcPr>
            <w:tcW w:w="1573" w:type="dxa"/>
            <w:vAlign w:val="center"/>
          </w:tcPr>
          <w:p w14:paraId="4869B5B7">
            <w:pPr>
              <w:keepNext w:val="0"/>
              <w:keepLines w:val="0"/>
              <w:suppressLineNumbers w:val="0"/>
              <w:spacing w:before="0" w:beforeAutospacing="0" w:after="0" w:afterAutospacing="0"/>
              <w:ind w:left="0" w:right="0"/>
              <w:jc w:val="center"/>
              <w:rPr>
                <w:rFonts w:hint="default"/>
                <w:snapToGrid w:val="0"/>
                <w:color w:val="auto"/>
                <w:kern w:val="21"/>
                <w:szCs w:val="21"/>
              </w:rPr>
            </w:pPr>
          </w:p>
        </w:tc>
        <w:tc>
          <w:tcPr>
            <w:tcW w:w="1559" w:type="dxa"/>
            <w:vAlign w:val="center"/>
          </w:tcPr>
          <w:p w14:paraId="5236BF28">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p>
        </w:tc>
        <w:tc>
          <w:tcPr>
            <w:tcW w:w="1557" w:type="dxa"/>
            <w:vAlign w:val="center"/>
          </w:tcPr>
          <w:p w14:paraId="35923444">
            <w:pPr>
              <w:keepNext w:val="0"/>
              <w:keepLines w:val="0"/>
              <w:suppressLineNumbers w:val="0"/>
              <w:spacing w:before="0" w:beforeAutospacing="0" w:after="0" w:afterAutospacing="0"/>
              <w:ind w:left="0" w:right="0"/>
              <w:jc w:val="center"/>
              <w:rPr>
                <w:rFonts w:hint="default"/>
                <w:color w:val="auto"/>
              </w:rPr>
            </w:pPr>
          </w:p>
        </w:tc>
        <w:tc>
          <w:tcPr>
            <w:tcW w:w="1590" w:type="dxa"/>
            <w:vAlign w:val="center"/>
          </w:tcPr>
          <w:p w14:paraId="0F385994">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p>
        </w:tc>
        <w:tc>
          <w:tcPr>
            <w:tcW w:w="1399" w:type="dxa"/>
            <w:vAlign w:val="center"/>
          </w:tcPr>
          <w:p w14:paraId="356BD2D2">
            <w:pPr>
              <w:pStyle w:val="59"/>
              <w:keepNext w:val="0"/>
              <w:keepLines w:val="0"/>
              <w:pageBreakBefore w:val="0"/>
              <w:suppressLineNumbers w:val="0"/>
              <w:kinsoku/>
              <w:wordWrap/>
              <w:overflowPunct/>
              <w:topLinePunct w:val="0"/>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0.05</w:t>
            </w:r>
          </w:p>
        </w:tc>
      </w:tr>
    </w:tbl>
    <w:p w14:paraId="3B6A2071">
      <w:pPr>
        <w:spacing w:before="192" w:beforeLines="80" w:after="24"/>
        <w:ind w:firstLine="480"/>
        <w:jc w:val="left"/>
        <w:rPr>
          <w:rFonts w:hint="default" w:ascii="Times New Roman" w:hAnsi="Times New Roman" w:cs="Times New Roman"/>
          <w:color w:val="auto"/>
          <w:lang w:val="en-US" w:eastAsia="zh-CN"/>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hAnsi="宋体" w:cs="宋体"/>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hAnsi="宋体" w:cs="宋体"/>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rFonts w:hint="eastAsia" w:hAnsi="宋体" w:cs="宋体"/>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rFonts w:hint="eastAsia" w:hAnsi="宋体" w:cs="宋体"/>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rFonts w:hint="eastAsia" w:hAnsi="宋体" w:cs="宋体"/>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rFonts w:hint="eastAsia" w:hAnsi="宋体" w:cs="宋体"/>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rFonts w:hint="eastAsia" w:hAnsi="宋体" w:cs="宋体"/>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rFonts w:hint="eastAsia" w:hAnsi="宋体" w:cs="宋体"/>
          <w:color w:val="auto"/>
          <w:szCs w:val="21"/>
        </w:rPr>
        <w:t>①</w:t>
      </w:r>
      <w:r>
        <w:rPr>
          <w:snapToGrid w:val="0"/>
          <w:color w:val="auto"/>
          <w:spacing w:val="-6"/>
          <w:kern w:val="21"/>
          <w:szCs w:val="21"/>
        </w:rPr>
        <w:fldChar w:fldCharType="end"/>
      </w:r>
      <w:r>
        <w:rPr>
          <w:rFonts w:hint="eastAsia"/>
          <w:snapToGrid w:val="0"/>
          <w:color w:val="auto"/>
          <w:spacing w:val="-6"/>
          <w:kern w:val="21"/>
          <w:szCs w:val="21"/>
        </w:rPr>
        <w:t>。</w:t>
      </w:r>
    </w:p>
    <w:p w14:paraId="1921F41D">
      <w:pPr>
        <w:pStyle w:val="4"/>
        <w:rPr>
          <w:rFonts w:hint="default"/>
          <w:color w:val="auto"/>
        </w:rPr>
        <w:sectPr>
          <w:pgSz w:w="16838" w:h="11906" w:orient="landscape"/>
          <w:pgMar w:top="1531" w:right="1701" w:bottom="1531" w:left="1701" w:header="851" w:footer="851" w:gutter="0"/>
          <w:pgBorders>
            <w:top w:val="none" w:sz="0" w:space="0"/>
            <w:left w:val="none" w:sz="0" w:space="0"/>
            <w:bottom w:val="none" w:sz="0" w:space="0"/>
            <w:right w:val="none" w:sz="0" w:space="0"/>
          </w:pgBorders>
          <w:pgNumType w:fmt="numberInDash"/>
          <w:cols w:space="720" w:num="1"/>
          <w:docGrid w:linePitch="312" w:charSpace="0"/>
        </w:sectPr>
      </w:pPr>
    </w:p>
    <w:p w14:paraId="14F6D290">
      <w:pPr>
        <w:pStyle w:val="4"/>
        <w:keepNext/>
        <w:keepLines w:val="0"/>
        <w:pageBreakBefore w:val="0"/>
        <w:widowControl w:val="0"/>
        <w:numPr>
          <w:ilvl w:val="0"/>
          <w:numId w:val="0"/>
        </w:numPr>
        <w:kinsoku/>
        <w:wordWrap/>
        <w:overflowPunct w:val="0"/>
        <w:topLinePunct w:val="0"/>
        <w:autoSpaceDE/>
        <w:autoSpaceDN/>
        <w:bidi w:val="0"/>
        <w:adjustRightInd/>
        <w:snapToGrid w:val="0"/>
        <w:jc w:val="both"/>
        <w:textAlignment w:val="auto"/>
        <w:rPr>
          <w:rFonts w:hint="eastAsia" w:ascii="Times New Roman" w:hAnsi="Times New Roman" w:eastAsia="宋体" w:cs="Times New Roman"/>
          <w:b/>
          <w:bCs w:val="0"/>
          <w:color w:val="auto"/>
          <w:sz w:val="24"/>
          <w:szCs w:val="24"/>
          <w:highlight w:val="none"/>
          <w:lang w:val="en-US" w:eastAsia="zh-CN"/>
        </w:rPr>
      </w:pPr>
      <w:bookmarkStart w:id="118" w:name="_Toc30765"/>
      <w:r>
        <w:rPr>
          <w:rFonts w:hint="default" w:ascii="Times New Roman" w:hAnsi="Times New Roman" w:eastAsia="宋体" w:cs="Times New Roman"/>
          <w:b/>
          <w:bCs w:val="0"/>
          <w:color w:val="auto"/>
          <w:sz w:val="24"/>
          <w:szCs w:val="24"/>
          <w:highlight w:val="none"/>
        </w:rPr>
        <w:t>附件</w:t>
      </w:r>
      <w:r>
        <w:rPr>
          <w:rFonts w:hint="eastAsia" w:cs="Times New Roman"/>
          <w:b/>
          <w:bCs w:val="0"/>
          <w:color w:val="auto"/>
          <w:sz w:val="24"/>
          <w:szCs w:val="24"/>
          <w:highlight w:val="none"/>
          <w:lang w:val="en-US" w:eastAsia="zh-CN"/>
        </w:rPr>
        <w:t>9</w:t>
      </w:r>
      <w:r>
        <w:rPr>
          <w:rFonts w:hint="default" w:ascii="Times New Roman" w:hAnsi="Times New Roman" w:eastAsia="宋体" w:cs="Times New Roman"/>
          <w:b/>
          <w:bCs w:val="0"/>
          <w:color w:val="auto"/>
          <w:sz w:val="24"/>
          <w:szCs w:val="24"/>
          <w:highlight w:val="none"/>
          <w:lang w:val="en-US" w:eastAsia="zh-CN"/>
        </w:rPr>
        <w:t>：</w:t>
      </w:r>
      <w:r>
        <w:rPr>
          <w:rFonts w:hint="eastAsia" w:ascii="Times New Roman" w:hAnsi="Times New Roman" w:eastAsia="宋体" w:cs="Times New Roman"/>
          <w:b/>
          <w:bCs w:val="0"/>
          <w:color w:val="auto"/>
          <w:sz w:val="24"/>
          <w:szCs w:val="24"/>
          <w:highlight w:val="none"/>
          <w:lang w:val="en-US" w:eastAsia="zh-CN"/>
        </w:rPr>
        <w:t>关于环评文件公开文本删除的涉及国家秘密、商业秘密等内容的删除依据和理由说明</w:t>
      </w:r>
      <w:bookmarkEnd w:id="118"/>
    </w:p>
    <w:p w14:paraId="1E16D0F3">
      <w:pPr>
        <w:rPr>
          <w:rFonts w:hint="eastAsia"/>
          <w:color w:val="auto"/>
          <w:lang w:val="en-US" w:eastAsia="zh-CN"/>
        </w:rPr>
      </w:pPr>
      <w:r>
        <w:rPr>
          <w:rFonts w:hint="eastAsia"/>
          <w:color w:val="auto"/>
          <w:lang w:val="en-US" w:eastAsia="zh-CN"/>
        </w:rPr>
        <w:drawing>
          <wp:inline distT="0" distB="0" distL="114300" distR="114300">
            <wp:extent cx="5598795" cy="7916545"/>
            <wp:effectExtent l="0" t="0" r="1905" b="8255"/>
            <wp:docPr id="30" name="图片 30" descr="未命名2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未命名2_00"/>
                    <pic:cNvPicPr>
                      <a:picLocks noChangeAspect="1"/>
                    </pic:cNvPicPr>
                  </pic:nvPicPr>
                  <pic:blipFill>
                    <a:blip r:embed="rId41"/>
                    <a:stretch>
                      <a:fillRect/>
                    </a:stretch>
                  </pic:blipFill>
                  <pic:spPr>
                    <a:xfrm>
                      <a:off x="0" y="0"/>
                      <a:ext cx="5598795" cy="7916545"/>
                    </a:xfrm>
                    <a:prstGeom prst="rect">
                      <a:avLst/>
                    </a:prstGeom>
                  </pic:spPr>
                </pic:pic>
              </a:graphicData>
            </a:graphic>
          </wp:inline>
        </w:drawing>
      </w:r>
    </w:p>
    <w:p w14:paraId="797F1FF2">
      <w:pPr>
        <w:spacing w:before="192" w:beforeLines="80" w:after="24"/>
        <w:jc w:val="left"/>
        <w:rPr>
          <w:rFonts w:hint="default" w:ascii="Times New Roman" w:hAnsi="Times New Roman" w:cs="Times New Roman"/>
          <w:color w:val="auto"/>
          <w:lang w:val="en-US" w:eastAsia="zh-CN"/>
        </w:rPr>
      </w:pPr>
    </w:p>
    <w:p w14:paraId="33E1C9D8">
      <w:pPr>
        <w:keepNext/>
        <w:keepLines w:val="0"/>
        <w:pageBreakBefore w:val="0"/>
        <w:widowControl w:val="0"/>
        <w:numPr>
          <w:ilvl w:val="0"/>
          <w:numId w:val="0"/>
        </w:numPr>
        <w:tabs>
          <w:tab w:val="left" w:pos="420"/>
        </w:tabs>
        <w:kinsoku/>
        <w:wordWrap/>
        <w:overflowPunct w:val="0"/>
        <w:topLinePunct w:val="0"/>
        <w:autoSpaceDE/>
        <w:autoSpaceDN/>
        <w:bidi w:val="0"/>
        <w:adjustRightInd/>
        <w:snapToGrid w:val="0"/>
        <w:ind w:leftChars="0"/>
        <w:jc w:val="both"/>
        <w:textAlignment w:val="auto"/>
        <w:outlineLvl w:val="9"/>
        <w:rPr>
          <w:rFonts w:hint="default"/>
          <w:color w:val="auto"/>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numberInDash"/>
          <w:cols w:space="720" w:num="1"/>
          <w:docGrid w:linePitch="312" w:charSpace="0"/>
        </w:sectPr>
      </w:pPr>
      <w:r>
        <w:rPr>
          <w:rFonts w:hint="default"/>
          <w:color w:val="auto"/>
          <w:lang w:val="en-US" w:eastAsia="zh-CN"/>
        </w:rPr>
        <w:drawing>
          <wp:inline distT="0" distB="0" distL="114300" distR="114300">
            <wp:extent cx="5598160" cy="7916545"/>
            <wp:effectExtent l="0" t="0" r="2540" b="8255"/>
            <wp:docPr id="56" name="图片 56" descr="未命名2_03"/>
            <wp:cNvGraphicFramePr>
              <a:graphicFrameLocks xmlns:a="http://schemas.openxmlformats.org/drawingml/2006/main" noChangeAspect="1"/>
              <a:extLst xmlns:a="http://schemas.openxmlformats.org/drawingml/2006/main">
                <a:ext uri="{7FBC4E63-A832-4D11-8238-D91031DB1400}">
                  <s:tag xmlns="http://www.wps.cn/officeDocument/2013/wpsCustomData" xmlns:s="http://www.wps.cn/officeDocument/2013/wpsCustomData">
                    <s:item s:name="picid" s:val="{f1776778-bc25-4b73-86ee-b7e4cebdf0e5}"/>
                  </s:tag>
                </a:ext>
              </a:extLst>
            </wp:cNvGraphicFramePr>
            <a:graphic xmlns:a="http://schemas.openxmlformats.org/drawingml/2006/main">
              <a:graphicData uri="http://schemas.openxmlformats.org/drawingml/2006/picture">
                <pic:pic xmlns:pic="http://schemas.openxmlformats.org/drawingml/2006/picture">
                  <pic:nvPicPr>
                    <pic:cNvPr id="56" name="图片 56" descr="未命名2_03"/>
                    <pic:cNvPicPr>
                      <a:picLocks noChangeAspect="1"/>
                    </pic:cNvPicPr>
                  </pic:nvPicPr>
                  <pic:blipFill>
                    <a:blip r:embed="rId42"/>
                    <a:stretch>
                      <a:fillRect/>
                    </a:stretch>
                  </pic:blipFill>
                  <pic:spPr>
                    <a:xfrm>
                      <a:off x="0" y="0"/>
                      <a:ext cx="5598160" cy="7916545"/>
                    </a:xfrm>
                    <a:prstGeom prst="rect">
                      <a:avLst/>
                    </a:prstGeom>
                  </pic:spPr>
                </pic:pic>
              </a:graphicData>
            </a:graphic>
          </wp:inline>
        </w:drawing>
      </w:r>
    </w:p>
    <w:p w14:paraId="55C9DBE8">
      <w:pPr>
        <w:pStyle w:val="2"/>
        <w:rPr>
          <w:rFonts w:hint="default"/>
          <w:color w:val="auto"/>
          <w:lang w:val="en-US" w:eastAsia="zh-CN"/>
        </w:rPr>
      </w:pPr>
    </w:p>
    <w:sectPr>
      <w:pgSz w:w="11906" w:h="16838"/>
      <w:pgMar w:top="1440" w:right="1179" w:bottom="1440" w:left="1179" w:header="851" w:footer="992" w:gutter="0"/>
      <w:cols w:space="425" w:num="1"/>
      <w:docGrid w:type="lines" w:linePitch="312" w:charSpace="0"/>
    </w:sectPr>
  </w:body>
</w:document>
</file>

<file path=word/customizations.xml><?xml version="1.0" encoding="utf-8"?>
<wne:tcg xmlns:r="http://schemas.openxmlformats.org/officeDocument/2006/relationships" xmlns:wne="http://schemas.microsoft.com/office/word/2006/wordml">
  <wne:keymaps>
    <wne:keymap wne:kcmPrimary="0632">
      <wne:acd wne:acdName="acd0"/>
    </wne:keymap>
    <wne:keymap wne:kcmPrimary="0633">
      <wne:acd wne:acdName="acd1"/>
    </wne:keymap>
    <wne:keymap wne:kcmPrimary="0634">
      <wne:acd wne:acdName="acd2"/>
    </wne:keymap>
    <wne:keymap wne:kcmPrimary="0635">
      <wne:acd wne:acdName="acd3"/>
    </wne:keymap>
    <wne:keymap wne:kcmPrimary="0642">
      <wne:acd wne:acdName="acd4"/>
    </wne:keymap>
    <wne:keymap wne:kcmPrimary="0647">
      <wne:acd wne:acdName="acd5"/>
    </wne:keymap>
    <wne:keymap wne:kcmPrimary="06DE">
      <wne:acd wne:acdName="acd6"/>
    </wne:keymap>
  </wne:keymaps>
  <wne:acds>
    <wne:acd wne:argValue="AQAAAAIA" wne:acdName="acd0" wne:fciIndexBasedOn="0065"/>
    <wne:acd wne:argValue="AQAAAAMA" wne:acdName="acd1" wne:fciIndexBasedOn="0065"/>
    <wne:acd wne:argValue="AQAAAAQA" wne:acdName="acd2" wne:fciIndexBasedOn="0065"/>
    <wne:acd wne:argValue="AQAAAAUA" wne:acdName="acd3" wne:fciIndexBasedOn="0065"/>
    <wne:acd wne:argValue="AgBoiDxoB2iYmA==" wne:acdName="acd4" wne:fciIndexBasedOn="0065"/>
    <wne:acd wne:argValue="AgD+VodlB2iYmA==" wne:acdName="acd5" wne:fciIndexBasedOn="0065"/>
    <wne:acd wne:argValue="AgD9lRtSpWJKVGNrh2U=" wne:acdName="acd6" wne:fciIndexBasedOn="0065"/>
  </wne:acds>
</wne:tc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82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3BE9F">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CCCB80">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CB7D6">
                          <w:pPr>
                            <w:pStyle w:val="21"/>
                            <w:rPr>
                              <w:sz w:val="21"/>
                              <w:szCs w:val="22"/>
                            </w:rPr>
                          </w:pP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4DCB7D6">
                    <w:pPr>
                      <w:pStyle w:val="21"/>
                      <w:rPr>
                        <w:sz w:val="21"/>
                        <w:szCs w:val="22"/>
                      </w:rPr>
                    </w:pPr>
                    <w:r>
                      <w:rPr>
                        <w:rFonts w:hint="eastAsia"/>
                      </w:rPr>
                      <w:fldChar w:fldCharType="begin"/>
                    </w:r>
                    <w:r>
                      <w:rPr>
                        <w:rFonts w:hint="eastAsia"/>
                      </w:rPr>
                      <w:instrText xml:space="preserve"> PAGE  \* MERGEFORMAT </w:instrText>
                    </w:r>
                    <w:r>
                      <w:rPr>
                        <w:rFonts w:hint="eastAsia"/>
                      </w:rPr>
                      <w:fldChar w:fldCharType="separate"/>
                    </w:r>
                    <w:r>
                      <w:t>- 19 -</w:t>
                    </w:r>
                    <w:r>
                      <w:rPr>
                        <w:rFonts w:hint="eastAsia"/>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EC61D2">
    <w:pPr>
      <w:tabs>
        <w:tab w:val="center" w:pos="4422"/>
        <w:tab w:val="right" w:pos="8306"/>
      </w:tabs>
      <w:ind w:firstLine="480"/>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57CCF">
                          <w:pPr>
                            <w:pStyle w:val="21"/>
                          </w:pPr>
                          <w:r>
                            <w:fldChar w:fldCharType="begin"/>
                          </w:r>
                          <w:r>
                            <w:instrText xml:space="preserve"> PAGE  \* MERGEFORMAT </w:instrText>
                          </w:r>
                          <w:r>
                            <w:fldChar w:fldCharType="separate"/>
                          </w:r>
                          <w:r>
                            <w:t>- 103 -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14:paraId="20857CCF">
                    <w:pPr>
                      <w:pStyle w:val="21"/>
                    </w:pPr>
                    <w:r>
                      <w:fldChar w:fldCharType="begin"/>
                    </w:r>
                    <w:r>
                      <w:instrText xml:space="preserve"> PAGE  \* MERGEFORMAT </w:instrText>
                    </w:r>
                    <w:r>
                      <w:fldChar w:fldCharType="separate"/>
                    </w:r>
                    <w:r>
                      <w:t>- 103 -</w:t>
                    </w:r>
                    <w: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38072">
    <w:pPr>
      <w:pStyle w:val="22"/>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3EFAD0"/>
    <w:multiLevelType w:val="multilevel"/>
    <w:tmpl w:val="883EFAD0"/>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420"/>
        </w:tabs>
        <w:ind w:left="358" w:firstLine="0"/>
      </w:pPr>
      <w:rPr>
        <w:rFonts w:hint="default"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default"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pStyle w:val="11"/>
      <w:lvlText w:val="%1.%2.%3.%4.%5.%6.%7.%8."/>
      <w:lvlJc w:val="left"/>
      <w:pPr>
        <w:ind w:left="1798" w:hanging="1440"/>
      </w:pPr>
      <w:rPr>
        <w:rFonts w:hint="eastAsia"/>
      </w:rPr>
    </w:lvl>
    <w:lvl w:ilvl="8" w:tentative="0">
      <w:start w:val="1"/>
      <w:numFmt w:val="decimal"/>
      <w:lvlText w:val="%1.%2.%3.%4.%5.%6.%7.%8.%9."/>
      <w:lvlJc w:val="left"/>
      <w:pPr>
        <w:ind w:left="1941" w:hanging="1583"/>
      </w:pPr>
      <w:rPr>
        <w:rFonts w:hint="eastAsia"/>
      </w:rPr>
    </w:lvl>
  </w:abstractNum>
  <w:abstractNum w:abstractNumId="1">
    <w:nsid w:val="26F55DDD"/>
    <w:multiLevelType w:val="multilevel"/>
    <w:tmpl w:val="26F55DDD"/>
    <w:lvl w:ilvl="0" w:tentative="0">
      <w:start w:val="1"/>
      <w:numFmt w:val="chineseCounting"/>
      <w:suff w:val="nothing"/>
      <w:lvlText w:val="%1、"/>
      <w:lvlJc w:val="left"/>
      <w:pPr>
        <w:tabs>
          <w:tab w:val="left" w:pos="420"/>
        </w:tabs>
        <w:ind w:left="358" w:firstLine="0"/>
      </w:pPr>
      <w:rPr>
        <w:rFonts w:hint="eastAsia" w:ascii="宋体" w:hAnsi="宋体" w:eastAsia="宋体" w:cs="宋体"/>
      </w:rPr>
    </w:lvl>
    <w:lvl w:ilvl="1" w:tentative="0">
      <w:start w:val="1"/>
      <w:numFmt w:val="decimal"/>
      <w:isLgl/>
      <w:suff w:val="space"/>
      <w:lvlText w:val="%1.%2"/>
      <w:lvlJc w:val="left"/>
      <w:pPr>
        <w:tabs>
          <w:tab w:val="left" w:pos="0"/>
        </w:tabs>
        <w:ind w:left="358" w:firstLine="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358" w:firstLine="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358" w:firstLine="0"/>
      </w:pPr>
      <w:rPr>
        <w:rFonts w:hint="eastAsia" w:ascii="Times New Roman" w:hAnsi="Times New Roman" w:eastAsia="宋体" w:cs="宋体"/>
        <w:sz w:val="24"/>
      </w:rPr>
    </w:lvl>
    <w:lvl w:ilvl="4" w:tentative="0">
      <w:start w:val="1"/>
      <w:numFmt w:val="decimal"/>
      <w:lvlText w:val="%1.%2.%3.%4.%5."/>
      <w:lvlJc w:val="left"/>
      <w:pPr>
        <w:ind w:left="1366" w:hanging="1008"/>
      </w:pPr>
      <w:rPr>
        <w:rFonts w:hint="eastAsia"/>
      </w:rPr>
    </w:lvl>
    <w:lvl w:ilvl="5" w:tentative="0">
      <w:start w:val="1"/>
      <w:numFmt w:val="decimal"/>
      <w:lvlText w:val="%1.%2.%3.%4.%5.%6."/>
      <w:lvlJc w:val="left"/>
      <w:pPr>
        <w:ind w:left="1509" w:hanging="1151"/>
      </w:pPr>
      <w:rPr>
        <w:rFonts w:hint="eastAsia"/>
      </w:rPr>
    </w:lvl>
    <w:lvl w:ilvl="6" w:tentative="0">
      <w:start w:val="1"/>
      <w:numFmt w:val="decimal"/>
      <w:lvlText w:val="%1.%2.%3.%4.%5.%6.%7."/>
      <w:lvlJc w:val="left"/>
      <w:pPr>
        <w:ind w:left="1654" w:hanging="1296"/>
      </w:pPr>
      <w:rPr>
        <w:rFonts w:hint="eastAsia"/>
      </w:rPr>
    </w:lvl>
    <w:lvl w:ilvl="7" w:tentative="0">
      <w:start w:val="1"/>
      <w:numFmt w:val="decimal"/>
      <w:suff w:val="space"/>
      <w:lvlText w:val="表 %1.%2-%8."/>
      <w:lvlJc w:val="left"/>
      <w:pPr>
        <w:tabs>
          <w:tab w:val="left" w:pos="420"/>
        </w:tabs>
        <w:ind w:left="1798" w:hanging="1440"/>
      </w:pPr>
      <w:rPr>
        <w:rFonts w:hint="eastAsia" w:ascii="宋体" w:hAnsi="宋体" w:eastAsia="宋体" w:cs="宋体"/>
      </w:rPr>
    </w:lvl>
    <w:lvl w:ilvl="8" w:tentative="0">
      <w:start w:val="1"/>
      <w:numFmt w:val="decimal"/>
      <w:pStyle w:val="12"/>
      <w:lvlText w:val="%1.%2.%3.%4.%5.%6.%7.%8.%9."/>
      <w:lvlJc w:val="left"/>
      <w:pPr>
        <w:ind w:left="1941" w:hanging="1583"/>
      </w:pPr>
      <w:rPr>
        <w:rFonts w:hint="eastAsia"/>
      </w:rPr>
    </w:lvl>
  </w:abstractNum>
  <w:abstractNum w:abstractNumId="2">
    <w:nsid w:val="2AA33BED"/>
    <w:multiLevelType w:val="multilevel"/>
    <w:tmpl w:val="2AA33BED"/>
    <w:lvl w:ilvl="0" w:tentative="0">
      <w:start w:val="1"/>
      <w:numFmt w:val="chineseCounting"/>
      <w:suff w:val="nothing"/>
      <w:lvlText w:val="%1、"/>
      <w:lvlJc w:val="left"/>
      <w:pPr>
        <w:tabs>
          <w:tab w:val="left" w:pos="420"/>
        </w:tabs>
        <w:ind w:left="2730" w:leftChars="0" w:firstLine="0" w:firstLineChars="0"/>
      </w:pPr>
      <w:rPr>
        <w:rFonts w:hint="eastAsia" w:ascii="宋体" w:hAnsi="宋体" w:eastAsia="宋体" w:cs="宋体"/>
      </w:rPr>
    </w:lvl>
    <w:lvl w:ilvl="1" w:tentative="0">
      <w:start w:val="1"/>
      <w:numFmt w:val="decimal"/>
      <w:isLgl/>
      <w:suff w:val="space"/>
      <w:lvlText w:val="%1.%2"/>
      <w:lvlJc w:val="left"/>
      <w:pPr>
        <w:tabs>
          <w:tab w:val="left" w:pos="420"/>
        </w:tabs>
        <w:ind w:left="0" w:leftChars="0" w:firstLine="0" w:firstLineChars="0"/>
      </w:pPr>
      <w:rPr>
        <w:rFonts w:hint="eastAsia" w:ascii="Times New Roman" w:hAnsi="Times New Roman" w:eastAsia="宋体" w:cs="Times New Roman"/>
      </w:rPr>
    </w:lvl>
    <w:lvl w:ilvl="2" w:tentative="0">
      <w:start w:val="1"/>
      <w:numFmt w:val="decimal"/>
      <w:isLgl/>
      <w:suff w:val="space"/>
      <w:lvlText w:val="%1.%2.%3"/>
      <w:lvlJc w:val="left"/>
      <w:pPr>
        <w:tabs>
          <w:tab w:val="left" w:pos="420"/>
        </w:tabs>
        <w:ind w:left="0" w:leftChars="0" w:firstLine="0" w:firstLineChars="0"/>
      </w:pPr>
      <w:rPr>
        <w:rFonts w:hint="eastAsia" w:ascii="Times New Roman" w:hAnsi="Times New Roman" w:eastAsia="宋体" w:cs="Times New Roman"/>
        <w:sz w:val="24"/>
        <w:szCs w:val="24"/>
      </w:rPr>
    </w:lvl>
    <w:lvl w:ilvl="3" w:tentative="0">
      <w:start w:val="1"/>
      <w:numFmt w:val="decimal"/>
      <w:isLgl/>
      <w:suff w:val="space"/>
      <w:lvlText w:val="%1.%2.%3.%4"/>
      <w:lvlJc w:val="left"/>
      <w:pPr>
        <w:tabs>
          <w:tab w:val="left" w:pos="420"/>
        </w:tabs>
        <w:ind w:left="0" w:leftChars="0" w:firstLine="0" w:firstLineChars="0"/>
      </w:pPr>
      <w:rPr>
        <w:rFonts w:hint="eastAsia" w:ascii="宋体" w:hAnsi="宋体" w:eastAsia="宋体" w:cs="宋体"/>
        <w:sz w:val="24"/>
      </w:rPr>
    </w:lvl>
    <w:lvl w:ilvl="4" w:tentative="0">
      <w:start w:val="1"/>
      <w:numFmt w:val="decimal"/>
      <w:pStyle w:val="8"/>
      <w:lvlText w:val="%1.%2.%3.%4.%5."/>
      <w:lvlJc w:val="left"/>
      <w:pPr>
        <w:ind w:left="1366" w:hanging="1008"/>
      </w:pPr>
      <w:rPr>
        <w:rFonts w:hint="eastAsia" w:ascii="宋体" w:hAnsi="宋体" w:eastAsia="宋体" w:cs="宋体"/>
      </w:rPr>
    </w:lvl>
    <w:lvl w:ilvl="5" w:tentative="0">
      <w:start w:val="1"/>
      <w:numFmt w:val="decimal"/>
      <w:pStyle w:val="9"/>
      <w:lvlText w:val="%1.%2.%3.%4.%5.%6."/>
      <w:lvlJc w:val="left"/>
      <w:pPr>
        <w:ind w:left="1509" w:hanging="1151"/>
      </w:pPr>
      <w:rPr>
        <w:rFonts w:hint="eastAsia" w:ascii="宋体" w:hAnsi="宋体" w:eastAsia="宋体" w:cs="宋体"/>
      </w:rPr>
    </w:lvl>
    <w:lvl w:ilvl="6" w:tentative="0">
      <w:start w:val="1"/>
      <w:numFmt w:val="decimal"/>
      <w:pStyle w:val="10"/>
      <w:lvlText w:val="%1.%2.%3.%4.%5.%6.%7."/>
      <w:lvlJc w:val="left"/>
      <w:pPr>
        <w:tabs>
          <w:tab w:val="left" w:pos="420"/>
        </w:tabs>
        <w:ind w:left="1654" w:hanging="1296"/>
      </w:pPr>
      <w:rPr>
        <w:rFonts w:hint="eastAsia" w:ascii="宋体" w:hAnsi="宋体" w:eastAsia="宋体" w:cs="宋体"/>
      </w:rPr>
    </w:lvl>
    <w:lvl w:ilvl="7" w:tentative="0">
      <w:start w:val="1"/>
      <w:numFmt w:val="decimal"/>
      <w:isLgl/>
      <w:suff w:val="space"/>
      <w:lvlText w:val="表 %1.%2-%8"/>
      <w:lvlJc w:val="left"/>
      <w:pPr>
        <w:tabs>
          <w:tab w:val="left" w:pos="0"/>
        </w:tabs>
        <w:ind w:left="0" w:leftChars="0" w:firstLine="0" w:firstLineChars="0"/>
      </w:pPr>
      <w:rPr>
        <w:rFonts w:hint="default" w:ascii="Times New Roman" w:hAnsi="Times New Roman" w:eastAsia="宋体" w:cs="Times New Roman"/>
        <w:sz w:val="24"/>
        <w:szCs w:val="24"/>
      </w:rPr>
    </w:lvl>
    <w:lvl w:ilvl="8" w:tentative="0">
      <w:start w:val="1"/>
      <w:numFmt w:val="decimal"/>
      <w:isLgl/>
      <w:suff w:val="space"/>
      <w:lvlText w:val="图 %1.%2-%9"/>
      <w:lvlJc w:val="left"/>
      <w:pPr>
        <w:tabs>
          <w:tab w:val="left" w:pos="420"/>
        </w:tabs>
        <w:ind w:left="0" w:leftChars="0" w:firstLine="0" w:firstLineChars="0"/>
      </w:pPr>
      <w:rPr>
        <w:rFonts w:hint="default" w:ascii="Times New Roman" w:hAnsi="Times New Roman" w:eastAsia="宋体" w:cs="Times New Roman"/>
      </w:rPr>
    </w:lvl>
  </w:abstractNum>
  <w:abstractNum w:abstractNumId="3">
    <w:nsid w:val="590138B4"/>
    <w:multiLevelType w:val="singleLevel"/>
    <w:tmpl w:val="590138B4"/>
    <w:lvl w:ilvl="0" w:tentative="0">
      <w:start w:val="2"/>
      <w:numFmt w:val="decimal"/>
      <w:suff w:val="nothing"/>
      <w:lvlText w:val="（%1）"/>
      <w:lvlJc w:val="left"/>
    </w:lvl>
  </w:abstractNum>
  <w:abstractNum w:abstractNumId="4">
    <w:nsid w:val="5BE7DFC8"/>
    <w:multiLevelType w:val="singleLevel"/>
    <w:tmpl w:val="5BE7DFC8"/>
    <w:lvl w:ilvl="0" w:tentative="0">
      <w:start w:val="1"/>
      <w:numFmt w:val="decimal"/>
      <w:suff w:val="nothing"/>
      <w:lvlText w:val="（%1）"/>
      <w:lvlJc w:val="left"/>
    </w:lvl>
  </w:abstractNum>
  <w:abstractNum w:abstractNumId="5">
    <w:nsid w:val="6D196F0D"/>
    <w:multiLevelType w:val="multilevel"/>
    <w:tmpl w:val="6D196F0D"/>
    <w:lvl w:ilvl="0" w:tentative="0">
      <w:start w:val="1"/>
      <w:numFmt w:val="chineseCounting"/>
      <w:pStyle w:val="4"/>
      <w:suff w:val="nothing"/>
      <w:lvlText w:val="%1、"/>
      <w:lvlJc w:val="left"/>
      <w:pPr>
        <w:tabs>
          <w:tab w:val="left" w:pos="0"/>
        </w:tabs>
        <w:ind w:left="432" w:hanging="432"/>
      </w:pPr>
      <w:rPr>
        <w:rFonts w:hint="eastAsia" w:ascii="宋体" w:hAnsi="宋体" w:eastAsia="宋体" w:cs="宋体"/>
        <w:b/>
        <w:bCs/>
        <w:color w:val="auto"/>
        <w:sz w:val="32"/>
        <w:szCs w:val="32"/>
      </w:rPr>
    </w:lvl>
    <w:lvl w:ilvl="1" w:tentative="0">
      <w:start w:val="1"/>
      <w:numFmt w:val="decimal"/>
      <w:pStyle w:val="5"/>
      <w:isLgl/>
      <w:suff w:val="space"/>
      <w:lvlText w:val="%1.%2"/>
      <w:lvlJc w:val="left"/>
      <w:pPr>
        <w:tabs>
          <w:tab w:val="left" w:pos="420"/>
        </w:tabs>
        <w:ind w:left="0" w:firstLine="0"/>
      </w:pPr>
      <w:rPr>
        <w:rFonts w:hint="default" w:ascii="Times New Roman" w:hAnsi="Times New Roman" w:eastAsia="宋体" w:cs="Times New Roman"/>
        <w:b/>
        <w:bCs/>
        <w:sz w:val="30"/>
        <w:szCs w:val="30"/>
      </w:rPr>
    </w:lvl>
    <w:lvl w:ilvl="2" w:tentative="0">
      <w:start w:val="1"/>
      <w:numFmt w:val="decimal"/>
      <w:pStyle w:val="6"/>
      <w:isLgl/>
      <w:suff w:val="space"/>
      <w:lvlText w:val="%1.%2.%3"/>
      <w:lvlJc w:val="left"/>
      <w:pPr>
        <w:tabs>
          <w:tab w:val="left" w:pos="0"/>
        </w:tabs>
        <w:ind w:left="720" w:hanging="720"/>
      </w:pPr>
      <w:rPr>
        <w:rFonts w:hint="default" w:ascii="Times New Roman" w:hAnsi="Times New Roman" w:eastAsia="宋体" w:cs="Times New Roman"/>
        <w:b/>
        <w:bCs/>
        <w:sz w:val="24"/>
        <w:szCs w:val="28"/>
      </w:rPr>
    </w:lvl>
    <w:lvl w:ilvl="3" w:tentative="0">
      <w:start w:val="1"/>
      <w:numFmt w:val="decimal"/>
      <w:pStyle w:val="7"/>
      <w:isLgl/>
      <w:suff w:val="space"/>
      <w:lvlText w:val="%1.%2.%3.%4"/>
      <w:lvlJc w:val="left"/>
      <w:pPr>
        <w:tabs>
          <w:tab w:val="left" w:pos="0"/>
        </w:tabs>
        <w:ind w:left="864" w:hanging="864"/>
      </w:pPr>
      <w:rPr>
        <w:rFonts w:hint="default" w:ascii="Times New Roman" w:hAnsi="Times New Roman" w:eastAsia="宋体" w:cs="Times New Roman"/>
        <w:sz w:val="24"/>
        <w:szCs w:val="24"/>
      </w:rPr>
    </w:lvl>
    <w:lvl w:ilvl="4" w:tentative="0">
      <w:start w:val="1"/>
      <w:numFmt w:val="decimal"/>
      <w:isLgl/>
      <w:suff w:val="nothing"/>
      <w:lvlText w:val="   （%5）"/>
      <w:lvlJc w:val="left"/>
      <w:pPr>
        <w:tabs>
          <w:tab w:val="left" w:pos="420"/>
        </w:tabs>
        <w:ind w:left="0" w:firstLine="0"/>
      </w:pPr>
      <w:rPr>
        <w:rFonts w:hint="eastAsia" w:ascii="宋体" w:hAnsi="宋体" w:eastAsia="宋体" w:cs="宋体"/>
        <w:sz w:val="24"/>
        <w:szCs w:val="24"/>
      </w:rPr>
    </w:lvl>
    <w:lvl w:ilvl="5" w:tentative="0">
      <w:start w:val="1"/>
      <w:numFmt w:val="decimalEnclosedCircleChinese"/>
      <w:suff w:val="nothing"/>
      <w:lvlText w:val="%6"/>
      <w:lvlJc w:val="left"/>
      <w:pPr>
        <w:tabs>
          <w:tab w:val="left" w:pos="420"/>
        </w:tabs>
        <w:ind w:left="1151" w:hanging="1151"/>
      </w:pPr>
      <w:rPr>
        <w:rFonts w:hint="eastAsia" w:ascii="宋体" w:hAnsi="宋体" w:eastAsia="宋体" w:cs="宋体"/>
      </w:rPr>
    </w:lvl>
    <w:lvl w:ilvl="6" w:tentative="0">
      <w:start w:val="1"/>
      <w:numFmt w:val="upperLetter"/>
      <w:lvlText w:val="%7."/>
      <w:lvlJc w:val="center"/>
      <w:pPr>
        <w:tabs>
          <w:tab w:val="left" w:pos="0"/>
        </w:tabs>
        <w:ind w:left="0" w:leftChars="0" w:firstLine="0" w:firstLineChars="0"/>
      </w:pPr>
      <w:rPr>
        <w:rFonts w:hint="eastAsia" w:ascii="宋体" w:hAnsi="宋体" w:eastAsia="宋体" w:cs="宋体"/>
      </w:rPr>
    </w:lvl>
    <w:lvl w:ilvl="7" w:tentative="0">
      <w:start w:val="1"/>
      <w:numFmt w:val="decimal"/>
      <w:lvlRestart w:val="2"/>
      <w:pStyle w:val="35"/>
      <w:isLgl/>
      <w:suff w:val="space"/>
      <w:lvlText w:val="表%1.%2-%8"/>
      <w:lvlJc w:val="center"/>
      <w:pPr>
        <w:tabs>
          <w:tab w:val="left" w:pos="0"/>
        </w:tabs>
        <w:ind w:left="0" w:leftChars="0" w:firstLine="0" w:firstLineChars="0"/>
      </w:pPr>
      <w:rPr>
        <w:rFonts w:hint="default" w:ascii="Times New Roman" w:hAnsi="Times New Roman" w:eastAsia="宋体" w:cs="宋体"/>
        <w:color w:val="auto"/>
      </w:rPr>
    </w:lvl>
    <w:lvl w:ilvl="8" w:tentative="0">
      <w:start w:val="1"/>
      <w:numFmt w:val="decimal"/>
      <w:lvlRestart w:val="2"/>
      <w:pStyle w:val="38"/>
      <w:isLgl/>
      <w:suff w:val="space"/>
      <w:lvlText w:val="图%1.%2-%9"/>
      <w:lvlJc w:val="left"/>
      <w:pPr>
        <w:tabs>
          <w:tab w:val="left" w:pos="420"/>
        </w:tabs>
        <w:ind w:left="1583" w:hanging="1583"/>
      </w:pPr>
      <w:rPr>
        <w:rFonts w:hint="default" w:ascii="Times New Roman" w:hAnsi="Times New Roman" w:eastAsia="宋体" w:cs="宋体"/>
        <w:color w:val="auto"/>
      </w:r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zMGU0MTUzOGViODMwMTI1ZTlkOTRkMjgwN2M3NzgifQ=="/>
  </w:docVars>
  <w:rsids>
    <w:rsidRoot w:val="00172A27"/>
    <w:rsid w:val="000060B3"/>
    <w:rsid w:val="0004364B"/>
    <w:rsid w:val="00061B1F"/>
    <w:rsid w:val="0006522C"/>
    <w:rsid w:val="000733C4"/>
    <w:rsid w:val="00074783"/>
    <w:rsid w:val="0008070B"/>
    <w:rsid w:val="000810AC"/>
    <w:rsid w:val="00081A02"/>
    <w:rsid w:val="00082231"/>
    <w:rsid w:val="00092D38"/>
    <w:rsid w:val="0009377B"/>
    <w:rsid w:val="00097EBF"/>
    <w:rsid w:val="000A20C9"/>
    <w:rsid w:val="000B058F"/>
    <w:rsid w:val="000B4467"/>
    <w:rsid w:val="000B4DB9"/>
    <w:rsid w:val="000C09AC"/>
    <w:rsid w:val="000C767F"/>
    <w:rsid w:val="000D5A44"/>
    <w:rsid w:val="000E3ED2"/>
    <w:rsid w:val="000E7B05"/>
    <w:rsid w:val="000F7803"/>
    <w:rsid w:val="00106168"/>
    <w:rsid w:val="00125DDB"/>
    <w:rsid w:val="00126BA0"/>
    <w:rsid w:val="001310AB"/>
    <w:rsid w:val="00131F42"/>
    <w:rsid w:val="001357F1"/>
    <w:rsid w:val="00140FA8"/>
    <w:rsid w:val="00142FEB"/>
    <w:rsid w:val="00143A2D"/>
    <w:rsid w:val="00145A41"/>
    <w:rsid w:val="00151675"/>
    <w:rsid w:val="001556F5"/>
    <w:rsid w:val="00157435"/>
    <w:rsid w:val="0017504D"/>
    <w:rsid w:val="0017671A"/>
    <w:rsid w:val="00177422"/>
    <w:rsid w:val="00184590"/>
    <w:rsid w:val="001870D1"/>
    <w:rsid w:val="0018781E"/>
    <w:rsid w:val="0019262D"/>
    <w:rsid w:val="001A1B35"/>
    <w:rsid w:val="001A4245"/>
    <w:rsid w:val="001A48A2"/>
    <w:rsid w:val="001A6F61"/>
    <w:rsid w:val="001B72B8"/>
    <w:rsid w:val="001C37F0"/>
    <w:rsid w:val="001C69B3"/>
    <w:rsid w:val="001D5595"/>
    <w:rsid w:val="001D7874"/>
    <w:rsid w:val="001D7F22"/>
    <w:rsid w:val="001F0F17"/>
    <w:rsid w:val="001F3347"/>
    <w:rsid w:val="001F69E4"/>
    <w:rsid w:val="00207C4C"/>
    <w:rsid w:val="002125B4"/>
    <w:rsid w:val="002155B8"/>
    <w:rsid w:val="0021789E"/>
    <w:rsid w:val="00221CE6"/>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A790B"/>
    <w:rsid w:val="002B49E2"/>
    <w:rsid w:val="002B7B00"/>
    <w:rsid w:val="002B7C44"/>
    <w:rsid w:val="002C2B17"/>
    <w:rsid w:val="002D3DD0"/>
    <w:rsid w:val="002E1171"/>
    <w:rsid w:val="002E1F3A"/>
    <w:rsid w:val="002E298A"/>
    <w:rsid w:val="00301978"/>
    <w:rsid w:val="0030332C"/>
    <w:rsid w:val="003051C2"/>
    <w:rsid w:val="00312296"/>
    <w:rsid w:val="00314F0E"/>
    <w:rsid w:val="00316587"/>
    <w:rsid w:val="00317AB0"/>
    <w:rsid w:val="00321D8E"/>
    <w:rsid w:val="00325928"/>
    <w:rsid w:val="00332863"/>
    <w:rsid w:val="00333720"/>
    <w:rsid w:val="0033684D"/>
    <w:rsid w:val="00337B42"/>
    <w:rsid w:val="00341B42"/>
    <w:rsid w:val="0034348F"/>
    <w:rsid w:val="00356653"/>
    <w:rsid w:val="0035743F"/>
    <w:rsid w:val="00357BE2"/>
    <w:rsid w:val="0036170C"/>
    <w:rsid w:val="00366E0F"/>
    <w:rsid w:val="00381A72"/>
    <w:rsid w:val="00382C34"/>
    <w:rsid w:val="00384676"/>
    <w:rsid w:val="00390857"/>
    <w:rsid w:val="00397119"/>
    <w:rsid w:val="003A2708"/>
    <w:rsid w:val="003A4BF3"/>
    <w:rsid w:val="003B420D"/>
    <w:rsid w:val="003C291C"/>
    <w:rsid w:val="003C6C16"/>
    <w:rsid w:val="003C77F9"/>
    <w:rsid w:val="003D794D"/>
    <w:rsid w:val="003E2146"/>
    <w:rsid w:val="003E3058"/>
    <w:rsid w:val="003E76A9"/>
    <w:rsid w:val="003F0809"/>
    <w:rsid w:val="003F6A8C"/>
    <w:rsid w:val="003F755C"/>
    <w:rsid w:val="004040B0"/>
    <w:rsid w:val="00406F01"/>
    <w:rsid w:val="00416D50"/>
    <w:rsid w:val="00416FD5"/>
    <w:rsid w:val="00417772"/>
    <w:rsid w:val="00420E6A"/>
    <w:rsid w:val="00425A9E"/>
    <w:rsid w:val="00426D6B"/>
    <w:rsid w:val="00431E6C"/>
    <w:rsid w:val="00433CE7"/>
    <w:rsid w:val="00445311"/>
    <w:rsid w:val="00452738"/>
    <w:rsid w:val="00456091"/>
    <w:rsid w:val="00456F4B"/>
    <w:rsid w:val="00466321"/>
    <w:rsid w:val="00484B9B"/>
    <w:rsid w:val="004855F6"/>
    <w:rsid w:val="0048661E"/>
    <w:rsid w:val="00494670"/>
    <w:rsid w:val="004A3823"/>
    <w:rsid w:val="004A7E40"/>
    <w:rsid w:val="004B3B20"/>
    <w:rsid w:val="004C2A06"/>
    <w:rsid w:val="004E6946"/>
    <w:rsid w:val="004F1AD8"/>
    <w:rsid w:val="005039CB"/>
    <w:rsid w:val="0050558F"/>
    <w:rsid w:val="00506286"/>
    <w:rsid w:val="00510813"/>
    <w:rsid w:val="00511990"/>
    <w:rsid w:val="00511DE0"/>
    <w:rsid w:val="00514870"/>
    <w:rsid w:val="00514B9B"/>
    <w:rsid w:val="00517F02"/>
    <w:rsid w:val="00524303"/>
    <w:rsid w:val="005258A2"/>
    <w:rsid w:val="00535CE5"/>
    <w:rsid w:val="005370A2"/>
    <w:rsid w:val="005401AE"/>
    <w:rsid w:val="00542E07"/>
    <w:rsid w:val="00545424"/>
    <w:rsid w:val="00554A7B"/>
    <w:rsid w:val="0055572C"/>
    <w:rsid w:val="0056106A"/>
    <w:rsid w:val="00563065"/>
    <w:rsid w:val="005720AE"/>
    <w:rsid w:val="00576F26"/>
    <w:rsid w:val="00580973"/>
    <w:rsid w:val="00594D77"/>
    <w:rsid w:val="005969E4"/>
    <w:rsid w:val="005A06B7"/>
    <w:rsid w:val="005A1759"/>
    <w:rsid w:val="005A68A7"/>
    <w:rsid w:val="005B4758"/>
    <w:rsid w:val="005D0C8E"/>
    <w:rsid w:val="005D1031"/>
    <w:rsid w:val="005D36AB"/>
    <w:rsid w:val="005F48A7"/>
    <w:rsid w:val="00617CC3"/>
    <w:rsid w:val="006364FC"/>
    <w:rsid w:val="006377A6"/>
    <w:rsid w:val="00637A3D"/>
    <w:rsid w:val="006411EF"/>
    <w:rsid w:val="00647594"/>
    <w:rsid w:val="00672E48"/>
    <w:rsid w:val="006748B8"/>
    <w:rsid w:val="006775C3"/>
    <w:rsid w:val="0069290A"/>
    <w:rsid w:val="0069775A"/>
    <w:rsid w:val="00697813"/>
    <w:rsid w:val="006A3EE8"/>
    <w:rsid w:val="006A72BF"/>
    <w:rsid w:val="006B03F2"/>
    <w:rsid w:val="006B37DC"/>
    <w:rsid w:val="006B4F68"/>
    <w:rsid w:val="006C0592"/>
    <w:rsid w:val="006C272E"/>
    <w:rsid w:val="006C2F53"/>
    <w:rsid w:val="006C5479"/>
    <w:rsid w:val="006D13B5"/>
    <w:rsid w:val="006E12FF"/>
    <w:rsid w:val="006E607E"/>
    <w:rsid w:val="00706C5D"/>
    <w:rsid w:val="007306A6"/>
    <w:rsid w:val="00732922"/>
    <w:rsid w:val="0075162E"/>
    <w:rsid w:val="00754034"/>
    <w:rsid w:val="00756556"/>
    <w:rsid w:val="007618C4"/>
    <w:rsid w:val="00761BC6"/>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7F3496"/>
    <w:rsid w:val="00801393"/>
    <w:rsid w:val="00802F88"/>
    <w:rsid w:val="00806504"/>
    <w:rsid w:val="0081293E"/>
    <w:rsid w:val="00815465"/>
    <w:rsid w:val="00817E9A"/>
    <w:rsid w:val="008306BD"/>
    <w:rsid w:val="00831A80"/>
    <w:rsid w:val="00833743"/>
    <w:rsid w:val="008340A4"/>
    <w:rsid w:val="008413AF"/>
    <w:rsid w:val="0087135F"/>
    <w:rsid w:val="00872D94"/>
    <w:rsid w:val="00880364"/>
    <w:rsid w:val="00891592"/>
    <w:rsid w:val="00891E9E"/>
    <w:rsid w:val="008A2F68"/>
    <w:rsid w:val="008B4C8E"/>
    <w:rsid w:val="008B4FA6"/>
    <w:rsid w:val="008B5282"/>
    <w:rsid w:val="008B7814"/>
    <w:rsid w:val="008B7C17"/>
    <w:rsid w:val="008C2D01"/>
    <w:rsid w:val="008C40E6"/>
    <w:rsid w:val="008D0F7A"/>
    <w:rsid w:val="008D1971"/>
    <w:rsid w:val="008D68E4"/>
    <w:rsid w:val="008E0506"/>
    <w:rsid w:val="008E0CFF"/>
    <w:rsid w:val="008E5D6B"/>
    <w:rsid w:val="008E76F0"/>
    <w:rsid w:val="008F15FE"/>
    <w:rsid w:val="008F2D29"/>
    <w:rsid w:val="008F5187"/>
    <w:rsid w:val="008F60D8"/>
    <w:rsid w:val="00902727"/>
    <w:rsid w:val="0090312B"/>
    <w:rsid w:val="0091736D"/>
    <w:rsid w:val="0092041F"/>
    <w:rsid w:val="0093037A"/>
    <w:rsid w:val="00937DB0"/>
    <w:rsid w:val="0094154D"/>
    <w:rsid w:val="0095155F"/>
    <w:rsid w:val="00954429"/>
    <w:rsid w:val="009563CE"/>
    <w:rsid w:val="00976328"/>
    <w:rsid w:val="0097680D"/>
    <w:rsid w:val="00982438"/>
    <w:rsid w:val="0098404C"/>
    <w:rsid w:val="00985283"/>
    <w:rsid w:val="00986502"/>
    <w:rsid w:val="00995992"/>
    <w:rsid w:val="009A03E5"/>
    <w:rsid w:val="009A0F3B"/>
    <w:rsid w:val="009A1BB4"/>
    <w:rsid w:val="009A2628"/>
    <w:rsid w:val="009A3200"/>
    <w:rsid w:val="009B0897"/>
    <w:rsid w:val="009B2E1C"/>
    <w:rsid w:val="009B7BD9"/>
    <w:rsid w:val="009C7DD5"/>
    <w:rsid w:val="009E227D"/>
    <w:rsid w:val="009E5019"/>
    <w:rsid w:val="00A0026F"/>
    <w:rsid w:val="00A04F1B"/>
    <w:rsid w:val="00A0501B"/>
    <w:rsid w:val="00A14947"/>
    <w:rsid w:val="00A32A83"/>
    <w:rsid w:val="00A368DB"/>
    <w:rsid w:val="00A423AA"/>
    <w:rsid w:val="00A53EC6"/>
    <w:rsid w:val="00A55C0F"/>
    <w:rsid w:val="00A66445"/>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0E43"/>
    <w:rsid w:val="00B1295A"/>
    <w:rsid w:val="00B1778A"/>
    <w:rsid w:val="00B20A45"/>
    <w:rsid w:val="00B22C5C"/>
    <w:rsid w:val="00B24F30"/>
    <w:rsid w:val="00B31ABF"/>
    <w:rsid w:val="00B33BE3"/>
    <w:rsid w:val="00B53B5D"/>
    <w:rsid w:val="00B55DD2"/>
    <w:rsid w:val="00B601CD"/>
    <w:rsid w:val="00B6055E"/>
    <w:rsid w:val="00B6317D"/>
    <w:rsid w:val="00B6441D"/>
    <w:rsid w:val="00B7723F"/>
    <w:rsid w:val="00B80534"/>
    <w:rsid w:val="00B83852"/>
    <w:rsid w:val="00B8433C"/>
    <w:rsid w:val="00B87491"/>
    <w:rsid w:val="00BA29E9"/>
    <w:rsid w:val="00BA7142"/>
    <w:rsid w:val="00BB237C"/>
    <w:rsid w:val="00BB41A3"/>
    <w:rsid w:val="00BB6956"/>
    <w:rsid w:val="00BC32DC"/>
    <w:rsid w:val="00BC35B6"/>
    <w:rsid w:val="00BD1B51"/>
    <w:rsid w:val="00BD4596"/>
    <w:rsid w:val="00BE1405"/>
    <w:rsid w:val="00BE312D"/>
    <w:rsid w:val="00BF1C20"/>
    <w:rsid w:val="00BF5A7B"/>
    <w:rsid w:val="00C039C7"/>
    <w:rsid w:val="00C10578"/>
    <w:rsid w:val="00C135BC"/>
    <w:rsid w:val="00C15C95"/>
    <w:rsid w:val="00C2596A"/>
    <w:rsid w:val="00C27537"/>
    <w:rsid w:val="00C328FE"/>
    <w:rsid w:val="00C33507"/>
    <w:rsid w:val="00C4409D"/>
    <w:rsid w:val="00C44E72"/>
    <w:rsid w:val="00C45A06"/>
    <w:rsid w:val="00C47E5B"/>
    <w:rsid w:val="00C50A87"/>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45E9"/>
    <w:rsid w:val="00D3480E"/>
    <w:rsid w:val="00D36D86"/>
    <w:rsid w:val="00D428AA"/>
    <w:rsid w:val="00D469D3"/>
    <w:rsid w:val="00D50A34"/>
    <w:rsid w:val="00D53EFA"/>
    <w:rsid w:val="00D637EF"/>
    <w:rsid w:val="00D65213"/>
    <w:rsid w:val="00D8753C"/>
    <w:rsid w:val="00D94A7C"/>
    <w:rsid w:val="00D95896"/>
    <w:rsid w:val="00D965A4"/>
    <w:rsid w:val="00DB2983"/>
    <w:rsid w:val="00DC1257"/>
    <w:rsid w:val="00DC3DC0"/>
    <w:rsid w:val="00DC5B2B"/>
    <w:rsid w:val="00DD318D"/>
    <w:rsid w:val="00DF2E12"/>
    <w:rsid w:val="00DF4B76"/>
    <w:rsid w:val="00DF514A"/>
    <w:rsid w:val="00DF6690"/>
    <w:rsid w:val="00DF6804"/>
    <w:rsid w:val="00E0358D"/>
    <w:rsid w:val="00E04323"/>
    <w:rsid w:val="00E068D1"/>
    <w:rsid w:val="00E070A2"/>
    <w:rsid w:val="00E2656A"/>
    <w:rsid w:val="00E34A10"/>
    <w:rsid w:val="00E412D0"/>
    <w:rsid w:val="00E56322"/>
    <w:rsid w:val="00E60982"/>
    <w:rsid w:val="00E62C62"/>
    <w:rsid w:val="00E654C1"/>
    <w:rsid w:val="00E65D97"/>
    <w:rsid w:val="00E72A5A"/>
    <w:rsid w:val="00E73354"/>
    <w:rsid w:val="00E84DEB"/>
    <w:rsid w:val="00E9242D"/>
    <w:rsid w:val="00EB5255"/>
    <w:rsid w:val="00EB5C47"/>
    <w:rsid w:val="00EC40D0"/>
    <w:rsid w:val="00ED0639"/>
    <w:rsid w:val="00EE5A7B"/>
    <w:rsid w:val="00EF4755"/>
    <w:rsid w:val="00EF7135"/>
    <w:rsid w:val="00F027DB"/>
    <w:rsid w:val="00F14A7A"/>
    <w:rsid w:val="00F22985"/>
    <w:rsid w:val="00F3383E"/>
    <w:rsid w:val="00F3484B"/>
    <w:rsid w:val="00F44F30"/>
    <w:rsid w:val="00F465A7"/>
    <w:rsid w:val="00F50B7C"/>
    <w:rsid w:val="00F511F7"/>
    <w:rsid w:val="00F550E6"/>
    <w:rsid w:val="00F71AE5"/>
    <w:rsid w:val="00F71C33"/>
    <w:rsid w:val="00F74345"/>
    <w:rsid w:val="00F80A0A"/>
    <w:rsid w:val="00F82B19"/>
    <w:rsid w:val="00F9212D"/>
    <w:rsid w:val="00F965DA"/>
    <w:rsid w:val="00FA0DDB"/>
    <w:rsid w:val="00FA406A"/>
    <w:rsid w:val="00FB3526"/>
    <w:rsid w:val="00FB503A"/>
    <w:rsid w:val="00FB516C"/>
    <w:rsid w:val="00FD0236"/>
    <w:rsid w:val="00FD18F4"/>
    <w:rsid w:val="00FD3634"/>
    <w:rsid w:val="00FD54DB"/>
    <w:rsid w:val="00FD619F"/>
    <w:rsid w:val="01290F7E"/>
    <w:rsid w:val="015D1E09"/>
    <w:rsid w:val="0166158D"/>
    <w:rsid w:val="016E1F8C"/>
    <w:rsid w:val="01DE010B"/>
    <w:rsid w:val="01E86154"/>
    <w:rsid w:val="02134FF2"/>
    <w:rsid w:val="022644D4"/>
    <w:rsid w:val="0230687F"/>
    <w:rsid w:val="025D38B0"/>
    <w:rsid w:val="02697903"/>
    <w:rsid w:val="026C6B78"/>
    <w:rsid w:val="02F96569"/>
    <w:rsid w:val="03363FD7"/>
    <w:rsid w:val="034A3845"/>
    <w:rsid w:val="03793F5A"/>
    <w:rsid w:val="03871030"/>
    <w:rsid w:val="03AB7A27"/>
    <w:rsid w:val="03EA7B21"/>
    <w:rsid w:val="040305E5"/>
    <w:rsid w:val="04040DA2"/>
    <w:rsid w:val="04096282"/>
    <w:rsid w:val="046E05BA"/>
    <w:rsid w:val="047F723D"/>
    <w:rsid w:val="04987BCD"/>
    <w:rsid w:val="049C545F"/>
    <w:rsid w:val="05014EAF"/>
    <w:rsid w:val="052F14D7"/>
    <w:rsid w:val="053C0D46"/>
    <w:rsid w:val="05415071"/>
    <w:rsid w:val="056D7F8C"/>
    <w:rsid w:val="05E337FC"/>
    <w:rsid w:val="05E60FE2"/>
    <w:rsid w:val="05E81FCA"/>
    <w:rsid w:val="05F83EAE"/>
    <w:rsid w:val="063E7D85"/>
    <w:rsid w:val="0690451F"/>
    <w:rsid w:val="06EB5A67"/>
    <w:rsid w:val="07293586"/>
    <w:rsid w:val="07295285"/>
    <w:rsid w:val="07636392"/>
    <w:rsid w:val="07770C56"/>
    <w:rsid w:val="07982452"/>
    <w:rsid w:val="07BB4513"/>
    <w:rsid w:val="07C10101"/>
    <w:rsid w:val="07D96711"/>
    <w:rsid w:val="07E03F1B"/>
    <w:rsid w:val="08117291"/>
    <w:rsid w:val="08756A05"/>
    <w:rsid w:val="08A537B4"/>
    <w:rsid w:val="08A94906"/>
    <w:rsid w:val="08D10B5E"/>
    <w:rsid w:val="08E7094C"/>
    <w:rsid w:val="08FC6E3E"/>
    <w:rsid w:val="08FD2AE2"/>
    <w:rsid w:val="092217DD"/>
    <w:rsid w:val="093A0049"/>
    <w:rsid w:val="093A7294"/>
    <w:rsid w:val="09AA0BA3"/>
    <w:rsid w:val="0A124D06"/>
    <w:rsid w:val="0A263993"/>
    <w:rsid w:val="0A2D3AC2"/>
    <w:rsid w:val="0A4754A4"/>
    <w:rsid w:val="0AA2252B"/>
    <w:rsid w:val="0AA755DF"/>
    <w:rsid w:val="0AA77CCA"/>
    <w:rsid w:val="0AA8771B"/>
    <w:rsid w:val="0AD1311B"/>
    <w:rsid w:val="0AFA1765"/>
    <w:rsid w:val="0B120D44"/>
    <w:rsid w:val="0B321943"/>
    <w:rsid w:val="0B5C264E"/>
    <w:rsid w:val="0B6C1151"/>
    <w:rsid w:val="0B7218AA"/>
    <w:rsid w:val="0BD27BF6"/>
    <w:rsid w:val="0C347D9F"/>
    <w:rsid w:val="0C370697"/>
    <w:rsid w:val="0C3B3C7D"/>
    <w:rsid w:val="0C465A73"/>
    <w:rsid w:val="0C6E31D3"/>
    <w:rsid w:val="0C6E370B"/>
    <w:rsid w:val="0C7D033C"/>
    <w:rsid w:val="0CAB2EAE"/>
    <w:rsid w:val="0CE07038"/>
    <w:rsid w:val="0D621C7D"/>
    <w:rsid w:val="0D7579F8"/>
    <w:rsid w:val="0D8257DE"/>
    <w:rsid w:val="0E3D1D40"/>
    <w:rsid w:val="0E540384"/>
    <w:rsid w:val="0E73034D"/>
    <w:rsid w:val="0E781456"/>
    <w:rsid w:val="0E931FD4"/>
    <w:rsid w:val="0E962BBD"/>
    <w:rsid w:val="0EBA57AF"/>
    <w:rsid w:val="0EE2442E"/>
    <w:rsid w:val="0EEB4208"/>
    <w:rsid w:val="0F13775A"/>
    <w:rsid w:val="0F1F23E8"/>
    <w:rsid w:val="0F215EBA"/>
    <w:rsid w:val="0F52491F"/>
    <w:rsid w:val="0F5F45FE"/>
    <w:rsid w:val="0F6349C9"/>
    <w:rsid w:val="0F9A112B"/>
    <w:rsid w:val="0FA02F99"/>
    <w:rsid w:val="0FC43178"/>
    <w:rsid w:val="0FD02849"/>
    <w:rsid w:val="102A1EA4"/>
    <w:rsid w:val="106D2F64"/>
    <w:rsid w:val="108E7658"/>
    <w:rsid w:val="10943175"/>
    <w:rsid w:val="10A40643"/>
    <w:rsid w:val="10B63710"/>
    <w:rsid w:val="10C771ED"/>
    <w:rsid w:val="10D34C5C"/>
    <w:rsid w:val="10DD1B89"/>
    <w:rsid w:val="10EA74A4"/>
    <w:rsid w:val="10EB591F"/>
    <w:rsid w:val="10F10820"/>
    <w:rsid w:val="10FF7941"/>
    <w:rsid w:val="111C2F7A"/>
    <w:rsid w:val="115630D4"/>
    <w:rsid w:val="11573208"/>
    <w:rsid w:val="11665CA1"/>
    <w:rsid w:val="118A4764"/>
    <w:rsid w:val="11A7090D"/>
    <w:rsid w:val="11D33581"/>
    <w:rsid w:val="11E43261"/>
    <w:rsid w:val="121C62B6"/>
    <w:rsid w:val="123969CC"/>
    <w:rsid w:val="12EB27F9"/>
    <w:rsid w:val="13557655"/>
    <w:rsid w:val="135B70C7"/>
    <w:rsid w:val="13721650"/>
    <w:rsid w:val="13951726"/>
    <w:rsid w:val="13AB37B4"/>
    <w:rsid w:val="13B86E94"/>
    <w:rsid w:val="14396509"/>
    <w:rsid w:val="14446F9F"/>
    <w:rsid w:val="14463CEB"/>
    <w:rsid w:val="145D703C"/>
    <w:rsid w:val="145F48BF"/>
    <w:rsid w:val="14834729"/>
    <w:rsid w:val="14DD2C3C"/>
    <w:rsid w:val="150E5298"/>
    <w:rsid w:val="15145F8A"/>
    <w:rsid w:val="152063A5"/>
    <w:rsid w:val="15307995"/>
    <w:rsid w:val="158E6FF2"/>
    <w:rsid w:val="15AB7E21"/>
    <w:rsid w:val="15E11B06"/>
    <w:rsid w:val="15E22FE1"/>
    <w:rsid w:val="15EE7622"/>
    <w:rsid w:val="16087E1D"/>
    <w:rsid w:val="163D4598"/>
    <w:rsid w:val="16467580"/>
    <w:rsid w:val="165C118C"/>
    <w:rsid w:val="165D58A9"/>
    <w:rsid w:val="16805002"/>
    <w:rsid w:val="168D7E8C"/>
    <w:rsid w:val="16B15B8F"/>
    <w:rsid w:val="16B52705"/>
    <w:rsid w:val="16D33724"/>
    <w:rsid w:val="173369B9"/>
    <w:rsid w:val="176E561B"/>
    <w:rsid w:val="17701D14"/>
    <w:rsid w:val="17726B6D"/>
    <w:rsid w:val="17735226"/>
    <w:rsid w:val="17C04657"/>
    <w:rsid w:val="17E16AA7"/>
    <w:rsid w:val="182614DC"/>
    <w:rsid w:val="189F624C"/>
    <w:rsid w:val="18AB137B"/>
    <w:rsid w:val="1909120F"/>
    <w:rsid w:val="192D611D"/>
    <w:rsid w:val="19346481"/>
    <w:rsid w:val="19445E70"/>
    <w:rsid w:val="194C5648"/>
    <w:rsid w:val="19AC6952"/>
    <w:rsid w:val="19FC0B5A"/>
    <w:rsid w:val="1A1C66C0"/>
    <w:rsid w:val="1A42393B"/>
    <w:rsid w:val="1AAD45DE"/>
    <w:rsid w:val="1AC30F79"/>
    <w:rsid w:val="1AEF59D5"/>
    <w:rsid w:val="1B046F80"/>
    <w:rsid w:val="1B3267B5"/>
    <w:rsid w:val="1B3C50FB"/>
    <w:rsid w:val="1B40161D"/>
    <w:rsid w:val="1B441859"/>
    <w:rsid w:val="1B5A4A1E"/>
    <w:rsid w:val="1B6606B1"/>
    <w:rsid w:val="1BA65D55"/>
    <w:rsid w:val="1BE962BA"/>
    <w:rsid w:val="1BF445C6"/>
    <w:rsid w:val="1BF96BFB"/>
    <w:rsid w:val="1C1F117C"/>
    <w:rsid w:val="1C41637D"/>
    <w:rsid w:val="1C592CFF"/>
    <w:rsid w:val="1C5E7925"/>
    <w:rsid w:val="1C71533D"/>
    <w:rsid w:val="1CC932F4"/>
    <w:rsid w:val="1CE42B6E"/>
    <w:rsid w:val="1CE70F28"/>
    <w:rsid w:val="1CFD070F"/>
    <w:rsid w:val="1D312FD9"/>
    <w:rsid w:val="1D326C0F"/>
    <w:rsid w:val="1D5A14D3"/>
    <w:rsid w:val="1D5F6196"/>
    <w:rsid w:val="1D6132A5"/>
    <w:rsid w:val="1D821737"/>
    <w:rsid w:val="1D8E56D5"/>
    <w:rsid w:val="1D9B00F2"/>
    <w:rsid w:val="1DA01B5C"/>
    <w:rsid w:val="1DCB7CD3"/>
    <w:rsid w:val="1E042BCD"/>
    <w:rsid w:val="1E650E42"/>
    <w:rsid w:val="1E7A43DA"/>
    <w:rsid w:val="1E8438B3"/>
    <w:rsid w:val="1E873E8D"/>
    <w:rsid w:val="1E92440A"/>
    <w:rsid w:val="1F525370"/>
    <w:rsid w:val="1F7C464D"/>
    <w:rsid w:val="1FE7539E"/>
    <w:rsid w:val="1FEC0C4E"/>
    <w:rsid w:val="204953F8"/>
    <w:rsid w:val="20671BE0"/>
    <w:rsid w:val="20732BD7"/>
    <w:rsid w:val="20800CCA"/>
    <w:rsid w:val="20963CB8"/>
    <w:rsid w:val="20A81A1B"/>
    <w:rsid w:val="20B07FB6"/>
    <w:rsid w:val="20B646FB"/>
    <w:rsid w:val="20BB7218"/>
    <w:rsid w:val="20C640EA"/>
    <w:rsid w:val="20D44015"/>
    <w:rsid w:val="213B74B1"/>
    <w:rsid w:val="215A2310"/>
    <w:rsid w:val="21926DB7"/>
    <w:rsid w:val="21DE318A"/>
    <w:rsid w:val="21EF5B80"/>
    <w:rsid w:val="22576990"/>
    <w:rsid w:val="22863EDD"/>
    <w:rsid w:val="228D0C62"/>
    <w:rsid w:val="22F47480"/>
    <w:rsid w:val="23002A13"/>
    <w:rsid w:val="232037E7"/>
    <w:rsid w:val="2326029C"/>
    <w:rsid w:val="232A3240"/>
    <w:rsid w:val="23334310"/>
    <w:rsid w:val="235D3286"/>
    <w:rsid w:val="23773C58"/>
    <w:rsid w:val="23DE1C48"/>
    <w:rsid w:val="23FD637A"/>
    <w:rsid w:val="240210CD"/>
    <w:rsid w:val="24025657"/>
    <w:rsid w:val="243B5370"/>
    <w:rsid w:val="24491EE4"/>
    <w:rsid w:val="24970908"/>
    <w:rsid w:val="24BF09F7"/>
    <w:rsid w:val="24E72CE6"/>
    <w:rsid w:val="250F6E99"/>
    <w:rsid w:val="252D53FE"/>
    <w:rsid w:val="25422A8A"/>
    <w:rsid w:val="25655953"/>
    <w:rsid w:val="258A0D66"/>
    <w:rsid w:val="25C30C44"/>
    <w:rsid w:val="25D414BB"/>
    <w:rsid w:val="25D857E8"/>
    <w:rsid w:val="25EC2D81"/>
    <w:rsid w:val="260B73DA"/>
    <w:rsid w:val="26605632"/>
    <w:rsid w:val="266C654B"/>
    <w:rsid w:val="2691110E"/>
    <w:rsid w:val="26B14482"/>
    <w:rsid w:val="26B53344"/>
    <w:rsid w:val="26C17A18"/>
    <w:rsid w:val="26D72D6F"/>
    <w:rsid w:val="27670866"/>
    <w:rsid w:val="277057A2"/>
    <w:rsid w:val="277F3EBD"/>
    <w:rsid w:val="27F679C7"/>
    <w:rsid w:val="280C6788"/>
    <w:rsid w:val="281E476A"/>
    <w:rsid w:val="282D57F7"/>
    <w:rsid w:val="283720F8"/>
    <w:rsid w:val="283D5CD3"/>
    <w:rsid w:val="28452CC0"/>
    <w:rsid w:val="2859162D"/>
    <w:rsid w:val="286F48B6"/>
    <w:rsid w:val="28E77027"/>
    <w:rsid w:val="28E873B9"/>
    <w:rsid w:val="29206EB8"/>
    <w:rsid w:val="29552B8F"/>
    <w:rsid w:val="29595666"/>
    <w:rsid w:val="296249CA"/>
    <w:rsid w:val="29874881"/>
    <w:rsid w:val="298A7608"/>
    <w:rsid w:val="29B72C26"/>
    <w:rsid w:val="29B75E87"/>
    <w:rsid w:val="29D03623"/>
    <w:rsid w:val="29E325E0"/>
    <w:rsid w:val="2A0102D7"/>
    <w:rsid w:val="2A3824C7"/>
    <w:rsid w:val="2A405791"/>
    <w:rsid w:val="2A452503"/>
    <w:rsid w:val="2A826DD5"/>
    <w:rsid w:val="2A9711E3"/>
    <w:rsid w:val="2AAA76C0"/>
    <w:rsid w:val="2B8B2FF2"/>
    <w:rsid w:val="2B943845"/>
    <w:rsid w:val="2BA936A8"/>
    <w:rsid w:val="2C315A5A"/>
    <w:rsid w:val="2C364EF6"/>
    <w:rsid w:val="2C4754C1"/>
    <w:rsid w:val="2C4B1C25"/>
    <w:rsid w:val="2C80730E"/>
    <w:rsid w:val="2C867E15"/>
    <w:rsid w:val="2CC17C4B"/>
    <w:rsid w:val="2CC75A9B"/>
    <w:rsid w:val="2CEA623F"/>
    <w:rsid w:val="2D1F0790"/>
    <w:rsid w:val="2D32627C"/>
    <w:rsid w:val="2D661679"/>
    <w:rsid w:val="2D6C0D7C"/>
    <w:rsid w:val="2D784C18"/>
    <w:rsid w:val="2D9E56F5"/>
    <w:rsid w:val="2DDC52FC"/>
    <w:rsid w:val="2DEC0A57"/>
    <w:rsid w:val="2E2965DD"/>
    <w:rsid w:val="2E667F96"/>
    <w:rsid w:val="2E69421A"/>
    <w:rsid w:val="2E8226AB"/>
    <w:rsid w:val="2EB91EB6"/>
    <w:rsid w:val="2EDD5083"/>
    <w:rsid w:val="2EF76A64"/>
    <w:rsid w:val="2F050FB6"/>
    <w:rsid w:val="2F0C250B"/>
    <w:rsid w:val="2F413EBE"/>
    <w:rsid w:val="2F950B5C"/>
    <w:rsid w:val="2FD065E6"/>
    <w:rsid w:val="2FD73C79"/>
    <w:rsid w:val="2FD96870"/>
    <w:rsid w:val="2FE33292"/>
    <w:rsid w:val="30246D65"/>
    <w:rsid w:val="30567DCD"/>
    <w:rsid w:val="30580BC9"/>
    <w:rsid w:val="31177DF5"/>
    <w:rsid w:val="311E2ED7"/>
    <w:rsid w:val="31442AF1"/>
    <w:rsid w:val="315619EE"/>
    <w:rsid w:val="315C449C"/>
    <w:rsid w:val="31722947"/>
    <w:rsid w:val="319B6BB5"/>
    <w:rsid w:val="31B11BE3"/>
    <w:rsid w:val="31B82709"/>
    <w:rsid w:val="31BC288B"/>
    <w:rsid w:val="31C3610C"/>
    <w:rsid w:val="31D05482"/>
    <w:rsid w:val="31D21ED3"/>
    <w:rsid w:val="32400B34"/>
    <w:rsid w:val="325507EA"/>
    <w:rsid w:val="329E6876"/>
    <w:rsid w:val="32B32B85"/>
    <w:rsid w:val="333015F2"/>
    <w:rsid w:val="333B55CC"/>
    <w:rsid w:val="3340497E"/>
    <w:rsid w:val="334B6320"/>
    <w:rsid w:val="336D3602"/>
    <w:rsid w:val="33D8257C"/>
    <w:rsid w:val="33D934D4"/>
    <w:rsid w:val="33FE2F6A"/>
    <w:rsid w:val="340E07E5"/>
    <w:rsid w:val="34235BF7"/>
    <w:rsid w:val="34522141"/>
    <w:rsid w:val="34772FF0"/>
    <w:rsid w:val="34B768E3"/>
    <w:rsid w:val="34F24439"/>
    <w:rsid w:val="3547579D"/>
    <w:rsid w:val="356754D2"/>
    <w:rsid w:val="358C5FA8"/>
    <w:rsid w:val="35905C79"/>
    <w:rsid w:val="35C15DF1"/>
    <w:rsid w:val="36074A7F"/>
    <w:rsid w:val="364414B7"/>
    <w:rsid w:val="36452627"/>
    <w:rsid w:val="3675572C"/>
    <w:rsid w:val="36923549"/>
    <w:rsid w:val="36B75FBF"/>
    <w:rsid w:val="36BD0C45"/>
    <w:rsid w:val="36EF2223"/>
    <w:rsid w:val="36FE3F28"/>
    <w:rsid w:val="370A1CBE"/>
    <w:rsid w:val="3748151D"/>
    <w:rsid w:val="37545F08"/>
    <w:rsid w:val="37576578"/>
    <w:rsid w:val="37890A3B"/>
    <w:rsid w:val="37E00298"/>
    <w:rsid w:val="38B302F9"/>
    <w:rsid w:val="38F12CD3"/>
    <w:rsid w:val="38F94775"/>
    <w:rsid w:val="39136309"/>
    <w:rsid w:val="392971ED"/>
    <w:rsid w:val="39325651"/>
    <w:rsid w:val="3939368B"/>
    <w:rsid w:val="39BA6923"/>
    <w:rsid w:val="3A1C0AAF"/>
    <w:rsid w:val="3A230D38"/>
    <w:rsid w:val="3A3E5E83"/>
    <w:rsid w:val="3A7D58E7"/>
    <w:rsid w:val="3A872856"/>
    <w:rsid w:val="3A983332"/>
    <w:rsid w:val="3B236212"/>
    <w:rsid w:val="3B2F2B2A"/>
    <w:rsid w:val="3B3763D1"/>
    <w:rsid w:val="3BA50C2F"/>
    <w:rsid w:val="3BC039E9"/>
    <w:rsid w:val="3BEA459F"/>
    <w:rsid w:val="3BEA57AA"/>
    <w:rsid w:val="3C0850C7"/>
    <w:rsid w:val="3C2562FF"/>
    <w:rsid w:val="3C2F6E1E"/>
    <w:rsid w:val="3C387784"/>
    <w:rsid w:val="3C4F64BA"/>
    <w:rsid w:val="3C5D4560"/>
    <w:rsid w:val="3C6856AF"/>
    <w:rsid w:val="3C89753B"/>
    <w:rsid w:val="3CB03286"/>
    <w:rsid w:val="3CBD0375"/>
    <w:rsid w:val="3CDA245A"/>
    <w:rsid w:val="3D0B1EB9"/>
    <w:rsid w:val="3D1E06B7"/>
    <w:rsid w:val="3D353A62"/>
    <w:rsid w:val="3E4A09EA"/>
    <w:rsid w:val="3E5A5D0D"/>
    <w:rsid w:val="3E732457"/>
    <w:rsid w:val="3E831EFD"/>
    <w:rsid w:val="3E970E9E"/>
    <w:rsid w:val="3ED951C1"/>
    <w:rsid w:val="3EDA0523"/>
    <w:rsid w:val="3F32048F"/>
    <w:rsid w:val="3FD314D0"/>
    <w:rsid w:val="3FD87C0D"/>
    <w:rsid w:val="3FE2235D"/>
    <w:rsid w:val="3FEA3552"/>
    <w:rsid w:val="40531957"/>
    <w:rsid w:val="407A6407"/>
    <w:rsid w:val="40F26B4C"/>
    <w:rsid w:val="41127D69"/>
    <w:rsid w:val="41156F45"/>
    <w:rsid w:val="414D59F2"/>
    <w:rsid w:val="41A606D2"/>
    <w:rsid w:val="4200449D"/>
    <w:rsid w:val="42215D81"/>
    <w:rsid w:val="422A6B5E"/>
    <w:rsid w:val="423A3BCC"/>
    <w:rsid w:val="424E57D2"/>
    <w:rsid w:val="428E1783"/>
    <w:rsid w:val="429213AA"/>
    <w:rsid w:val="42B26C49"/>
    <w:rsid w:val="42D31EB4"/>
    <w:rsid w:val="42E41371"/>
    <w:rsid w:val="42E631BF"/>
    <w:rsid w:val="43136AC3"/>
    <w:rsid w:val="432D2FED"/>
    <w:rsid w:val="433A6FE6"/>
    <w:rsid w:val="43480868"/>
    <w:rsid w:val="4350713C"/>
    <w:rsid w:val="436653E0"/>
    <w:rsid w:val="436737DC"/>
    <w:rsid w:val="438300DA"/>
    <w:rsid w:val="43A93723"/>
    <w:rsid w:val="43C4431A"/>
    <w:rsid w:val="44025FBF"/>
    <w:rsid w:val="44181AD6"/>
    <w:rsid w:val="442771C9"/>
    <w:rsid w:val="44AD1910"/>
    <w:rsid w:val="44B951CC"/>
    <w:rsid w:val="44CD14E0"/>
    <w:rsid w:val="44EF6C22"/>
    <w:rsid w:val="44F20B0B"/>
    <w:rsid w:val="452E5F4C"/>
    <w:rsid w:val="45612018"/>
    <w:rsid w:val="458946E9"/>
    <w:rsid w:val="45A47C0E"/>
    <w:rsid w:val="45D07EEB"/>
    <w:rsid w:val="45FF375F"/>
    <w:rsid w:val="461F4790"/>
    <w:rsid w:val="46577FD6"/>
    <w:rsid w:val="467E55C6"/>
    <w:rsid w:val="46D955A7"/>
    <w:rsid w:val="46DA0FBF"/>
    <w:rsid w:val="46F63E43"/>
    <w:rsid w:val="471066D2"/>
    <w:rsid w:val="47115A1F"/>
    <w:rsid w:val="47133957"/>
    <w:rsid w:val="4756750A"/>
    <w:rsid w:val="4796000A"/>
    <w:rsid w:val="47A07E0C"/>
    <w:rsid w:val="47B70E1A"/>
    <w:rsid w:val="47B755C4"/>
    <w:rsid w:val="480A5C35"/>
    <w:rsid w:val="48194864"/>
    <w:rsid w:val="48235458"/>
    <w:rsid w:val="48366143"/>
    <w:rsid w:val="484A624D"/>
    <w:rsid w:val="485D476D"/>
    <w:rsid w:val="4870272E"/>
    <w:rsid w:val="48852A05"/>
    <w:rsid w:val="48C671ED"/>
    <w:rsid w:val="49690103"/>
    <w:rsid w:val="4987382F"/>
    <w:rsid w:val="499E2681"/>
    <w:rsid w:val="49DC7715"/>
    <w:rsid w:val="49DF014D"/>
    <w:rsid w:val="49FB4F6D"/>
    <w:rsid w:val="4A023139"/>
    <w:rsid w:val="4A307D96"/>
    <w:rsid w:val="4A3F0232"/>
    <w:rsid w:val="4A7B576F"/>
    <w:rsid w:val="4A8A3A47"/>
    <w:rsid w:val="4A8C76AA"/>
    <w:rsid w:val="4A8D0027"/>
    <w:rsid w:val="4AF561A9"/>
    <w:rsid w:val="4B1C3154"/>
    <w:rsid w:val="4B600592"/>
    <w:rsid w:val="4BBF4767"/>
    <w:rsid w:val="4C051584"/>
    <w:rsid w:val="4C124058"/>
    <w:rsid w:val="4C1E6A52"/>
    <w:rsid w:val="4C216974"/>
    <w:rsid w:val="4C387C18"/>
    <w:rsid w:val="4C4A0649"/>
    <w:rsid w:val="4C566770"/>
    <w:rsid w:val="4C7E5ECA"/>
    <w:rsid w:val="4C876AA5"/>
    <w:rsid w:val="4C987427"/>
    <w:rsid w:val="4CB422EA"/>
    <w:rsid w:val="4CF629A5"/>
    <w:rsid w:val="4D045777"/>
    <w:rsid w:val="4D0E00FB"/>
    <w:rsid w:val="4D176606"/>
    <w:rsid w:val="4D3C5586"/>
    <w:rsid w:val="4DDE65AB"/>
    <w:rsid w:val="4DEC4FB0"/>
    <w:rsid w:val="4E075D8A"/>
    <w:rsid w:val="4E1D056D"/>
    <w:rsid w:val="4E3E7B84"/>
    <w:rsid w:val="4E4E3FE9"/>
    <w:rsid w:val="4E5D4982"/>
    <w:rsid w:val="4EA0321B"/>
    <w:rsid w:val="4EC00FAD"/>
    <w:rsid w:val="4EC12FD1"/>
    <w:rsid w:val="4EDF40E4"/>
    <w:rsid w:val="4F2D6C3C"/>
    <w:rsid w:val="4F47038D"/>
    <w:rsid w:val="4F49045E"/>
    <w:rsid w:val="4F5D4CF6"/>
    <w:rsid w:val="4F9843DC"/>
    <w:rsid w:val="4FB45E7E"/>
    <w:rsid w:val="4FC62A8C"/>
    <w:rsid w:val="4FE20F0D"/>
    <w:rsid w:val="4FE51552"/>
    <w:rsid w:val="504B7133"/>
    <w:rsid w:val="50504C4B"/>
    <w:rsid w:val="5061031C"/>
    <w:rsid w:val="509C6E7C"/>
    <w:rsid w:val="50B0449F"/>
    <w:rsid w:val="50D35C0B"/>
    <w:rsid w:val="512B6933"/>
    <w:rsid w:val="5130344E"/>
    <w:rsid w:val="5162104E"/>
    <w:rsid w:val="5175316D"/>
    <w:rsid w:val="5191710A"/>
    <w:rsid w:val="5196484B"/>
    <w:rsid w:val="51DD7A33"/>
    <w:rsid w:val="52157FD7"/>
    <w:rsid w:val="523F7217"/>
    <w:rsid w:val="528A2F29"/>
    <w:rsid w:val="52F14126"/>
    <w:rsid w:val="534B1DEA"/>
    <w:rsid w:val="5362643E"/>
    <w:rsid w:val="538223A1"/>
    <w:rsid w:val="53A039CC"/>
    <w:rsid w:val="53A1505A"/>
    <w:rsid w:val="53E540AF"/>
    <w:rsid w:val="54063E08"/>
    <w:rsid w:val="540D48A4"/>
    <w:rsid w:val="543437E8"/>
    <w:rsid w:val="546C3D9F"/>
    <w:rsid w:val="5495207D"/>
    <w:rsid w:val="54AE4379"/>
    <w:rsid w:val="54D146A5"/>
    <w:rsid w:val="54DB6585"/>
    <w:rsid w:val="54F73313"/>
    <w:rsid w:val="54F80955"/>
    <w:rsid w:val="552836BF"/>
    <w:rsid w:val="552A69D9"/>
    <w:rsid w:val="554A342C"/>
    <w:rsid w:val="555170A7"/>
    <w:rsid w:val="5587536D"/>
    <w:rsid w:val="559B174B"/>
    <w:rsid w:val="55B449E0"/>
    <w:rsid w:val="55CE0CF4"/>
    <w:rsid w:val="55E91A01"/>
    <w:rsid w:val="56151DE2"/>
    <w:rsid w:val="5618745F"/>
    <w:rsid w:val="56340E1F"/>
    <w:rsid w:val="563B3ECF"/>
    <w:rsid w:val="5642551E"/>
    <w:rsid w:val="56676F3E"/>
    <w:rsid w:val="5669447F"/>
    <w:rsid w:val="56985952"/>
    <w:rsid w:val="56B22A9C"/>
    <w:rsid w:val="56B66FFC"/>
    <w:rsid w:val="56BF6A57"/>
    <w:rsid w:val="56C4102D"/>
    <w:rsid w:val="56DB1486"/>
    <w:rsid w:val="572100B5"/>
    <w:rsid w:val="5735699D"/>
    <w:rsid w:val="574447F3"/>
    <w:rsid w:val="57484341"/>
    <w:rsid w:val="5796670D"/>
    <w:rsid w:val="579830BB"/>
    <w:rsid w:val="57B72A76"/>
    <w:rsid w:val="57C3426C"/>
    <w:rsid w:val="57CD3150"/>
    <w:rsid w:val="57CE1F93"/>
    <w:rsid w:val="5816733E"/>
    <w:rsid w:val="584E1E12"/>
    <w:rsid w:val="588743D1"/>
    <w:rsid w:val="5887701A"/>
    <w:rsid w:val="58BD64F7"/>
    <w:rsid w:val="595709F6"/>
    <w:rsid w:val="59861649"/>
    <w:rsid w:val="59C0439F"/>
    <w:rsid w:val="5A5C5BE8"/>
    <w:rsid w:val="5A6B7DC0"/>
    <w:rsid w:val="5ABE2233"/>
    <w:rsid w:val="5ACE1DBA"/>
    <w:rsid w:val="5AEB38B4"/>
    <w:rsid w:val="5B0F2246"/>
    <w:rsid w:val="5B0F4F89"/>
    <w:rsid w:val="5B2B1538"/>
    <w:rsid w:val="5B527A35"/>
    <w:rsid w:val="5B692F26"/>
    <w:rsid w:val="5BC22956"/>
    <w:rsid w:val="5BC45A6E"/>
    <w:rsid w:val="5BC96B61"/>
    <w:rsid w:val="5BDF5D95"/>
    <w:rsid w:val="5BE5408B"/>
    <w:rsid w:val="5BFE7528"/>
    <w:rsid w:val="5C68730C"/>
    <w:rsid w:val="5CDA63B3"/>
    <w:rsid w:val="5CE60EBD"/>
    <w:rsid w:val="5D0869AB"/>
    <w:rsid w:val="5DB812F3"/>
    <w:rsid w:val="5DBF736B"/>
    <w:rsid w:val="5DDE2BCC"/>
    <w:rsid w:val="5E035F0F"/>
    <w:rsid w:val="5E2467F1"/>
    <w:rsid w:val="5E2F0DE8"/>
    <w:rsid w:val="5E646FD0"/>
    <w:rsid w:val="5E892100"/>
    <w:rsid w:val="5E9C2595"/>
    <w:rsid w:val="5EA81065"/>
    <w:rsid w:val="5ECC46CF"/>
    <w:rsid w:val="5F046149"/>
    <w:rsid w:val="5F1804F9"/>
    <w:rsid w:val="5F1A2B43"/>
    <w:rsid w:val="5F245B8C"/>
    <w:rsid w:val="5F4146B1"/>
    <w:rsid w:val="5FB837BB"/>
    <w:rsid w:val="5FC409D1"/>
    <w:rsid w:val="5FEF1D21"/>
    <w:rsid w:val="5FFB5117"/>
    <w:rsid w:val="602427B4"/>
    <w:rsid w:val="602F47E9"/>
    <w:rsid w:val="602F59CF"/>
    <w:rsid w:val="60354FDB"/>
    <w:rsid w:val="603711B4"/>
    <w:rsid w:val="603F0624"/>
    <w:rsid w:val="605204D7"/>
    <w:rsid w:val="60C42578"/>
    <w:rsid w:val="60CC405A"/>
    <w:rsid w:val="61110C10"/>
    <w:rsid w:val="61560B99"/>
    <w:rsid w:val="61870602"/>
    <w:rsid w:val="61E215D8"/>
    <w:rsid w:val="61E672D0"/>
    <w:rsid w:val="61EA73A6"/>
    <w:rsid w:val="61EC033F"/>
    <w:rsid w:val="621B3775"/>
    <w:rsid w:val="62364782"/>
    <w:rsid w:val="62473335"/>
    <w:rsid w:val="62CD28A7"/>
    <w:rsid w:val="62EE2F77"/>
    <w:rsid w:val="62F84840"/>
    <w:rsid w:val="62FB5113"/>
    <w:rsid w:val="633421CB"/>
    <w:rsid w:val="635C0964"/>
    <w:rsid w:val="635D05E9"/>
    <w:rsid w:val="637C00C3"/>
    <w:rsid w:val="63852CDF"/>
    <w:rsid w:val="63867D00"/>
    <w:rsid w:val="6394356A"/>
    <w:rsid w:val="63C61B2C"/>
    <w:rsid w:val="63D40BE9"/>
    <w:rsid w:val="63D81C64"/>
    <w:rsid w:val="63F04475"/>
    <w:rsid w:val="64102431"/>
    <w:rsid w:val="6415662B"/>
    <w:rsid w:val="64156F36"/>
    <w:rsid w:val="64371A0E"/>
    <w:rsid w:val="643915E8"/>
    <w:rsid w:val="645B37EF"/>
    <w:rsid w:val="6469104C"/>
    <w:rsid w:val="64947310"/>
    <w:rsid w:val="649A318E"/>
    <w:rsid w:val="64A5243A"/>
    <w:rsid w:val="64A564CA"/>
    <w:rsid w:val="64C46584"/>
    <w:rsid w:val="64CC54CF"/>
    <w:rsid w:val="64D1366B"/>
    <w:rsid w:val="64F531DE"/>
    <w:rsid w:val="65010EB1"/>
    <w:rsid w:val="65047169"/>
    <w:rsid w:val="652D1675"/>
    <w:rsid w:val="65373578"/>
    <w:rsid w:val="653814C2"/>
    <w:rsid w:val="656A5787"/>
    <w:rsid w:val="657C7D13"/>
    <w:rsid w:val="65BD536A"/>
    <w:rsid w:val="65E12554"/>
    <w:rsid w:val="65ED6210"/>
    <w:rsid w:val="6665785F"/>
    <w:rsid w:val="66B23249"/>
    <w:rsid w:val="66BF65CC"/>
    <w:rsid w:val="66CB796F"/>
    <w:rsid w:val="66DC7A69"/>
    <w:rsid w:val="66E71B30"/>
    <w:rsid w:val="671F124A"/>
    <w:rsid w:val="67581AC8"/>
    <w:rsid w:val="675B6269"/>
    <w:rsid w:val="677328F5"/>
    <w:rsid w:val="677A33C6"/>
    <w:rsid w:val="677C005D"/>
    <w:rsid w:val="678F7052"/>
    <w:rsid w:val="67C71DA7"/>
    <w:rsid w:val="681F6961"/>
    <w:rsid w:val="685173CD"/>
    <w:rsid w:val="68610A2F"/>
    <w:rsid w:val="68805514"/>
    <w:rsid w:val="6885769C"/>
    <w:rsid w:val="68D33F35"/>
    <w:rsid w:val="68DE2553"/>
    <w:rsid w:val="68F7426D"/>
    <w:rsid w:val="69203539"/>
    <w:rsid w:val="692500D4"/>
    <w:rsid w:val="69316E2F"/>
    <w:rsid w:val="694E2071"/>
    <w:rsid w:val="695D049F"/>
    <w:rsid w:val="695D2E61"/>
    <w:rsid w:val="69766163"/>
    <w:rsid w:val="697A3B33"/>
    <w:rsid w:val="69BB20B7"/>
    <w:rsid w:val="69D44760"/>
    <w:rsid w:val="6A365779"/>
    <w:rsid w:val="6A520EC7"/>
    <w:rsid w:val="6A5D4642"/>
    <w:rsid w:val="6AB42E45"/>
    <w:rsid w:val="6ABE5CA8"/>
    <w:rsid w:val="6ADF6FE5"/>
    <w:rsid w:val="6AEB65F5"/>
    <w:rsid w:val="6AF87E20"/>
    <w:rsid w:val="6B322639"/>
    <w:rsid w:val="6B4A059F"/>
    <w:rsid w:val="6B56531F"/>
    <w:rsid w:val="6B8A321B"/>
    <w:rsid w:val="6B8E030F"/>
    <w:rsid w:val="6B99520C"/>
    <w:rsid w:val="6B9A4802"/>
    <w:rsid w:val="6BFE7948"/>
    <w:rsid w:val="6C253D87"/>
    <w:rsid w:val="6C561005"/>
    <w:rsid w:val="6C636C38"/>
    <w:rsid w:val="6C6E41C8"/>
    <w:rsid w:val="6C9C7102"/>
    <w:rsid w:val="6CE2152E"/>
    <w:rsid w:val="6CFE4664"/>
    <w:rsid w:val="6D027F1B"/>
    <w:rsid w:val="6D056073"/>
    <w:rsid w:val="6D1747DB"/>
    <w:rsid w:val="6D1C49C2"/>
    <w:rsid w:val="6D242106"/>
    <w:rsid w:val="6D3D72DC"/>
    <w:rsid w:val="6D7D18C2"/>
    <w:rsid w:val="6DB34098"/>
    <w:rsid w:val="6DB545B6"/>
    <w:rsid w:val="6DDD0843"/>
    <w:rsid w:val="6DDE5F54"/>
    <w:rsid w:val="6DE02FB4"/>
    <w:rsid w:val="6DE741CC"/>
    <w:rsid w:val="6DFF75FB"/>
    <w:rsid w:val="6E035A6D"/>
    <w:rsid w:val="6E514CED"/>
    <w:rsid w:val="6EA851ED"/>
    <w:rsid w:val="6EB445AF"/>
    <w:rsid w:val="6EB563D5"/>
    <w:rsid w:val="6ED92677"/>
    <w:rsid w:val="6EDB43EB"/>
    <w:rsid w:val="6EEB3F26"/>
    <w:rsid w:val="6EF25843"/>
    <w:rsid w:val="6EF77316"/>
    <w:rsid w:val="6F0911A6"/>
    <w:rsid w:val="6F2249A2"/>
    <w:rsid w:val="6F225983"/>
    <w:rsid w:val="6F4B2CC1"/>
    <w:rsid w:val="6F8A3237"/>
    <w:rsid w:val="6FB81FC7"/>
    <w:rsid w:val="6FEA072C"/>
    <w:rsid w:val="6FEF46E5"/>
    <w:rsid w:val="6FFC5590"/>
    <w:rsid w:val="6FFE3530"/>
    <w:rsid w:val="706D1DD0"/>
    <w:rsid w:val="70856B87"/>
    <w:rsid w:val="709C6FFD"/>
    <w:rsid w:val="709D1212"/>
    <w:rsid w:val="70A34D64"/>
    <w:rsid w:val="70B00196"/>
    <w:rsid w:val="70D527EE"/>
    <w:rsid w:val="70E003DD"/>
    <w:rsid w:val="71194D77"/>
    <w:rsid w:val="711F6B07"/>
    <w:rsid w:val="714A2A0F"/>
    <w:rsid w:val="715B5300"/>
    <w:rsid w:val="718E6BDD"/>
    <w:rsid w:val="71CA575D"/>
    <w:rsid w:val="71D27F8A"/>
    <w:rsid w:val="71D63CF8"/>
    <w:rsid w:val="7240162F"/>
    <w:rsid w:val="724A6301"/>
    <w:rsid w:val="72553024"/>
    <w:rsid w:val="72AA7C53"/>
    <w:rsid w:val="73122968"/>
    <w:rsid w:val="731D2A90"/>
    <w:rsid w:val="731F5D5E"/>
    <w:rsid w:val="738B5376"/>
    <w:rsid w:val="73C51AD5"/>
    <w:rsid w:val="73CE0682"/>
    <w:rsid w:val="73D90F2E"/>
    <w:rsid w:val="73E8779A"/>
    <w:rsid w:val="73EC6C8E"/>
    <w:rsid w:val="741E793C"/>
    <w:rsid w:val="742E59AC"/>
    <w:rsid w:val="74407F2A"/>
    <w:rsid w:val="745B7D7D"/>
    <w:rsid w:val="745E3944"/>
    <w:rsid w:val="74623EF6"/>
    <w:rsid w:val="748C3B60"/>
    <w:rsid w:val="749A38A6"/>
    <w:rsid w:val="750620B7"/>
    <w:rsid w:val="752B093A"/>
    <w:rsid w:val="75416055"/>
    <w:rsid w:val="754447F4"/>
    <w:rsid w:val="7545748A"/>
    <w:rsid w:val="75561A9A"/>
    <w:rsid w:val="75A04F47"/>
    <w:rsid w:val="75DA199C"/>
    <w:rsid w:val="75DD210C"/>
    <w:rsid w:val="75E91744"/>
    <w:rsid w:val="7635099D"/>
    <w:rsid w:val="764356D9"/>
    <w:rsid w:val="766316B8"/>
    <w:rsid w:val="77263188"/>
    <w:rsid w:val="772B6B59"/>
    <w:rsid w:val="77383A25"/>
    <w:rsid w:val="77422C1F"/>
    <w:rsid w:val="775E03AB"/>
    <w:rsid w:val="77762421"/>
    <w:rsid w:val="777C7A49"/>
    <w:rsid w:val="778A397F"/>
    <w:rsid w:val="778E176B"/>
    <w:rsid w:val="77B56B1F"/>
    <w:rsid w:val="77BC11EE"/>
    <w:rsid w:val="780F09F4"/>
    <w:rsid w:val="78364837"/>
    <w:rsid w:val="783734DD"/>
    <w:rsid w:val="7848280D"/>
    <w:rsid w:val="785D300F"/>
    <w:rsid w:val="787E049E"/>
    <w:rsid w:val="78986B50"/>
    <w:rsid w:val="78A7540C"/>
    <w:rsid w:val="78A90480"/>
    <w:rsid w:val="78D51D24"/>
    <w:rsid w:val="78E81E1A"/>
    <w:rsid w:val="78EE4372"/>
    <w:rsid w:val="79160454"/>
    <w:rsid w:val="7939354E"/>
    <w:rsid w:val="797E33F3"/>
    <w:rsid w:val="79A82877"/>
    <w:rsid w:val="79CC6986"/>
    <w:rsid w:val="79D81EBF"/>
    <w:rsid w:val="79DE65C5"/>
    <w:rsid w:val="7A0D7A7E"/>
    <w:rsid w:val="7A223879"/>
    <w:rsid w:val="7A364017"/>
    <w:rsid w:val="7A3E00FB"/>
    <w:rsid w:val="7A3E0579"/>
    <w:rsid w:val="7A547400"/>
    <w:rsid w:val="7A781626"/>
    <w:rsid w:val="7A8265E1"/>
    <w:rsid w:val="7A8F7D01"/>
    <w:rsid w:val="7AB66252"/>
    <w:rsid w:val="7AEB5F60"/>
    <w:rsid w:val="7B03163F"/>
    <w:rsid w:val="7B686D42"/>
    <w:rsid w:val="7B841746"/>
    <w:rsid w:val="7BC82F05"/>
    <w:rsid w:val="7BDF5A57"/>
    <w:rsid w:val="7C6C5AC7"/>
    <w:rsid w:val="7CA0313B"/>
    <w:rsid w:val="7CAF6246"/>
    <w:rsid w:val="7CC272E3"/>
    <w:rsid w:val="7CC6544B"/>
    <w:rsid w:val="7CD12A78"/>
    <w:rsid w:val="7CD9227E"/>
    <w:rsid w:val="7CF8114B"/>
    <w:rsid w:val="7D0239FF"/>
    <w:rsid w:val="7D146DE8"/>
    <w:rsid w:val="7D405E05"/>
    <w:rsid w:val="7D5E40CD"/>
    <w:rsid w:val="7D7B6454"/>
    <w:rsid w:val="7DA57A41"/>
    <w:rsid w:val="7DB732B9"/>
    <w:rsid w:val="7DC618ED"/>
    <w:rsid w:val="7DCD56F2"/>
    <w:rsid w:val="7E250782"/>
    <w:rsid w:val="7E7B73BA"/>
    <w:rsid w:val="7EBE525E"/>
    <w:rsid w:val="7EF5354E"/>
    <w:rsid w:val="7F001CE7"/>
    <w:rsid w:val="7F212027"/>
    <w:rsid w:val="7F852E05"/>
    <w:rsid w:val="7FE47E50"/>
    <w:rsid w:val="7FFB45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 w:semiHidden="0" w:name="heading 2" w:locked="1"/>
    <w:lsdException w:qFormat="1" w:unhideWhenUsed="0" w:uiPriority="0" w:semiHidden="0" w:name="heading 3" w:locked="1"/>
    <w:lsdException w:qFormat="1" w:unhideWhenUsed="0" w:uiPriority="0" w:semiHidden="0" w:name="heading 4" w:locked="1"/>
    <w:lsdException w:qFormat="1" w:unhideWhenUsed="0" w:uiPriority="0" w:semiHidden="0" w:name="heading 5" w:locked="1"/>
    <w:lsdException w:qFormat="1" w:uiPriority="0" w:semiHidden="0" w:name="heading 6" w:locked="1"/>
    <w:lsdException w:qFormat="1" w:uiPriority="0" w:semiHidden="0" w:name="heading 7" w:locked="1"/>
    <w:lsdException w:qFormat="1" w:uiPriority="0" w:semiHidden="0" w:name="heading 8" w:locked="1"/>
    <w:lsdException w:qFormat="1"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iPriority="99"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ocked="1"/>
    <w:lsdException w:unhideWhenUsed="0" w:uiPriority="0" w:semiHidden="0" w:name="Date"/>
    <w:lsdException w:qFormat="1" w:unhideWhenUsed="0" w:uiPriority="0" w:semiHidden="0" w:name="Body Text First Indent"/>
    <w:lsdException w:qFormat="1" w:uiPriority="0" w:semiHidden="0" w:name="Body Text First Indent 2" w:locked="1"/>
    <w:lsdException w:qFormat="1"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sdException w:unhideWhenUsed="0" w:uiPriority="0" w:semiHidden="0" w:name="Document Map" w:locked="1"/>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50"/>
    <w:qFormat/>
    <w:locked/>
    <w:uiPriority w:val="99"/>
    <w:pPr>
      <w:keepNext/>
      <w:numPr>
        <w:ilvl w:val="0"/>
        <w:numId w:val="1"/>
      </w:numPr>
      <w:tabs>
        <w:tab w:val="left" w:pos="420"/>
        <w:tab w:val="clear" w:pos="0"/>
      </w:tabs>
      <w:overflowPunct w:val="0"/>
      <w:snapToGrid w:val="0"/>
      <w:spacing w:line="360" w:lineRule="auto"/>
      <w:ind w:left="432" w:hanging="432"/>
      <w:jc w:val="center"/>
      <w:outlineLvl w:val="0"/>
    </w:pPr>
    <w:rPr>
      <w:rFonts w:ascii="Times New Roman" w:hAnsi="Times New Roman" w:eastAsia="宋体"/>
      <w:b/>
      <w:bCs/>
      <w:color w:val="000000"/>
      <w:kern w:val="44"/>
      <w:sz w:val="30"/>
      <w:szCs w:val="30"/>
    </w:rPr>
  </w:style>
  <w:style w:type="paragraph" w:styleId="5">
    <w:name w:val="heading 2"/>
    <w:basedOn w:val="1"/>
    <w:next w:val="1"/>
    <w:link w:val="61"/>
    <w:qFormat/>
    <w:locked/>
    <w:uiPriority w:val="9"/>
    <w:pPr>
      <w:keepNext/>
      <w:keepLines/>
      <w:numPr>
        <w:ilvl w:val="1"/>
        <w:numId w:val="1"/>
      </w:numPr>
      <w:spacing w:before="120" w:after="120" w:line="360" w:lineRule="auto"/>
      <w:ind w:left="0"/>
      <w:outlineLvl w:val="1"/>
    </w:pPr>
    <w:rPr>
      <w:rFonts w:ascii="Times New Roman" w:hAnsi="Times New Roman" w:eastAsia="宋体"/>
      <w:b/>
      <w:bCs/>
      <w:sz w:val="28"/>
      <w:szCs w:val="32"/>
    </w:rPr>
  </w:style>
  <w:style w:type="paragraph" w:styleId="6">
    <w:name w:val="heading 3"/>
    <w:basedOn w:val="1"/>
    <w:next w:val="1"/>
    <w:link w:val="63"/>
    <w:qFormat/>
    <w:locked/>
    <w:uiPriority w:val="0"/>
    <w:pPr>
      <w:keepNext/>
      <w:keepLines/>
      <w:numPr>
        <w:ilvl w:val="2"/>
        <w:numId w:val="1"/>
      </w:numPr>
      <w:tabs>
        <w:tab w:val="left" w:pos="420"/>
        <w:tab w:val="clear" w:pos="0"/>
      </w:tabs>
      <w:spacing w:before="120" w:after="120" w:line="360" w:lineRule="auto"/>
      <w:ind w:left="720" w:hanging="720"/>
      <w:outlineLvl w:val="2"/>
    </w:pPr>
    <w:rPr>
      <w:rFonts w:ascii="Times New Roman" w:hAnsi="Times New Roman" w:eastAsia="宋体"/>
      <w:b/>
      <w:bCs/>
      <w:sz w:val="24"/>
      <w:szCs w:val="32"/>
    </w:rPr>
  </w:style>
  <w:style w:type="paragraph" w:styleId="7">
    <w:name w:val="heading 4"/>
    <w:basedOn w:val="1"/>
    <w:next w:val="1"/>
    <w:link w:val="64"/>
    <w:qFormat/>
    <w:locked/>
    <w:uiPriority w:val="0"/>
    <w:pPr>
      <w:keepNext/>
      <w:keepLines/>
      <w:numPr>
        <w:ilvl w:val="3"/>
        <w:numId w:val="1"/>
      </w:numPr>
      <w:tabs>
        <w:tab w:val="left" w:pos="420"/>
        <w:tab w:val="clear" w:pos="0"/>
      </w:tabs>
      <w:spacing w:line="360" w:lineRule="auto"/>
      <w:ind w:left="864" w:hanging="864"/>
      <w:jc w:val="left"/>
      <w:outlineLvl w:val="3"/>
    </w:pPr>
    <w:rPr>
      <w:rFonts w:ascii="Times New Roman" w:hAnsi="Times New Roman" w:eastAsia="宋体"/>
      <w:b/>
      <w:bCs/>
      <w:sz w:val="24"/>
      <w:szCs w:val="28"/>
    </w:rPr>
  </w:style>
  <w:style w:type="paragraph" w:styleId="8">
    <w:name w:val="heading 5"/>
    <w:basedOn w:val="1"/>
    <w:next w:val="1"/>
    <w:link w:val="65"/>
    <w:qFormat/>
    <w:locked/>
    <w:uiPriority w:val="0"/>
    <w:pPr>
      <w:keepNext/>
      <w:keepLines/>
      <w:numPr>
        <w:ilvl w:val="4"/>
        <w:numId w:val="2"/>
      </w:numPr>
      <w:spacing w:before="280" w:after="290" w:line="376" w:lineRule="auto"/>
      <w:ind w:left="1366"/>
      <w:outlineLvl w:val="4"/>
    </w:pPr>
    <w:rPr>
      <w:b/>
      <w:bCs/>
      <w:sz w:val="28"/>
      <w:szCs w:val="28"/>
    </w:rPr>
  </w:style>
  <w:style w:type="paragraph" w:styleId="9">
    <w:name w:val="heading 6"/>
    <w:basedOn w:val="1"/>
    <w:next w:val="1"/>
    <w:unhideWhenUsed/>
    <w:qFormat/>
    <w:locked/>
    <w:uiPriority w:val="0"/>
    <w:pPr>
      <w:keepNext/>
      <w:keepLines/>
      <w:numPr>
        <w:ilvl w:val="5"/>
        <w:numId w:val="2"/>
      </w:numPr>
      <w:spacing w:before="240" w:after="64" w:line="317" w:lineRule="auto"/>
      <w:ind w:left="1509"/>
      <w:outlineLvl w:val="5"/>
    </w:pPr>
    <w:rPr>
      <w:rFonts w:ascii="Arial" w:hAnsi="Arial" w:eastAsia="黑体"/>
      <w:b/>
      <w:sz w:val="24"/>
    </w:rPr>
  </w:style>
  <w:style w:type="paragraph" w:styleId="10">
    <w:name w:val="heading 7"/>
    <w:basedOn w:val="1"/>
    <w:next w:val="1"/>
    <w:unhideWhenUsed/>
    <w:qFormat/>
    <w:locked/>
    <w:uiPriority w:val="0"/>
    <w:pPr>
      <w:keepNext/>
      <w:keepLines/>
      <w:numPr>
        <w:ilvl w:val="6"/>
        <w:numId w:val="2"/>
      </w:numPr>
      <w:spacing w:before="240" w:after="64" w:line="317" w:lineRule="auto"/>
      <w:ind w:left="1654"/>
      <w:outlineLvl w:val="6"/>
    </w:pPr>
    <w:rPr>
      <w:b/>
      <w:sz w:val="24"/>
    </w:rPr>
  </w:style>
  <w:style w:type="paragraph" w:styleId="11">
    <w:name w:val="heading 8"/>
    <w:basedOn w:val="1"/>
    <w:next w:val="1"/>
    <w:unhideWhenUsed/>
    <w:qFormat/>
    <w:locked/>
    <w:uiPriority w:val="0"/>
    <w:pPr>
      <w:keepNext/>
      <w:keepLines/>
      <w:numPr>
        <w:ilvl w:val="7"/>
        <w:numId w:val="3"/>
      </w:numPr>
      <w:spacing w:before="240" w:after="64" w:line="317" w:lineRule="auto"/>
      <w:ind w:left="1440"/>
      <w:outlineLvl w:val="7"/>
    </w:pPr>
    <w:rPr>
      <w:rFonts w:ascii="Arial" w:hAnsi="Arial" w:eastAsia="黑体"/>
      <w:sz w:val="24"/>
    </w:rPr>
  </w:style>
  <w:style w:type="paragraph" w:styleId="12">
    <w:name w:val="heading 9"/>
    <w:basedOn w:val="1"/>
    <w:next w:val="1"/>
    <w:unhideWhenUsed/>
    <w:qFormat/>
    <w:locked/>
    <w:uiPriority w:val="0"/>
    <w:pPr>
      <w:keepNext/>
      <w:keepLines/>
      <w:numPr>
        <w:ilvl w:val="8"/>
        <w:numId w:val="4"/>
      </w:numPr>
      <w:spacing w:before="240" w:after="64" w:line="317" w:lineRule="auto"/>
      <w:ind w:left="1941"/>
      <w:outlineLvl w:val="8"/>
    </w:pPr>
    <w:rPr>
      <w:rFonts w:ascii="Arial" w:hAnsi="Arial" w:eastAsia="黑体"/>
    </w:rPr>
  </w:style>
  <w:style w:type="character" w:default="1" w:styleId="30">
    <w:name w:val="Default Paragraph Font"/>
    <w:unhideWhenUsed/>
    <w:qFormat/>
    <w:uiPriority w:val="1"/>
  </w:style>
  <w:style w:type="table" w:default="1" w:styleId="28">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2">
    <w:name w:val="Balloon Text"/>
    <w:basedOn w:val="1"/>
    <w:next w:val="3"/>
    <w:semiHidden/>
    <w:qFormat/>
    <w:uiPriority w:val="0"/>
    <w:rPr>
      <w:kern w:val="0"/>
      <w:sz w:val="18"/>
      <w:szCs w:val="20"/>
    </w:rPr>
  </w:style>
  <w:style w:type="paragraph" w:styleId="3">
    <w:name w:val="Body Text"/>
    <w:basedOn w:val="1"/>
    <w:next w:val="1"/>
    <w:link w:val="55"/>
    <w:qFormat/>
    <w:uiPriority w:val="0"/>
    <w:pPr>
      <w:spacing w:after="120" w:afterLines="0" w:afterAutospacing="0"/>
    </w:pPr>
  </w:style>
  <w:style w:type="paragraph" w:styleId="13">
    <w:name w:val="Note Heading"/>
    <w:basedOn w:val="1"/>
    <w:next w:val="1"/>
    <w:qFormat/>
    <w:locked/>
    <w:uiPriority w:val="0"/>
    <w:pPr>
      <w:jc w:val="center"/>
    </w:pPr>
  </w:style>
  <w:style w:type="paragraph" w:styleId="14">
    <w:name w:val="Normal Indent"/>
    <w:basedOn w:val="1"/>
    <w:next w:val="1"/>
    <w:qFormat/>
    <w:uiPriority w:val="0"/>
    <w:pPr>
      <w:ind w:firstLine="420"/>
    </w:pPr>
  </w:style>
  <w:style w:type="paragraph" w:styleId="15">
    <w:name w:val="annotation text"/>
    <w:basedOn w:val="1"/>
    <w:qFormat/>
    <w:uiPriority w:val="0"/>
  </w:style>
  <w:style w:type="paragraph" w:styleId="16">
    <w:name w:val="Salutation"/>
    <w:next w:val="1"/>
    <w:unhideWhenUsed/>
    <w:qFormat/>
    <w:locked/>
    <w:uiPriority w:val="99"/>
    <w:pPr>
      <w:widowControl w:val="0"/>
      <w:spacing w:line="307" w:lineRule="auto"/>
      <w:jc w:val="both"/>
    </w:pPr>
    <w:rPr>
      <w:rFonts w:ascii="Times New Roman" w:hAnsi="Times New Roman" w:eastAsia="宋体" w:cs="Times New Roman"/>
      <w:kern w:val="2"/>
      <w:sz w:val="21"/>
      <w:szCs w:val="24"/>
      <w:lang w:val="en-US" w:eastAsia="zh-CN" w:bidi="ar-SA"/>
    </w:rPr>
  </w:style>
  <w:style w:type="paragraph" w:styleId="17">
    <w:name w:val="Body Text Indent"/>
    <w:basedOn w:val="1"/>
    <w:next w:val="18"/>
    <w:qFormat/>
    <w:uiPriority w:val="0"/>
    <w:pPr>
      <w:spacing w:after="120"/>
      <w:ind w:left="420" w:leftChars="200"/>
    </w:pPr>
    <w:rPr>
      <w:kern w:val="0"/>
      <w:sz w:val="24"/>
      <w:szCs w:val="20"/>
    </w:rPr>
  </w:style>
  <w:style w:type="paragraph" w:styleId="18">
    <w:name w:val="Body Text First Indent 2"/>
    <w:basedOn w:val="17"/>
    <w:next w:val="19"/>
    <w:unhideWhenUsed/>
    <w:qFormat/>
    <w:locked/>
    <w:uiPriority w:val="0"/>
    <w:pPr>
      <w:ind w:firstLine="420"/>
    </w:pPr>
    <w:rPr>
      <w:rFonts w:cs="Times New Roman"/>
    </w:rPr>
  </w:style>
  <w:style w:type="paragraph" w:styleId="19">
    <w:name w:val="Body Text First Indent"/>
    <w:basedOn w:val="3"/>
    <w:next w:val="1"/>
    <w:qFormat/>
    <w:uiPriority w:val="0"/>
    <w:pPr>
      <w:ind w:firstLine="420" w:firstLineChars="100"/>
    </w:pPr>
  </w:style>
  <w:style w:type="paragraph" w:styleId="20">
    <w:name w:val="Plain Text"/>
    <w:basedOn w:val="1"/>
    <w:next w:val="3"/>
    <w:qFormat/>
    <w:uiPriority w:val="0"/>
    <w:pPr>
      <w:spacing w:line="360" w:lineRule="auto"/>
      <w:jc w:val="both"/>
    </w:pPr>
    <w:rPr>
      <w:rFonts w:ascii="Times New Roman" w:hAnsi="Times New Roman" w:eastAsia="宋体"/>
      <w:color w:val="000000"/>
      <w:sz w:val="24"/>
      <w:szCs w:val="20"/>
    </w:rPr>
  </w:style>
  <w:style w:type="paragraph" w:styleId="21">
    <w:name w:val="footer"/>
    <w:basedOn w:val="1"/>
    <w:link w:val="54"/>
    <w:qFormat/>
    <w:uiPriority w:val="0"/>
    <w:pPr>
      <w:tabs>
        <w:tab w:val="center" w:pos="4153"/>
        <w:tab w:val="right" w:pos="8306"/>
      </w:tabs>
      <w:snapToGrid w:val="0"/>
    </w:pPr>
    <w:rPr>
      <w:sz w:val="18"/>
    </w:rPr>
  </w:style>
  <w:style w:type="paragraph" w:styleId="22">
    <w:name w:val="header"/>
    <w:basedOn w:val="1"/>
    <w:link w:val="5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3">
    <w:name w:val="toc 1"/>
    <w:basedOn w:val="1"/>
    <w:next w:val="1"/>
    <w:qFormat/>
    <w:locked/>
    <w:uiPriority w:val="0"/>
    <w:pPr>
      <w:spacing w:line="360" w:lineRule="auto"/>
    </w:pPr>
    <w:rPr>
      <w:rFonts w:ascii="Times New Roman" w:hAnsi="Times New Roman" w:eastAsia="宋体"/>
      <w:sz w:val="24"/>
    </w:rPr>
  </w:style>
  <w:style w:type="paragraph" w:styleId="24">
    <w:name w:val="List"/>
    <w:basedOn w:val="1"/>
    <w:unhideWhenUsed/>
    <w:qFormat/>
    <w:uiPriority w:val="99"/>
    <w:pPr>
      <w:ind w:left="200" w:hanging="200" w:hangingChars="200"/>
      <w:contextualSpacing/>
    </w:pPr>
  </w:style>
  <w:style w:type="paragraph" w:styleId="25">
    <w:name w:val="toc 2"/>
    <w:basedOn w:val="1"/>
    <w:next w:val="1"/>
    <w:qFormat/>
    <w:locked/>
    <w:uiPriority w:val="0"/>
    <w:pPr>
      <w:spacing w:line="360" w:lineRule="auto"/>
      <w:ind w:left="420" w:leftChars="200"/>
    </w:pPr>
    <w:rPr>
      <w:rFonts w:ascii="Times New Roman" w:hAnsi="Times New Roman" w:eastAsia="宋体"/>
      <w:sz w:val="24"/>
    </w:rPr>
  </w:style>
  <w:style w:type="paragraph" w:styleId="2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27">
    <w:name w:val="Title"/>
    <w:basedOn w:val="1"/>
    <w:next w:val="1"/>
    <w:link w:val="34"/>
    <w:qFormat/>
    <w:locked/>
    <w:uiPriority w:val="0"/>
    <w:pPr>
      <w:spacing w:before="240" w:after="60"/>
      <w:jc w:val="center"/>
      <w:outlineLvl w:val="0"/>
    </w:pPr>
    <w:rPr>
      <w:rFonts w:ascii="Cambria" w:hAnsi="Cambria"/>
      <w:b/>
      <w:bCs/>
      <w:sz w:val="32"/>
      <w:szCs w:val="32"/>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page number"/>
    <w:basedOn w:val="30"/>
    <w:qFormat/>
    <w:locked/>
    <w:uiPriority w:val="0"/>
  </w:style>
  <w:style w:type="character" w:styleId="32">
    <w:name w:val="FollowedHyperlink"/>
    <w:basedOn w:val="30"/>
    <w:qFormat/>
    <w:locked/>
    <w:uiPriority w:val="0"/>
    <w:rPr>
      <w:color w:val="800080"/>
      <w:u w:val="single"/>
    </w:rPr>
  </w:style>
  <w:style w:type="character" w:styleId="33">
    <w:name w:val="Hyperlink"/>
    <w:basedOn w:val="30"/>
    <w:qFormat/>
    <w:locked/>
    <w:uiPriority w:val="0"/>
    <w:rPr>
      <w:color w:val="0000FF"/>
      <w:u w:val="single"/>
    </w:rPr>
  </w:style>
  <w:style w:type="character" w:customStyle="1" w:styleId="34">
    <w:name w:val="标题 Char"/>
    <w:link w:val="27"/>
    <w:qFormat/>
    <w:uiPriority w:val="0"/>
    <w:rPr>
      <w:rFonts w:ascii="Cambria" w:hAnsi="Cambria"/>
      <w:b/>
      <w:bCs/>
      <w:sz w:val="32"/>
      <w:szCs w:val="32"/>
    </w:rPr>
  </w:style>
  <w:style w:type="paragraph" w:customStyle="1" w:styleId="35">
    <w:name w:val="表格标题"/>
    <w:basedOn w:val="36"/>
    <w:next w:val="37"/>
    <w:link w:val="46"/>
    <w:qFormat/>
    <w:uiPriority w:val="0"/>
    <w:pPr>
      <w:numPr>
        <w:ilvl w:val="7"/>
        <w:numId w:val="1"/>
      </w:numPr>
      <w:tabs>
        <w:tab w:val="left" w:pos="420"/>
        <w:tab w:val="clear" w:pos="0"/>
      </w:tabs>
      <w:spacing w:before="50" w:beforeLines="50" w:line="240" w:lineRule="auto"/>
      <w:ind w:left="0" w:firstLine="0" w:firstLineChars="0"/>
      <w:jc w:val="center"/>
    </w:pPr>
    <w:rPr>
      <w:rFonts w:ascii="Times New Roman" w:hAnsi="Times New Roman" w:eastAsia="宋体"/>
      <w:b/>
      <w:bCs/>
      <w:color w:val="auto"/>
      <w:szCs w:val="21"/>
    </w:rPr>
  </w:style>
  <w:style w:type="paragraph" w:customStyle="1" w:styleId="36">
    <w:name w:val="闽创报告正文"/>
    <w:link w:val="66"/>
    <w:qFormat/>
    <w:uiPriority w:val="0"/>
    <w:pPr>
      <w:widowControl w:val="0"/>
      <w:tabs>
        <w:tab w:val="left" w:pos="0"/>
      </w:tabs>
      <w:autoSpaceDE w:val="0"/>
      <w:autoSpaceDN w:val="0"/>
      <w:spacing w:line="360" w:lineRule="auto"/>
      <w:ind w:firstLine="200" w:firstLineChars="200"/>
      <w:jc w:val="both"/>
    </w:pPr>
    <w:rPr>
      <w:rFonts w:ascii="Times New Roman" w:hAnsi="Times New Roman" w:eastAsia="宋体" w:cs="宋体"/>
      <w:color w:val="FF0000"/>
      <w:kern w:val="0"/>
      <w:sz w:val="24"/>
      <w:szCs w:val="20"/>
      <w:lang w:val="zh-CN" w:eastAsia="zh-CN" w:bidi="ar-SA"/>
    </w:rPr>
  </w:style>
  <w:style w:type="paragraph" w:customStyle="1" w:styleId="37">
    <w:name w:val="表格内容"/>
    <w:basedOn w:val="24"/>
    <w:next w:val="1"/>
    <w:link w:val="52"/>
    <w:qFormat/>
    <w:uiPriority w:val="0"/>
    <w:pPr>
      <w:numPr>
        <w:ilvl w:val="0"/>
        <w:numId w:val="0"/>
      </w:numPr>
      <w:spacing w:line="240" w:lineRule="auto"/>
      <w:ind w:left="0" w:firstLine="0" w:firstLineChars="0"/>
      <w:jc w:val="center"/>
    </w:pPr>
    <w:rPr>
      <w:rFonts w:ascii="Times New Roman" w:hAnsi="Times New Roman" w:eastAsia="宋体" w:cs="Times New Roman"/>
      <w:sz w:val="21"/>
    </w:rPr>
  </w:style>
  <w:style w:type="paragraph" w:customStyle="1" w:styleId="38">
    <w:name w:val="图文标题"/>
    <w:basedOn w:val="1"/>
    <w:next w:val="1"/>
    <w:link w:val="67"/>
    <w:qFormat/>
    <w:uiPriority w:val="0"/>
    <w:pPr>
      <w:numPr>
        <w:ilvl w:val="8"/>
        <w:numId w:val="1"/>
      </w:numPr>
      <w:spacing w:line="360" w:lineRule="auto"/>
      <w:ind w:left="1583" w:hanging="1583" w:firstLineChars="0"/>
      <w:jc w:val="center"/>
    </w:pPr>
    <w:rPr>
      <w:rFonts w:ascii="Times New Roman" w:hAnsi="Times New Roman" w:eastAsia="宋体"/>
      <w:b/>
      <w:bCs/>
      <w:color w:val="auto"/>
      <w:sz w:val="24"/>
      <w:szCs w:val="21"/>
    </w:rPr>
  </w:style>
  <w:style w:type="character" w:customStyle="1" w:styleId="39">
    <w:name w:val="表格标题 Char2"/>
    <w:link w:val="35"/>
    <w:qFormat/>
    <w:uiPriority w:val="0"/>
    <w:rPr>
      <w:rFonts w:ascii="Times New Roman" w:hAnsi="Times New Roman" w:eastAsia="宋体"/>
      <w:b/>
      <w:bCs/>
      <w:color w:val="auto"/>
      <w:szCs w:val="21"/>
    </w:rPr>
  </w:style>
  <w:style w:type="character" w:customStyle="1" w:styleId="40">
    <w:name w:val="报告正文 Char"/>
    <w:link w:val="36"/>
    <w:qFormat/>
    <w:uiPriority w:val="0"/>
    <w:rPr>
      <w:rFonts w:ascii="Times New Roman" w:hAnsi="Times New Roman" w:eastAsia="宋体" w:cs="宋体"/>
      <w:color w:val="FF0000"/>
      <w:kern w:val="0"/>
      <w:sz w:val="24"/>
      <w:szCs w:val="20"/>
      <w:lang w:val="zh-CN" w:eastAsia="zh-CN" w:bidi="ar-SA"/>
    </w:rPr>
  </w:style>
  <w:style w:type="character" w:customStyle="1" w:styleId="41">
    <w:name w:val="标题 1 字符"/>
    <w:link w:val="4"/>
    <w:qFormat/>
    <w:uiPriority w:val="0"/>
    <w:rPr>
      <w:rFonts w:ascii="Times New Roman" w:hAnsi="Times New Roman" w:eastAsia="宋体"/>
      <w:b/>
      <w:bCs/>
      <w:color w:val="000000"/>
      <w:kern w:val="44"/>
      <w:sz w:val="30"/>
      <w:szCs w:val="30"/>
    </w:rPr>
  </w:style>
  <w:style w:type="character" w:customStyle="1" w:styleId="42">
    <w:name w:val="标题 2 字符"/>
    <w:link w:val="5"/>
    <w:qFormat/>
    <w:uiPriority w:val="0"/>
    <w:rPr>
      <w:rFonts w:ascii="Times New Roman" w:hAnsi="Times New Roman" w:eastAsia="宋体"/>
      <w:b/>
      <w:bCs/>
      <w:sz w:val="28"/>
      <w:szCs w:val="32"/>
    </w:rPr>
  </w:style>
  <w:style w:type="character" w:customStyle="1" w:styleId="43">
    <w:name w:val="标题 3 字符"/>
    <w:link w:val="6"/>
    <w:qFormat/>
    <w:uiPriority w:val="0"/>
    <w:rPr>
      <w:rFonts w:ascii="Times New Roman" w:hAnsi="Times New Roman" w:eastAsia="宋体"/>
      <w:b/>
      <w:bCs/>
      <w:sz w:val="24"/>
      <w:szCs w:val="32"/>
    </w:rPr>
  </w:style>
  <w:style w:type="character" w:customStyle="1" w:styleId="44">
    <w:name w:val="标题 4 字符"/>
    <w:link w:val="7"/>
    <w:qFormat/>
    <w:uiPriority w:val="9"/>
    <w:rPr>
      <w:rFonts w:ascii="Times New Roman" w:hAnsi="Times New Roman" w:eastAsia="宋体"/>
      <w:b/>
      <w:bCs/>
      <w:sz w:val="24"/>
      <w:szCs w:val="28"/>
    </w:rPr>
  </w:style>
  <w:style w:type="character" w:customStyle="1" w:styleId="45">
    <w:name w:val="标题 5 字符"/>
    <w:link w:val="8"/>
    <w:qFormat/>
    <w:uiPriority w:val="9"/>
    <w:rPr>
      <w:b/>
      <w:bCs/>
      <w:sz w:val="28"/>
      <w:szCs w:val="28"/>
    </w:rPr>
  </w:style>
  <w:style w:type="character" w:customStyle="1" w:styleId="46">
    <w:name w:val="表格标题 Char1"/>
    <w:link w:val="35"/>
    <w:qFormat/>
    <w:uiPriority w:val="0"/>
    <w:rPr>
      <w:rFonts w:ascii="Times New Roman" w:hAnsi="Times New Roman" w:eastAsia="宋体"/>
      <w:b/>
      <w:bCs/>
      <w:color w:val="auto"/>
      <w:szCs w:val="21"/>
    </w:rPr>
  </w:style>
  <w:style w:type="character" w:customStyle="1" w:styleId="47">
    <w:name w:val="图文标题 Char"/>
    <w:link w:val="38"/>
    <w:qFormat/>
    <w:uiPriority w:val="0"/>
    <w:rPr>
      <w:rFonts w:ascii="Times New Roman" w:hAnsi="Times New Roman" w:eastAsia="宋体"/>
      <w:b/>
      <w:bCs/>
      <w:color w:val="auto"/>
      <w:sz w:val="24"/>
      <w:szCs w:val="21"/>
    </w:rPr>
  </w:style>
  <w:style w:type="character" w:customStyle="1" w:styleId="48">
    <w:name w:val="表格内容 Char1"/>
    <w:link w:val="37"/>
    <w:qFormat/>
    <w:uiPriority w:val="0"/>
    <w:rPr>
      <w:rFonts w:ascii="Times New Roman" w:hAnsi="Times New Roman" w:eastAsia="宋体" w:cs="Times New Roman"/>
      <w:sz w:val="21"/>
    </w:rPr>
  </w:style>
  <w:style w:type="paragraph" w:customStyle="1" w:styleId="49">
    <w:name w:val="表格标题无编号"/>
    <w:qFormat/>
    <w:uiPriority w:val="0"/>
    <w:pPr>
      <w:widowControl w:val="0"/>
      <w:numPr>
        <w:ilvl w:val="7"/>
        <w:numId w:val="0"/>
      </w:numPr>
      <w:autoSpaceDE w:val="0"/>
      <w:autoSpaceDN w:val="0"/>
      <w:spacing w:line="360" w:lineRule="auto"/>
      <w:ind w:left="1440" w:hanging="1440" w:firstLineChars="0"/>
      <w:jc w:val="center"/>
      <w:outlineLvl w:val="9"/>
    </w:pPr>
    <w:rPr>
      <w:rFonts w:ascii="Times New Roman" w:hAnsi="Times New Roman" w:eastAsia="宋体" w:cs="宋体"/>
      <w:b/>
      <w:kern w:val="0"/>
      <w:sz w:val="24"/>
      <w:szCs w:val="22"/>
      <w:lang w:val="zh-CN" w:eastAsia="zh-CN" w:bidi="ar-SA"/>
    </w:rPr>
  </w:style>
  <w:style w:type="character" w:customStyle="1" w:styleId="50">
    <w:name w:val="标题 1 Char"/>
    <w:link w:val="4"/>
    <w:qFormat/>
    <w:uiPriority w:val="99"/>
    <w:rPr>
      <w:rFonts w:ascii="Times New Roman" w:hAnsi="Times New Roman" w:eastAsia="宋体"/>
      <w:b/>
      <w:bCs/>
      <w:color w:val="000000"/>
      <w:kern w:val="44"/>
      <w:sz w:val="30"/>
      <w:szCs w:val="30"/>
    </w:rPr>
  </w:style>
  <w:style w:type="paragraph" w:customStyle="1" w:styleId="51">
    <w:name w:val="正文(首行缩进)"/>
    <w:qFormat/>
    <w:uiPriority w:val="0"/>
    <w:pPr>
      <w:widowControl w:val="0"/>
      <w:adjustRightInd w:val="0"/>
      <w:snapToGrid w:val="0"/>
      <w:spacing w:line="360" w:lineRule="auto"/>
      <w:ind w:firstLine="200" w:firstLineChars="200"/>
      <w:jc w:val="both"/>
    </w:pPr>
    <w:rPr>
      <w:rFonts w:ascii="Calibri" w:hAnsi="Calibri" w:eastAsia="宋体" w:cs="Times New Roman"/>
      <w:snapToGrid w:val="0"/>
      <w:kern w:val="2"/>
      <w:sz w:val="24"/>
      <w:szCs w:val="24"/>
      <w:lang w:val="en-US" w:eastAsia="zh-CN" w:bidi="ar-SA"/>
    </w:rPr>
  </w:style>
  <w:style w:type="character" w:customStyle="1" w:styleId="52">
    <w:name w:val="表格内容 Char"/>
    <w:link w:val="37"/>
    <w:qFormat/>
    <w:uiPriority w:val="0"/>
    <w:rPr>
      <w:rFonts w:ascii="Times New Roman" w:hAnsi="Times New Roman" w:eastAsia="宋体" w:cs="Times New Roman"/>
      <w:sz w:val="21"/>
    </w:rPr>
  </w:style>
  <w:style w:type="paragraph" w:customStyle="1" w:styleId="53">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4">
    <w:name w:val="页脚 Char"/>
    <w:link w:val="21"/>
    <w:qFormat/>
    <w:locked/>
    <w:uiPriority w:val="99"/>
    <w:rPr>
      <w:sz w:val="18"/>
    </w:rPr>
  </w:style>
  <w:style w:type="character" w:customStyle="1" w:styleId="55">
    <w:name w:val="正文文本 Char"/>
    <w:link w:val="3"/>
    <w:qFormat/>
    <w:locked/>
    <w:uiPriority w:val="0"/>
  </w:style>
  <w:style w:type="character" w:customStyle="1" w:styleId="56">
    <w:name w:val="表格 Char"/>
    <w:link w:val="53"/>
    <w:qFormat/>
    <w:locked/>
    <w:uiPriority w:val="0"/>
    <w:rPr>
      <w:rFonts w:ascii="宋体"/>
      <w:sz w:val="21"/>
    </w:rPr>
  </w:style>
  <w:style w:type="character" w:customStyle="1" w:styleId="57">
    <w:name w:val="页眉 Char"/>
    <w:link w:val="22"/>
    <w:qFormat/>
    <w:locked/>
    <w:uiPriority w:val="0"/>
    <w:rPr>
      <w:sz w:val="18"/>
    </w:rPr>
  </w:style>
  <w:style w:type="paragraph" w:customStyle="1" w:styleId="58">
    <w:name w:val="标题3"/>
    <w:basedOn w:val="1"/>
    <w:qFormat/>
    <w:uiPriority w:val="0"/>
    <w:pPr>
      <w:spacing w:line="360" w:lineRule="auto"/>
      <w:outlineLvl w:val="2"/>
    </w:pPr>
    <w:rPr>
      <w:b/>
      <w:sz w:val="24"/>
    </w:rPr>
  </w:style>
  <w:style w:type="paragraph" w:customStyle="1" w:styleId="59">
    <w:name w:val="Table Paragraph"/>
    <w:basedOn w:val="1"/>
    <w:link w:val="60"/>
    <w:qFormat/>
    <w:uiPriority w:val="1"/>
    <w:rPr>
      <w:rFonts w:ascii="宋体" w:hAnsi="宋体" w:eastAsia="宋体" w:cs="宋体"/>
      <w:lang w:val="zh-CN" w:eastAsia="zh-CN" w:bidi="zh-CN"/>
    </w:rPr>
  </w:style>
  <w:style w:type="character" w:customStyle="1" w:styleId="60">
    <w:name w:val="Table Paragraph Char"/>
    <w:link w:val="59"/>
    <w:qFormat/>
    <w:uiPriority w:val="1"/>
    <w:rPr>
      <w:rFonts w:ascii="宋体" w:hAnsi="宋体" w:eastAsia="宋体" w:cs="宋体"/>
      <w:lang w:val="zh-CN" w:eastAsia="zh-CN" w:bidi="zh-CN"/>
    </w:rPr>
  </w:style>
  <w:style w:type="character" w:customStyle="1" w:styleId="61">
    <w:name w:val="标题 2 Char"/>
    <w:link w:val="5"/>
    <w:qFormat/>
    <w:uiPriority w:val="9"/>
    <w:rPr>
      <w:rFonts w:ascii="Times New Roman" w:hAnsi="Times New Roman" w:eastAsia="宋体"/>
      <w:b/>
      <w:bCs/>
      <w:sz w:val="28"/>
      <w:szCs w:val="32"/>
    </w:rPr>
  </w:style>
  <w:style w:type="paragraph" w:customStyle="1" w:styleId="62">
    <w:name w:val="WPSOffice手动目录 1"/>
    <w:qFormat/>
    <w:uiPriority w:val="0"/>
    <w:pPr>
      <w:ind w:leftChars="0"/>
    </w:pPr>
    <w:rPr>
      <w:rFonts w:ascii="Times New Roman" w:hAnsi="Times New Roman" w:eastAsia="宋体" w:cs="Times New Roman"/>
      <w:sz w:val="20"/>
      <w:szCs w:val="20"/>
    </w:rPr>
  </w:style>
  <w:style w:type="character" w:customStyle="1" w:styleId="63">
    <w:name w:val="标题 3 Char"/>
    <w:link w:val="6"/>
    <w:semiHidden/>
    <w:qFormat/>
    <w:uiPriority w:val="0"/>
    <w:rPr>
      <w:rFonts w:ascii="Times New Roman" w:hAnsi="Times New Roman" w:eastAsia="宋体"/>
      <w:b/>
      <w:bCs/>
      <w:sz w:val="24"/>
      <w:szCs w:val="32"/>
    </w:rPr>
  </w:style>
  <w:style w:type="character" w:customStyle="1" w:styleId="64">
    <w:name w:val="标题 4 Char"/>
    <w:link w:val="7"/>
    <w:semiHidden/>
    <w:qFormat/>
    <w:uiPriority w:val="0"/>
    <w:rPr>
      <w:rFonts w:ascii="Times New Roman" w:hAnsi="Times New Roman" w:eastAsia="宋体"/>
      <w:b/>
      <w:bCs/>
      <w:sz w:val="24"/>
      <w:szCs w:val="28"/>
    </w:rPr>
  </w:style>
  <w:style w:type="character" w:customStyle="1" w:styleId="65">
    <w:name w:val="标题 5 Char"/>
    <w:link w:val="8"/>
    <w:semiHidden/>
    <w:qFormat/>
    <w:uiPriority w:val="0"/>
    <w:rPr>
      <w:b/>
      <w:bCs/>
      <w:sz w:val="28"/>
      <w:szCs w:val="28"/>
    </w:rPr>
  </w:style>
  <w:style w:type="character" w:customStyle="1" w:styleId="66">
    <w:name w:val="闽创报告正文 Char"/>
    <w:link w:val="36"/>
    <w:qFormat/>
    <w:uiPriority w:val="0"/>
    <w:rPr>
      <w:rFonts w:ascii="Times New Roman" w:hAnsi="Times New Roman" w:eastAsia="宋体" w:cs="宋体"/>
      <w:color w:val="FF0000"/>
      <w:kern w:val="0"/>
      <w:sz w:val="24"/>
      <w:szCs w:val="20"/>
      <w:lang w:val="zh-CN" w:eastAsia="zh-CN" w:bidi="ar-SA"/>
    </w:rPr>
  </w:style>
  <w:style w:type="character" w:customStyle="1" w:styleId="67">
    <w:name w:val="图文标题 Char1"/>
    <w:link w:val="38"/>
    <w:qFormat/>
    <w:uiPriority w:val="0"/>
    <w:rPr>
      <w:rFonts w:ascii="Times New Roman" w:hAnsi="Times New Roman" w:eastAsia="宋体"/>
      <w:b/>
      <w:bCs/>
      <w:color w:val="auto"/>
      <w:sz w:val="24"/>
      <w:szCs w:val="21"/>
    </w:rPr>
  </w:style>
  <w:style w:type="paragraph" w:customStyle="1" w:styleId="68">
    <w:name w:val="注释"/>
    <w:qFormat/>
    <w:uiPriority w:val="0"/>
    <w:pPr>
      <w:widowControl w:val="0"/>
      <w:adjustRightInd w:val="0"/>
      <w:snapToGrid w:val="0"/>
      <w:spacing w:line="360" w:lineRule="auto"/>
      <w:jc w:val="both"/>
      <w:textAlignment w:val="baseline"/>
    </w:pPr>
    <w:rPr>
      <w:rFonts w:ascii="Calibri" w:hAnsi="Calibri" w:eastAsia="宋体" w:cs="宋体"/>
      <w:snapToGrid w:val="0"/>
      <w:spacing w:val="4"/>
      <w:sz w:val="24"/>
      <w:szCs w:val="21"/>
      <w:lang w:val="en-US" w:eastAsia="zh-CN" w:bidi="ar-SA"/>
    </w:rPr>
  </w:style>
  <w:style w:type="paragraph" w:customStyle="1" w:styleId="69">
    <w:name w:val="闽创报告正文（段前0.5行）"/>
    <w:basedOn w:val="36"/>
    <w:next w:val="36"/>
    <w:qFormat/>
    <w:uiPriority w:val="0"/>
    <w:pPr>
      <w:spacing w:before="50" w:beforeLines="50"/>
    </w:pPr>
    <w:rPr>
      <w:rFonts w:hint="eastAsia" w:ascii="Times New Roman" w:hAnsi="Times New Roman"/>
      <w:color w:val="auto"/>
    </w:rPr>
  </w:style>
  <w:style w:type="paragraph" w:customStyle="1" w:styleId="70">
    <w:name w:val="环评 表格"/>
    <w:qFormat/>
    <w:uiPriority w:val="0"/>
    <w:pPr>
      <w:widowControl w:val="0"/>
      <w:pBdr>
        <w:top w:val="none" w:color="auto" w:sz="0" w:space="1"/>
        <w:left w:val="dashed" w:color="FFFFFF" w:sz="4" w:space="4"/>
        <w:bottom w:val="none" w:color="auto" w:sz="0" w:space="1"/>
        <w:right w:val="dashed" w:color="FFFFFF" w:sz="4" w:space="4"/>
      </w:pBdr>
      <w:jc w:val="center"/>
    </w:pPr>
    <w:rPr>
      <w:rFonts w:ascii="Calibri" w:hAnsi="Calibri" w:eastAsia="宋体" w:cs="Calibri"/>
      <w:kern w:val="2"/>
      <w:sz w:val="21"/>
      <w:szCs w:val="21"/>
      <w:lang w:val="en-US" w:eastAsia="en-US" w:bidi="ar-SA"/>
    </w:rPr>
  </w:style>
  <w:style w:type="character" w:customStyle="1" w:styleId="71">
    <w:name w:val="font11"/>
    <w:basedOn w:val="30"/>
    <w:qFormat/>
    <w:uiPriority w:val="0"/>
    <w:rPr>
      <w:rFonts w:hint="default" w:ascii="Times New Roman" w:hAnsi="Times New Roman" w:cs="Times New Roman"/>
      <w:color w:val="0000FF"/>
      <w:sz w:val="21"/>
      <w:szCs w:val="21"/>
      <w:u w:val="none"/>
    </w:rPr>
  </w:style>
  <w:style w:type="paragraph" w:customStyle="1" w:styleId="72">
    <w:name w:val="16正文"/>
    <w:basedOn w:val="1"/>
    <w:qFormat/>
    <w:uiPriority w:val="0"/>
    <w:pPr>
      <w:widowControl/>
      <w:shd w:val="clear" w:color="auto" w:fill="FFFFFF"/>
      <w:spacing w:after="50" w:afterLines="50" w:line="360" w:lineRule="auto"/>
      <w:ind w:firstLine="880" w:firstLineChars="200"/>
      <w:jc w:val="left"/>
    </w:pPr>
    <w:rPr>
      <w:rFonts w:hint="eastAsia" w:ascii="Times New Roman" w:hAnsi="Times New Roman" w:eastAsia="宋体" w:cs="黑体"/>
      <w:bCs/>
      <w:color w:val="000000" w:themeColor="text1"/>
      <w:kern w:val="0"/>
      <w:sz w:val="24"/>
      <w:szCs w:val="24"/>
      <w14:textFill>
        <w14:solidFill>
          <w14:schemeClr w14:val="tx1"/>
        </w14:solidFill>
      </w14:textFill>
    </w:rPr>
  </w:style>
  <w:style w:type="paragraph" w:customStyle="1" w:styleId="73">
    <w:name w:val="6表文（锐）"/>
    <w:basedOn w:val="74"/>
    <w:qFormat/>
    <w:uiPriority w:val="0"/>
    <w:pPr>
      <w:topLinePunct/>
      <w:spacing w:line="240" w:lineRule="auto"/>
      <w:ind w:firstLine="0" w:firstLineChars="0"/>
      <w:jc w:val="center"/>
    </w:pPr>
    <w:rPr>
      <w:rFonts w:ascii="Times New Roman" w:hAnsi="Times New Roman" w:eastAsia="宋体" w:cs="Times New Roman"/>
      <w:color w:val="FF0000"/>
      <w:sz w:val="21"/>
      <w:szCs w:val="21"/>
    </w:rPr>
  </w:style>
  <w:style w:type="paragraph" w:customStyle="1" w:styleId="74">
    <w:name w:val="7正文（锐）"/>
    <w:basedOn w:val="1"/>
    <w:qFormat/>
    <w:uiPriority w:val="0"/>
    <w:pPr>
      <w:topLinePunct/>
      <w:spacing w:line="360" w:lineRule="auto"/>
      <w:ind w:firstLine="480" w:firstLineChars="200"/>
    </w:pPr>
    <w:rPr>
      <w:rFonts w:ascii="Times New Roman" w:hAnsi="Times New Roman" w:eastAsia="宋体" w:cs="Times New Roman"/>
      <w:sz w:val="24"/>
      <w:szCs w:val="24"/>
    </w:rPr>
  </w:style>
  <w:style w:type="paragraph" w:customStyle="1" w:styleId="75">
    <w:name w:val="章1正文样式"/>
    <w:basedOn w:val="1"/>
    <w:qFormat/>
    <w:uiPriority w:val="0"/>
    <w:pPr>
      <w:adjustRightInd w:val="0"/>
      <w:snapToGrid w:val="0"/>
      <w:spacing w:line="360" w:lineRule="auto"/>
      <w:ind w:firstLine="720" w:firstLineChars="200"/>
    </w:pPr>
    <w:rPr>
      <w:rFonts w:hint="eastAsia" w:ascii="Times New Roman" w:hAnsi="Times New Roman" w:eastAsia="宋体" w:cs="Times New Roman"/>
      <w:sz w:val="24"/>
      <w:szCs w:val="21"/>
    </w:rPr>
  </w:style>
  <w:style w:type="paragraph" w:customStyle="1" w:styleId="76">
    <w:name w:val="表格名称"/>
    <w:basedOn w:val="1"/>
    <w:next w:val="77"/>
    <w:qFormat/>
    <w:uiPriority w:val="0"/>
    <w:pPr>
      <w:widowControl/>
      <w:snapToGrid w:val="0"/>
      <w:jc w:val="center"/>
    </w:pPr>
    <w:rPr>
      <w:rFonts w:hint="default" w:ascii="Times New Roman" w:hAnsi="Times New Roman"/>
      <w:b/>
      <w:kern w:val="0"/>
      <w:sz w:val="24"/>
      <w:szCs w:val="20"/>
    </w:rPr>
  </w:style>
  <w:style w:type="paragraph" w:customStyle="1" w:styleId="77">
    <w:name w:val="表格内文字"/>
    <w:basedOn w:val="76"/>
    <w:next w:val="1"/>
    <w:qFormat/>
    <w:uiPriority w:val="99"/>
    <w:pPr>
      <w:widowControl w:val="0"/>
      <w:adjustRightInd w:val="0"/>
      <w:snapToGrid w:val="0"/>
    </w:pPr>
    <w:rPr>
      <w:rFonts w:ascii="Times New Roman" w:hAnsi="Times New Roman" w:eastAsia="宋体" w:cs="Times New Roman"/>
      <w:spacing w:val="6"/>
      <w:sz w:val="21"/>
      <w:szCs w:val="24"/>
      <w:lang w:val="en-US" w:eastAsia="zh-CN" w:bidi="ar-SA"/>
    </w:rPr>
  </w:style>
  <w:style w:type="paragraph" w:customStyle="1" w:styleId="78">
    <w:name w:val="表格文本"/>
    <w:basedOn w:val="1"/>
    <w:qFormat/>
    <w:uiPriority w:val="0"/>
    <w:pPr>
      <w:autoSpaceDE w:val="0"/>
      <w:autoSpaceDN w:val="0"/>
      <w:spacing w:line="320" w:lineRule="exact"/>
      <w:jc w:val="center"/>
      <w:textAlignment w:val="baseline"/>
    </w:pPr>
    <w:rPr>
      <w:rFonts w:ascii="Times New Roman" w:hAnsi="Times New Roman" w:eastAsia="宋体"/>
      <w:kern w:val="0"/>
      <w:sz w:val="21"/>
      <w:szCs w:val="20"/>
    </w:rPr>
  </w:style>
  <w:style w:type="paragraph" w:customStyle="1" w:styleId="79">
    <w:name w:val="6表格"/>
    <w:basedOn w:val="1"/>
    <w:qFormat/>
    <w:uiPriority w:val="0"/>
    <w:pPr>
      <w:jc w:val="center"/>
    </w:pPr>
  </w:style>
  <w:style w:type="character" w:customStyle="1" w:styleId="80">
    <w:name w:val="font91"/>
    <w:basedOn w:val="30"/>
    <w:qFormat/>
    <w:uiPriority w:val="0"/>
    <w:rPr>
      <w:rFonts w:hint="eastAsia" w:ascii="宋体" w:hAnsi="宋体" w:eastAsia="宋体" w:cs="宋体"/>
      <w:color w:val="000000"/>
      <w:sz w:val="20"/>
      <w:szCs w:val="20"/>
      <w:u w:val="none"/>
    </w:rPr>
  </w:style>
  <w:style w:type="character" w:customStyle="1" w:styleId="81">
    <w:name w:val="font31"/>
    <w:basedOn w:val="30"/>
    <w:qFormat/>
    <w:uiPriority w:val="0"/>
    <w:rPr>
      <w:rFonts w:hint="default" w:ascii="Times New Roman" w:hAnsi="Times New Roman" w:cs="Times New Roman"/>
      <w:color w:val="000000"/>
      <w:sz w:val="20"/>
      <w:szCs w:val="20"/>
      <w:u w:val="none"/>
    </w:rPr>
  </w:style>
  <w:style w:type="character" w:customStyle="1" w:styleId="82">
    <w:name w:val="font51"/>
    <w:basedOn w:val="30"/>
    <w:qFormat/>
    <w:uiPriority w:val="0"/>
    <w:rPr>
      <w:rFonts w:hint="eastAsia" w:ascii="宋体" w:hAnsi="宋体" w:eastAsia="宋体" w:cs="宋体"/>
      <w:color w:val="000000"/>
      <w:sz w:val="20"/>
      <w:szCs w:val="20"/>
      <w:u w:val="none"/>
      <w:vertAlign w:val="subscript"/>
    </w:rPr>
  </w:style>
  <w:style w:type="character" w:customStyle="1" w:styleId="83">
    <w:name w:val="font01"/>
    <w:basedOn w:val="30"/>
    <w:qFormat/>
    <w:uiPriority w:val="0"/>
    <w:rPr>
      <w:rFonts w:hint="eastAsia" w:ascii="宋体" w:hAnsi="宋体" w:eastAsia="宋体" w:cs="宋体"/>
      <w:color w:val="000000"/>
      <w:sz w:val="22"/>
      <w:szCs w:val="22"/>
      <w:u w:val="none"/>
    </w:rPr>
  </w:style>
  <w:style w:type="character" w:customStyle="1" w:styleId="84">
    <w:name w:val="font41"/>
    <w:basedOn w:val="30"/>
    <w:qFormat/>
    <w:uiPriority w:val="0"/>
    <w:rPr>
      <w:rFonts w:hint="eastAsia" w:ascii="宋体" w:hAnsi="宋体" w:eastAsia="宋体" w:cs="宋体"/>
      <w:color w:val="000000"/>
      <w:sz w:val="21"/>
      <w:szCs w:val="21"/>
      <w:u w:val="none"/>
    </w:rPr>
  </w:style>
  <w:style w:type="paragraph" w:customStyle="1" w:styleId="85">
    <w:name w:val="默认段落字体 Para Char Char Char Char"/>
    <w:basedOn w:val="1"/>
    <w:qFormat/>
    <w:uiPriority w:val="0"/>
    <w:pPr>
      <w:ind w:firstLine="0"/>
    </w:pPr>
    <w:rPr>
      <w:rFonts w:eastAsia="宋体"/>
      <w:sz w:val="24"/>
      <w:szCs w:val="24"/>
    </w:rPr>
  </w:style>
  <w:style w:type="paragraph" w:customStyle="1" w:styleId="86">
    <w:name w:val="Normal (Web)"/>
    <w:basedOn w:val="1"/>
    <w:qFormat/>
    <w:uiPriority w:val="0"/>
    <w:pPr>
      <w:spacing w:before="100" w:beforeAutospacing="1" w:after="100" w:afterAutospacing="1"/>
      <w:ind w:left="0" w:right="0"/>
      <w:jc w:val="left"/>
    </w:pPr>
    <w:rPr>
      <w:kern w:val="0"/>
      <w:sz w:val="24"/>
      <w:lang w:val="en-US" w:eastAsia="zh-CN"/>
    </w:rPr>
  </w:style>
  <w:style w:type="paragraph" w:customStyle="1" w:styleId="87">
    <w:name w:val="小标题"/>
    <w:basedOn w:val="1"/>
    <w:next w:val="1"/>
    <w:qFormat/>
    <w:uiPriority w:val="0"/>
    <w:pPr>
      <w:keepNext/>
      <w:keepLines/>
      <w:spacing w:before="260" w:beforeLines="0" w:after="260" w:afterLines="0" w:line="240" w:lineRule="auto"/>
      <w:outlineLvl w:val="1"/>
    </w:pPr>
    <w:rPr>
      <w:rFonts w:ascii="Times New Roman" w:hAnsi="Times New Roman" w:eastAsia="宋体"/>
      <w:b/>
      <w:bCs/>
      <w:color w:val="000000"/>
      <w:spacing w:val="6"/>
      <w:sz w:val="24"/>
    </w:rPr>
  </w:style>
  <w:style w:type="paragraph" w:customStyle="1" w:styleId="88">
    <w:name w:val="表格标题（）"/>
    <w:basedOn w:val="1"/>
    <w:qFormat/>
    <w:uiPriority w:val="0"/>
    <w:pPr>
      <w:widowControl w:val="0"/>
      <w:adjustRightInd/>
      <w:snapToGrid/>
      <w:spacing w:line="240" w:lineRule="auto"/>
      <w:ind w:firstLine="0" w:firstLineChars="0"/>
      <w:jc w:val="center"/>
    </w:pPr>
    <w:rPr>
      <w:rFonts w:eastAsia="黑体"/>
      <w:color w:val="000000"/>
      <w:lang w:val="zh-CN" w:bidi="he-IL"/>
    </w:rPr>
  </w:style>
  <w:style w:type="paragraph" w:customStyle="1" w:styleId="89">
    <w:name w:val="表格固定文字"/>
    <w:basedOn w:val="1"/>
    <w:qFormat/>
    <w:uiPriority w:val="0"/>
    <w:pPr>
      <w:ind w:firstLine="0"/>
    </w:pPr>
    <w:rPr>
      <w:rFonts w:eastAsia="宋体"/>
      <w:sz w:val="21"/>
      <w:szCs w:val="24"/>
    </w:rPr>
  </w:style>
  <w:style w:type="paragraph" w:customStyle="1" w:styleId="90">
    <w:name w:val="表正文"/>
    <w:basedOn w:val="1"/>
    <w:qFormat/>
    <w:uiPriority w:val="99"/>
    <w:pPr>
      <w:widowControl/>
      <w:spacing w:line="360" w:lineRule="auto"/>
      <w:ind w:firstLine="200" w:firstLineChars="200"/>
      <w:jc w:val="left"/>
    </w:pPr>
    <w:rPr>
      <w:sz w:val="24"/>
    </w:rPr>
  </w:style>
  <w:style w:type="paragraph" w:customStyle="1" w:styleId="91">
    <w:name w:val="表格字体"/>
    <w:qFormat/>
    <w:uiPriority w:val="0"/>
    <w:pPr>
      <w:snapToGrid w:val="0"/>
      <w:jc w:val="center"/>
    </w:pPr>
    <w:rPr>
      <w:rFonts w:ascii="Times New Roman" w:hAnsi="Times New Roman" w:eastAsia="宋体" w:cs="Times New Roman"/>
      <w:kern w:val="2"/>
      <w:sz w:val="21"/>
      <w:lang w:val="en-US" w:eastAsia="zh-CN" w:bidi="ar-SA"/>
    </w:rPr>
  </w:style>
  <w:style w:type="paragraph" w:customStyle="1" w:styleId="92">
    <w:name w:val="zhang正文"/>
    <w:basedOn w:val="17"/>
    <w:next w:val="1"/>
    <w:qFormat/>
    <w:uiPriority w:val="0"/>
    <w:pPr>
      <w:autoSpaceDE w:val="0"/>
      <w:autoSpaceDN w:val="0"/>
      <w:adjustRightInd w:val="0"/>
      <w:snapToGrid w:val="0"/>
      <w:spacing w:line="500" w:lineRule="exact"/>
      <w:ind w:firstLine="539"/>
      <w:textAlignment w:val="baseline"/>
    </w:pPr>
    <w:rPr>
      <w:rFonts w:eastAsia="楷体_GB2312"/>
      <w:kern w:val="0"/>
    </w:rPr>
  </w:style>
  <w:style w:type="paragraph" w:customStyle="1" w:styleId="93">
    <w:name w:val="5文章(治)"/>
    <w:basedOn w:val="1"/>
    <w:qFormat/>
    <w:uiPriority w:val="0"/>
    <w:pPr>
      <w:keepNext w:val="0"/>
      <w:keepLines w:val="0"/>
      <w:widowControl w:val="0"/>
      <w:suppressLineNumbers w:val="0"/>
      <w:spacing w:before="0" w:beforeAutospacing="0" w:after="0" w:afterAutospacing="0" w:line="360" w:lineRule="auto"/>
      <w:ind w:left="0" w:right="0" w:firstLine="560" w:firstLineChars="200"/>
      <w:jc w:val="both"/>
    </w:pPr>
    <w:rPr>
      <w:rFonts w:hint="default" w:ascii="Times New Roman" w:hAnsi="Times New Roman" w:eastAsia="宋体" w:cs="Times New Roman"/>
      <w:kern w:val="2"/>
      <w:sz w:val="24"/>
      <w:szCs w:val="20"/>
      <w:lang w:val="en-US" w:eastAsia="zh-CN" w:bidi="ar-SA"/>
    </w:rPr>
  </w:style>
  <w:style w:type="paragraph" w:customStyle="1" w:styleId="94">
    <w:name w:val="样式 首行缩进:  2 字符1"/>
    <w:basedOn w:val="1"/>
    <w:qFormat/>
    <w:uiPriority w:val="0"/>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pPr>
    <w:rPr>
      <w:rFonts w:hint="eastAsia" w:ascii="宋体" w:hAnsi="宋体" w:eastAsia="宋体" w:cs="Times New Roman"/>
      <w:kern w:val="2"/>
      <w:sz w:val="24"/>
      <w:szCs w:val="20"/>
      <w:lang w:val="en-US" w:eastAsia="zh-CN" w:bidi="ar-SA"/>
    </w:rPr>
  </w:style>
  <w:style w:type="paragraph" w:customStyle="1" w:styleId="95">
    <w:name w:val="正文（无网格）"/>
    <w:basedOn w:val="1"/>
    <w:qFormat/>
    <w:uiPriority w:val="0"/>
    <w:pPr>
      <w:adjustRightInd w:val="0"/>
      <w:snapToGrid w:val="0"/>
      <w:spacing w:line="360" w:lineRule="auto"/>
      <w:ind w:firstLine="480" w:firstLineChars="200"/>
    </w:pPr>
    <w:rPr>
      <w:rFonts w:cs="宋体"/>
      <w:sz w:val="24"/>
      <w:szCs w:val="20"/>
    </w:rPr>
  </w:style>
  <w:style w:type="paragraph" w:customStyle="1" w:styleId="96">
    <w:name w:val="0正文"/>
    <w:basedOn w:val="17"/>
    <w:unhideWhenUsed/>
    <w:qFormat/>
    <w:uiPriority w:val="0"/>
    <w:pPr>
      <w:widowControl w:val="0"/>
      <w:spacing w:line="360" w:lineRule="auto"/>
      <w:ind w:firstLine="720" w:firstLineChars="200"/>
    </w:pPr>
    <w:rPr>
      <w:rFonts w:ascii="Times New Roman" w:hAnsi="Times New Roman" w:eastAsia="宋体" w:cs="Times New Roman"/>
      <w:sz w:val="24"/>
      <w:szCs w:val="22"/>
      <w:lang w:val="en-US" w:eastAsia="zh-CN" w:bidi="ar-SA"/>
    </w:rPr>
  </w:style>
  <w:style w:type="paragraph" w:customStyle="1" w:styleId="97">
    <w:name w:val="Default"/>
    <w:basedOn w:val="98"/>
    <w:next w:val="99"/>
    <w:qFormat/>
    <w:uiPriority w:val="0"/>
    <w:pPr>
      <w:widowControl w:val="0"/>
      <w:autoSpaceDE w:val="0"/>
      <w:autoSpaceDN w:val="0"/>
      <w:adjustRightInd w:val="0"/>
    </w:pPr>
    <w:rPr>
      <w:color w:val="000000"/>
      <w:sz w:val="24"/>
      <w:szCs w:val="24"/>
      <w:lang w:val="en-US" w:eastAsia="zh-CN" w:bidi="ar-SA"/>
    </w:rPr>
  </w:style>
  <w:style w:type="paragraph" w:customStyle="1" w:styleId="98">
    <w:name w:val="纯文本1"/>
    <w:basedOn w:val="1"/>
    <w:next w:val="20"/>
    <w:qFormat/>
    <w:uiPriority w:val="0"/>
    <w:pPr>
      <w:textAlignment w:val="baseline"/>
    </w:pPr>
    <w:rPr>
      <w:rFonts w:ascii="宋体" w:hAnsi="Courier New"/>
    </w:rPr>
  </w:style>
  <w:style w:type="paragraph" w:customStyle="1" w:styleId="99">
    <w:name w:val="样式35"/>
    <w:next w:val="100"/>
    <w:qFormat/>
    <w:uiPriority w:val="99"/>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100">
    <w:name w:val="font6"/>
    <w:basedOn w:val="1"/>
    <w:next w:val="25"/>
    <w:qFormat/>
    <w:uiPriority w:val="99"/>
    <w:pPr>
      <w:widowControl/>
      <w:spacing w:before="100" w:beforeAutospacing="1" w:after="100" w:afterAutospacing="1"/>
      <w:jc w:val="left"/>
    </w:pPr>
    <w:rPr>
      <w:rFonts w:ascii="宋体" w:hAnsi="宋体"/>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6" Type="http://schemas.openxmlformats.org/officeDocument/2006/relationships/fontTable" Target="fontTable.xml"/><Relationship Id="rId45" Type="http://schemas.microsoft.com/office/2006/relationships/keyMapCustomizations" Target="customizations.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27.jpeg"/><Relationship Id="rId41" Type="http://schemas.openxmlformats.org/officeDocument/2006/relationships/image" Target="media/image26.jpeg"/><Relationship Id="rId40" Type="http://schemas.openxmlformats.org/officeDocument/2006/relationships/image" Target="media/image25.wmf"/><Relationship Id="rId4" Type="http://schemas.openxmlformats.org/officeDocument/2006/relationships/header" Target="header1.xml"/><Relationship Id="rId39" Type="http://schemas.openxmlformats.org/officeDocument/2006/relationships/oleObject" Target="embeddings/oleObject8.bin"/><Relationship Id="rId38" Type="http://schemas.openxmlformats.org/officeDocument/2006/relationships/image" Target="media/image24.wmf"/><Relationship Id="rId37" Type="http://schemas.openxmlformats.org/officeDocument/2006/relationships/oleObject" Target="embeddings/oleObject7.bin"/><Relationship Id="rId36" Type="http://schemas.openxmlformats.org/officeDocument/2006/relationships/image" Target="media/image23.wmf"/><Relationship Id="rId35" Type="http://schemas.openxmlformats.org/officeDocument/2006/relationships/oleObject" Target="embeddings/oleObject6.bin"/><Relationship Id="rId34" Type="http://schemas.openxmlformats.org/officeDocument/2006/relationships/image" Target="media/image22.wmf"/><Relationship Id="rId33" Type="http://schemas.openxmlformats.org/officeDocument/2006/relationships/oleObject" Target="embeddings/oleObject5.bin"/><Relationship Id="rId32" Type="http://schemas.openxmlformats.org/officeDocument/2006/relationships/image" Target="media/image21.wmf"/><Relationship Id="rId31" Type="http://schemas.openxmlformats.org/officeDocument/2006/relationships/oleObject" Target="embeddings/oleObject4.bin"/><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jpeg"/><Relationship Id="rId25" Type="http://schemas.openxmlformats.org/officeDocument/2006/relationships/image" Target="media/image15.png"/><Relationship Id="rId24" Type="http://schemas.openxmlformats.org/officeDocument/2006/relationships/image" Target="media/image14.emf"/><Relationship Id="rId23" Type="http://schemas.openxmlformats.org/officeDocument/2006/relationships/oleObject" Target="embeddings/oleObject3.bin"/><Relationship Id="rId22" Type="http://schemas.openxmlformats.org/officeDocument/2006/relationships/image" Target="media/image13.emf"/><Relationship Id="rId21" Type="http://schemas.openxmlformats.org/officeDocument/2006/relationships/oleObject" Target="embeddings/oleObject2.bin"/><Relationship Id="rId20" Type="http://schemas.openxmlformats.org/officeDocument/2006/relationships/image" Target="media/image1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124</Pages>
  <Words>74955</Words>
  <Characters>87479</Characters>
  <Lines>187</Lines>
  <Paragraphs>52</Paragraphs>
  <TotalTime>47</TotalTime>
  <ScaleCrop>false</ScaleCrop>
  <LinksUpToDate>false</LinksUpToDate>
  <CharactersWithSpaces>88126</CharactersWithSpaces>
  <Application>WPS Office_12.8.2.19315_F1E327BC-269C-435d-A152-05C5408002CA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cp:lastModifiedBy>
  <cp:lastPrinted>2025-04-18T02:37:00Z</cp:lastPrinted>
  <dcterms:modified xsi:type="dcterms:W3CDTF">2025-04-18T07:52:32Z</dcterms:modified>
  <dc:title>附件2</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2052-12.8.2.19315</vt:lpwstr>
  </property>
  <property fmtid="{D5CDD505-2E9C-101B-9397-08002B2CF9AE}" pid="3" name="ICV">
    <vt:lpwstr>9DC35B604D8D4766BA6219023D8ECD2E_13</vt:lpwstr>
  </property>
  <property fmtid="{D5CDD505-2E9C-101B-9397-08002B2CF9AE}" pid="4" name="KSOTemplateDocerSaveRecord">
    <vt:lpwstr>eyJoZGlkIjoiN2M5NjYzMWM3MGVmNjRjNGNjYTgwMDhhZjVmM2IwZWEiLCJ1c2VySWQiOiIxOTg2MTUwOTUifQ==</vt:lpwstr>
  </property>
  <property fmtid="{D5CDD505-2E9C-101B-9397-08002B2CF9AE}" pid="5" name="hmcheck_markmode">
    <vt:i4>0</vt:i4>
  </property>
  <property fmtid="{D5CDD505-2E9C-101B-9397-08002B2CF9AE}" pid="6" name="hmcheck_taskpanetype">
    <vt:i4>1</vt:i4>
  </property>
</Properties>
</file>