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05523A">
      <w:pPr>
        <w:adjustRightInd w:val="0"/>
        <w:snapToGrid w:val="0"/>
        <w:spacing w:line="288" w:lineRule="auto"/>
        <w:ind w:firstLine="0" w:firstLineChars="0"/>
        <w:jc w:val="center"/>
        <w:rPr>
          <w:rFonts w:eastAsia="楷体_GB2312"/>
          <w:sz w:val="36"/>
          <w:szCs w:val="36"/>
        </w:rPr>
      </w:pPr>
      <w:r>
        <w:rPr>
          <w:rFonts w:hint="eastAsia" w:eastAsia="楷体_GB2312"/>
          <w:sz w:val="36"/>
          <w:szCs w:val="36"/>
        </w:rPr>
        <w:drawing>
          <wp:anchor distT="0" distB="0" distL="114300" distR="114300" simplePos="0" relativeHeight="251659264" behindDoc="1" locked="0" layoutInCell="1" allowOverlap="1">
            <wp:simplePos x="0" y="0"/>
            <wp:positionH relativeFrom="column">
              <wp:posOffset>-895985</wp:posOffset>
            </wp:positionH>
            <wp:positionV relativeFrom="paragraph">
              <wp:posOffset>-896620</wp:posOffset>
            </wp:positionV>
            <wp:extent cx="7560945" cy="10692130"/>
            <wp:effectExtent l="0" t="0" r="1905" b="13970"/>
            <wp:wrapNone/>
            <wp:docPr id="1" name="图片 1" descr="凌云需要盖章文件(4.2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凌云需要盖章文件(4.23)_1"/>
                    <pic:cNvPicPr>
                      <a:picLocks noChangeAspect="1"/>
                    </pic:cNvPicPr>
                  </pic:nvPicPr>
                  <pic:blipFill>
                    <a:blip r:embed="rId26"/>
                    <a:stretch>
                      <a:fillRect/>
                    </a:stretch>
                  </pic:blipFill>
                  <pic:spPr>
                    <a:xfrm>
                      <a:off x="0" y="0"/>
                      <a:ext cx="7560945" cy="10692130"/>
                    </a:xfrm>
                    <a:prstGeom prst="rect">
                      <a:avLst/>
                    </a:prstGeom>
                  </pic:spPr>
                </pic:pic>
              </a:graphicData>
            </a:graphic>
          </wp:anchor>
        </w:drawing>
      </w:r>
    </w:p>
    <w:p w14:paraId="09962076">
      <w:pPr>
        <w:adjustRightInd w:val="0"/>
        <w:snapToGrid w:val="0"/>
        <w:spacing w:line="288" w:lineRule="auto"/>
        <w:ind w:firstLine="0" w:firstLineChars="0"/>
        <w:jc w:val="center"/>
        <w:rPr>
          <w:rFonts w:eastAsia="楷体_GB2312"/>
          <w:sz w:val="36"/>
          <w:szCs w:val="36"/>
        </w:rPr>
        <w:sectPr>
          <w:headerReference r:id="rId7" w:type="first"/>
          <w:footerReference r:id="rId10" w:type="first"/>
          <w:headerReference r:id="rId5" w:type="default"/>
          <w:footerReference r:id="rId8" w:type="default"/>
          <w:headerReference r:id="rId6" w:type="even"/>
          <w:footerReference r:id="rId9" w:type="even"/>
          <w:pgSz w:w="11905" w:h="16838"/>
          <w:pgMar w:top="1417" w:right="1417" w:bottom="1417" w:left="1417" w:header="851" w:footer="850" w:gutter="0"/>
          <w:pgNumType w:start="3"/>
          <w:cols w:space="720" w:num="1"/>
          <w:docGrid w:linePitch="312" w:charSpace="0"/>
        </w:sectPr>
      </w:pPr>
    </w:p>
    <w:p w14:paraId="3286AC5D">
      <w:pPr>
        <w:adjustRightInd w:val="0"/>
        <w:snapToGrid w:val="0"/>
        <w:spacing w:line="288" w:lineRule="auto"/>
        <w:ind w:firstLine="0" w:firstLineChars="0"/>
        <w:jc w:val="center"/>
        <w:rPr>
          <w:rFonts w:eastAsia="楷体_GB2312"/>
          <w:sz w:val="36"/>
          <w:szCs w:val="36"/>
        </w:rPr>
        <w:sectPr>
          <w:pgSz w:w="11905" w:h="16838"/>
          <w:pgMar w:top="1417" w:right="1417" w:bottom="1417" w:left="1417" w:header="851" w:footer="850" w:gutter="0"/>
          <w:pgNumType w:start="3"/>
          <w:cols w:space="720" w:num="1"/>
          <w:docGrid w:linePitch="312" w:charSpace="0"/>
        </w:sectPr>
      </w:pPr>
      <w:r>
        <w:rPr>
          <w:rFonts w:hint="eastAsia" w:eastAsia="楷体_GB2312"/>
          <w:sz w:val="36"/>
          <w:szCs w:val="36"/>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6280150</wp:posOffset>
                </wp:positionV>
                <wp:extent cx="1020445" cy="1360805"/>
                <wp:effectExtent l="0" t="0" r="27305" b="10795"/>
                <wp:wrapNone/>
                <wp:docPr id="1461062467" name="矩形 9"/>
                <wp:cNvGraphicFramePr/>
                <a:graphic xmlns:a="http://schemas.openxmlformats.org/drawingml/2006/main">
                  <a:graphicData uri="http://schemas.microsoft.com/office/word/2010/wordprocessingShape">
                    <wps:wsp>
                      <wps:cNvSpPr/>
                      <wps:spPr>
                        <a:xfrm>
                          <a:off x="0" y="0"/>
                          <a:ext cx="1020725" cy="136096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 o:spid="_x0000_s1026" o:spt="1" style="position:absolute;left:0pt;margin-top:494.5pt;height:107.15pt;width:80.35pt;mso-position-horizontal:right;mso-position-horizontal-relative:margin;z-index:251675648;v-text-anchor:middle;mso-width-relative:page;mso-height-relative:page;" fillcolor="#FFFFFF [3212]" filled="t" stroked="t" coordsize="21600,21600" o:gfxdata="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r3QcdkAAAAJAQAADwAAAAAAAAABACAAAAAiAAAAZHJzL2Rvd25yZXYueG1sUEsB&#10;AhQAFAAAAAgAh07iQESvpcFmAgAA5wQAAA4AAAAAAAAAAQAgAAAAKAEAAGRycy9lMm9Eb2MueG1s&#10;UEsFBgAAAAAGAAYAWQEAAAAGAAAAAA==&#10;">
                <v:fill on="t" focussize="0,0"/>
                <v:stroke weight="2pt" color="#FFFFFF [3212]" joinstyle="round"/>
                <v:imagedata o:title=""/>
                <o:lock v:ext="edit" aspectratio="f"/>
              </v:rect>
            </w:pict>
          </mc:Fallback>
        </mc:AlternateContent>
      </w:r>
      <w:r>
        <w:rPr>
          <w:rFonts w:hint="eastAsia" w:eastAsia="楷体_GB2312"/>
          <w:sz w:val="36"/>
          <w:szCs w:val="36"/>
        </w:rPr>
        <mc:AlternateContent>
          <mc:Choice Requires="wps">
            <w:drawing>
              <wp:anchor distT="0" distB="0" distL="114300" distR="114300" simplePos="0" relativeHeight="251674624" behindDoc="0" locked="0" layoutInCell="1" allowOverlap="1">
                <wp:simplePos x="0" y="0"/>
                <wp:positionH relativeFrom="margin">
                  <wp:posOffset>4004310</wp:posOffset>
                </wp:positionH>
                <wp:positionV relativeFrom="paragraph">
                  <wp:posOffset>2952115</wp:posOffset>
                </wp:positionV>
                <wp:extent cx="1020445" cy="627380"/>
                <wp:effectExtent l="0" t="0" r="27305" b="20955"/>
                <wp:wrapNone/>
                <wp:docPr id="780760296" name="矩形 9"/>
                <wp:cNvGraphicFramePr/>
                <a:graphic xmlns:a="http://schemas.openxmlformats.org/drawingml/2006/main">
                  <a:graphicData uri="http://schemas.microsoft.com/office/word/2010/wordprocessingShape">
                    <wps:wsp>
                      <wps:cNvSpPr/>
                      <wps:spPr>
                        <a:xfrm>
                          <a:off x="0" y="0"/>
                          <a:ext cx="1020725" cy="6273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 o:spid="_x0000_s1026" o:spt="1" style="position:absolute;left:0pt;margin-left:315.3pt;margin-top:232.45pt;height:49.4pt;width:80.35pt;mso-position-horizontal-relative:margin;z-index:251674624;v-text-anchor:middle;mso-width-relative:page;mso-height-relative:page;" fillcolor="#FFFFFF [3212]" filled="t" stroked="t" coordsize="21600,21600" o:gfxdata="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ogrUv9wAAAALAQAADwAAAAAAAAABACAAAAAiAAAAZHJzL2Rvd25yZXYu&#10;eG1sUEsBAhQAFAAAAAgAh07iQE4ta/tpAgAA5QQAAA4AAAAAAAAAAQAgAAAAKwEAAGRycy9lMm9E&#10;b2MueG1sUEsFBgAAAAAGAAYAWQEAAAYGAAAAAA==&#10;">
                <v:fill on="t" focussize="0,0"/>
                <v:stroke weight="2pt" color="#FFFFFF [3212]" joinstyle="round"/>
                <v:imagedata o:title=""/>
                <o:lock v:ext="edit" aspectratio="f"/>
              </v:rect>
            </w:pict>
          </mc:Fallback>
        </mc:AlternateContent>
      </w:r>
      <w:r>
        <w:rPr>
          <w:rFonts w:hint="eastAsia" w:eastAsia="楷体_GB2312"/>
          <w:sz w:val="36"/>
          <w:szCs w:val="36"/>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3491230</wp:posOffset>
                </wp:positionV>
                <wp:extent cx="1020445" cy="627380"/>
                <wp:effectExtent l="0" t="0" r="27305" b="20955"/>
                <wp:wrapNone/>
                <wp:docPr id="1538457975" name="矩形 9"/>
                <wp:cNvGraphicFramePr/>
                <a:graphic xmlns:a="http://schemas.openxmlformats.org/drawingml/2006/main">
                  <a:graphicData uri="http://schemas.microsoft.com/office/word/2010/wordprocessingShape">
                    <wps:wsp>
                      <wps:cNvSpPr/>
                      <wps:spPr>
                        <a:xfrm>
                          <a:off x="0" y="0"/>
                          <a:ext cx="1020725" cy="6273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 o:spid="_x0000_s1026" o:spt="1" style="position:absolute;left:0pt;margin-top:274.9pt;height:49.4pt;width:80.35pt;mso-position-horizontal:center;mso-position-horizontal-relative:margin;z-index:251673600;v-text-anchor:middle;mso-width-relative:page;mso-height-relative:page;" fillcolor="#FFFFFF [3212]" filled="t" stroked="t" coordsize="21600,21600" o:gfxdata="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HZN3YAAAACAEAAA8AAAAAAAAAAQAgAAAAIgAAAGRycy9kb3ducmV2LnhtbFBL&#10;AQIUABQAAAAIAIdO4kB+SMOKaAIAAOYEAAAOAAAAAAAAAAEAIAAAACcBAABkcnMvZTJvRG9jLnht&#10;bFBLBQYAAAAABgAGAFkBAAABBgAAAAA=&#10;">
                <v:fill on="t" focussize="0,0"/>
                <v:stroke weight="2pt" color="#FFFFFF [3212]" joinstyle="round"/>
                <v:imagedata o:title=""/>
                <o:lock v:ext="edit" aspectratio="f"/>
              </v:rect>
            </w:pict>
          </mc:Fallback>
        </mc:AlternateContent>
      </w:r>
      <w:r>
        <w:rPr>
          <w:rFonts w:hint="eastAsia" w:eastAsia="楷体_GB2312"/>
          <w:sz w:val="36"/>
          <w:szCs w:val="36"/>
        </w:rPr>
        <w:drawing>
          <wp:anchor distT="0" distB="0" distL="114300" distR="114300" simplePos="0" relativeHeight="251660288" behindDoc="1" locked="0" layoutInCell="1" allowOverlap="1">
            <wp:simplePos x="0" y="0"/>
            <wp:positionH relativeFrom="column">
              <wp:posOffset>-896620</wp:posOffset>
            </wp:positionH>
            <wp:positionV relativeFrom="paragraph">
              <wp:posOffset>-913130</wp:posOffset>
            </wp:positionV>
            <wp:extent cx="7560945" cy="10692130"/>
            <wp:effectExtent l="0" t="0" r="1905" b="13970"/>
            <wp:wrapNone/>
            <wp:docPr id="4" name="图片 4" descr="凌云需要盖章文件(4.2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凌云需要盖章文件(4.23)_2"/>
                    <pic:cNvPicPr>
                      <a:picLocks noChangeAspect="1"/>
                    </pic:cNvPicPr>
                  </pic:nvPicPr>
                  <pic:blipFill>
                    <a:blip r:embed="rId27"/>
                    <a:stretch>
                      <a:fillRect/>
                    </a:stretch>
                  </pic:blipFill>
                  <pic:spPr>
                    <a:xfrm>
                      <a:off x="0" y="0"/>
                      <a:ext cx="7560945" cy="10692130"/>
                    </a:xfrm>
                    <a:prstGeom prst="rect">
                      <a:avLst/>
                    </a:prstGeom>
                  </pic:spPr>
                </pic:pic>
              </a:graphicData>
            </a:graphic>
          </wp:anchor>
        </w:drawing>
      </w:r>
    </w:p>
    <w:p w14:paraId="128EEE57">
      <w:pPr>
        <w:pStyle w:val="96"/>
        <w:sectPr>
          <w:headerReference r:id="rId13" w:type="first"/>
          <w:headerReference r:id="rId11" w:type="default"/>
          <w:footerReference r:id="rId14" w:type="default"/>
          <w:headerReference r:id="rId12" w:type="even"/>
          <w:pgSz w:w="11905" w:h="16838"/>
          <w:pgMar w:top="1417" w:right="1417" w:bottom="1417" w:left="1417" w:header="851" w:footer="850" w:gutter="0"/>
          <w:pgNumType w:start="1"/>
          <w:cols w:space="720" w:num="1"/>
          <w:docGrid w:linePitch="312" w:charSpace="0"/>
        </w:sectPr>
      </w:pPr>
      <w:r>
        <w:rPr>
          <w:rFonts w:hint="eastAsia" w:eastAsia="楷体_GB2312"/>
          <w:sz w:val="36"/>
          <w:szCs w:val="36"/>
        </w:rPr>
        <mc:AlternateContent>
          <mc:Choice Requires="wps">
            <w:drawing>
              <wp:anchor distT="0" distB="0" distL="114300" distR="114300" simplePos="0" relativeHeight="251676672" behindDoc="0" locked="0" layoutInCell="1" allowOverlap="1">
                <wp:simplePos x="0" y="0"/>
                <wp:positionH relativeFrom="margin">
                  <wp:posOffset>1747520</wp:posOffset>
                </wp:positionH>
                <wp:positionV relativeFrom="paragraph">
                  <wp:posOffset>4607560</wp:posOffset>
                </wp:positionV>
                <wp:extent cx="1860550" cy="265430"/>
                <wp:effectExtent l="0" t="0" r="25400" b="20955"/>
                <wp:wrapNone/>
                <wp:docPr id="1040981289" name="矩形 9"/>
                <wp:cNvGraphicFramePr/>
                <a:graphic xmlns:a="http://schemas.openxmlformats.org/drawingml/2006/main">
                  <a:graphicData uri="http://schemas.microsoft.com/office/word/2010/wordprocessingShape">
                    <wps:wsp>
                      <wps:cNvSpPr/>
                      <wps:spPr>
                        <a:xfrm>
                          <a:off x="0" y="0"/>
                          <a:ext cx="1860698" cy="26523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 o:spid="_x0000_s1026" o:spt="1" style="position:absolute;left:0pt;margin-left:137.6pt;margin-top:362.8pt;height:20.9pt;width:146.5pt;mso-position-horizontal-relative:margin;z-index:251676672;v-text-anchor:middle;mso-width-relative:page;mso-height-relative:page;" fillcolor="#FFFFFF [3212]" filled="t" stroked="t" coordsize="21600,21600" o:gfxdata="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vsWwG9oAAAALAQAADwAAAAAAAAABACAAAAAiAAAAZHJzL2Rvd25yZXYueG1sUEsB&#10;AhQAFAAAAAgAh07iQF92O/tlAgAA5gQAAA4AAAAAAAAAAQAgAAAAKQEAAGRycy9lMm9Eb2MueG1s&#10;UEsFBgAAAAAGAAYAWQEAAAAGAAAAAA==&#10;">
                <v:fill on="t" focussize="0,0"/>
                <v:stroke weight="2pt" color="#FFFFFF [3212]" joinstyle="round"/>
                <v:imagedata o:title=""/>
                <o:lock v:ext="edit" aspectratio="f"/>
              </v:rect>
            </w:pict>
          </mc:Fallback>
        </mc:AlternateContent>
      </w:r>
      <w:r>
        <w:rPr>
          <w:rFonts w:hint="eastAsia"/>
        </w:rPr>
        <w:drawing>
          <wp:anchor distT="0" distB="0" distL="114300" distR="114300" simplePos="0" relativeHeight="251661312" behindDoc="1" locked="0" layoutInCell="1" allowOverlap="1">
            <wp:simplePos x="0" y="0"/>
            <wp:positionH relativeFrom="column">
              <wp:posOffset>-857250</wp:posOffset>
            </wp:positionH>
            <wp:positionV relativeFrom="paragraph">
              <wp:posOffset>-907415</wp:posOffset>
            </wp:positionV>
            <wp:extent cx="7559040" cy="10692130"/>
            <wp:effectExtent l="0" t="0" r="3810" b="13970"/>
            <wp:wrapNone/>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28"/>
                    <a:stretch>
                      <a:fillRect/>
                    </a:stretch>
                  </pic:blipFill>
                  <pic:spPr>
                    <a:xfrm>
                      <a:off x="0" y="0"/>
                      <a:ext cx="7559040" cy="10692130"/>
                    </a:xfrm>
                    <a:prstGeom prst="rect">
                      <a:avLst/>
                    </a:prstGeom>
                  </pic:spPr>
                </pic:pic>
              </a:graphicData>
            </a:graphic>
          </wp:anchor>
        </w:drawing>
      </w:r>
    </w:p>
    <w:p w14:paraId="1687E330">
      <w:pPr>
        <w:pStyle w:val="96"/>
        <w:sectPr>
          <w:pgSz w:w="11905" w:h="16838"/>
          <w:pgMar w:top="1417" w:right="1417" w:bottom="1417" w:left="1417" w:header="851" w:footer="850" w:gutter="0"/>
          <w:pgNumType w:start="1"/>
          <w:cols w:space="720" w:num="1"/>
          <w:docGrid w:linePitch="312" w:charSpace="0"/>
        </w:sectPr>
      </w:pPr>
      <w:r>
        <w:rPr>
          <w:rFonts w:hint="eastAsia"/>
        </w:rPr>
        <w:drawing>
          <wp:anchor distT="0" distB="0" distL="114300" distR="114300" simplePos="0" relativeHeight="251662336" behindDoc="1" locked="0" layoutInCell="1" allowOverlap="1">
            <wp:simplePos x="0" y="0"/>
            <wp:positionH relativeFrom="column">
              <wp:posOffset>-920750</wp:posOffset>
            </wp:positionH>
            <wp:positionV relativeFrom="paragraph">
              <wp:posOffset>-920750</wp:posOffset>
            </wp:positionV>
            <wp:extent cx="7559040" cy="10692130"/>
            <wp:effectExtent l="0" t="0" r="3810" b="13970"/>
            <wp:wrapNone/>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29"/>
                    <a:stretch>
                      <a:fillRect/>
                    </a:stretch>
                  </pic:blipFill>
                  <pic:spPr>
                    <a:xfrm>
                      <a:off x="0" y="0"/>
                      <a:ext cx="7559040" cy="10692130"/>
                    </a:xfrm>
                    <a:prstGeom prst="rect">
                      <a:avLst/>
                    </a:prstGeom>
                  </pic:spPr>
                </pic:pic>
              </a:graphicData>
            </a:graphic>
          </wp:anchor>
        </w:drawing>
      </w:r>
    </w:p>
    <w:p w14:paraId="4362A698">
      <w:pPr>
        <w:pStyle w:val="96"/>
        <w:sectPr>
          <w:pgSz w:w="11905" w:h="16838"/>
          <w:pgMar w:top="1417" w:right="1417" w:bottom="1417" w:left="1417" w:header="851" w:footer="850" w:gutter="0"/>
          <w:pgNumType w:start="1"/>
          <w:cols w:space="720" w:num="1"/>
          <w:docGrid w:linePitch="312" w:charSpace="0"/>
        </w:sectPr>
      </w:pPr>
      <w:r>
        <w:rPr>
          <w:rFonts w:hint="eastAsia" w:eastAsia="楷体_GB2312"/>
          <w:sz w:val="36"/>
          <w:szCs w:val="36"/>
        </w:rPr>
        <mc:AlternateContent>
          <mc:Choice Requires="wps">
            <w:drawing>
              <wp:anchor distT="0" distB="0" distL="114300" distR="114300" simplePos="0" relativeHeight="251677696" behindDoc="0" locked="0" layoutInCell="1" allowOverlap="1">
                <wp:simplePos x="0" y="0"/>
                <wp:positionH relativeFrom="margin">
                  <wp:posOffset>2548890</wp:posOffset>
                </wp:positionH>
                <wp:positionV relativeFrom="paragraph">
                  <wp:posOffset>846455</wp:posOffset>
                </wp:positionV>
                <wp:extent cx="1860550" cy="265430"/>
                <wp:effectExtent l="0" t="0" r="25400" b="20955"/>
                <wp:wrapNone/>
                <wp:docPr id="1558471689" name="矩形 9"/>
                <wp:cNvGraphicFramePr/>
                <a:graphic xmlns:a="http://schemas.openxmlformats.org/drawingml/2006/main">
                  <a:graphicData uri="http://schemas.microsoft.com/office/word/2010/wordprocessingShape">
                    <wps:wsp>
                      <wps:cNvSpPr/>
                      <wps:spPr>
                        <a:xfrm>
                          <a:off x="0" y="0"/>
                          <a:ext cx="1860698" cy="26523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 o:spid="_x0000_s1026" o:spt="1" style="position:absolute;left:0pt;margin-left:200.7pt;margin-top:66.65pt;height:20.9pt;width:146.5pt;mso-position-horizontal-relative:margin;z-index:251677696;v-text-anchor:middle;mso-width-relative:page;mso-height-relative:page;" fillcolor="#FFFFFF [3212]" filled="t" stroked="t" coordsize="21600,21600" o:gfxdata="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PdYjtoAAAALAQAADwAAAAAAAAABACAAAAAiAAAAZHJzL2Rvd25yZXYueG1sUEsB&#10;AhQAFAAAAAgAh07iQF34iqhlAgAA5gQAAA4AAAAAAAAAAQAgAAAAKQEAAGRycy9lMm9Eb2MueG1s&#10;UEsFBgAAAAAGAAYAWQEAAAAGAAAAAA==&#10;">
                <v:fill on="t" focussize="0,0"/>
                <v:stroke weight="2pt" color="#FFFFFF [3212]" joinstyle="round"/>
                <v:imagedata o:title=""/>
                <o:lock v:ext="edit" aspectratio="f"/>
              </v:rect>
            </w:pict>
          </mc:Fallback>
        </mc:AlternateContent>
      </w:r>
      <w:r>
        <w:rPr>
          <w:rFonts w:hint="eastAsia"/>
        </w:rPr>
        <w:drawing>
          <wp:anchor distT="0" distB="0" distL="114300" distR="114300" simplePos="0" relativeHeight="251663360" behindDoc="1" locked="0" layoutInCell="1" allowOverlap="1">
            <wp:simplePos x="0" y="0"/>
            <wp:positionH relativeFrom="column">
              <wp:posOffset>-888365</wp:posOffset>
            </wp:positionH>
            <wp:positionV relativeFrom="paragraph">
              <wp:posOffset>-904875</wp:posOffset>
            </wp:positionV>
            <wp:extent cx="7559040" cy="10692130"/>
            <wp:effectExtent l="0" t="0" r="3810" b="13970"/>
            <wp:wrapNone/>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30"/>
                    <a:stretch>
                      <a:fillRect/>
                    </a:stretch>
                  </pic:blipFill>
                  <pic:spPr>
                    <a:xfrm>
                      <a:off x="0" y="0"/>
                      <a:ext cx="7559040" cy="10692130"/>
                    </a:xfrm>
                    <a:prstGeom prst="rect">
                      <a:avLst/>
                    </a:prstGeom>
                  </pic:spPr>
                </pic:pic>
              </a:graphicData>
            </a:graphic>
          </wp:anchor>
        </w:drawing>
      </w:r>
    </w:p>
    <w:p w14:paraId="648CC1A4">
      <w:pPr>
        <w:pStyle w:val="96"/>
        <w:sectPr>
          <w:pgSz w:w="11905" w:h="16838"/>
          <w:pgMar w:top="1417" w:right="1417" w:bottom="1417" w:left="1417" w:header="851" w:footer="850" w:gutter="0"/>
          <w:pgNumType w:start="1"/>
          <w:cols w:space="720" w:num="1"/>
          <w:docGrid w:linePitch="312" w:charSpace="0"/>
        </w:sectPr>
      </w:pPr>
      <w:r>
        <w:rPr>
          <w:rFonts w:hint="eastAsia"/>
        </w:rPr>
        <w:drawing>
          <wp:anchor distT="0" distB="0" distL="114300" distR="114300" simplePos="0" relativeHeight="251664384" behindDoc="1" locked="0" layoutInCell="1" allowOverlap="1">
            <wp:simplePos x="0" y="0"/>
            <wp:positionH relativeFrom="column">
              <wp:posOffset>-904875</wp:posOffset>
            </wp:positionH>
            <wp:positionV relativeFrom="paragraph">
              <wp:posOffset>-903605</wp:posOffset>
            </wp:positionV>
            <wp:extent cx="7559675" cy="10693400"/>
            <wp:effectExtent l="0" t="0" r="3175" b="12700"/>
            <wp:wrapNone/>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31"/>
                    <a:stretch>
                      <a:fillRect/>
                    </a:stretch>
                  </pic:blipFill>
                  <pic:spPr>
                    <a:xfrm rot="10800000">
                      <a:off x="0" y="0"/>
                      <a:ext cx="7559675" cy="10693400"/>
                    </a:xfrm>
                    <a:prstGeom prst="rect">
                      <a:avLst/>
                    </a:prstGeom>
                  </pic:spPr>
                </pic:pic>
              </a:graphicData>
            </a:graphic>
          </wp:anchor>
        </w:drawing>
      </w:r>
    </w:p>
    <w:p w14:paraId="4BF4EDC0">
      <w:pPr>
        <w:pStyle w:val="96"/>
        <w:sectPr>
          <w:pgSz w:w="11905" w:h="16838"/>
          <w:pgMar w:top="1417" w:right="1417" w:bottom="1417" w:left="1417" w:header="851" w:footer="850" w:gutter="0"/>
          <w:pgNumType w:start="1"/>
          <w:cols w:space="720" w:num="1"/>
          <w:docGrid w:linePitch="312" w:charSpace="0"/>
        </w:sectPr>
      </w:pPr>
      <w:r>
        <w:rPr>
          <w:rFonts w:hint="eastAsia" w:eastAsia="楷体_GB2312"/>
          <w:sz w:val="36"/>
          <w:szCs w:val="36"/>
        </w:rPr>
        <mc:AlternateContent>
          <mc:Choice Requires="wps">
            <w:drawing>
              <wp:anchor distT="0" distB="0" distL="114300" distR="114300" simplePos="0" relativeHeight="251678720" behindDoc="0" locked="0" layoutInCell="1" allowOverlap="1">
                <wp:simplePos x="0" y="0"/>
                <wp:positionH relativeFrom="margin">
                  <wp:posOffset>2832100</wp:posOffset>
                </wp:positionH>
                <wp:positionV relativeFrom="paragraph">
                  <wp:posOffset>748030</wp:posOffset>
                </wp:positionV>
                <wp:extent cx="1860550" cy="1710690"/>
                <wp:effectExtent l="0" t="0" r="25400" b="22860"/>
                <wp:wrapNone/>
                <wp:docPr id="624709458" name="矩形 9"/>
                <wp:cNvGraphicFramePr/>
                <a:graphic xmlns:a="http://schemas.openxmlformats.org/drawingml/2006/main">
                  <a:graphicData uri="http://schemas.microsoft.com/office/word/2010/wordprocessingShape">
                    <wps:wsp>
                      <wps:cNvSpPr/>
                      <wps:spPr>
                        <a:xfrm>
                          <a:off x="0" y="0"/>
                          <a:ext cx="1860698" cy="171082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 o:spid="_x0000_s1026" o:spt="1" style="position:absolute;left:0pt;margin-left:223pt;margin-top:58.9pt;height:134.7pt;width:146.5pt;mso-position-horizontal-relative:margin;z-index:251678720;v-text-anchor:middle;mso-width-relative:page;mso-height-relative:page;" fillcolor="#FFFFFF [3212]" filled="t" stroked="t" coordsize="21600,21600" o:gfxdata="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xuXADbAAAACwEAAA8AAAAAAAAAAQAgAAAAIgAAAGRycy9kb3ducmV2LnhtbFBL&#10;AQIUABQAAAAIAIdO4kB2bMgcZQIAAOYEAAAOAAAAAAAAAAEAIAAAACoBAABkcnMvZTJvRG9jLnht&#10;bFBLBQYAAAAABgAGAFkBAAABBgAAAAA=&#10;">
                <v:fill on="t" focussize="0,0"/>
                <v:stroke weight="2pt" color="#FFFFFF [3212]" joinstyle="round"/>
                <v:imagedata o:title=""/>
                <o:lock v:ext="edit" aspectratio="f"/>
              </v:rect>
            </w:pict>
          </mc:Fallback>
        </mc:AlternateContent>
      </w:r>
      <w:r>
        <w:rPr>
          <w:rFonts w:hint="eastAsia"/>
        </w:rPr>
        <w:drawing>
          <wp:anchor distT="0" distB="0" distL="114300" distR="114300" simplePos="0" relativeHeight="251665408" behindDoc="1" locked="0" layoutInCell="1" allowOverlap="1">
            <wp:simplePos x="0" y="0"/>
            <wp:positionH relativeFrom="column">
              <wp:posOffset>-889000</wp:posOffset>
            </wp:positionH>
            <wp:positionV relativeFrom="paragraph">
              <wp:posOffset>-896620</wp:posOffset>
            </wp:positionV>
            <wp:extent cx="7559040" cy="10692130"/>
            <wp:effectExtent l="0" t="0" r="3810" b="13970"/>
            <wp:wrapNone/>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
                    <pic:cNvPicPr>
                      <a:picLocks noChangeAspect="1"/>
                    </pic:cNvPicPr>
                  </pic:nvPicPr>
                  <pic:blipFill>
                    <a:blip r:embed="rId32"/>
                    <a:stretch>
                      <a:fillRect/>
                    </a:stretch>
                  </pic:blipFill>
                  <pic:spPr>
                    <a:xfrm>
                      <a:off x="0" y="0"/>
                      <a:ext cx="7559040" cy="10692130"/>
                    </a:xfrm>
                    <a:prstGeom prst="rect">
                      <a:avLst/>
                    </a:prstGeom>
                  </pic:spPr>
                </pic:pic>
              </a:graphicData>
            </a:graphic>
          </wp:anchor>
        </w:drawing>
      </w:r>
    </w:p>
    <w:p w14:paraId="0452B0B7">
      <w:pPr>
        <w:pStyle w:val="96"/>
        <w:sectPr>
          <w:pgSz w:w="11905" w:h="16838"/>
          <w:pgMar w:top="1417" w:right="1417" w:bottom="1417" w:left="1417" w:header="851" w:footer="850" w:gutter="0"/>
          <w:pgNumType w:start="1"/>
          <w:cols w:space="720" w:num="1"/>
          <w:docGrid w:linePitch="312" w:charSpace="0"/>
        </w:sectPr>
      </w:pPr>
      <w:r>
        <w:rPr>
          <w:rFonts w:hint="eastAsia" w:eastAsia="楷体_GB2312"/>
          <w:sz w:val="36"/>
          <w:szCs w:val="36"/>
        </w:rPr>
        <mc:AlternateContent>
          <mc:Choice Requires="wps">
            <w:drawing>
              <wp:anchor distT="0" distB="0" distL="114300" distR="114300" simplePos="0" relativeHeight="251680768" behindDoc="0" locked="0" layoutInCell="1" allowOverlap="1">
                <wp:simplePos x="0" y="0"/>
                <wp:positionH relativeFrom="margin">
                  <wp:posOffset>3874135</wp:posOffset>
                </wp:positionH>
                <wp:positionV relativeFrom="paragraph">
                  <wp:posOffset>2747010</wp:posOffset>
                </wp:positionV>
                <wp:extent cx="2339340" cy="1605280"/>
                <wp:effectExtent l="0" t="0" r="23495" b="13970"/>
                <wp:wrapNone/>
                <wp:docPr id="1187758953" name="矩形 9"/>
                <wp:cNvGraphicFramePr/>
                <a:graphic xmlns:a="http://schemas.openxmlformats.org/drawingml/2006/main">
                  <a:graphicData uri="http://schemas.microsoft.com/office/word/2010/wordprocessingShape">
                    <wps:wsp>
                      <wps:cNvSpPr/>
                      <wps:spPr>
                        <a:xfrm>
                          <a:off x="0" y="0"/>
                          <a:ext cx="2339162" cy="160551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 o:spid="_x0000_s1026" o:spt="1" style="position:absolute;left:0pt;margin-left:305.05pt;margin-top:216.3pt;height:126.4pt;width:184.2pt;mso-position-horizontal-relative:margin;z-index:251680768;v-text-anchor:middle;mso-width-relative:page;mso-height-relative:page;" fillcolor="#FFFFFF [3212]" filled="t" stroked="t" coordsize="21600,21600" o:gfxdata="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jjcWdsAAAALAQAADwAAAAAAAAABACAAAAAiAAAAZHJzL2Rvd25yZXYueG1s&#10;UEsBAhQAFAAAAAgAh07iQNaLBAZnAgAA5wQAAA4AAAAAAAAAAQAgAAAAKgEAAGRycy9lMm9Eb2Mu&#10;eG1sUEsFBgAAAAAGAAYAWQEAAAMGAAAAAA==&#10;">
                <v:fill on="t" focussize="0,0"/>
                <v:stroke weight="2pt" color="#FFFFFF [3212]" joinstyle="round"/>
                <v:imagedata o:title=""/>
                <o:lock v:ext="edit" aspectratio="f"/>
              </v:rect>
            </w:pict>
          </mc:Fallback>
        </mc:AlternateContent>
      </w:r>
      <w:r>
        <w:rPr>
          <w:rFonts w:hint="eastAsia" w:eastAsia="楷体_GB2312"/>
          <w:sz w:val="36"/>
          <w:szCs w:val="36"/>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662940</wp:posOffset>
                </wp:positionV>
                <wp:extent cx="1860550" cy="1593850"/>
                <wp:effectExtent l="0" t="0" r="25400" b="26035"/>
                <wp:wrapNone/>
                <wp:docPr id="909297796" name="矩形 9"/>
                <wp:cNvGraphicFramePr/>
                <a:graphic xmlns:a="http://schemas.openxmlformats.org/drawingml/2006/main">
                  <a:graphicData uri="http://schemas.microsoft.com/office/word/2010/wordprocessingShape">
                    <wps:wsp>
                      <wps:cNvSpPr/>
                      <wps:spPr>
                        <a:xfrm>
                          <a:off x="0" y="0"/>
                          <a:ext cx="1860698" cy="159373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 o:spid="_x0000_s1026" o:spt="1" style="position:absolute;left:0pt;margin-top:52.2pt;height:125.5pt;width:146.5pt;mso-position-horizontal:left;mso-position-horizontal-relative:margin;z-index:251679744;v-text-anchor:middle;mso-width-relative:page;mso-height-relative:page;" fillcolor="#FFFFFF [3212]" filled="t" stroked="t" coordsize="21600,21600" o:gfxdata="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8z9cW2AAAAAgBAAAPAAAAAAAAAAEAIAAAACIAAABkcnMvZG93bnJldi54bWxQSwEC&#10;FAAUAAAACACHTuJAug2iamYCAADmBAAADgAAAAAAAAABACAAAAAnAQAAZHJzL2Uyb0RvYy54bWxQ&#10;SwUGAAAAAAYABgBZAQAA/wUAAAAA&#10;">
                <v:fill on="t" focussize="0,0"/>
                <v:stroke weight="2pt" color="#FFFFFF [3212]" joinstyle="round"/>
                <v:imagedata o:title=""/>
                <o:lock v:ext="edit" aspectratio="f"/>
              </v:rect>
            </w:pict>
          </mc:Fallback>
        </mc:AlternateContent>
      </w:r>
      <w:r>
        <w:rPr>
          <w:rFonts w:hint="eastAsia"/>
        </w:rPr>
        <w:drawing>
          <wp:anchor distT="0" distB="0" distL="114300" distR="114300" simplePos="0" relativeHeight="251666432" behindDoc="1" locked="0" layoutInCell="1" allowOverlap="1">
            <wp:simplePos x="0" y="0"/>
            <wp:positionH relativeFrom="column">
              <wp:posOffset>-889000</wp:posOffset>
            </wp:positionH>
            <wp:positionV relativeFrom="paragraph">
              <wp:posOffset>-920750</wp:posOffset>
            </wp:positionV>
            <wp:extent cx="7559040" cy="10692130"/>
            <wp:effectExtent l="0" t="0" r="3810" b="13970"/>
            <wp:wrapNone/>
            <wp:docPr id="11" name="图片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
                    <pic:cNvPicPr>
                      <a:picLocks noChangeAspect="1"/>
                    </pic:cNvPicPr>
                  </pic:nvPicPr>
                  <pic:blipFill>
                    <a:blip r:embed="rId33"/>
                    <a:stretch>
                      <a:fillRect/>
                    </a:stretch>
                  </pic:blipFill>
                  <pic:spPr>
                    <a:xfrm>
                      <a:off x="0" y="0"/>
                      <a:ext cx="7559040" cy="10692130"/>
                    </a:xfrm>
                    <a:prstGeom prst="rect">
                      <a:avLst/>
                    </a:prstGeom>
                  </pic:spPr>
                </pic:pic>
              </a:graphicData>
            </a:graphic>
          </wp:anchor>
        </w:drawing>
      </w:r>
    </w:p>
    <w:p w14:paraId="39EB904D">
      <w:pPr>
        <w:pStyle w:val="2"/>
        <w:spacing w:before="120" w:after="120"/>
      </w:pPr>
      <w:r>
        <w:t>一、建设项目基本情况</w:t>
      </w:r>
    </w:p>
    <w:tbl>
      <w:tblPr>
        <w:tblStyle w:val="21"/>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303"/>
        <w:gridCol w:w="2993"/>
        <w:gridCol w:w="1188"/>
        <w:gridCol w:w="3629"/>
      </w:tblGrid>
      <w:tr w14:paraId="5ACA5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715" w:type="pct"/>
            <w:tcMar>
              <w:top w:w="16" w:type="dxa"/>
              <w:left w:w="16" w:type="dxa"/>
              <w:right w:w="16" w:type="dxa"/>
            </w:tcMar>
            <w:vAlign w:val="center"/>
          </w:tcPr>
          <w:p w14:paraId="1D0BAD25">
            <w:pPr>
              <w:pStyle w:val="41"/>
            </w:pPr>
            <w:r>
              <w:t>建设项目名称</w:t>
            </w:r>
          </w:p>
        </w:tc>
        <w:tc>
          <w:tcPr>
            <w:tcW w:w="4285" w:type="pct"/>
            <w:gridSpan w:val="3"/>
            <w:vAlign w:val="center"/>
          </w:tcPr>
          <w:p w14:paraId="63FE2FBE">
            <w:pPr>
              <w:pStyle w:val="41"/>
            </w:pPr>
            <w:r>
              <w:rPr>
                <w:rFonts w:hint="eastAsia"/>
              </w:rPr>
              <w:t>凌云新能源科技有限公司福州分公司年加工铝合金电池结构件10万件、</w:t>
            </w:r>
          </w:p>
          <w:p w14:paraId="297A7AEB">
            <w:pPr>
              <w:pStyle w:val="41"/>
            </w:pPr>
            <w:r>
              <w:rPr>
                <w:rFonts w:hint="eastAsia"/>
              </w:rPr>
              <w:t>保险杠20万件</w:t>
            </w:r>
          </w:p>
        </w:tc>
      </w:tr>
      <w:tr w14:paraId="64E9C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5" w:type="pct"/>
            <w:tcMar>
              <w:top w:w="16" w:type="dxa"/>
              <w:left w:w="16" w:type="dxa"/>
              <w:right w:w="16" w:type="dxa"/>
            </w:tcMar>
            <w:vAlign w:val="center"/>
          </w:tcPr>
          <w:p w14:paraId="204FEBAC">
            <w:pPr>
              <w:pStyle w:val="41"/>
            </w:pPr>
            <w:r>
              <w:t>项目代码</w:t>
            </w:r>
          </w:p>
        </w:tc>
        <w:tc>
          <w:tcPr>
            <w:tcW w:w="4285" w:type="pct"/>
            <w:gridSpan w:val="3"/>
            <w:vAlign w:val="center"/>
          </w:tcPr>
          <w:p w14:paraId="3510E9E5">
            <w:pPr>
              <w:pStyle w:val="41"/>
            </w:pPr>
            <w:r>
              <w:t>2504-350181-04-01-737923</w:t>
            </w:r>
          </w:p>
        </w:tc>
      </w:tr>
      <w:tr w14:paraId="12B52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5" w:type="pct"/>
            <w:tcMar>
              <w:top w:w="16" w:type="dxa"/>
              <w:left w:w="16" w:type="dxa"/>
              <w:right w:w="16" w:type="dxa"/>
            </w:tcMar>
            <w:vAlign w:val="center"/>
          </w:tcPr>
          <w:p w14:paraId="77EFFF4F">
            <w:pPr>
              <w:pStyle w:val="41"/>
            </w:pPr>
            <w:r>
              <w:t>建设单位</w:t>
            </w:r>
          </w:p>
          <w:p w14:paraId="4D22763B">
            <w:pPr>
              <w:pStyle w:val="41"/>
            </w:pPr>
            <w:r>
              <w:t>联系人</w:t>
            </w:r>
          </w:p>
        </w:tc>
        <w:tc>
          <w:tcPr>
            <w:tcW w:w="1642" w:type="pct"/>
            <w:vAlign w:val="center"/>
          </w:tcPr>
          <w:p w14:paraId="3E1E8B14">
            <w:pPr>
              <w:pStyle w:val="41"/>
            </w:pPr>
          </w:p>
        </w:tc>
        <w:tc>
          <w:tcPr>
            <w:tcW w:w="652" w:type="pct"/>
            <w:vAlign w:val="center"/>
          </w:tcPr>
          <w:p w14:paraId="34CA4958">
            <w:pPr>
              <w:pStyle w:val="41"/>
            </w:pPr>
            <w:r>
              <w:t>联系方式</w:t>
            </w:r>
          </w:p>
        </w:tc>
        <w:tc>
          <w:tcPr>
            <w:tcW w:w="1991" w:type="pct"/>
            <w:vAlign w:val="center"/>
          </w:tcPr>
          <w:p w14:paraId="4F6C8EF5">
            <w:pPr>
              <w:pStyle w:val="41"/>
            </w:pPr>
          </w:p>
        </w:tc>
      </w:tr>
      <w:tr w14:paraId="5C0BDD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5" w:type="pct"/>
            <w:tcMar>
              <w:top w:w="16" w:type="dxa"/>
              <w:left w:w="16" w:type="dxa"/>
              <w:right w:w="16" w:type="dxa"/>
            </w:tcMar>
            <w:vAlign w:val="center"/>
          </w:tcPr>
          <w:p w14:paraId="4B7D542F">
            <w:pPr>
              <w:pStyle w:val="41"/>
            </w:pPr>
            <w:r>
              <w:t>建设地点</w:t>
            </w:r>
          </w:p>
        </w:tc>
        <w:tc>
          <w:tcPr>
            <w:tcW w:w="4285" w:type="pct"/>
            <w:gridSpan w:val="3"/>
            <w:vAlign w:val="center"/>
          </w:tcPr>
          <w:p w14:paraId="22135E0D">
            <w:pPr>
              <w:pStyle w:val="41"/>
            </w:pPr>
            <w:r>
              <w:rPr>
                <w:rFonts w:hint="eastAsia"/>
              </w:rPr>
              <w:t>福建省福州市福清市音西街道西楼村</w:t>
            </w:r>
          </w:p>
        </w:tc>
      </w:tr>
      <w:tr w14:paraId="02891F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5" w:hRule="atLeast"/>
          <w:jc w:val="center"/>
        </w:trPr>
        <w:tc>
          <w:tcPr>
            <w:tcW w:w="715" w:type="pct"/>
            <w:tcMar>
              <w:top w:w="16" w:type="dxa"/>
              <w:left w:w="16" w:type="dxa"/>
              <w:right w:w="16" w:type="dxa"/>
            </w:tcMar>
            <w:vAlign w:val="center"/>
          </w:tcPr>
          <w:p w14:paraId="4E3AB474">
            <w:pPr>
              <w:pStyle w:val="41"/>
            </w:pPr>
            <w:r>
              <w:t>地理坐标</w:t>
            </w:r>
          </w:p>
        </w:tc>
        <w:tc>
          <w:tcPr>
            <w:tcW w:w="4285" w:type="pct"/>
            <w:gridSpan w:val="3"/>
            <w:vAlign w:val="center"/>
          </w:tcPr>
          <w:p w14:paraId="3D29AAC5">
            <w:pPr>
              <w:pStyle w:val="41"/>
            </w:pPr>
            <w:r>
              <w:t>东经</w:t>
            </w:r>
            <w:r>
              <w:rPr>
                <w:rFonts w:hint="eastAsia"/>
              </w:rPr>
              <w:t>119</w:t>
            </w:r>
            <w:r>
              <w:t>度</w:t>
            </w:r>
            <w:r>
              <w:rPr>
                <w:rFonts w:hint="eastAsia"/>
              </w:rPr>
              <w:t>20</w:t>
            </w:r>
            <w:r>
              <w:t>分10.164秒，北纬</w:t>
            </w:r>
            <w:r>
              <w:rPr>
                <w:rFonts w:hint="eastAsia"/>
              </w:rPr>
              <w:t>25</w:t>
            </w:r>
            <w:r>
              <w:t>度</w:t>
            </w:r>
            <w:r>
              <w:rPr>
                <w:rFonts w:hint="eastAsia"/>
              </w:rPr>
              <w:t>44</w:t>
            </w:r>
            <w:r>
              <w:t>分30.079秒</w:t>
            </w:r>
            <w:r>
              <w:rPr>
                <w:rFonts w:hint="eastAsia"/>
              </w:rPr>
              <w:t>（天地图）</w:t>
            </w:r>
          </w:p>
        </w:tc>
      </w:tr>
      <w:tr w14:paraId="7FBCBA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5" w:type="pct"/>
            <w:tcMar>
              <w:top w:w="16" w:type="dxa"/>
              <w:left w:w="16" w:type="dxa"/>
              <w:right w:w="16" w:type="dxa"/>
            </w:tcMar>
            <w:vAlign w:val="center"/>
          </w:tcPr>
          <w:p w14:paraId="61800834">
            <w:pPr>
              <w:pStyle w:val="41"/>
            </w:pPr>
            <w:r>
              <w:t>国民经济行业</w:t>
            </w:r>
          </w:p>
          <w:p w14:paraId="07C790B5">
            <w:pPr>
              <w:pStyle w:val="41"/>
            </w:pPr>
            <w:r>
              <w:t>类别</w:t>
            </w:r>
          </w:p>
        </w:tc>
        <w:tc>
          <w:tcPr>
            <w:tcW w:w="1642" w:type="pct"/>
            <w:vAlign w:val="center"/>
          </w:tcPr>
          <w:p w14:paraId="0E0723C2">
            <w:pPr>
              <w:pStyle w:val="41"/>
            </w:pPr>
            <w:r>
              <w:t>C</w:t>
            </w:r>
            <w:r>
              <w:rPr>
                <w:rFonts w:hint="eastAsia"/>
              </w:rPr>
              <w:t>3670</w:t>
            </w:r>
          </w:p>
          <w:p w14:paraId="42F37F33">
            <w:pPr>
              <w:pStyle w:val="41"/>
            </w:pPr>
            <w:r>
              <w:rPr>
                <w:rFonts w:hint="eastAsia"/>
              </w:rPr>
              <w:t>汽车零部件及配件制造</w:t>
            </w:r>
          </w:p>
        </w:tc>
        <w:tc>
          <w:tcPr>
            <w:tcW w:w="652" w:type="pct"/>
            <w:vAlign w:val="center"/>
          </w:tcPr>
          <w:p w14:paraId="1263AA70">
            <w:pPr>
              <w:pStyle w:val="41"/>
            </w:pPr>
            <w:bookmarkStart w:id="0" w:name="_Hlk49843745"/>
            <w:r>
              <w:t>建设项目行业类别</w:t>
            </w:r>
            <w:bookmarkEnd w:id="0"/>
          </w:p>
        </w:tc>
        <w:tc>
          <w:tcPr>
            <w:tcW w:w="1991" w:type="pct"/>
            <w:vAlign w:val="center"/>
          </w:tcPr>
          <w:p w14:paraId="148E352D">
            <w:pPr>
              <w:pStyle w:val="41"/>
            </w:pPr>
            <w:r>
              <w:rPr>
                <w:rFonts w:hint="eastAsia"/>
              </w:rPr>
              <w:t>三十三、汽车制造业36，</w:t>
            </w:r>
          </w:p>
          <w:p w14:paraId="2E9AB273">
            <w:pPr>
              <w:pStyle w:val="41"/>
            </w:pPr>
            <w:r>
              <w:rPr>
                <w:rFonts w:hint="eastAsia"/>
              </w:rPr>
              <w:t>71、汽车零部件及配件制造367</w:t>
            </w:r>
          </w:p>
        </w:tc>
      </w:tr>
      <w:tr w14:paraId="5133F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5" w:type="pct"/>
            <w:tcMar>
              <w:top w:w="16" w:type="dxa"/>
              <w:left w:w="16" w:type="dxa"/>
              <w:right w:w="16" w:type="dxa"/>
            </w:tcMar>
            <w:vAlign w:val="center"/>
          </w:tcPr>
          <w:p w14:paraId="065DAA18">
            <w:pPr>
              <w:pStyle w:val="41"/>
            </w:pPr>
            <w:r>
              <w:t>建设性质</w:t>
            </w:r>
          </w:p>
        </w:tc>
        <w:tc>
          <w:tcPr>
            <w:tcW w:w="1642" w:type="pct"/>
            <w:vAlign w:val="center"/>
          </w:tcPr>
          <w:p w14:paraId="525300B5">
            <w:pPr>
              <w:pStyle w:val="41"/>
              <w:jc w:val="left"/>
            </w:pPr>
            <w:r>
              <w:rPr/>
              <w:sym w:font="Wingdings 2" w:char="0052"/>
            </w:r>
            <w:r>
              <w:t>新建（迁建）</w:t>
            </w:r>
          </w:p>
          <w:p w14:paraId="554EFD1D">
            <w:pPr>
              <w:pStyle w:val="41"/>
              <w:jc w:val="left"/>
            </w:pPr>
            <w:r>
              <w:rPr/>
              <w:sym w:font="Wingdings 2" w:char="00A3"/>
            </w:r>
            <w:r>
              <w:t>改建</w:t>
            </w:r>
          </w:p>
          <w:p w14:paraId="525127D0">
            <w:pPr>
              <w:pStyle w:val="41"/>
              <w:jc w:val="left"/>
            </w:pPr>
            <w:r>
              <w:rPr/>
              <w:sym w:font="Wingdings 2" w:char="00A3"/>
            </w:r>
            <w:r>
              <w:t>扩建</w:t>
            </w:r>
          </w:p>
          <w:p w14:paraId="0E712E15">
            <w:pPr>
              <w:pStyle w:val="41"/>
              <w:jc w:val="left"/>
            </w:pPr>
            <w:r>
              <w:rPr/>
              <w:sym w:font="Wingdings 2" w:char="00A3"/>
            </w:r>
            <w:r>
              <w:t>技术改造</w:t>
            </w:r>
          </w:p>
        </w:tc>
        <w:tc>
          <w:tcPr>
            <w:tcW w:w="652" w:type="pct"/>
            <w:vAlign w:val="center"/>
          </w:tcPr>
          <w:p w14:paraId="2701951A">
            <w:pPr>
              <w:pStyle w:val="41"/>
            </w:pPr>
            <w:r>
              <w:t>建设项目</w:t>
            </w:r>
          </w:p>
          <w:p w14:paraId="02C1C623">
            <w:pPr>
              <w:pStyle w:val="41"/>
            </w:pPr>
            <w:r>
              <w:t>申报情形</w:t>
            </w:r>
          </w:p>
        </w:tc>
        <w:tc>
          <w:tcPr>
            <w:tcW w:w="1991" w:type="pct"/>
            <w:vAlign w:val="center"/>
          </w:tcPr>
          <w:p w14:paraId="5EDAEF53">
            <w:pPr>
              <w:pStyle w:val="41"/>
              <w:jc w:val="left"/>
            </w:pPr>
            <w:r>
              <w:rPr/>
              <w:sym w:font="Wingdings 2" w:char="0052"/>
            </w:r>
            <w:r>
              <w:t xml:space="preserve">首次申报项目             </w:t>
            </w:r>
          </w:p>
          <w:p w14:paraId="101C2F5B">
            <w:pPr>
              <w:pStyle w:val="41"/>
              <w:jc w:val="left"/>
            </w:pPr>
            <w:r>
              <w:rPr/>
              <w:sym w:font="Wingdings 2" w:char="00A3"/>
            </w:r>
            <w:r>
              <w:t>不予批准后再次申报项目</w:t>
            </w:r>
          </w:p>
          <w:p w14:paraId="24516544">
            <w:pPr>
              <w:pStyle w:val="41"/>
              <w:jc w:val="left"/>
            </w:pPr>
            <w:r>
              <w:rPr/>
              <w:sym w:font="Wingdings 2" w:char="00A3"/>
            </w:r>
            <w:r>
              <w:rPr>
                <w:shd w:val="clear" w:fill="FFFFFF"/>
              </w:rPr>
              <w:t>超</w:t>
            </w:r>
            <w:r>
              <w:t xml:space="preserve">五年重新审核项目     </w:t>
            </w:r>
          </w:p>
          <w:p w14:paraId="61A6A5D0">
            <w:pPr>
              <w:pStyle w:val="41"/>
              <w:jc w:val="left"/>
            </w:pPr>
            <w:r>
              <w:rPr/>
              <w:sym w:font="Wingdings 2" w:char="00A3"/>
            </w:r>
            <w:r>
              <w:t>重大变动重新报批项目</w:t>
            </w:r>
          </w:p>
        </w:tc>
      </w:tr>
      <w:tr w14:paraId="513B91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5" w:type="pct"/>
            <w:tcMar>
              <w:top w:w="16" w:type="dxa"/>
              <w:left w:w="16" w:type="dxa"/>
              <w:right w:w="16" w:type="dxa"/>
            </w:tcMar>
            <w:vAlign w:val="center"/>
          </w:tcPr>
          <w:p w14:paraId="522477B8">
            <w:pPr>
              <w:pStyle w:val="41"/>
            </w:pPr>
            <w:r>
              <w:t>项目审批备案</w:t>
            </w:r>
          </w:p>
          <w:p w14:paraId="5C11A283">
            <w:pPr>
              <w:pStyle w:val="41"/>
            </w:pPr>
            <w:r>
              <w:t>部门</w:t>
            </w:r>
          </w:p>
        </w:tc>
        <w:tc>
          <w:tcPr>
            <w:tcW w:w="1642" w:type="pct"/>
            <w:vAlign w:val="center"/>
          </w:tcPr>
          <w:p w14:paraId="2B945F2C">
            <w:pPr>
              <w:pStyle w:val="41"/>
            </w:pPr>
            <w:r>
              <w:rPr>
                <w:rFonts w:hint="eastAsia"/>
              </w:rPr>
              <w:t>福清市发展和改革局</w:t>
            </w:r>
          </w:p>
        </w:tc>
        <w:tc>
          <w:tcPr>
            <w:tcW w:w="652" w:type="pct"/>
            <w:vAlign w:val="center"/>
          </w:tcPr>
          <w:p w14:paraId="7613DDD1">
            <w:pPr>
              <w:pStyle w:val="41"/>
            </w:pPr>
            <w:r>
              <w:t>项目审批备案文号</w:t>
            </w:r>
          </w:p>
        </w:tc>
        <w:tc>
          <w:tcPr>
            <w:tcW w:w="1991" w:type="pct"/>
            <w:vAlign w:val="center"/>
          </w:tcPr>
          <w:p w14:paraId="73319C06">
            <w:pPr>
              <w:pStyle w:val="41"/>
            </w:pPr>
            <w:r>
              <w:rPr>
                <w:rFonts w:hint="eastAsia"/>
              </w:rPr>
              <w:t>闽发改备〔2025〕A060143号</w:t>
            </w:r>
          </w:p>
        </w:tc>
      </w:tr>
      <w:tr w14:paraId="7CE7E1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5" w:type="pct"/>
            <w:tcMar>
              <w:top w:w="16" w:type="dxa"/>
              <w:left w:w="16" w:type="dxa"/>
              <w:right w:w="16" w:type="dxa"/>
            </w:tcMar>
            <w:vAlign w:val="center"/>
          </w:tcPr>
          <w:p w14:paraId="753D8D6A">
            <w:pPr>
              <w:pStyle w:val="41"/>
            </w:pPr>
            <w:r>
              <w:t>总投资</w:t>
            </w:r>
          </w:p>
          <w:p w14:paraId="55671770">
            <w:pPr>
              <w:pStyle w:val="41"/>
            </w:pPr>
            <w:r>
              <w:t>（万元）</w:t>
            </w:r>
          </w:p>
        </w:tc>
        <w:tc>
          <w:tcPr>
            <w:tcW w:w="1642" w:type="pct"/>
            <w:vAlign w:val="center"/>
          </w:tcPr>
          <w:p w14:paraId="6EFB0E4F">
            <w:pPr>
              <w:adjustRightInd w:val="0"/>
              <w:snapToGrid w:val="0"/>
              <w:spacing w:line="240" w:lineRule="auto"/>
              <w:ind w:firstLine="0" w:firstLineChars="0"/>
              <w:jc w:val="center"/>
              <w:rPr>
                <w:sz w:val="21"/>
                <w:szCs w:val="21"/>
              </w:rPr>
            </w:pPr>
            <w:r>
              <w:rPr>
                <w:rFonts w:hint="eastAsia"/>
                <w:sz w:val="21"/>
                <w:szCs w:val="21"/>
              </w:rPr>
              <w:t>3639</w:t>
            </w:r>
          </w:p>
        </w:tc>
        <w:tc>
          <w:tcPr>
            <w:tcW w:w="652" w:type="pct"/>
            <w:tcMar>
              <w:top w:w="16" w:type="dxa"/>
              <w:left w:w="16" w:type="dxa"/>
              <w:right w:w="16" w:type="dxa"/>
            </w:tcMar>
            <w:vAlign w:val="center"/>
          </w:tcPr>
          <w:p w14:paraId="3060D8BF">
            <w:pPr>
              <w:pStyle w:val="41"/>
            </w:pPr>
            <w:r>
              <w:t>环保投资</w:t>
            </w:r>
          </w:p>
          <w:p w14:paraId="0E67EE88">
            <w:pPr>
              <w:pStyle w:val="41"/>
            </w:pPr>
            <w:r>
              <w:t>（万元）</w:t>
            </w:r>
          </w:p>
        </w:tc>
        <w:tc>
          <w:tcPr>
            <w:tcW w:w="1991" w:type="pct"/>
            <w:vAlign w:val="center"/>
          </w:tcPr>
          <w:p w14:paraId="44369466">
            <w:pPr>
              <w:pStyle w:val="41"/>
            </w:pPr>
            <w:r>
              <w:rPr>
                <w:rFonts w:hint="eastAsia"/>
              </w:rPr>
              <w:t>200</w:t>
            </w:r>
          </w:p>
        </w:tc>
      </w:tr>
      <w:tr w14:paraId="0398E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5" w:type="pct"/>
            <w:tcMar>
              <w:top w:w="16" w:type="dxa"/>
              <w:left w:w="16" w:type="dxa"/>
              <w:right w:w="16" w:type="dxa"/>
            </w:tcMar>
            <w:vAlign w:val="center"/>
          </w:tcPr>
          <w:p w14:paraId="66BCFA6E">
            <w:pPr>
              <w:pStyle w:val="41"/>
            </w:pPr>
            <w:r>
              <w:t>环保投资占比</w:t>
            </w:r>
          </w:p>
          <w:p w14:paraId="7AE04BC3">
            <w:pPr>
              <w:pStyle w:val="41"/>
            </w:pPr>
            <w:r>
              <w:t>（%）</w:t>
            </w:r>
          </w:p>
        </w:tc>
        <w:tc>
          <w:tcPr>
            <w:tcW w:w="1642" w:type="pct"/>
            <w:vAlign w:val="center"/>
          </w:tcPr>
          <w:p w14:paraId="09C77712">
            <w:pPr>
              <w:pStyle w:val="41"/>
            </w:pPr>
            <w:r>
              <w:rPr>
                <w:rFonts w:hint="eastAsia"/>
              </w:rPr>
              <w:t>5.5</w:t>
            </w:r>
          </w:p>
        </w:tc>
        <w:tc>
          <w:tcPr>
            <w:tcW w:w="652" w:type="pct"/>
            <w:tcMar>
              <w:top w:w="16" w:type="dxa"/>
              <w:left w:w="16" w:type="dxa"/>
              <w:right w:w="16" w:type="dxa"/>
            </w:tcMar>
            <w:vAlign w:val="center"/>
          </w:tcPr>
          <w:p w14:paraId="442FB180">
            <w:pPr>
              <w:pStyle w:val="41"/>
            </w:pPr>
            <w:r>
              <w:t>施工工期</w:t>
            </w:r>
          </w:p>
        </w:tc>
        <w:tc>
          <w:tcPr>
            <w:tcW w:w="1991" w:type="pct"/>
            <w:vAlign w:val="center"/>
          </w:tcPr>
          <w:p w14:paraId="74B94BAC">
            <w:pPr>
              <w:pStyle w:val="41"/>
            </w:pPr>
            <w:r>
              <w:rPr>
                <w:rFonts w:hint="eastAsia"/>
              </w:rPr>
              <w:t>6</w:t>
            </w:r>
            <w:r>
              <w:t>个月</w:t>
            </w:r>
          </w:p>
        </w:tc>
      </w:tr>
      <w:tr w14:paraId="1F1EC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5" w:type="pct"/>
            <w:tcMar>
              <w:top w:w="16" w:type="dxa"/>
              <w:left w:w="16" w:type="dxa"/>
              <w:right w:w="16" w:type="dxa"/>
            </w:tcMar>
            <w:vAlign w:val="center"/>
          </w:tcPr>
          <w:p w14:paraId="1CC76D5D">
            <w:pPr>
              <w:pStyle w:val="41"/>
            </w:pPr>
            <w:r>
              <w:t>是否开工建设</w:t>
            </w:r>
          </w:p>
        </w:tc>
        <w:tc>
          <w:tcPr>
            <w:tcW w:w="1642" w:type="pct"/>
            <w:vAlign w:val="center"/>
          </w:tcPr>
          <w:p w14:paraId="29BB5404">
            <w:pPr>
              <w:pStyle w:val="41"/>
              <w:jc w:val="left"/>
            </w:pPr>
            <w:r>
              <w:rPr/>
              <w:sym w:font="Wingdings 2" w:char="0052"/>
            </w:r>
            <w:r>
              <w:t>否</w:t>
            </w:r>
          </w:p>
          <w:p w14:paraId="1292DF05">
            <w:pPr>
              <w:pStyle w:val="41"/>
              <w:jc w:val="left"/>
            </w:pPr>
            <w:r>
              <w:rPr/>
              <w:sym w:font="Wingdings 2" w:char="00A3"/>
            </w:r>
            <w:r>
              <w:t xml:space="preserve">是：             </w:t>
            </w:r>
          </w:p>
        </w:tc>
        <w:tc>
          <w:tcPr>
            <w:tcW w:w="652" w:type="pct"/>
            <w:tcMar>
              <w:top w:w="16" w:type="dxa"/>
              <w:left w:w="16" w:type="dxa"/>
              <w:right w:w="16" w:type="dxa"/>
            </w:tcMar>
            <w:vAlign w:val="center"/>
          </w:tcPr>
          <w:p w14:paraId="278273D2">
            <w:pPr>
              <w:pStyle w:val="41"/>
            </w:pPr>
            <w:r>
              <w:t>用地面积</w:t>
            </w:r>
          </w:p>
          <w:p w14:paraId="52A2112F">
            <w:pPr>
              <w:pStyle w:val="41"/>
            </w:pPr>
            <w:r>
              <w:t>（m</w:t>
            </w:r>
            <w:r>
              <w:rPr>
                <w:vertAlign w:val="superscript"/>
              </w:rPr>
              <w:t>2</w:t>
            </w:r>
            <w:r>
              <w:t>）</w:t>
            </w:r>
          </w:p>
        </w:tc>
        <w:tc>
          <w:tcPr>
            <w:tcW w:w="1991" w:type="pct"/>
            <w:vAlign w:val="center"/>
          </w:tcPr>
          <w:p w14:paraId="2E7A265F">
            <w:pPr>
              <w:pStyle w:val="41"/>
            </w:pPr>
            <w:r>
              <w:rPr>
                <w:rFonts w:hint="eastAsia"/>
              </w:rPr>
              <w:t>11000</w:t>
            </w:r>
          </w:p>
        </w:tc>
      </w:tr>
      <w:tr w14:paraId="6AD633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5" w:type="pct"/>
            <w:vAlign w:val="center"/>
          </w:tcPr>
          <w:p w14:paraId="7B934BC0">
            <w:pPr>
              <w:pStyle w:val="41"/>
            </w:pPr>
            <w:r>
              <w:t>专项评价设置情况</w:t>
            </w:r>
          </w:p>
        </w:tc>
        <w:tc>
          <w:tcPr>
            <w:tcW w:w="4285" w:type="pct"/>
            <w:gridSpan w:val="3"/>
            <w:vAlign w:val="center"/>
          </w:tcPr>
          <w:p w14:paraId="5CCDEC86">
            <w:pPr>
              <w:pStyle w:val="92"/>
              <w:spacing w:before="120"/>
              <w:rPr>
                <w:rFonts w:eastAsia="宋体" w:cs="Times New Roman"/>
                <w:b w:val="0"/>
                <w:bCs/>
                <w:color w:val="auto"/>
                <w:spacing w:val="0"/>
                <w:szCs w:val="24"/>
              </w:rPr>
            </w:pPr>
            <w:r>
              <w:rPr>
                <w:rFonts w:hint="eastAsia" w:eastAsia="宋体" w:cs="Times New Roman"/>
                <w:bCs/>
                <w:color w:val="auto"/>
                <w:spacing w:val="0"/>
                <w:szCs w:val="24"/>
              </w:rPr>
              <w:t>表1.1-1  项目专项评价设置表</w:t>
            </w:r>
          </w:p>
          <w:tbl>
            <w:tblPr>
              <w:tblStyle w:val="21"/>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3571"/>
              <w:gridCol w:w="2306"/>
              <w:gridCol w:w="937"/>
            </w:tblGrid>
            <w:tr w14:paraId="39F95E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Align w:val="center"/>
                </w:tcPr>
                <w:p w14:paraId="62F7C08C">
                  <w:pPr>
                    <w:pStyle w:val="41"/>
                  </w:pPr>
                  <w:r>
                    <w:rPr>
                      <w:rFonts w:hint="eastAsia"/>
                    </w:rPr>
                    <w:t>专项评价类别</w:t>
                  </w:r>
                </w:p>
              </w:tc>
              <w:tc>
                <w:tcPr>
                  <w:tcW w:w="2303" w:type="pct"/>
                  <w:vAlign w:val="center"/>
                </w:tcPr>
                <w:p w14:paraId="55A29BF7">
                  <w:pPr>
                    <w:pStyle w:val="41"/>
                  </w:pPr>
                  <w:r>
                    <w:rPr>
                      <w:rFonts w:hint="eastAsia"/>
                    </w:rPr>
                    <w:t>设置原则</w:t>
                  </w:r>
                </w:p>
              </w:tc>
              <w:tc>
                <w:tcPr>
                  <w:tcW w:w="1487" w:type="pct"/>
                  <w:vAlign w:val="center"/>
                </w:tcPr>
                <w:p w14:paraId="5A463C27">
                  <w:pPr>
                    <w:pStyle w:val="41"/>
                  </w:pPr>
                  <w:r>
                    <w:rPr>
                      <w:rFonts w:hint="eastAsia"/>
                    </w:rPr>
                    <w:t>本项目情况</w:t>
                  </w:r>
                </w:p>
              </w:tc>
              <w:tc>
                <w:tcPr>
                  <w:tcW w:w="604" w:type="pct"/>
                  <w:vAlign w:val="center"/>
                </w:tcPr>
                <w:p w14:paraId="537E93CF">
                  <w:pPr>
                    <w:pStyle w:val="41"/>
                  </w:pPr>
                  <w:r>
                    <w:rPr>
                      <w:rFonts w:hint="eastAsia"/>
                    </w:rPr>
                    <w:t>是否设置专项</w:t>
                  </w:r>
                </w:p>
              </w:tc>
            </w:tr>
            <w:tr w14:paraId="113523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Align w:val="center"/>
                </w:tcPr>
                <w:p w14:paraId="2EB554A1">
                  <w:pPr>
                    <w:pStyle w:val="41"/>
                  </w:pPr>
                  <w:r>
                    <w:rPr>
                      <w:rFonts w:hint="eastAsia"/>
                    </w:rPr>
                    <w:t>大气</w:t>
                  </w:r>
                </w:p>
              </w:tc>
              <w:tc>
                <w:tcPr>
                  <w:tcW w:w="2303" w:type="pct"/>
                  <w:vAlign w:val="center"/>
                </w:tcPr>
                <w:p w14:paraId="7D7C6CA4">
                  <w:pPr>
                    <w:pStyle w:val="41"/>
                  </w:pPr>
                  <w:r>
                    <w:t>排放废气含有毒有害污染物、二噁英、苯并[a]芘、氰化物、氯气且厂界外500米范围内有环境空气保护目标的建设项目</w:t>
                  </w:r>
                </w:p>
              </w:tc>
              <w:tc>
                <w:tcPr>
                  <w:tcW w:w="1487" w:type="pct"/>
                  <w:vAlign w:val="center"/>
                </w:tcPr>
                <w:p w14:paraId="2960CCB6">
                  <w:pPr>
                    <w:pStyle w:val="41"/>
                  </w:pPr>
                  <w:r>
                    <w:rPr>
                      <w:rFonts w:hint="eastAsia"/>
                    </w:rPr>
                    <w:t>本项目不涉及</w:t>
                  </w:r>
                  <w:r>
                    <w:t>含有毒有害污染物、二噁英、苯并[a]芘、氰化物、氯气的排放</w:t>
                  </w:r>
                </w:p>
              </w:tc>
              <w:tc>
                <w:tcPr>
                  <w:tcW w:w="604" w:type="pct"/>
                  <w:vAlign w:val="center"/>
                </w:tcPr>
                <w:p w14:paraId="019A22C9">
                  <w:pPr>
                    <w:pStyle w:val="41"/>
                  </w:pPr>
                  <w:r>
                    <w:rPr>
                      <w:rFonts w:hint="eastAsia"/>
                    </w:rPr>
                    <w:t>否</w:t>
                  </w:r>
                </w:p>
              </w:tc>
            </w:tr>
            <w:tr w14:paraId="7ECB61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Align w:val="center"/>
                </w:tcPr>
                <w:p w14:paraId="3E9185FA">
                  <w:pPr>
                    <w:pStyle w:val="41"/>
                  </w:pPr>
                  <w:r>
                    <w:rPr>
                      <w:rFonts w:hint="eastAsia"/>
                    </w:rPr>
                    <w:t>地表水</w:t>
                  </w:r>
                </w:p>
              </w:tc>
              <w:tc>
                <w:tcPr>
                  <w:tcW w:w="2303" w:type="pct"/>
                  <w:vAlign w:val="center"/>
                </w:tcPr>
                <w:p w14:paraId="6FCD96C1">
                  <w:pPr>
                    <w:pStyle w:val="41"/>
                  </w:pPr>
                  <w:r>
                    <w:t>新增工业废水直排建设项目（槽罐车外送</w:t>
                  </w:r>
                  <w:r>
                    <w:rPr>
                      <w:rFonts w:hint="eastAsia"/>
                    </w:rPr>
                    <w:t>污水处理厂</w:t>
                  </w:r>
                  <w:r>
                    <w:t>的除外）；新增废水直排的污水集中处理厂</w:t>
                  </w:r>
                </w:p>
              </w:tc>
              <w:tc>
                <w:tcPr>
                  <w:tcW w:w="1487" w:type="pct"/>
                  <w:vAlign w:val="center"/>
                </w:tcPr>
                <w:p w14:paraId="3D1D64D9">
                  <w:pPr>
                    <w:pStyle w:val="41"/>
                  </w:pPr>
                  <w:r>
                    <w:t>项目无生产</w:t>
                  </w:r>
                  <w:r>
                    <w:rPr>
                      <w:rFonts w:hint="eastAsia"/>
                    </w:rPr>
                    <w:t>废水</w:t>
                  </w:r>
                  <w:r>
                    <w:t>排放</w:t>
                  </w:r>
                  <w:r>
                    <w:rPr>
                      <w:rFonts w:hint="eastAsia"/>
                    </w:rPr>
                    <w:t>，生活污水排放至</w:t>
                  </w:r>
                  <w:r>
                    <w:t>福清融元污水处理厂</w:t>
                  </w:r>
                </w:p>
              </w:tc>
              <w:tc>
                <w:tcPr>
                  <w:tcW w:w="604" w:type="pct"/>
                  <w:vAlign w:val="center"/>
                </w:tcPr>
                <w:p w14:paraId="2BB2A0B1">
                  <w:pPr>
                    <w:pStyle w:val="41"/>
                  </w:pPr>
                  <w:r>
                    <w:rPr>
                      <w:rFonts w:hint="eastAsia"/>
                    </w:rPr>
                    <w:t>否</w:t>
                  </w:r>
                </w:p>
              </w:tc>
            </w:tr>
            <w:tr w14:paraId="1EAAA3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Align w:val="center"/>
                </w:tcPr>
                <w:p w14:paraId="5B5C8C29">
                  <w:pPr>
                    <w:pStyle w:val="41"/>
                  </w:pPr>
                  <w:r>
                    <w:rPr>
                      <w:rFonts w:hint="eastAsia"/>
                    </w:rPr>
                    <w:t>环境</w:t>
                  </w:r>
                </w:p>
                <w:p w14:paraId="0879E860">
                  <w:pPr>
                    <w:pStyle w:val="41"/>
                  </w:pPr>
                  <w:r>
                    <w:rPr>
                      <w:rFonts w:hint="eastAsia"/>
                    </w:rPr>
                    <w:t>风险</w:t>
                  </w:r>
                </w:p>
              </w:tc>
              <w:tc>
                <w:tcPr>
                  <w:tcW w:w="2303" w:type="pct"/>
                  <w:vAlign w:val="center"/>
                </w:tcPr>
                <w:p w14:paraId="47D4586E">
                  <w:pPr>
                    <w:pStyle w:val="41"/>
                  </w:pPr>
                  <w:r>
                    <w:t>有毒有害和易燃易爆危险物质存储量超过临界量的建设项目</w:t>
                  </w:r>
                </w:p>
              </w:tc>
              <w:tc>
                <w:tcPr>
                  <w:tcW w:w="1487" w:type="pct"/>
                  <w:vAlign w:val="center"/>
                </w:tcPr>
                <w:p w14:paraId="38515E96">
                  <w:pPr>
                    <w:pStyle w:val="41"/>
                  </w:pPr>
                  <w:r>
                    <w:rPr>
                      <w:rFonts w:hint="eastAsia"/>
                    </w:rPr>
                    <w:t>本项目</w:t>
                  </w:r>
                  <w:r>
                    <w:t>有毒有害和易燃易爆危险物质存储量不超过临界量</w:t>
                  </w:r>
                </w:p>
              </w:tc>
              <w:tc>
                <w:tcPr>
                  <w:tcW w:w="604" w:type="pct"/>
                  <w:vAlign w:val="center"/>
                </w:tcPr>
                <w:p w14:paraId="24A6662D">
                  <w:pPr>
                    <w:pStyle w:val="41"/>
                  </w:pPr>
                  <w:r>
                    <w:rPr>
                      <w:rFonts w:hint="eastAsia"/>
                    </w:rPr>
                    <w:t>否</w:t>
                  </w:r>
                </w:p>
              </w:tc>
            </w:tr>
            <w:tr w14:paraId="78DAE0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Align w:val="center"/>
                </w:tcPr>
                <w:p w14:paraId="13491607">
                  <w:pPr>
                    <w:pStyle w:val="41"/>
                  </w:pPr>
                  <w:r>
                    <w:rPr>
                      <w:rFonts w:hint="eastAsia"/>
                    </w:rPr>
                    <w:t>生态</w:t>
                  </w:r>
                </w:p>
              </w:tc>
              <w:tc>
                <w:tcPr>
                  <w:tcW w:w="2303" w:type="pct"/>
                  <w:vAlign w:val="center"/>
                </w:tcPr>
                <w:p w14:paraId="75DEC0B7">
                  <w:pPr>
                    <w:pStyle w:val="41"/>
                  </w:pPr>
                  <w:r>
                    <w:t>取水口下游500米范围内有重要水生</w:t>
                  </w:r>
                  <w:r>
                    <w:cr/>
                  </w:r>
                  <w:r>
                    <w:t>物的自然</w:t>
                  </w:r>
                  <w:r>
                    <w:cr/>
                  </w:r>
                  <w:r>
                    <w:t>卵场、索饵场、越冬场和洄游通道的新增河道取水的污染类建设项目</w:t>
                  </w:r>
                </w:p>
              </w:tc>
              <w:tc>
                <w:tcPr>
                  <w:tcW w:w="1487" w:type="pct"/>
                  <w:vAlign w:val="center"/>
                </w:tcPr>
                <w:p w14:paraId="7D9412D4">
                  <w:pPr>
                    <w:pStyle w:val="41"/>
                  </w:pPr>
                  <w:r>
                    <w:rPr>
                      <w:rFonts w:hint="eastAsia"/>
                    </w:rPr>
                    <w:t>本项目不设置取水口</w:t>
                  </w:r>
                </w:p>
              </w:tc>
              <w:tc>
                <w:tcPr>
                  <w:tcW w:w="604" w:type="pct"/>
                  <w:vAlign w:val="center"/>
                </w:tcPr>
                <w:p w14:paraId="34A35404">
                  <w:pPr>
                    <w:pStyle w:val="41"/>
                  </w:pPr>
                  <w:r>
                    <w:rPr>
                      <w:rFonts w:hint="eastAsia"/>
                    </w:rPr>
                    <w:t>否</w:t>
                  </w:r>
                </w:p>
              </w:tc>
            </w:tr>
            <w:tr w14:paraId="7455EF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Align w:val="center"/>
                </w:tcPr>
                <w:p w14:paraId="7FEF70B6">
                  <w:pPr>
                    <w:pStyle w:val="41"/>
                  </w:pPr>
                  <w:r>
                    <w:rPr>
                      <w:rFonts w:hint="eastAsia"/>
                    </w:rPr>
                    <w:t>海洋</w:t>
                  </w:r>
                </w:p>
              </w:tc>
              <w:tc>
                <w:tcPr>
                  <w:tcW w:w="2303" w:type="pct"/>
                  <w:vAlign w:val="center"/>
                </w:tcPr>
                <w:p w14:paraId="1FC3FEB7">
                  <w:pPr>
                    <w:pStyle w:val="41"/>
                  </w:pPr>
                  <w:r>
                    <w:t>直接向海排放污染物的海洋工程建设项目</w:t>
                  </w:r>
                </w:p>
              </w:tc>
              <w:tc>
                <w:tcPr>
                  <w:tcW w:w="1487" w:type="pct"/>
                  <w:vAlign w:val="center"/>
                </w:tcPr>
                <w:p w14:paraId="3D0F6B0D">
                  <w:pPr>
                    <w:pStyle w:val="41"/>
                  </w:pPr>
                  <w:r>
                    <w:rPr>
                      <w:rFonts w:hint="eastAsia"/>
                    </w:rPr>
                    <w:t>本项目不属于海洋</w:t>
                  </w:r>
                </w:p>
                <w:p w14:paraId="138AB0E2">
                  <w:pPr>
                    <w:pStyle w:val="41"/>
                  </w:pPr>
                  <w:r>
                    <w:rPr>
                      <w:rFonts w:hint="eastAsia"/>
                    </w:rPr>
                    <w:t>工程</w:t>
                  </w:r>
                </w:p>
              </w:tc>
              <w:tc>
                <w:tcPr>
                  <w:tcW w:w="604" w:type="pct"/>
                  <w:vAlign w:val="center"/>
                </w:tcPr>
                <w:p w14:paraId="4AB09BCD">
                  <w:pPr>
                    <w:pStyle w:val="41"/>
                  </w:pPr>
                  <w:r>
                    <w:rPr>
                      <w:rFonts w:hint="eastAsia"/>
                    </w:rPr>
                    <w:t>否</w:t>
                  </w:r>
                </w:p>
              </w:tc>
            </w:tr>
            <w:tr w14:paraId="6BECB5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Align w:val="center"/>
                </w:tcPr>
                <w:p w14:paraId="1FC553D0">
                  <w:pPr>
                    <w:pStyle w:val="41"/>
                  </w:pPr>
                  <w:r>
                    <w:rPr>
                      <w:rFonts w:hint="eastAsia"/>
                    </w:rPr>
                    <w:t>地下水</w:t>
                  </w:r>
                </w:p>
              </w:tc>
              <w:tc>
                <w:tcPr>
                  <w:tcW w:w="2303" w:type="pct"/>
                  <w:vAlign w:val="center"/>
                </w:tcPr>
                <w:p w14:paraId="702D0A88">
                  <w:pPr>
                    <w:pStyle w:val="41"/>
                  </w:pPr>
                  <w:r>
                    <w:rPr>
                      <w:rFonts w:hint="eastAsia"/>
                    </w:rPr>
                    <w:t>原则上不开展专项评价，涉及集中式饮用水水源和热水、矿泉水、温泉等特殊地下水资源保护区的开展地下水专项评价工作</w:t>
                  </w:r>
                </w:p>
              </w:tc>
              <w:tc>
                <w:tcPr>
                  <w:tcW w:w="1487" w:type="pct"/>
                  <w:vAlign w:val="center"/>
                </w:tcPr>
                <w:p w14:paraId="0AF9F78C">
                  <w:pPr>
                    <w:pStyle w:val="41"/>
                  </w:pPr>
                  <w:r>
                    <w:rPr>
                      <w:rFonts w:hint="eastAsia"/>
                    </w:rPr>
                    <w:t>本项目不涉及集中式饮用水水源和热水、矿泉水、温泉等特殊地下水资源保护区</w:t>
                  </w:r>
                </w:p>
              </w:tc>
              <w:tc>
                <w:tcPr>
                  <w:tcW w:w="604" w:type="pct"/>
                  <w:vAlign w:val="center"/>
                </w:tcPr>
                <w:p w14:paraId="329A7E51">
                  <w:pPr>
                    <w:pStyle w:val="41"/>
                  </w:pPr>
                  <w:r>
                    <w:rPr>
                      <w:rFonts w:hint="eastAsia"/>
                    </w:rPr>
                    <w:t>否</w:t>
                  </w:r>
                </w:p>
              </w:tc>
            </w:tr>
          </w:tbl>
          <w:p w14:paraId="730390C8">
            <w:pPr>
              <w:pStyle w:val="41"/>
            </w:pPr>
            <w:r>
              <w:rPr>
                <w:rFonts w:hint="eastAsia"/>
              </w:rPr>
              <w:t>综上所述，本项目无需开展专项评价。</w:t>
            </w:r>
          </w:p>
        </w:tc>
      </w:tr>
      <w:tr w14:paraId="0ADC5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5" w:type="pct"/>
            <w:vAlign w:val="center"/>
          </w:tcPr>
          <w:p w14:paraId="3674572D">
            <w:pPr>
              <w:pStyle w:val="41"/>
            </w:pPr>
            <w:r>
              <w:t>规划情况</w:t>
            </w:r>
          </w:p>
        </w:tc>
        <w:tc>
          <w:tcPr>
            <w:tcW w:w="4285" w:type="pct"/>
            <w:gridSpan w:val="3"/>
            <w:vAlign w:val="center"/>
          </w:tcPr>
          <w:p w14:paraId="28411943">
            <w:pPr>
              <w:pStyle w:val="109"/>
              <w:rPr>
                <w:rFonts w:hint="eastAsia"/>
              </w:rPr>
            </w:pPr>
            <w:r>
              <w:rPr>
                <w:rFonts w:hint="eastAsia"/>
              </w:rPr>
              <w:t>规划文件名称：《福清融侨经济技术开发区总体规划（2018</w:t>
            </w:r>
            <w:r>
              <w:rPr>
                <w:rFonts w:hint="eastAsia"/>
                <w:shd w:val="clear" w:fill="FFFFFF"/>
              </w:rPr>
              <w:t>-</w:t>
            </w:r>
            <w:r>
              <w:rPr>
                <w:rFonts w:hint="eastAsia"/>
              </w:rPr>
              <w:t>2035年）》</w:t>
            </w:r>
          </w:p>
          <w:p w14:paraId="6472F6DB">
            <w:pPr>
              <w:pStyle w:val="109"/>
              <w:rPr>
                <w:rFonts w:hint="eastAsia"/>
              </w:rPr>
            </w:pPr>
            <w:r>
              <w:rPr>
                <w:rFonts w:hint="eastAsia"/>
              </w:rPr>
              <w:t>审批机关：福清市人民政府</w:t>
            </w:r>
          </w:p>
          <w:p w14:paraId="29750F65">
            <w:pPr>
              <w:pStyle w:val="109"/>
              <w:rPr>
                <w:rFonts w:hint="eastAsia"/>
              </w:rPr>
            </w:pPr>
            <w:r>
              <w:rPr>
                <w:rFonts w:hint="eastAsia"/>
              </w:rPr>
              <w:t>审批文件名称及文号：《福清市人民政府关于同意融侨经济技术开发区总体规划（2018</w:t>
            </w:r>
            <w:r>
              <w:rPr>
                <w:rFonts w:hint="eastAsia"/>
                <w:shd w:val="clear" w:fill="FFFFFF"/>
              </w:rPr>
              <w:t>-</w:t>
            </w:r>
            <w:r>
              <w:rPr>
                <w:rFonts w:hint="eastAsia"/>
              </w:rPr>
              <w:t>2035年）编制范围的批复》（融政综〔2019〕189号）。</w:t>
            </w:r>
          </w:p>
        </w:tc>
      </w:tr>
      <w:tr w14:paraId="705DD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5" w:type="pct"/>
            <w:vAlign w:val="center"/>
          </w:tcPr>
          <w:p w14:paraId="41C45337">
            <w:pPr>
              <w:pStyle w:val="41"/>
            </w:pPr>
            <w:r>
              <w:t>规划环境影响评价情况</w:t>
            </w:r>
          </w:p>
        </w:tc>
        <w:tc>
          <w:tcPr>
            <w:tcW w:w="4285" w:type="pct"/>
            <w:gridSpan w:val="3"/>
            <w:vAlign w:val="center"/>
          </w:tcPr>
          <w:p w14:paraId="23B92AD1">
            <w:pPr>
              <w:pStyle w:val="109"/>
              <w:rPr>
                <w:rFonts w:hint="eastAsia"/>
              </w:rPr>
            </w:pPr>
            <w:r>
              <w:rPr>
                <w:rFonts w:hint="eastAsia"/>
              </w:rPr>
              <w:t>规划环评名称：《福清融侨经济技术开发区总体规划环境影响报告书（2018</w:t>
            </w:r>
            <w:r>
              <w:rPr>
                <w:rFonts w:hint="eastAsia"/>
                <w:shd w:val="clear" w:fill="FFFFFF"/>
              </w:rPr>
              <w:t>-</w:t>
            </w:r>
            <w:r>
              <w:rPr>
                <w:rFonts w:hint="eastAsia"/>
              </w:rPr>
              <w:t>2035年）》</w:t>
            </w:r>
          </w:p>
          <w:p w14:paraId="11AC527E">
            <w:pPr>
              <w:pStyle w:val="109"/>
              <w:rPr>
                <w:rFonts w:hint="eastAsia"/>
              </w:rPr>
            </w:pPr>
            <w:r>
              <w:rPr>
                <w:rFonts w:hint="eastAsia"/>
              </w:rPr>
              <w:t>召集审查机关：中华人民共和国生态环境部</w:t>
            </w:r>
          </w:p>
          <w:p w14:paraId="1AE578F4">
            <w:pPr>
              <w:pStyle w:val="109"/>
              <w:rPr>
                <w:rFonts w:hint="eastAsia"/>
              </w:rPr>
            </w:pPr>
            <w:r>
              <w:rPr>
                <w:rFonts w:hint="eastAsia"/>
              </w:rPr>
              <w:t>审查文件名称及文号：《关于印发&lt;福清融侨经济技术开发区总体规划环境影响报告书（2018-2035年）&gt;的审查意见》（环审〔2020〕80号）</w:t>
            </w:r>
          </w:p>
        </w:tc>
      </w:tr>
      <w:tr w14:paraId="6FC3E6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5" w:type="pct"/>
            <w:vAlign w:val="center"/>
          </w:tcPr>
          <w:p w14:paraId="5C56769F">
            <w:pPr>
              <w:pStyle w:val="41"/>
            </w:pPr>
            <w:r>
              <w:t>规划及规划环境影响评价符合性</w:t>
            </w:r>
          </w:p>
          <w:p w14:paraId="7C118D65">
            <w:pPr>
              <w:pStyle w:val="41"/>
            </w:pPr>
            <w:r>
              <w:t>分析</w:t>
            </w:r>
          </w:p>
        </w:tc>
        <w:tc>
          <w:tcPr>
            <w:tcW w:w="4285" w:type="pct"/>
            <w:gridSpan w:val="3"/>
            <w:vAlign w:val="center"/>
          </w:tcPr>
          <w:p w14:paraId="486A6183">
            <w:pPr>
              <w:spacing w:before="120" w:beforeLines="50"/>
              <w:ind w:firstLine="0" w:firstLineChars="0"/>
              <w:rPr>
                <w:b/>
                <w:bCs/>
              </w:rPr>
            </w:pPr>
            <w:bookmarkStart w:id="1" w:name="_Toc26022"/>
            <w:r>
              <w:rPr>
                <w:rFonts w:hint="eastAsia"/>
                <w:b/>
                <w:bCs/>
              </w:rPr>
              <w:t>1.1</w:t>
            </w:r>
            <w:r>
              <w:rPr>
                <w:b/>
                <w:bCs/>
              </w:rPr>
              <w:t>与《福清融侨经济技术开发区总体规划（2018</w:t>
            </w:r>
            <w:r>
              <w:rPr>
                <w:b/>
                <w:bCs/>
                <w:shd w:val="clear" w:fill="FFFFFF"/>
              </w:rPr>
              <w:t>-</w:t>
            </w:r>
            <w:r>
              <w:rPr>
                <w:b/>
                <w:bCs/>
              </w:rPr>
              <w:t>2035年）》相符性分析</w:t>
            </w:r>
          </w:p>
          <w:p w14:paraId="342BC851">
            <w:pPr>
              <w:ind w:firstLine="480"/>
            </w:pPr>
            <w:r>
              <w:rPr>
                <w:rFonts w:hint="eastAsia"/>
              </w:rPr>
              <w:t>根据《福清融侨经济技术开发区总体规划(2018</w:t>
            </w:r>
            <w:r>
              <w:rPr>
                <w:rFonts w:hint="eastAsia"/>
                <w:shd w:val="clear" w:fill="FFFFFF"/>
              </w:rPr>
              <w:t>-</w:t>
            </w:r>
            <w:r>
              <w:rPr>
                <w:rFonts w:hint="eastAsia"/>
              </w:rPr>
              <w:t>2035年)》的“产业发展-第二十二条构建“3+1”的产业体系：</w:t>
            </w:r>
          </w:p>
          <w:p w14:paraId="0EB08A38">
            <w:pPr>
              <w:ind w:firstLine="480"/>
            </w:pPr>
            <w:r>
              <w:rPr>
                <w:rFonts w:hint="eastAsia"/>
              </w:rPr>
              <w:t>1、三大支柱产业</w:t>
            </w:r>
          </w:p>
          <w:p w14:paraId="25B34210">
            <w:pPr>
              <w:ind w:firstLine="480"/>
            </w:pPr>
            <w:r>
              <w:rPr>
                <w:rFonts w:hint="eastAsia"/>
              </w:rPr>
              <w:t>电子信息产业：显示科技、云计算、电子元器件、光电科技、计算机与智能终端设备等。</w:t>
            </w:r>
          </w:p>
          <w:p w14:paraId="68FA30BC">
            <w:pPr>
              <w:ind w:firstLine="482"/>
              <w:rPr>
                <w:b/>
                <w:bCs/>
              </w:rPr>
            </w:pPr>
            <w:r>
              <w:rPr>
                <w:rFonts w:hint="eastAsia"/>
                <w:b/>
                <w:bCs/>
              </w:rPr>
              <w:t>精密汽车部件产业：汽车电气电子装置、动力传动装置、汽车轴承、新能源动力电池等。</w:t>
            </w:r>
          </w:p>
          <w:p w14:paraId="612C7CBA">
            <w:pPr>
              <w:ind w:firstLine="480"/>
            </w:pPr>
            <w:r>
              <w:rPr>
                <w:rFonts w:hint="eastAsia"/>
              </w:rPr>
              <w:t>光学产业：光学部件、光</w:t>
            </w:r>
            <w:r>
              <w:rPr>
                <w:rFonts w:hint="eastAsia"/>
                <w:shd w:val="clear" w:fill="FFFFFF"/>
              </w:rPr>
              <w:t>通讯技术</w:t>
            </w:r>
            <w:r>
              <w:rPr>
                <w:rFonts w:hint="eastAsia"/>
              </w:rPr>
              <w:t>、电子光学、虚拟现实装置等在三大支柱产业基础之上，完善与其相关的配套产业。</w:t>
            </w:r>
          </w:p>
          <w:p w14:paraId="02B9E303">
            <w:pPr>
              <w:ind w:firstLine="480"/>
            </w:pPr>
            <w:r>
              <w:rPr>
                <w:rFonts w:hint="eastAsia"/>
              </w:rPr>
              <w:t>2、一项新兴产业</w:t>
            </w:r>
          </w:p>
          <w:p w14:paraId="30468BBC">
            <w:pPr>
              <w:ind w:firstLine="480"/>
            </w:pPr>
            <w:r>
              <w:rPr>
                <w:rFonts w:hint="eastAsia"/>
              </w:rPr>
              <w:t>现代服务业：金融商务、总部经济、科技研发、文化创意、物流展销都市型产业与服务型制造业。</w:t>
            </w:r>
          </w:p>
          <w:p w14:paraId="1D6B7422">
            <w:pPr>
              <w:ind w:firstLine="480"/>
            </w:pPr>
            <w:r>
              <w:rPr>
                <w:rFonts w:hint="eastAsia"/>
              </w:rPr>
              <w:t>本项目属于汽车零部件及配件制造行业，产品为汽车保险杠和铝合金电池结构件（即新能源动力电池零配件），属于三大支柱产业基础的相关配套产业，因此项目产业定位符合《福清融侨经济技术开发区总体规划(2018</w:t>
            </w:r>
            <w:r>
              <w:rPr>
                <w:rFonts w:hint="eastAsia"/>
                <w:shd w:val="clear" w:fill="FFFFFF"/>
              </w:rPr>
              <w:t>-</w:t>
            </w:r>
            <w:r>
              <w:rPr>
                <w:rFonts w:hint="eastAsia"/>
              </w:rPr>
              <w:t>2035年)》要求。</w:t>
            </w:r>
          </w:p>
          <w:p w14:paraId="3E52F5BF">
            <w:pPr>
              <w:ind w:firstLine="0" w:firstLineChars="0"/>
              <w:rPr>
                <w:b/>
              </w:rPr>
            </w:pPr>
            <w:r>
              <w:rPr>
                <w:rFonts w:hint="eastAsia"/>
                <w:b/>
              </w:rPr>
              <w:t>1.2与规划环评和环评审查意见符合性分析</w:t>
            </w:r>
            <w:bookmarkEnd w:id="1"/>
          </w:p>
          <w:p w14:paraId="0FAA7F79">
            <w:pPr>
              <w:pStyle w:val="109"/>
              <w:rPr>
                <w:rFonts w:hint="eastAsia"/>
              </w:rPr>
            </w:pPr>
            <w:r>
              <w:t>融侨经济技术开发区主要以电子信息：显示科技、光电科技、电子元器件、</w:t>
            </w:r>
            <w:r>
              <w:rPr>
                <w:shd w:val="clear" w:fill="FFFFFF"/>
              </w:rPr>
              <w:t>通讯设备</w:t>
            </w:r>
            <w:r>
              <w:t>、计算机与智能终端设备等。机械电气：数控机床、精密磨具、光机电一体化等。</w:t>
            </w:r>
            <w:r>
              <w:rPr>
                <w:b/>
              </w:rPr>
              <w:t>汽车零配件：</w:t>
            </w:r>
            <w:r>
              <w:t>汽配玻璃、</w:t>
            </w:r>
            <w:r>
              <w:rPr>
                <w:b/>
              </w:rPr>
              <w:t>汽车零部件</w:t>
            </w:r>
            <w:r>
              <w:t>、变速器、汽车轴承等。根据开发区对主要产业发展方向的定位，对照《国民经济行业分类》</w:t>
            </w:r>
            <w:r>
              <w:rPr>
                <w:rFonts w:hint="eastAsia"/>
              </w:rPr>
              <w:t>(</w:t>
            </w:r>
            <w:r>
              <w:t>GB/T4754-2017</w:t>
            </w:r>
            <w:r>
              <w:rPr>
                <w:rFonts w:hint="eastAsia"/>
              </w:rPr>
              <w:t>)</w:t>
            </w:r>
            <w:r>
              <w:t>，主导行业涉及国民经济类别主要包括C29、C304、C33、C34、C35、</w:t>
            </w:r>
            <w:r>
              <w:rPr>
                <w:b/>
              </w:rPr>
              <w:t>C36</w:t>
            </w:r>
            <w:r>
              <w:t>、C38、C39、C40；禁止新建含电镀工艺、冶炼工艺、电解铝的项目，现有生产能力一定期限内搬迁；包装印刷业禁止使用不符合环保要求的油墨、</w:t>
            </w:r>
            <w:r>
              <w:rPr>
                <w:shd w:val="clear" w:fill="FFFFFF"/>
              </w:rPr>
              <w:t>胶粘剂</w:t>
            </w:r>
            <w:r>
              <w:t>。</w:t>
            </w:r>
          </w:p>
          <w:p w14:paraId="1AE90BB1">
            <w:pPr>
              <w:ind w:firstLine="480"/>
            </w:pPr>
            <w:r>
              <w:rPr>
                <w:rFonts w:hint="eastAsia"/>
              </w:rPr>
              <w:t>项目属于</w:t>
            </w:r>
            <w:r>
              <w:t>C</w:t>
            </w:r>
            <w:r>
              <w:rPr>
                <w:rFonts w:hint="eastAsia"/>
              </w:rPr>
              <w:t>3670汽车零部件及配件制造</w:t>
            </w:r>
            <w:r>
              <w:t>，属于规划区主导行业</w:t>
            </w:r>
            <w:r>
              <w:rPr>
                <w:rFonts w:hint="eastAsia"/>
              </w:rPr>
              <w:t>C36</w:t>
            </w:r>
            <w:r>
              <w:t>。因此，</w:t>
            </w:r>
            <w:r>
              <w:rPr>
                <w:rFonts w:hint="eastAsia"/>
              </w:rPr>
              <w:t>项目符合开发区对主导产业发展方向的定位要求</w:t>
            </w:r>
            <w:r>
              <w:t>。</w:t>
            </w:r>
          </w:p>
          <w:p w14:paraId="79724AC2">
            <w:pPr>
              <w:ind w:firstLine="480"/>
              <w:rPr>
                <w:lang w:val="en-GB"/>
              </w:rPr>
            </w:pPr>
            <w:r>
              <w:t>对照《福清融侨经济技术开发区总体规划环境影响报告书</w:t>
            </w:r>
            <w:r>
              <w:rPr>
                <w:rFonts w:hint="eastAsia"/>
              </w:rPr>
              <w:t>(</w:t>
            </w:r>
            <w:r>
              <w:t>2018</w:t>
            </w:r>
            <w:r>
              <w:rPr>
                <w:shd w:val="clear" w:fill="FFFFFF"/>
              </w:rPr>
              <w:t>-</w:t>
            </w:r>
            <w:r>
              <w:t>2035年</w:t>
            </w:r>
            <w:r>
              <w:rPr>
                <w:rFonts w:hint="eastAsia"/>
              </w:rPr>
              <w:t>)</w:t>
            </w:r>
            <w:r>
              <w:t>》中配套及其他行业环境准</w:t>
            </w:r>
            <w:r>
              <w:rPr>
                <w:lang w:val="en-GB"/>
              </w:rPr>
              <w:t>入要求及其审查小组意见，</w:t>
            </w:r>
            <w:r>
              <w:rPr>
                <w:rFonts w:hint="eastAsia"/>
                <w:lang w:val="en-GB"/>
              </w:rPr>
              <w:t>项目</w:t>
            </w:r>
            <w:r>
              <w:rPr>
                <w:lang w:val="en-GB"/>
              </w:rPr>
              <w:t>与规划区主导产业环境准入清单及环评审查意见符合性分析详见表</w:t>
            </w:r>
            <w:r>
              <w:rPr>
                <w:rFonts w:hint="eastAsia"/>
              </w:rPr>
              <w:t>1.2-1</w:t>
            </w:r>
            <w:r>
              <w:t>。</w:t>
            </w:r>
          </w:p>
          <w:p w14:paraId="30AADCEE">
            <w:pPr>
              <w:pStyle w:val="92"/>
              <w:spacing w:before="120"/>
            </w:pPr>
            <w:r>
              <w:t>表</w:t>
            </w:r>
            <w:r>
              <w:rPr>
                <w:rFonts w:hint="eastAsia"/>
              </w:rPr>
              <w:t>1.2-1</w:t>
            </w:r>
            <w:r>
              <w:t xml:space="preserve">  规划区主导产业环境准入清单及环评审查意见对照一览表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42"/>
              <w:gridCol w:w="3042"/>
              <w:gridCol w:w="3582"/>
              <w:gridCol w:w="488"/>
            </w:tblGrid>
            <w:tr w14:paraId="5A3517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0" w:type="auto"/>
                  <w:vAlign w:val="center"/>
                </w:tcPr>
                <w:p w14:paraId="25EA5208">
                  <w:pPr>
                    <w:pStyle w:val="41"/>
                  </w:pPr>
                  <w:r>
                    <w:t>类别名称</w:t>
                  </w:r>
                </w:p>
              </w:tc>
              <w:tc>
                <w:tcPr>
                  <w:tcW w:w="0" w:type="auto"/>
                  <w:vAlign w:val="center"/>
                </w:tcPr>
                <w:p w14:paraId="2959BFE5">
                  <w:pPr>
                    <w:pStyle w:val="41"/>
                  </w:pPr>
                  <w:r>
                    <w:t>空间布局约束</w:t>
                  </w:r>
                </w:p>
              </w:tc>
              <w:tc>
                <w:tcPr>
                  <w:tcW w:w="0" w:type="auto"/>
                  <w:vAlign w:val="center"/>
                </w:tcPr>
                <w:p w14:paraId="73237680">
                  <w:pPr>
                    <w:pStyle w:val="41"/>
                  </w:pPr>
                  <w:r>
                    <w:rPr>
                      <w:rFonts w:hint="eastAsia"/>
                    </w:rPr>
                    <w:t>项目</w:t>
                  </w:r>
                  <w:r>
                    <w:t>情况</w:t>
                  </w:r>
                </w:p>
              </w:tc>
              <w:tc>
                <w:tcPr>
                  <w:tcW w:w="0" w:type="auto"/>
                  <w:vAlign w:val="center"/>
                </w:tcPr>
                <w:p w14:paraId="32860330">
                  <w:pPr>
                    <w:pStyle w:val="41"/>
                  </w:pPr>
                  <w:r>
                    <w:t>符合性</w:t>
                  </w:r>
                </w:p>
              </w:tc>
            </w:tr>
            <w:tr w14:paraId="4E13FAF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0" w:type="auto"/>
                  <w:vAlign w:val="center"/>
                </w:tcPr>
                <w:p w14:paraId="41D2E217">
                  <w:pPr>
                    <w:pStyle w:val="41"/>
                  </w:pPr>
                  <w:r>
                    <w:t>产业导向</w:t>
                  </w:r>
                </w:p>
              </w:tc>
              <w:tc>
                <w:tcPr>
                  <w:tcW w:w="0" w:type="auto"/>
                  <w:vAlign w:val="center"/>
                </w:tcPr>
                <w:p w14:paraId="5238515D">
                  <w:pPr>
                    <w:pStyle w:val="41"/>
                  </w:pPr>
                  <w:r>
                    <w:t>1、符合国家及地方产业政策；</w:t>
                  </w:r>
                </w:p>
                <w:p w14:paraId="559641CA">
                  <w:pPr>
                    <w:pStyle w:val="41"/>
                  </w:pPr>
                  <w:r>
                    <w:t>2、符合所属行业有关发展规划</w:t>
                  </w:r>
                </w:p>
              </w:tc>
              <w:tc>
                <w:tcPr>
                  <w:tcW w:w="0" w:type="auto"/>
                  <w:vAlign w:val="center"/>
                </w:tcPr>
                <w:p w14:paraId="0066B688">
                  <w:pPr>
                    <w:pStyle w:val="41"/>
                  </w:pPr>
                  <w:r>
                    <w:rPr>
                      <w:rFonts w:hint="eastAsia"/>
                    </w:rPr>
                    <w:t>项目</w:t>
                  </w:r>
                  <w:r>
                    <w:t>符合国家及地方产业政策、所属行业有关发展规划，已获得</w:t>
                  </w:r>
                  <w:r>
                    <w:rPr>
                      <w:rFonts w:hint="eastAsia"/>
                    </w:rPr>
                    <w:t>福清市发展和改革局备案（闽发改备</w:t>
                  </w:r>
                  <w:r>
                    <w:rPr>
                      <w:rFonts w:hint="eastAsia"/>
                      <w:shd w:val="clear" w:fill="FFFFFF"/>
                    </w:rPr>
                    <w:t>[2025]</w:t>
                  </w:r>
                  <w:r>
                    <w:rPr>
                      <w:rFonts w:hint="eastAsia"/>
                    </w:rPr>
                    <w:t>A060143号）</w:t>
                  </w:r>
                </w:p>
              </w:tc>
              <w:tc>
                <w:tcPr>
                  <w:tcW w:w="0" w:type="auto"/>
                  <w:vAlign w:val="center"/>
                </w:tcPr>
                <w:p w14:paraId="7F753234">
                  <w:pPr>
                    <w:pStyle w:val="41"/>
                  </w:pPr>
                  <w:r>
                    <w:t>符合</w:t>
                  </w:r>
                </w:p>
              </w:tc>
            </w:tr>
            <w:tr w14:paraId="0A8E3D2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0" w:type="auto"/>
                  <w:vAlign w:val="center"/>
                </w:tcPr>
                <w:p w14:paraId="6F8EAFC3">
                  <w:pPr>
                    <w:pStyle w:val="41"/>
                  </w:pPr>
                  <w:r>
                    <w:t>规划选址</w:t>
                  </w:r>
                </w:p>
              </w:tc>
              <w:tc>
                <w:tcPr>
                  <w:tcW w:w="0" w:type="auto"/>
                  <w:vAlign w:val="center"/>
                </w:tcPr>
                <w:p w14:paraId="4FF9BF3B">
                  <w:pPr>
                    <w:pStyle w:val="41"/>
                  </w:pPr>
                  <w:r>
                    <w:t>选址符合规划区范围内各单元控制性详细规划</w:t>
                  </w:r>
                </w:p>
              </w:tc>
              <w:tc>
                <w:tcPr>
                  <w:tcW w:w="0" w:type="auto"/>
                  <w:vAlign w:val="center"/>
                </w:tcPr>
                <w:p w14:paraId="3B2A09C9">
                  <w:pPr>
                    <w:pStyle w:val="41"/>
                  </w:pPr>
                  <w:r>
                    <w:rPr>
                      <w:rFonts w:hint="eastAsia"/>
                    </w:rPr>
                    <w:t>项目</w:t>
                  </w:r>
                  <w:r>
                    <w:t>位于</w:t>
                  </w:r>
                  <w:r>
                    <w:rPr>
                      <w:rFonts w:hint="eastAsia"/>
                    </w:rPr>
                    <w:t>福州市福清市音西街道西楼村</w:t>
                  </w:r>
                  <w:r>
                    <w:t>，租赁</w:t>
                  </w:r>
                  <w:r>
                    <w:rPr>
                      <w:rFonts w:hint="eastAsia"/>
                    </w:rPr>
                    <w:t>福建三锋汽配开发有限公司</w:t>
                  </w:r>
                  <w:r>
                    <w:t>车间</w:t>
                  </w:r>
                  <w:r>
                    <w:rPr>
                      <w:rFonts w:hint="eastAsia"/>
                    </w:rPr>
                    <w:t>二</w:t>
                  </w:r>
                  <w:r>
                    <w:t>，</w:t>
                  </w:r>
                  <w:r>
                    <w:rPr>
                      <w:rFonts w:hint="eastAsia"/>
                    </w:rPr>
                    <w:t>根据出租方产权证，用地属于工业用地，</w:t>
                  </w:r>
                  <w:r>
                    <w:t>符合福清融侨经济技术开发区的用地规划</w:t>
                  </w:r>
                </w:p>
              </w:tc>
              <w:tc>
                <w:tcPr>
                  <w:tcW w:w="0" w:type="auto"/>
                  <w:vAlign w:val="center"/>
                </w:tcPr>
                <w:p w14:paraId="56C62535">
                  <w:pPr>
                    <w:pStyle w:val="41"/>
                  </w:pPr>
                  <w:r>
                    <w:t>符合</w:t>
                  </w:r>
                </w:p>
              </w:tc>
            </w:tr>
            <w:tr w14:paraId="7D189FB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0" w:type="auto"/>
                  <w:vAlign w:val="center"/>
                </w:tcPr>
                <w:p w14:paraId="0DCC7495">
                  <w:pPr>
                    <w:pStyle w:val="41"/>
                  </w:pPr>
                  <w:r>
                    <w:t>清洁生产</w:t>
                  </w:r>
                </w:p>
              </w:tc>
              <w:tc>
                <w:tcPr>
                  <w:tcW w:w="0" w:type="auto"/>
                  <w:vAlign w:val="center"/>
                </w:tcPr>
                <w:p w14:paraId="77A13E2F">
                  <w:pPr>
                    <w:pStyle w:val="41"/>
                  </w:pPr>
                  <w:r>
                    <w:t>入区项目生产工艺、装备技术水平等应达到国内同行业领先水平；水耗、能耗指标应设定在清洁生产一级水平</w:t>
                  </w:r>
                  <w:r>
                    <w:rPr>
                      <w:rFonts w:hint="eastAsia"/>
                    </w:rPr>
                    <w:t>(</w:t>
                  </w:r>
                  <w:r>
                    <w:t>国际先进水平</w:t>
                  </w:r>
                  <w:r>
                    <w:rPr>
                      <w:rFonts w:hint="eastAsia"/>
                    </w:rPr>
                    <w:t>)</w:t>
                  </w:r>
                  <w:r>
                    <w:t>或二级水平</w:t>
                  </w:r>
                  <w:r>
                    <w:rPr>
                      <w:rFonts w:hint="eastAsia"/>
                    </w:rPr>
                    <w:t>(</w:t>
                  </w:r>
                  <w:r>
                    <w:t>国内先进水平</w:t>
                  </w:r>
                  <w:r>
                    <w:rPr>
                      <w:rFonts w:hint="eastAsia"/>
                    </w:rPr>
                    <w:t>)</w:t>
                  </w:r>
                </w:p>
              </w:tc>
              <w:tc>
                <w:tcPr>
                  <w:tcW w:w="0" w:type="auto"/>
                  <w:vAlign w:val="center"/>
                </w:tcPr>
                <w:p w14:paraId="7FDB8AE7">
                  <w:pPr>
                    <w:pStyle w:val="41"/>
                  </w:pPr>
                  <w:r>
                    <w:rPr>
                      <w:rFonts w:hint="eastAsia"/>
                    </w:rPr>
                    <w:t>项目</w:t>
                  </w:r>
                  <w:r>
                    <w:t>所采用的生产工艺、装备技术可达国内先进水平；水耗、能耗指标可达国内先进水平</w:t>
                  </w:r>
                </w:p>
              </w:tc>
              <w:tc>
                <w:tcPr>
                  <w:tcW w:w="0" w:type="auto"/>
                  <w:vAlign w:val="center"/>
                </w:tcPr>
                <w:p w14:paraId="246CCD9C">
                  <w:pPr>
                    <w:pStyle w:val="41"/>
                  </w:pPr>
                  <w:r>
                    <w:t>符合</w:t>
                  </w:r>
                </w:p>
              </w:tc>
            </w:tr>
            <w:tr w14:paraId="0E6660E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0" w:type="auto"/>
                  <w:vAlign w:val="center"/>
                </w:tcPr>
                <w:p w14:paraId="34B49C68">
                  <w:pPr>
                    <w:pStyle w:val="41"/>
                  </w:pPr>
                  <w:r>
                    <w:t>环境保护</w:t>
                  </w:r>
                </w:p>
              </w:tc>
              <w:tc>
                <w:tcPr>
                  <w:tcW w:w="0" w:type="auto"/>
                  <w:vAlign w:val="center"/>
                </w:tcPr>
                <w:p w14:paraId="0FE102BF">
                  <w:pPr>
                    <w:pStyle w:val="41"/>
                  </w:pPr>
                  <w:r>
                    <w:rPr>
                      <w:rFonts w:hint="eastAsia"/>
                    </w:rPr>
                    <w:t>1、</w:t>
                  </w:r>
                  <w:r>
                    <w:t>符合行业环境准入要求。</w:t>
                  </w:r>
                </w:p>
                <w:p w14:paraId="46331F5F">
                  <w:pPr>
                    <w:pStyle w:val="41"/>
                  </w:pPr>
                  <w:r>
                    <w:t>2、建设项目排放污染物符合国家、省规定的污染物排放标准。</w:t>
                  </w:r>
                </w:p>
                <w:p w14:paraId="32474C04">
                  <w:pPr>
                    <w:pStyle w:val="41"/>
                  </w:pPr>
                  <w:r>
                    <w:t>3、建设项目新增主要污染物排放量符合总量控制和污染物减排要求。</w:t>
                  </w:r>
                </w:p>
                <w:p w14:paraId="743BFA62">
                  <w:pPr>
                    <w:pStyle w:val="41"/>
                  </w:pPr>
                  <w:r>
                    <w:t>4、废水集中纳管排放。</w:t>
                  </w:r>
                </w:p>
                <w:p w14:paraId="3C018600">
                  <w:pPr>
                    <w:pStyle w:val="41"/>
                  </w:pPr>
                  <w:r>
                    <w:t>5、实施技改项目的企业近三年未发生重大污染事故，未发生因环境污染引起的群体事件</w:t>
                  </w:r>
                </w:p>
              </w:tc>
              <w:tc>
                <w:tcPr>
                  <w:tcW w:w="0" w:type="auto"/>
                  <w:vAlign w:val="center"/>
                </w:tcPr>
                <w:p w14:paraId="217E8658">
                  <w:pPr>
                    <w:pStyle w:val="41"/>
                  </w:pPr>
                  <w:r>
                    <w:t>1、</w:t>
                  </w:r>
                  <w:r>
                    <w:rPr>
                      <w:rFonts w:hint="eastAsia"/>
                    </w:rPr>
                    <w:t>项目属于</w:t>
                  </w:r>
                  <w:r>
                    <w:rPr>
                      <w:bCs/>
                    </w:rPr>
                    <w:t>C</w:t>
                  </w:r>
                  <w:r>
                    <w:rPr>
                      <w:rFonts w:hint="eastAsia"/>
                      <w:bCs/>
                    </w:rPr>
                    <w:t>3670</w:t>
                  </w:r>
                  <w:r>
                    <w:rPr>
                      <w:rFonts w:hint="eastAsia"/>
                    </w:rPr>
                    <w:t>汽车零部件及配件制造</w:t>
                  </w:r>
                  <w:r>
                    <w:t>，属于规划区主导行业</w:t>
                  </w:r>
                  <w:r>
                    <w:rPr>
                      <w:rFonts w:hint="eastAsia"/>
                    </w:rPr>
                    <w:t>C36</w:t>
                  </w:r>
                  <w:r>
                    <w:t>。</w:t>
                  </w:r>
                </w:p>
                <w:p w14:paraId="0DF4975E">
                  <w:pPr>
                    <w:pStyle w:val="41"/>
                  </w:pPr>
                  <w:r>
                    <w:t>2、经预测分析，</w:t>
                  </w:r>
                  <w:r>
                    <w:rPr>
                      <w:rFonts w:hint="eastAsia"/>
                    </w:rPr>
                    <w:t>项目</w:t>
                  </w:r>
                  <w:r>
                    <w:t>各污染物经收集处理后可达标排放；</w:t>
                  </w:r>
                </w:p>
                <w:p w14:paraId="7B5FA9DE">
                  <w:pPr>
                    <w:pStyle w:val="41"/>
                  </w:pPr>
                  <w:r>
                    <w:t>3、</w:t>
                  </w:r>
                  <w:r>
                    <w:rPr>
                      <w:rFonts w:hint="eastAsia"/>
                    </w:rPr>
                    <w:t>项目</w:t>
                  </w:r>
                  <w:r>
                    <w:t>主要新增污染物为VOCs和颗粒物，VOCs排放</w:t>
                  </w:r>
                  <w:r>
                    <w:rPr>
                      <w:rFonts w:hint="eastAsia"/>
                    </w:rPr>
                    <w:t>根据相关政策</w:t>
                  </w:r>
                  <w:r>
                    <w:t>实行倍量替代</w:t>
                  </w:r>
                  <w:r>
                    <w:rPr>
                      <w:rFonts w:hint="eastAsia"/>
                    </w:rPr>
                    <w:t>；</w:t>
                  </w:r>
                </w:p>
                <w:p w14:paraId="200496BF">
                  <w:pPr>
                    <w:pStyle w:val="41"/>
                  </w:pPr>
                  <w:r>
                    <w:t>4、</w:t>
                  </w:r>
                  <w:r>
                    <w:rPr>
                      <w:rFonts w:hint="eastAsia"/>
                    </w:rPr>
                    <w:t>项目不排放生产废水，</w:t>
                  </w:r>
                  <w:r>
                    <w:t>生活污水通过厂区污水总排口纳入市政污水管网</w:t>
                  </w:r>
                </w:p>
              </w:tc>
              <w:tc>
                <w:tcPr>
                  <w:tcW w:w="0" w:type="auto"/>
                  <w:vAlign w:val="center"/>
                </w:tcPr>
                <w:p w14:paraId="6B17E2D8">
                  <w:pPr>
                    <w:pStyle w:val="41"/>
                  </w:pPr>
                  <w:r>
                    <w:t>符合</w:t>
                  </w:r>
                </w:p>
              </w:tc>
            </w:tr>
            <w:tr w14:paraId="1AA4C70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0" w:type="auto"/>
                  <w:vAlign w:val="center"/>
                </w:tcPr>
                <w:p w14:paraId="08A0F94E">
                  <w:pPr>
                    <w:pStyle w:val="41"/>
                  </w:pPr>
                  <w:r>
                    <w:t>空间布局约束</w:t>
                  </w:r>
                </w:p>
              </w:tc>
              <w:tc>
                <w:tcPr>
                  <w:tcW w:w="0" w:type="auto"/>
                  <w:vAlign w:val="center"/>
                </w:tcPr>
                <w:p w14:paraId="2288E853">
                  <w:pPr>
                    <w:pStyle w:val="41"/>
                  </w:pPr>
                  <w:r>
                    <w:t>C36汽车制造业禁止新建：</w:t>
                  </w:r>
                </w:p>
                <w:p w14:paraId="79457A76">
                  <w:pPr>
                    <w:pStyle w:val="41"/>
                  </w:pPr>
                  <w:r>
                    <w:t>1、使用有机涂层的</w:t>
                  </w:r>
                  <w:r>
                    <w:rPr>
                      <w:rFonts w:hint="eastAsia"/>
                    </w:rPr>
                    <w:t>(</w:t>
                  </w:r>
                  <w:r>
                    <w:t>喷塑、电泳及高端项目配套除外</w:t>
                  </w:r>
                  <w:r>
                    <w:rPr>
                      <w:rFonts w:hint="eastAsia"/>
                    </w:rPr>
                    <w:t>)</w:t>
                  </w:r>
                  <w:r>
                    <w:t>；</w:t>
                  </w:r>
                </w:p>
                <w:p w14:paraId="7977F78D">
                  <w:pPr>
                    <w:pStyle w:val="41"/>
                  </w:pPr>
                  <w:r>
                    <w:t>2、涉及熔炼、电镀工艺；</w:t>
                  </w:r>
                </w:p>
                <w:p w14:paraId="0A60D1A4">
                  <w:pPr>
                    <w:pStyle w:val="41"/>
                  </w:pPr>
                  <w:r>
                    <w:t>3、涉及钝化工艺的热镀锌；</w:t>
                  </w:r>
                </w:p>
                <w:p w14:paraId="3F5725F8">
                  <w:pPr>
                    <w:pStyle w:val="41"/>
                  </w:pPr>
                  <w:r>
                    <w:t>4、油性漆使用量超过10t/a喷漆工艺；</w:t>
                  </w:r>
                </w:p>
                <w:p w14:paraId="0D586713">
                  <w:pPr>
                    <w:pStyle w:val="41"/>
                  </w:pPr>
                  <w:r>
                    <w:t>5、使用火焰法除旧漆，使用干喷砂除锈；</w:t>
                  </w:r>
                </w:p>
                <w:p w14:paraId="1376FE6D">
                  <w:pPr>
                    <w:pStyle w:val="41"/>
                  </w:pPr>
                  <w:r>
                    <w:t>6、采用煤、油、生物质等非清洁能源；</w:t>
                  </w:r>
                </w:p>
                <w:p w14:paraId="570B49C1">
                  <w:pPr>
                    <w:pStyle w:val="41"/>
                  </w:pPr>
                  <w:r>
                    <w:t>7、铅酸蓄电池制造；</w:t>
                  </w:r>
                </w:p>
                <w:p w14:paraId="671946C1">
                  <w:pPr>
                    <w:pStyle w:val="41"/>
                  </w:pPr>
                  <w:r>
                    <w:t>8、印刷电路板</w:t>
                  </w:r>
                  <w:r>
                    <w:rPr>
                      <w:rFonts w:hint="eastAsia"/>
                    </w:rPr>
                    <w:t>(</w:t>
                  </w:r>
                  <w:r>
                    <w:t>高密度印刷电路板和柔性电路板除外</w:t>
                  </w:r>
                  <w:r>
                    <w:rPr>
                      <w:rFonts w:hint="eastAsia"/>
                    </w:rPr>
                    <w:t>)</w:t>
                  </w:r>
                  <w:r>
                    <w:t>现有生产能力允许企业在一定期限内采取措施改造升级</w:t>
                  </w:r>
                </w:p>
              </w:tc>
              <w:tc>
                <w:tcPr>
                  <w:tcW w:w="0" w:type="auto"/>
                  <w:vAlign w:val="center"/>
                </w:tcPr>
                <w:p w14:paraId="4FBC4B8E">
                  <w:pPr>
                    <w:pStyle w:val="41"/>
                  </w:pPr>
                  <w:r>
                    <w:rPr>
                      <w:rFonts w:hint="eastAsia"/>
                    </w:rPr>
                    <w:t>项目仅</w:t>
                  </w:r>
                  <w:r>
                    <w:t>使用电</w:t>
                  </w:r>
                  <w:r>
                    <w:rPr>
                      <w:rFonts w:hint="eastAsia"/>
                    </w:rPr>
                    <w:t>能，</w:t>
                  </w:r>
                  <w:r>
                    <w:t>不涉及左侧所列的禁止新建的</w:t>
                  </w:r>
                  <w:r>
                    <w:rPr>
                      <w:rFonts w:hint="eastAsia"/>
                    </w:rPr>
                    <w:t>工艺和行业</w:t>
                  </w:r>
                </w:p>
              </w:tc>
              <w:tc>
                <w:tcPr>
                  <w:tcW w:w="0" w:type="auto"/>
                  <w:vAlign w:val="center"/>
                </w:tcPr>
                <w:p w14:paraId="05AB6094">
                  <w:pPr>
                    <w:pStyle w:val="41"/>
                  </w:pPr>
                  <w:r>
                    <w:t>符合</w:t>
                  </w:r>
                </w:p>
              </w:tc>
            </w:tr>
            <w:tr w14:paraId="3DD4923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0" w:type="auto"/>
                  <w:vAlign w:val="center"/>
                </w:tcPr>
                <w:p w14:paraId="3E738F3D">
                  <w:pPr>
                    <w:pStyle w:val="41"/>
                  </w:pPr>
                  <w:r>
                    <w:t>污染物排放管控</w:t>
                  </w:r>
                </w:p>
              </w:tc>
              <w:tc>
                <w:tcPr>
                  <w:tcW w:w="0" w:type="auto"/>
                  <w:vAlign w:val="center"/>
                </w:tcPr>
                <w:p w14:paraId="724AE622">
                  <w:pPr>
                    <w:pStyle w:val="41"/>
                  </w:pPr>
                  <w:r>
                    <w:t>1、新、改、扩建项目新增大气污染物</w:t>
                  </w:r>
                  <w:r>
                    <w:rPr>
                      <w:rFonts w:hint="eastAsia"/>
                    </w:rPr>
                    <w:t>(</w:t>
                  </w:r>
                  <w:r>
                    <w:t>现阶段指SO</w:t>
                  </w:r>
                  <w:r>
                    <w:rPr>
                      <w:vertAlign w:val="subscript"/>
                    </w:rPr>
                    <w:t>2</w:t>
                  </w:r>
                  <w:r>
                    <w:t>、NOx</w:t>
                  </w:r>
                  <w:r>
                    <w:rPr>
                      <w:rFonts w:hint="eastAsia"/>
                    </w:rPr>
                    <w:t>)</w:t>
                  </w:r>
                  <w:r>
                    <w:t>排放量实行1.5倍削减替代</w:t>
                  </w:r>
                  <w:r>
                    <w:rPr>
                      <w:rFonts w:hint="eastAsia"/>
                    </w:rPr>
                    <w:t>(</w:t>
                  </w:r>
                  <w:r>
                    <w:t>不含使用天然气、液化石油气等作为燃料的非火电锅炉和工业炉窑</w:t>
                  </w:r>
                  <w:r>
                    <w:rPr>
                      <w:rFonts w:hint="eastAsia"/>
                    </w:rPr>
                    <w:t>)</w:t>
                  </w:r>
                  <w:r>
                    <w:t>。</w:t>
                  </w:r>
                </w:p>
                <w:p w14:paraId="3E6B916D">
                  <w:pPr>
                    <w:pStyle w:val="41"/>
                  </w:pPr>
                  <w:r>
                    <w:t>2、新、改、扩建项目新增VOCs排放量实行倍量削减替代。</w:t>
                  </w:r>
                </w:p>
                <w:p w14:paraId="3FB6CBCE">
                  <w:pPr>
                    <w:pStyle w:val="41"/>
                  </w:pPr>
                  <w:r>
                    <w:t>3、工业企业废水全部纳管进入</w:t>
                  </w:r>
                  <w:r>
                    <w:rPr>
                      <w:rFonts w:hint="eastAsia"/>
                      <w:shd w:val="clear" w:fill="FFFFFF"/>
                      <w:lang w:eastAsia="zh-CN"/>
                    </w:rPr>
                    <w:t>污水处理厂</w:t>
                  </w:r>
                  <w:r>
                    <w:t>集中处理后达标排放</w:t>
                  </w:r>
                </w:p>
              </w:tc>
              <w:tc>
                <w:tcPr>
                  <w:tcW w:w="0" w:type="auto"/>
                  <w:vAlign w:val="center"/>
                </w:tcPr>
                <w:p w14:paraId="62B56311">
                  <w:pPr>
                    <w:pStyle w:val="41"/>
                  </w:pPr>
                  <w:r>
                    <w:rPr>
                      <w:rFonts w:hint="eastAsia"/>
                    </w:rPr>
                    <w:t>项目</w:t>
                  </w:r>
                  <w:r>
                    <w:t>主要新增污染物为VOCs和颗粒物，VOCs排放实行倍量替代；</w:t>
                  </w:r>
                </w:p>
                <w:p w14:paraId="63A67D15">
                  <w:pPr>
                    <w:pStyle w:val="41"/>
                    <w:jc w:val="both"/>
                  </w:pPr>
                  <w:r>
                    <w:rPr>
                      <w:rFonts w:hint="eastAsia"/>
                    </w:rPr>
                    <w:t>项目</w:t>
                  </w:r>
                  <w:r>
                    <w:t>无生产废水外排，生活污水全部纳管进入福清市融元污水处理厂集中处理后达标排放</w:t>
                  </w:r>
                  <w:r>
                    <w:rPr>
                      <w:rFonts w:hint="eastAsia"/>
                    </w:rPr>
                    <w:t>。</w:t>
                  </w:r>
                </w:p>
              </w:tc>
              <w:tc>
                <w:tcPr>
                  <w:tcW w:w="0" w:type="auto"/>
                  <w:vAlign w:val="center"/>
                </w:tcPr>
                <w:p w14:paraId="05197CC7">
                  <w:pPr>
                    <w:pStyle w:val="41"/>
                  </w:pPr>
                  <w:r>
                    <w:t>符合</w:t>
                  </w:r>
                </w:p>
              </w:tc>
            </w:tr>
            <w:tr w14:paraId="378AB6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0" w:type="auto"/>
                  <w:vAlign w:val="center"/>
                </w:tcPr>
                <w:p w14:paraId="1EFA4377">
                  <w:pPr>
                    <w:pStyle w:val="41"/>
                  </w:pPr>
                  <w:r>
                    <w:t>资源环境效率管控</w:t>
                  </w:r>
                </w:p>
              </w:tc>
              <w:tc>
                <w:tcPr>
                  <w:tcW w:w="0" w:type="auto"/>
                  <w:vAlign w:val="center"/>
                </w:tcPr>
                <w:p w14:paraId="01FAECE6">
                  <w:pPr>
                    <w:pStyle w:val="41"/>
                  </w:pPr>
                  <w:r>
                    <w:t>1、能耗不超过0.12吨标煤/万元工业增加值；</w:t>
                  </w:r>
                </w:p>
                <w:p w14:paraId="125EDDAB">
                  <w:pPr>
                    <w:pStyle w:val="41"/>
                  </w:pPr>
                  <w:r>
                    <w:t>2、水耗不超过7.53t/万元工业增加值；</w:t>
                  </w:r>
                </w:p>
                <w:p w14:paraId="5C6A9FBF">
                  <w:pPr>
                    <w:pStyle w:val="41"/>
                  </w:pPr>
                  <w:r>
                    <w:t>3、污水排放量不超过6.40t/万元工业增加值；</w:t>
                  </w:r>
                </w:p>
                <w:p w14:paraId="017F3CD4">
                  <w:pPr>
                    <w:pStyle w:val="41"/>
                  </w:pPr>
                  <w:r>
                    <w:t>4、VOCs排放量不超过0.20kg/万元工业增加值</w:t>
                  </w:r>
                </w:p>
              </w:tc>
              <w:tc>
                <w:tcPr>
                  <w:tcW w:w="0" w:type="auto"/>
                  <w:vAlign w:val="center"/>
                </w:tcPr>
                <w:p w14:paraId="094D4DB6">
                  <w:pPr>
                    <w:pStyle w:val="41"/>
                  </w:pPr>
                  <w:r>
                    <w:t>经建设单位提供信息，</w:t>
                  </w:r>
                  <w:r>
                    <w:rPr>
                      <w:rFonts w:hint="eastAsia"/>
                    </w:rPr>
                    <w:t>项目</w:t>
                  </w:r>
                  <w:r>
                    <w:t>工业增加值为</w:t>
                  </w:r>
                  <w:r>
                    <w:rPr>
                      <w:rFonts w:hint="eastAsia"/>
                    </w:rPr>
                    <w:t>3100</w:t>
                  </w:r>
                  <w:r>
                    <w:t>万元/年。</w:t>
                  </w:r>
                </w:p>
                <w:p w14:paraId="75AAF789">
                  <w:pPr>
                    <w:pStyle w:val="41"/>
                  </w:pPr>
                  <w:r>
                    <w:t>1、项目</w:t>
                  </w:r>
                  <w:r>
                    <w:rPr>
                      <w:rFonts w:hint="eastAsia"/>
                    </w:rPr>
                    <w:t>新增</w:t>
                  </w:r>
                  <w:r>
                    <w:t>用电量</w:t>
                  </w:r>
                  <w:r>
                    <w:rPr>
                      <w:rFonts w:hint="eastAsia"/>
                    </w:rPr>
                    <w:t>86</w:t>
                  </w:r>
                  <w:r>
                    <w:t>万kW</w:t>
                  </w:r>
                  <w:r>
                    <w:rPr>
                      <w:rFonts w:hint="eastAsia"/>
                    </w:rPr>
                    <w:t>·</w:t>
                  </w:r>
                  <w:r>
                    <w:t>h/a，折合标煤为</w:t>
                  </w:r>
                  <w:r>
                    <w:rPr>
                      <w:rFonts w:hint="eastAsia"/>
                    </w:rPr>
                    <w:t>111.714</w:t>
                  </w:r>
                  <w:r>
                    <w:t>t</w:t>
                  </w:r>
                  <w:r>
                    <w:rPr>
                      <w:rFonts w:hint="eastAsia"/>
                    </w:rPr>
                    <w:t>/a</w:t>
                  </w:r>
                  <w:r>
                    <w:t>，能耗为</w:t>
                  </w:r>
                  <w:r>
                    <w:rPr>
                      <w:rFonts w:hint="eastAsia"/>
                    </w:rPr>
                    <w:t>0.036</w:t>
                  </w:r>
                  <w:r>
                    <w:t>t标煤/万元工业增加值。</w:t>
                  </w:r>
                </w:p>
                <w:p w14:paraId="3AE745DB">
                  <w:pPr>
                    <w:pStyle w:val="41"/>
                  </w:pPr>
                  <w:r>
                    <w:t>2、项目</w:t>
                  </w:r>
                  <w:r>
                    <w:rPr>
                      <w:rFonts w:hint="eastAsia"/>
                    </w:rPr>
                    <w:t>新增</w:t>
                  </w:r>
                  <w:r>
                    <w:t>用水量为</w:t>
                  </w:r>
                  <w:r>
                    <w:rPr>
                      <w:rFonts w:hint="eastAsia"/>
                    </w:rPr>
                    <w:t>17290.3</w:t>
                  </w:r>
                  <w:r>
                    <w:t>t/a，水耗为</w:t>
                  </w:r>
                  <w:r>
                    <w:rPr>
                      <w:rFonts w:hint="eastAsia"/>
                    </w:rPr>
                    <w:t>5.58</w:t>
                  </w:r>
                  <w:r>
                    <w:t>t/万元工业增加值。</w:t>
                  </w:r>
                </w:p>
                <w:p w14:paraId="556FC730">
                  <w:pPr>
                    <w:pStyle w:val="41"/>
                  </w:pPr>
                  <w:r>
                    <w:t>3、项目</w:t>
                  </w:r>
                  <w:r>
                    <w:rPr>
                      <w:rFonts w:hint="eastAsia"/>
                    </w:rPr>
                    <w:t>新增</w:t>
                  </w:r>
                  <w:r>
                    <w:t>污水排放量为</w:t>
                  </w:r>
                  <w:r>
                    <w:rPr>
                      <w:rFonts w:hint="eastAsia"/>
                    </w:rPr>
                    <w:t>1044</w:t>
                  </w:r>
                  <w:r>
                    <w:t>t/a，污水排放量</w:t>
                  </w:r>
                  <w:r>
                    <w:rPr>
                      <w:rFonts w:hint="eastAsia"/>
                    </w:rPr>
                    <w:t>0.34</w:t>
                  </w:r>
                  <w:r>
                    <w:t>t/万元工业增加值。</w:t>
                  </w:r>
                </w:p>
                <w:p w14:paraId="3C39541B">
                  <w:pPr>
                    <w:pStyle w:val="41"/>
                  </w:pPr>
                  <w:r>
                    <w:t>4、项目</w:t>
                  </w:r>
                  <w:r>
                    <w:rPr>
                      <w:rFonts w:hint="eastAsia"/>
                    </w:rPr>
                    <w:t>新增</w:t>
                  </w:r>
                  <w:r>
                    <w:t>VOCs排放量0.0082</w:t>
                  </w:r>
                  <w:r>
                    <w:rPr>
                      <w:rFonts w:hint="eastAsia"/>
                    </w:rPr>
                    <w:t>t/a，</w:t>
                  </w:r>
                  <w:r>
                    <w:t>VOCs排放量</w:t>
                  </w:r>
                  <w:r>
                    <w:rPr>
                      <w:rFonts w:hint="eastAsia"/>
                    </w:rPr>
                    <w:t>0.085</w:t>
                  </w:r>
                  <w:r>
                    <w:t>kg/万元工业增加值。</w:t>
                  </w:r>
                </w:p>
              </w:tc>
              <w:tc>
                <w:tcPr>
                  <w:tcW w:w="0" w:type="auto"/>
                  <w:vAlign w:val="center"/>
                </w:tcPr>
                <w:p w14:paraId="7E5C5736">
                  <w:pPr>
                    <w:pStyle w:val="41"/>
                  </w:pPr>
                  <w:r>
                    <w:t>符合</w:t>
                  </w:r>
                </w:p>
              </w:tc>
            </w:tr>
            <w:tr w14:paraId="190F60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0" w:type="auto"/>
                  <w:gridSpan w:val="2"/>
                  <w:vAlign w:val="center"/>
                </w:tcPr>
                <w:p w14:paraId="5F934D1B">
                  <w:pPr>
                    <w:pStyle w:val="41"/>
                  </w:pPr>
                  <w:r>
                    <w:t>关于《福清融侨经济技术开发区总体规划</w:t>
                  </w:r>
                  <w:r>
                    <w:rPr>
                      <w:rFonts w:hint="eastAsia"/>
                    </w:rPr>
                    <w:t>(</w:t>
                  </w:r>
                  <w:r>
                    <w:t>2018</w:t>
                  </w:r>
                  <w:r>
                    <w:rPr>
                      <w:shd w:val="clear" w:fill="FFFFFF"/>
                    </w:rPr>
                    <w:t>-</w:t>
                  </w:r>
                  <w:r>
                    <w:t>2035年</w:t>
                  </w:r>
                  <w:r>
                    <w:rPr>
                      <w:rFonts w:hint="eastAsia"/>
                    </w:rPr>
                    <w:t>)</w:t>
                  </w:r>
                  <w:r>
                    <w:t>环境影响报告书》的审查意见</w:t>
                  </w:r>
                  <w:r>
                    <w:rPr>
                      <w:rFonts w:hint="eastAsia"/>
                    </w:rPr>
                    <w:t>(</w:t>
                  </w:r>
                  <w:r>
                    <w:t>环审</w:t>
                  </w:r>
                  <w:r>
                    <w:rPr>
                      <w:shd w:val="clear" w:fill="FFFFFF"/>
                    </w:rPr>
                    <w:t>[2020]80号</w:t>
                  </w:r>
                  <w:r>
                    <w:rPr>
                      <w:rFonts w:hint="eastAsia"/>
                    </w:rPr>
                    <w:t>)</w:t>
                  </w:r>
                  <w:r>
                    <w:t>摘录</w:t>
                  </w:r>
                </w:p>
              </w:tc>
              <w:tc>
                <w:tcPr>
                  <w:tcW w:w="0" w:type="auto"/>
                  <w:vAlign w:val="center"/>
                </w:tcPr>
                <w:p w14:paraId="3101E9F7">
                  <w:pPr>
                    <w:pStyle w:val="41"/>
                  </w:pPr>
                  <w:r>
                    <w:rPr>
                      <w:rFonts w:hint="eastAsia"/>
                    </w:rPr>
                    <w:t>项目</w:t>
                  </w:r>
                  <w:r>
                    <w:t>情况</w:t>
                  </w:r>
                </w:p>
              </w:tc>
              <w:tc>
                <w:tcPr>
                  <w:tcW w:w="0" w:type="auto"/>
                  <w:vAlign w:val="center"/>
                </w:tcPr>
                <w:p w14:paraId="31796473">
                  <w:pPr>
                    <w:pStyle w:val="41"/>
                  </w:pPr>
                  <w:r>
                    <w:t>符合性</w:t>
                  </w:r>
                </w:p>
              </w:tc>
            </w:tr>
            <w:tr w14:paraId="7E987E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0" w:type="auto"/>
                  <w:tcBorders>
                    <w:right w:val="single" w:color="auto" w:sz="4" w:space="0"/>
                  </w:tcBorders>
                  <w:vAlign w:val="center"/>
                </w:tcPr>
                <w:p w14:paraId="7DFD9375">
                  <w:pPr>
                    <w:pStyle w:val="41"/>
                  </w:pPr>
                  <w:r>
                    <w:t>审查意见</w:t>
                  </w:r>
                </w:p>
              </w:tc>
              <w:tc>
                <w:tcPr>
                  <w:tcW w:w="0" w:type="auto"/>
                  <w:tcBorders>
                    <w:left w:val="single" w:color="auto" w:sz="4" w:space="0"/>
                  </w:tcBorders>
                  <w:vAlign w:val="center"/>
                </w:tcPr>
                <w:p w14:paraId="040EE6F2">
                  <w:pPr>
                    <w:pStyle w:val="41"/>
                  </w:pPr>
                  <w:r>
                    <w:t>严格入区项目生态环境准入：强化现有及入区企业挥发性有机物排放控制，禁止新增排放涉重金属污染</w:t>
                  </w:r>
                  <w:r>
                    <w:rPr>
                      <w:shd w:val="clear" w:fill="FFFFFF"/>
                    </w:rPr>
                    <w:t>物</w:t>
                  </w:r>
                  <w:r>
                    <w:t>项目入区，禁止与主导行业不相关且污染物排放量大的项目入区</w:t>
                  </w:r>
                </w:p>
              </w:tc>
              <w:tc>
                <w:tcPr>
                  <w:tcW w:w="0" w:type="auto"/>
                  <w:vAlign w:val="center"/>
                </w:tcPr>
                <w:p w14:paraId="4ABE73B5">
                  <w:pPr>
                    <w:pStyle w:val="41"/>
                  </w:pPr>
                  <w:r>
                    <w:rPr>
                      <w:rFonts w:hint="eastAsia"/>
                    </w:rPr>
                    <w:t>项目符合</w:t>
                  </w:r>
                  <w:r>
                    <w:t>生态环境准入</w:t>
                  </w:r>
                  <w:r>
                    <w:rPr>
                      <w:rFonts w:hint="eastAsia"/>
                    </w:rPr>
                    <w:t>要求，产生的挥发性有机物经收集治理后</w:t>
                  </w:r>
                  <w:r>
                    <w:rPr>
                      <w:rFonts w:hint="eastAsia"/>
                      <w:shd w:val="clear" w:fill="FFFFFF"/>
                    </w:rPr>
                    <w:t>达标品</w:t>
                  </w:r>
                  <w:r>
                    <w:rPr>
                      <w:rFonts w:hint="eastAsia"/>
                    </w:rPr>
                    <w:t>排放，</w:t>
                  </w:r>
                  <w:r>
                    <w:t>不涉及重金属污染物的产生和排放</w:t>
                  </w:r>
                  <w:r>
                    <w:rPr>
                      <w:rFonts w:hint="eastAsia"/>
                    </w:rPr>
                    <w:t>，项目属于园区主导产业。</w:t>
                  </w:r>
                </w:p>
              </w:tc>
              <w:tc>
                <w:tcPr>
                  <w:tcW w:w="0" w:type="auto"/>
                  <w:vAlign w:val="center"/>
                </w:tcPr>
                <w:p w14:paraId="0769BD86">
                  <w:pPr>
                    <w:pStyle w:val="41"/>
                  </w:pPr>
                  <w:r>
                    <w:t>符合</w:t>
                  </w:r>
                </w:p>
              </w:tc>
            </w:tr>
          </w:tbl>
          <w:p w14:paraId="3B2E06B3">
            <w:pPr>
              <w:spacing w:before="120" w:beforeLines="50"/>
              <w:ind w:firstLine="480"/>
            </w:pPr>
            <w:r>
              <w:t>综上所述，本项目建设符合《福清融侨经济技术开发区总体规划环境影响报告书(2018</w:t>
            </w:r>
            <w:r>
              <w:rPr>
                <w:shd w:val="clear" w:fill="FFFFFF"/>
              </w:rPr>
              <w:t>-</w:t>
            </w:r>
            <w:r>
              <w:t>2035年)》及其审查小组意见中的相关要求。</w:t>
            </w:r>
          </w:p>
        </w:tc>
      </w:tr>
      <w:tr w14:paraId="5A974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5" w:type="pct"/>
            <w:vAlign w:val="center"/>
          </w:tcPr>
          <w:p w14:paraId="496534AA">
            <w:pPr>
              <w:pStyle w:val="41"/>
            </w:pPr>
            <w:r>
              <w:t>其他符合性分析</w:t>
            </w:r>
          </w:p>
        </w:tc>
        <w:tc>
          <w:tcPr>
            <w:tcW w:w="4285" w:type="pct"/>
            <w:gridSpan w:val="3"/>
            <w:vAlign w:val="center"/>
          </w:tcPr>
          <w:p w14:paraId="4AA22AB5">
            <w:pPr>
              <w:spacing w:before="120" w:beforeLines="50"/>
              <w:ind w:firstLine="0" w:firstLineChars="0"/>
              <w:rPr>
                <w:b/>
                <w:bCs/>
              </w:rPr>
            </w:pPr>
            <w:r>
              <w:rPr>
                <w:rFonts w:hint="eastAsia"/>
                <w:b/>
                <w:bCs/>
              </w:rPr>
              <w:t>1.3</w:t>
            </w:r>
            <w:r>
              <w:rPr>
                <w:b/>
                <w:bCs/>
              </w:rPr>
              <w:t>“</w:t>
            </w:r>
            <w:r>
              <w:rPr>
                <w:rFonts w:hint="eastAsia"/>
                <w:b/>
                <w:bCs/>
              </w:rPr>
              <w:t>生态环境分区管控</w:t>
            </w:r>
            <w:r>
              <w:rPr>
                <w:b/>
                <w:bCs/>
              </w:rPr>
              <w:t>”符合性分析</w:t>
            </w:r>
          </w:p>
          <w:p w14:paraId="4A4D507F">
            <w:pPr>
              <w:ind w:firstLine="480"/>
            </w:pPr>
            <w:r>
              <w:t>（1）生态保护红线</w:t>
            </w:r>
          </w:p>
          <w:p w14:paraId="131603D0">
            <w:pPr>
              <w:widowControl/>
              <w:ind w:firstLine="480"/>
              <w:jc w:val="left"/>
            </w:pPr>
            <w:r>
              <w:t>项目位于</w:t>
            </w:r>
            <w:r>
              <w:rPr>
                <w:rFonts w:hint="eastAsia" w:ascii="宋体" w:hAnsi="宋体" w:cs="宋体"/>
                <w:kern w:val="0"/>
                <w:lang w:bidi="ar"/>
              </w:rPr>
              <w:t>福建省福州市福清市音西街道西楼村，</w:t>
            </w:r>
            <w:r>
              <w:t>建设用地不在国家公</w:t>
            </w:r>
            <w:r>
              <w:rPr>
                <w:rFonts w:hint="eastAsia"/>
              </w:rPr>
              <w:t>园、自然保护区、森林公园的生态保育区和核心景观区、风景名胜区的核心景区、地质公园的地质遗迹保护区、世界自然遗产的核心区和缓冲区、湿地公园的湿地保育区和恢复重建区、饮用水水源地的一级保护区、水产种质资源保护区的核心区等</w:t>
            </w:r>
            <w:r>
              <w:t>国家级和省级禁止开发区域内</w:t>
            </w:r>
            <w:r>
              <w:rPr>
                <w:rFonts w:hint="eastAsia"/>
              </w:rPr>
              <w:t>，不涉及生态保护红线。项目用地及周边无《福建省生态保护红线划定成果调整工作方案》中规定的需纳入生态保护红线范围的保护区，本项目建设符合福建省生态保护红线要求。</w:t>
            </w:r>
          </w:p>
          <w:p w14:paraId="4E9CF6B6">
            <w:pPr>
              <w:ind w:firstLine="480"/>
            </w:pPr>
            <w:r>
              <w:t>（2）环境质量底线</w:t>
            </w:r>
          </w:p>
          <w:p w14:paraId="76B18E23">
            <w:pPr>
              <w:ind w:firstLine="480"/>
            </w:pPr>
            <w:r>
              <w:t>项目所在区域的环境质量底线为：大气环境质量目标为《环境空气质量标准》(GB3095-2012)及其修改单中二级标准；</w:t>
            </w:r>
            <w:r>
              <w:rPr>
                <w:rFonts w:hint="eastAsia"/>
              </w:rPr>
              <w:t>水环境目标为《地表水环境质量标准》（GB3838-2002）</w:t>
            </w:r>
            <w:r>
              <w:t>Ⅲ</w:t>
            </w:r>
            <w:r>
              <w:rPr>
                <w:rFonts w:hint="eastAsia"/>
              </w:rPr>
              <w:t>类标准</w:t>
            </w:r>
            <w:r>
              <w:t>；声环境质量目标为《声环境质量标准》(GB3096-2008)</w:t>
            </w:r>
            <w:r>
              <w:rPr>
                <w:rFonts w:hint="eastAsia"/>
              </w:rPr>
              <w:t>2类区</w:t>
            </w:r>
            <w:r>
              <w:t>标准。根据项目所在地环境质量现状调查和污染物排放影响</w:t>
            </w:r>
            <w:r>
              <w:rPr>
                <w:rFonts w:hint="eastAsia"/>
              </w:rPr>
              <w:t>分析</w:t>
            </w:r>
            <w:r>
              <w:t>可知，本项目运营后对区域内环境影响较小，不会对区域环境质量底线造成冲击。</w:t>
            </w:r>
          </w:p>
          <w:p w14:paraId="14A6D5BF">
            <w:pPr>
              <w:ind w:firstLine="480"/>
            </w:pPr>
            <w:r>
              <w:t>（3）资源利用</w:t>
            </w:r>
            <w:r>
              <w:rPr>
                <w:shd w:val="clear" w:fill="FFFFFF"/>
              </w:rPr>
              <w:t>上线</w:t>
            </w:r>
          </w:p>
          <w:p w14:paraId="5F62ABC5">
            <w:pPr>
              <w:ind w:firstLine="480"/>
            </w:pPr>
            <w:r>
              <w:t>项目用水、用电为区域集中供应</w:t>
            </w:r>
            <w:r>
              <w:rPr>
                <w:rFonts w:hint="eastAsia"/>
              </w:rPr>
              <w:t>，</w:t>
            </w:r>
            <w:r>
              <w:t>项目运行过程通过内部管理、设备选择、原辅材料的选用和管理、废物回收利用、污染治理等多方面采取合理可行的防治措施，以“节能、降耗、减污”为目标，有效</w:t>
            </w:r>
            <w:r>
              <w:rPr>
                <w:rFonts w:hint="eastAsia"/>
              </w:rPr>
              <w:t>地</w:t>
            </w:r>
            <w:r>
              <w:t>控制污染。项目的水、</w:t>
            </w:r>
            <w:r>
              <w:rPr>
                <w:rFonts w:hint="eastAsia"/>
              </w:rPr>
              <w:t>电</w:t>
            </w:r>
            <w:r>
              <w:t>等资源利用不会突破区域的资源利用</w:t>
            </w:r>
            <w:r>
              <w:rPr>
                <w:shd w:val="clear" w:fill="FFFFFF"/>
              </w:rPr>
              <w:t>上线</w:t>
            </w:r>
            <w:r>
              <w:t>。</w:t>
            </w:r>
          </w:p>
          <w:p w14:paraId="676484EC">
            <w:pPr>
              <w:ind w:firstLine="480"/>
            </w:pPr>
            <w:r>
              <w:t>（4）生态环境准入清单</w:t>
            </w:r>
          </w:p>
          <w:p w14:paraId="164C4234">
            <w:pPr>
              <w:ind w:firstLine="480"/>
              <w:rPr>
                <w:kern w:val="0"/>
                <w:szCs w:val="21"/>
              </w:rPr>
            </w:pPr>
            <w:r>
              <w:rPr>
                <w:rFonts w:hint="eastAsia"/>
                <w:kern w:val="0"/>
                <w:szCs w:val="21"/>
              </w:rPr>
              <w:t>根据</w:t>
            </w:r>
            <w:r>
              <w:rPr>
                <w:rFonts w:hint="eastAsia"/>
              </w:rPr>
              <w:t>福建省</w:t>
            </w:r>
            <w:r>
              <w:rPr>
                <w:rFonts w:hint="eastAsia"/>
                <w:kern w:val="0"/>
                <w:szCs w:val="21"/>
              </w:rPr>
              <w:t>发展和改革委员会印发的《福建省第一批国家重点生态功能区县（市）产业准入负面清单（试行）》（2018年3月），列入福建省第一批国家重点生态功能区县（市）产业准入负面清单有永泰县、泰宁县、周宁县、柘荣县、永春县、华安县、屏南县、寿宁县、武夷山市等9个县（市）。本项目位于福建省福州市福清市音西街道西楼村，不在《福建省第一批国家重点生态功能区县（市）产业准入负面清单（试行）》所列县市内</w:t>
            </w:r>
            <w:r>
              <w:rPr>
                <w:rFonts w:hint="eastAsia"/>
                <w:kern w:val="0"/>
                <w:szCs w:val="21"/>
                <w:lang w:eastAsia="zh-CN"/>
              </w:rPr>
              <w:t>且</w:t>
            </w:r>
            <w:r>
              <w:rPr>
                <w:rFonts w:hint="eastAsia"/>
                <w:kern w:val="0"/>
                <w:szCs w:val="21"/>
              </w:rPr>
              <w:t>选址不属于环境功能区划需要特别保护的区域。</w:t>
            </w:r>
          </w:p>
          <w:p w14:paraId="06949106">
            <w:pPr>
              <w:widowControl/>
              <w:ind w:firstLine="480"/>
              <w:rPr>
                <w:kern w:val="0"/>
                <w:lang w:val="zh-CN" w:bidi="zh-CN"/>
                <w14:ligatures w14:val="standardContextual"/>
              </w:rPr>
            </w:pPr>
            <w:r>
              <w:rPr>
                <w:kern w:val="0"/>
                <w:lang w:val="zh-CN" w:bidi="zh-CN"/>
                <w14:ligatures w14:val="standardContextual"/>
              </w:rPr>
              <w:t>对照福州市人民政府办公厅关于印发《福州市生态环境分区管控方案（2023年更新）》的通知（榕政办规〔2024〕20号）相关要求分析，本项目所在位置属于福州市陆域区域、福清市生态环境准入清单-</w:t>
            </w:r>
            <w:r>
              <w:rPr>
                <w:kern w:val="0"/>
                <w:lang w:bidi="zh-CN"/>
                <w14:ligatures w14:val="standardContextual"/>
              </w:rPr>
              <w:t>福清市</w:t>
            </w:r>
            <w:r>
              <w:rPr>
                <w:kern w:val="0"/>
                <w:lang w:val="zh-CN" w:bidi="zh-CN"/>
                <w14:ligatures w14:val="standardContextual"/>
              </w:rPr>
              <w:t>重点管控单元</w:t>
            </w:r>
            <w:r>
              <w:rPr>
                <w:rFonts w:hint="eastAsia"/>
                <w:kern w:val="0"/>
                <w:lang w:val="zh-CN" w:bidi="zh-CN"/>
                <w14:ligatures w14:val="standardContextual"/>
              </w:rPr>
              <w:t>1</w:t>
            </w:r>
            <w:r>
              <w:rPr>
                <w:kern w:val="0"/>
                <w:lang w:val="zh-CN" w:bidi="zh-CN"/>
                <w14:ligatures w14:val="standardContextual"/>
              </w:rPr>
              <w:t>-</w:t>
            </w:r>
            <w:r>
              <w:rPr>
                <w:rFonts w:hint="eastAsia"/>
                <w:kern w:val="0"/>
                <w:lang w:bidi="zh-CN"/>
                <w14:ligatures w14:val="standardContextual"/>
              </w:rPr>
              <w:t>ZH35018120008</w:t>
            </w:r>
            <w:r>
              <w:rPr>
                <w:kern w:val="0"/>
                <w:lang w:val="zh-CN" w:bidi="zh-CN"/>
                <w14:ligatures w14:val="standardContextual"/>
              </w:rPr>
              <w:t>（</w:t>
            </w:r>
            <w:r>
              <w:rPr>
                <w:rFonts w:hint="eastAsia"/>
                <w:kern w:val="0"/>
                <w:lang w:val="zh-CN" w:bidi="zh-CN"/>
                <w14:ligatures w14:val="standardContextual"/>
              </w:rPr>
              <w:t>查询报告</w:t>
            </w:r>
            <w:r>
              <w:rPr>
                <w:kern w:val="0"/>
                <w:lang w:val="zh-CN" w:bidi="zh-CN"/>
                <w14:ligatures w14:val="standardContextual"/>
              </w:rPr>
              <w:t>详见附件</w:t>
            </w:r>
            <w:r>
              <w:rPr>
                <w:rFonts w:hint="eastAsia"/>
                <w:kern w:val="0"/>
                <w:lang w:val="zh-CN" w:bidi="zh-CN"/>
                <w14:ligatures w14:val="standardContextual"/>
              </w:rPr>
              <w:t>8</w:t>
            </w:r>
            <w:r>
              <w:rPr>
                <w:kern w:val="0"/>
                <w:lang w:val="zh-CN" w:bidi="zh-CN"/>
                <w14:ligatures w14:val="standardContextual"/>
              </w:rPr>
              <w:t>）。</w:t>
            </w:r>
            <w:r>
              <w:rPr>
                <w:rFonts w:hint="eastAsia"/>
                <w:kern w:val="0"/>
                <w:lang w:val="zh-CN" w:bidi="zh-CN"/>
                <w14:ligatures w14:val="standardContextual"/>
              </w:rPr>
              <w:t>相关符合性分析见下表</w:t>
            </w:r>
            <w:r>
              <w:rPr>
                <w:kern w:val="0"/>
                <w:lang w:val="zh-CN" w:bidi="zh-CN"/>
                <w14:ligatures w14:val="standardContextual"/>
              </w:rPr>
              <w:t>。</w:t>
            </w:r>
          </w:p>
          <w:p w14:paraId="0C8C3547">
            <w:pPr>
              <w:pStyle w:val="92"/>
              <w:spacing w:before="120"/>
              <w:rPr>
                <w:shd w:val="clear" w:color="auto" w:fill="FFFFFF"/>
              </w:rPr>
            </w:pPr>
            <w:r>
              <w:rPr>
                <w:shd w:val="clear" w:color="auto" w:fill="FFFFFF"/>
              </w:rPr>
              <w:t>表</w:t>
            </w:r>
            <w:r>
              <w:rPr>
                <w:rFonts w:hint="eastAsia"/>
                <w:shd w:val="clear" w:color="auto" w:fill="FFFFFF"/>
              </w:rPr>
              <w:t>1.3-1</w:t>
            </w:r>
            <w:r>
              <w:rPr>
                <w:shd w:val="clear" w:color="auto" w:fill="FFFFFF"/>
              </w:rPr>
              <w:t xml:space="preserve">  福州市生态环境准入要求一览表</w:t>
            </w:r>
          </w:p>
          <w:tbl>
            <w:tblPr>
              <w:tblStyle w:val="8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426"/>
              <w:gridCol w:w="4950"/>
              <w:gridCol w:w="1515"/>
              <w:gridCol w:w="427"/>
            </w:tblGrid>
            <w:tr w14:paraId="6CB49B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79E48AB4">
                  <w:pPr>
                    <w:wordWrap w:val="0"/>
                    <w:spacing w:line="240" w:lineRule="auto"/>
                    <w:ind w:firstLine="0" w:firstLineChars="0"/>
                    <w:jc w:val="center"/>
                    <w:rPr>
                      <w:kern w:val="0"/>
                      <w:sz w:val="22"/>
                      <w:szCs w:val="22"/>
                    </w:rPr>
                  </w:pPr>
                  <w:r>
                    <w:rPr>
                      <w:rFonts w:hint="eastAsia"/>
                      <w:kern w:val="0"/>
                      <w:sz w:val="22"/>
                      <w:szCs w:val="22"/>
                      <w:lang w:eastAsia="en-US"/>
                    </w:rPr>
                    <w:t>适用</w:t>
                  </w:r>
                </w:p>
                <w:p w14:paraId="4FAA1825">
                  <w:pPr>
                    <w:wordWrap w:val="0"/>
                    <w:spacing w:line="240" w:lineRule="auto"/>
                    <w:ind w:firstLine="0" w:firstLineChars="0"/>
                    <w:jc w:val="center"/>
                    <w:rPr>
                      <w:rFonts w:ascii="Calibri" w:hAnsi="Calibri" w:eastAsia="Calibri"/>
                      <w:kern w:val="0"/>
                      <w:sz w:val="22"/>
                      <w:szCs w:val="22"/>
                      <w:lang w:eastAsia="en-US"/>
                    </w:rPr>
                  </w:pPr>
                  <w:r>
                    <w:rPr>
                      <w:rFonts w:hint="eastAsia"/>
                      <w:kern w:val="0"/>
                      <w:sz w:val="22"/>
                      <w:szCs w:val="22"/>
                      <w:lang w:eastAsia="en-US"/>
                    </w:rPr>
                    <w:t>范围</w:t>
                  </w:r>
                </w:p>
              </w:tc>
              <w:tc>
                <w:tcPr>
                  <w:tcW w:w="6012" w:type="dxa"/>
                  <w:gridSpan w:val="2"/>
                  <w:vAlign w:val="center"/>
                </w:tcPr>
                <w:p w14:paraId="4B6D2DEA">
                  <w:pPr>
                    <w:pBdr>
                      <w:top w:val="none" w:color="auto" w:sz="0" w:space="1"/>
                      <w:left w:val="none" w:color="auto" w:sz="0" w:space="4"/>
                      <w:bottom w:val="none" w:color="auto" w:sz="0" w:space="1"/>
                      <w:right w:val="none" w:color="auto" w:sz="0" w:space="4"/>
                    </w:pBdr>
                    <w:wordWrap w:val="0"/>
                    <w:topLinePunct/>
                    <w:adjustRightInd w:val="0"/>
                    <w:snapToGrid w:val="0"/>
                    <w:spacing w:line="240" w:lineRule="auto"/>
                    <w:ind w:firstLine="0" w:firstLineChars="0"/>
                    <w:jc w:val="center"/>
                    <w:rPr>
                      <w:b/>
                      <w:kern w:val="0"/>
                      <w:sz w:val="21"/>
                      <w:szCs w:val="21"/>
                      <w:lang w:eastAsia="en-US"/>
                    </w:rPr>
                  </w:pPr>
                  <w:r>
                    <w:rPr>
                      <w:b/>
                      <w:kern w:val="0"/>
                      <w:sz w:val="21"/>
                      <w:szCs w:val="21"/>
                      <w:lang w:eastAsia="en-US"/>
                    </w:rPr>
                    <w:t>准入要求</w:t>
                  </w:r>
                </w:p>
              </w:tc>
              <w:tc>
                <w:tcPr>
                  <w:tcW w:w="1606" w:type="dxa"/>
                  <w:vAlign w:val="center"/>
                </w:tcPr>
                <w:p w14:paraId="3687481E">
                  <w:pPr>
                    <w:pBdr>
                      <w:top w:val="none" w:color="auto" w:sz="0" w:space="1"/>
                      <w:left w:val="none" w:color="auto" w:sz="0" w:space="4"/>
                      <w:bottom w:val="none" w:color="auto" w:sz="0" w:space="1"/>
                      <w:right w:val="none" w:color="auto" w:sz="0" w:space="4"/>
                    </w:pBdr>
                    <w:wordWrap w:val="0"/>
                    <w:topLinePunct/>
                    <w:adjustRightInd w:val="0"/>
                    <w:snapToGrid w:val="0"/>
                    <w:spacing w:line="240" w:lineRule="auto"/>
                    <w:ind w:firstLine="0" w:firstLineChars="0"/>
                    <w:jc w:val="center"/>
                    <w:rPr>
                      <w:b/>
                      <w:kern w:val="0"/>
                      <w:sz w:val="21"/>
                      <w:szCs w:val="21"/>
                      <w:lang w:eastAsia="en-US"/>
                    </w:rPr>
                  </w:pPr>
                  <w:r>
                    <w:rPr>
                      <w:b/>
                      <w:kern w:val="0"/>
                      <w:sz w:val="21"/>
                      <w:szCs w:val="21"/>
                      <w:lang w:eastAsia="en-US"/>
                    </w:rPr>
                    <w:t>本项目情况</w:t>
                  </w:r>
                </w:p>
              </w:tc>
              <w:tc>
                <w:tcPr>
                  <w:tcW w:w="0" w:type="auto"/>
                  <w:vAlign w:val="center"/>
                </w:tcPr>
                <w:p w14:paraId="7EE68621">
                  <w:pPr>
                    <w:pBdr>
                      <w:top w:val="none" w:color="auto" w:sz="0" w:space="1"/>
                      <w:left w:val="none" w:color="auto" w:sz="0" w:space="4"/>
                      <w:bottom w:val="none" w:color="auto" w:sz="0" w:space="1"/>
                      <w:right w:val="none" w:color="auto" w:sz="0" w:space="4"/>
                    </w:pBdr>
                    <w:wordWrap w:val="0"/>
                    <w:topLinePunct/>
                    <w:adjustRightInd w:val="0"/>
                    <w:snapToGrid w:val="0"/>
                    <w:spacing w:line="240" w:lineRule="auto"/>
                    <w:ind w:firstLine="0" w:firstLineChars="0"/>
                    <w:jc w:val="center"/>
                    <w:rPr>
                      <w:b/>
                      <w:kern w:val="0"/>
                      <w:sz w:val="21"/>
                      <w:szCs w:val="21"/>
                      <w:lang w:eastAsia="en-US"/>
                    </w:rPr>
                  </w:pPr>
                  <w:r>
                    <w:rPr>
                      <w:b/>
                      <w:kern w:val="0"/>
                      <w:sz w:val="21"/>
                      <w:szCs w:val="21"/>
                      <w:lang w:eastAsia="en-US"/>
                    </w:rPr>
                    <w:t>符合性</w:t>
                  </w:r>
                </w:p>
              </w:tc>
            </w:tr>
            <w:tr w14:paraId="0C4EB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restart"/>
                  <w:vAlign w:val="center"/>
                </w:tcPr>
                <w:p w14:paraId="67ABF28B">
                  <w:pPr>
                    <w:wordWrap w:val="0"/>
                    <w:spacing w:line="240" w:lineRule="auto"/>
                    <w:ind w:firstLine="0" w:firstLineChars="0"/>
                    <w:jc w:val="center"/>
                    <w:rPr>
                      <w:rFonts w:ascii="Calibri" w:hAnsi="Calibri" w:eastAsia="Calibri"/>
                      <w:kern w:val="0"/>
                      <w:sz w:val="22"/>
                      <w:szCs w:val="22"/>
                      <w:lang w:eastAsia="en-US"/>
                    </w:rPr>
                  </w:pPr>
                  <w:r>
                    <w:rPr>
                      <w:rFonts w:hint="eastAsia"/>
                      <w:kern w:val="0"/>
                      <w:sz w:val="22"/>
                      <w:szCs w:val="22"/>
                      <w:lang w:eastAsia="en-US"/>
                    </w:rPr>
                    <w:t>福州市陆域</w:t>
                  </w:r>
                </w:p>
              </w:tc>
              <w:tc>
                <w:tcPr>
                  <w:tcW w:w="0" w:type="auto"/>
                  <w:vAlign w:val="center"/>
                </w:tcPr>
                <w:p w14:paraId="4A84B5B5">
                  <w:pPr>
                    <w:pBdr>
                      <w:top w:val="none" w:color="auto" w:sz="0" w:space="1"/>
                      <w:left w:val="none" w:color="auto" w:sz="0" w:space="4"/>
                      <w:bottom w:val="none" w:color="auto" w:sz="0" w:space="1"/>
                      <w:right w:val="none" w:color="auto" w:sz="0" w:space="4"/>
                    </w:pBdr>
                    <w:wordWrap w:val="0"/>
                    <w:topLinePunct/>
                    <w:adjustRightInd w:val="0"/>
                    <w:snapToGrid w:val="0"/>
                    <w:spacing w:line="240" w:lineRule="auto"/>
                    <w:ind w:firstLine="0" w:firstLineChars="0"/>
                    <w:jc w:val="center"/>
                    <w:rPr>
                      <w:kern w:val="0"/>
                      <w:sz w:val="21"/>
                      <w:szCs w:val="21"/>
                      <w:lang w:eastAsia="en-US"/>
                    </w:rPr>
                  </w:pPr>
                  <w:r>
                    <w:rPr>
                      <w:kern w:val="0"/>
                      <w:sz w:val="21"/>
                      <w:szCs w:val="21"/>
                      <w:lang w:eastAsia="en-US"/>
                    </w:rPr>
                    <w:t>空间布局约束</w:t>
                  </w:r>
                </w:p>
              </w:tc>
              <w:tc>
                <w:tcPr>
                  <w:tcW w:w="5411" w:type="dxa"/>
                  <w:vAlign w:val="center"/>
                </w:tcPr>
                <w:p w14:paraId="603BBA37">
                  <w:pPr>
                    <w:wordWrap w:val="0"/>
                    <w:topLinePunct/>
                    <w:adjustRightInd w:val="0"/>
                    <w:snapToGrid w:val="0"/>
                    <w:spacing w:line="240" w:lineRule="auto"/>
                    <w:ind w:firstLine="0" w:firstLineChars="0"/>
                    <w:jc w:val="center"/>
                    <w:rPr>
                      <w:kern w:val="0"/>
                      <w:sz w:val="21"/>
                      <w:szCs w:val="21"/>
                    </w:rPr>
                  </w:pPr>
                  <w:r>
                    <w:rPr>
                      <w:kern w:val="0"/>
                      <w:sz w:val="21"/>
                      <w:szCs w:val="21"/>
                    </w:rPr>
                    <w:t>三、</w:t>
                  </w:r>
                  <w:r>
                    <w:rPr>
                      <w:kern w:val="0"/>
                      <w:sz w:val="21"/>
                      <w:szCs w:val="21"/>
                      <w:shd w:val="clear" w:fill="FFFFFF"/>
                    </w:rPr>
                    <w:t>其它</w:t>
                  </w:r>
                  <w:r>
                    <w:rPr>
                      <w:kern w:val="0"/>
                      <w:sz w:val="21"/>
                      <w:szCs w:val="21"/>
                    </w:rPr>
                    <w:t>要求</w:t>
                  </w:r>
                </w:p>
                <w:p w14:paraId="6E63CB89">
                  <w:pPr>
                    <w:wordWrap w:val="0"/>
                    <w:topLinePunct/>
                    <w:adjustRightInd w:val="0"/>
                    <w:snapToGrid w:val="0"/>
                    <w:spacing w:line="240" w:lineRule="auto"/>
                    <w:ind w:firstLine="0" w:firstLineChars="0"/>
                    <w:jc w:val="center"/>
                    <w:rPr>
                      <w:kern w:val="0"/>
                      <w:sz w:val="21"/>
                      <w:szCs w:val="21"/>
                    </w:rPr>
                  </w:pPr>
                  <w:r>
                    <w:rPr>
                      <w:kern w:val="0"/>
                      <w:sz w:val="21"/>
                      <w:szCs w:val="21"/>
                    </w:rPr>
                    <w:t>1.福州市石化中上游项目重点在福州江阴港城经济区、可门港经济区化工新材料产业园布局。</w:t>
                  </w:r>
                </w:p>
                <w:p w14:paraId="058434C5">
                  <w:pPr>
                    <w:wordWrap w:val="0"/>
                    <w:topLinePunct/>
                    <w:adjustRightInd w:val="0"/>
                    <w:snapToGrid w:val="0"/>
                    <w:spacing w:line="240" w:lineRule="auto"/>
                    <w:ind w:firstLine="0" w:firstLineChars="0"/>
                    <w:jc w:val="center"/>
                    <w:rPr>
                      <w:kern w:val="0"/>
                      <w:sz w:val="21"/>
                      <w:szCs w:val="21"/>
                    </w:rPr>
                  </w:pPr>
                  <w:r>
                    <w:rPr>
                      <w:kern w:val="0"/>
                      <w:sz w:val="21"/>
                      <w:szCs w:val="21"/>
                    </w:rPr>
                    <w:t>2.禁止在闽江马尾罗星塔以上流域范围新、扩建制革项目，严控新（扩）建植物制浆、印染、合成革及人造革、电镀项目。</w:t>
                  </w:r>
                </w:p>
                <w:p w14:paraId="3BE90F8E">
                  <w:pPr>
                    <w:wordWrap w:val="0"/>
                    <w:topLinePunct/>
                    <w:adjustRightInd w:val="0"/>
                    <w:snapToGrid w:val="0"/>
                    <w:spacing w:line="240" w:lineRule="auto"/>
                    <w:ind w:firstLine="0" w:firstLineChars="0"/>
                    <w:jc w:val="center"/>
                    <w:rPr>
                      <w:kern w:val="0"/>
                      <w:sz w:val="21"/>
                      <w:szCs w:val="21"/>
                    </w:rPr>
                  </w:pPr>
                  <w:r>
                    <w:rPr>
                      <w:kern w:val="0"/>
                      <w:sz w:val="21"/>
                      <w:szCs w:val="21"/>
                    </w:rPr>
                    <w:t>3.禁止在通风廊道和主导风向的上风向布局大气重污染企业，推进建成区大气重污染企业搬迁或升级改造、环境风险企业搬迁或关闭退出。</w:t>
                  </w:r>
                </w:p>
                <w:p w14:paraId="770697F2">
                  <w:pPr>
                    <w:wordWrap w:val="0"/>
                    <w:topLinePunct/>
                    <w:adjustRightInd w:val="0"/>
                    <w:snapToGrid w:val="0"/>
                    <w:spacing w:line="240" w:lineRule="auto"/>
                    <w:ind w:firstLine="0" w:firstLineChars="0"/>
                    <w:jc w:val="center"/>
                    <w:rPr>
                      <w:kern w:val="0"/>
                      <w:sz w:val="21"/>
                      <w:szCs w:val="21"/>
                    </w:rPr>
                  </w:pPr>
                  <w:r>
                    <w:rPr>
                      <w:kern w:val="0"/>
                      <w:sz w:val="21"/>
                      <w:szCs w:val="21"/>
                    </w:rPr>
                    <w:t>4.禁止新、改、扩建生产高 VOCs 含量有机溶剂型涂料、油墨和</w:t>
                  </w:r>
                  <w:r>
                    <w:rPr>
                      <w:kern w:val="0"/>
                      <w:sz w:val="21"/>
                      <w:szCs w:val="21"/>
                      <w:shd w:val="clear" w:fill="FFFFFF"/>
                    </w:rPr>
                    <w:t>胶粘剂</w:t>
                  </w:r>
                  <w:r>
                    <w:rPr>
                      <w:kern w:val="0"/>
                      <w:sz w:val="21"/>
                      <w:szCs w:val="21"/>
                    </w:rPr>
                    <w:t>的项目。</w:t>
                  </w:r>
                </w:p>
                <w:p w14:paraId="53000531">
                  <w:pPr>
                    <w:wordWrap w:val="0"/>
                    <w:topLinePunct/>
                    <w:adjustRightInd w:val="0"/>
                    <w:snapToGrid w:val="0"/>
                    <w:spacing w:line="240" w:lineRule="auto"/>
                    <w:ind w:firstLine="0" w:firstLineChars="0"/>
                    <w:jc w:val="center"/>
                    <w:rPr>
                      <w:kern w:val="0"/>
                      <w:sz w:val="21"/>
                      <w:szCs w:val="21"/>
                    </w:rPr>
                  </w:pPr>
                  <w:r>
                    <w:rPr>
                      <w:kern w:val="0"/>
                      <w:sz w:val="21"/>
                      <w:szCs w:val="21"/>
                    </w:rPr>
                    <w:t>5.持续加强闽清等地建陶产业的环境综合治理，充分衔接国土空间规划和生态环境分区管控，并对照产业政策、城市总体发展规划等要求，进一步明确发展定位，优化产业布局和规模。</w:t>
                  </w:r>
                </w:p>
                <w:p w14:paraId="42D40064">
                  <w:pPr>
                    <w:wordWrap w:val="0"/>
                    <w:topLinePunct/>
                    <w:adjustRightInd w:val="0"/>
                    <w:snapToGrid w:val="0"/>
                    <w:spacing w:line="240" w:lineRule="auto"/>
                    <w:ind w:firstLine="0" w:firstLineChars="0"/>
                    <w:jc w:val="center"/>
                    <w:rPr>
                      <w:kern w:val="0"/>
                      <w:sz w:val="21"/>
                      <w:szCs w:val="21"/>
                    </w:rPr>
                  </w:pPr>
                  <w:r>
                    <w:rPr>
                      <w:kern w:val="0"/>
                      <w:sz w:val="21"/>
                      <w:szCs w:val="21"/>
                    </w:rPr>
                    <w:t>6.新建、扩建的涉及重点重金属污染物</w:t>
                  </w:r>
                  <w:r>
                    <w:rPr>
                      <w:kern w:val="0"/>
                      <w:sz w:val="21"/>
                      <w:szCs w:val="21"/>
                      <w:vertAlign w:val="superscript"/>
                    </w:rPr>
                    <w:t>［1］</w:t>
                  </w:r>
                  <w:r>
                    <w:rPr>
                      <w:kern w:val="0"/>
                      <w:sz w:val="21"/>
                      <w:szCs w:val="21"/>
                    </w:rPr>
                    <w:t>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 年底专业电镀企业入园率达到90%以上。</w:t>
                  </w:r>
                </w:p>
                <w:p w14:paraId="5A1FE321">
                  <w:pPr>
                    <w:wordWrap w:val="0"/>
                    <w:topLinePunct/>
                    <w:adjustRightInd w:val="0"/>
                    <w:snapToGrid w:val="0"/>
                    <w:spacing w:line="240" w:lineRule="auto"/>
                    <w:ind w:firstLine="0" w:firstLineChars="0"/>
                    <w:jc w:val="center"/>
                    <w:rPr>
                      <w:kern w:val="0"/>
                      <w:sz w:val="21"/>
                      <w:szCs w:val="21"/>
                    </w:rPr>
                  </w:pPr>
                  <w:r>
                    <w:rPr>
                      <w:kern w:val="0"/>
                      <w:sz w:val="21"/>
                      <w:szCs w:val="21"/>
                    </w:rPr>
                    <w:t>7.禁止在流域上游新建、扩建重污染企业和项目。</w:t>
                  </w:r>
                </w:p>
                <w:p w14:paraId="14594AEC">
                  <w:pPr>
                    <w:wordWrap w:val="0"/>
                    <w:topLinePunct/>
                    <w:adjustRightInd w:val="0"/>
                    <w:snapToGrid w:val="0"/>
                    <w:spacing w:line="240" w:lineRule="auto"/>
                    <w:ind w:firstLine="0" w:firstLineChars="0"/>
                    <w:jc w:val="center"/>
                    <w:rPr>
                      <w:kern w:val="0"/>
                      <w:sz w:val="21"/>
                      <w:szCs w:val="21"/>
                    </w:rPr>
                  </w:pPr>
                  <w:r>
                    <w:rPr>
                      <w:kern w:val="0"/>
                      <w:sz w:val="21"/>
                      <w:szCs w:val="21"/>
                    </w:rPr>
                    <w:t>8.重要敏感水体及富营养化湖库生态缓冲带除相关政府部门批准的科学研究活动外，禁止</w:t>
                  </w:r>
                  <w:r>
                    <w:rPr>
                      <w:kern w:val="0"/>
                      <w:sz w:val="21"/>
                      <w:szCs w:val="21"/>
                      <w:shd w:val="clear" w:fill="FFFFFF"/>
                    </w:rPr>
                    <w:t>其它可能</w:t>
                  </w:r>
                  <w:r>
                    <w:rPr>
                      <w:kern w:val="0"/>
                      <w:sz w:val="21"/>
                      <w:szCs w:val="21"/>
                    </w:rPr>
                    <w:t>对保护区构成危害或不良影响的大规模生产、建设活动。</w:t>
                  </w:r>
                </w:p>
                <w:p w14:paraId="409C02B8">
                  <w:pPr>
                    <w:wordWrap w:val="0"/>
                    <w:topLinePunct/>
                    <w:adjustRightInd w:val="0"/>
                    <w:snapToGrid w:val="0"/>
                    <w:spacing w:line="240" w:lineRule="auto"/>
                    <w:ind w:firstLine="0" w:firstLineChars="0"/>
                    <w:jc w:val="center"/>
                    <w:rPr>
                      <w:kern w:val="0"/>
                      <w:sz w:val="21"/>
                      <w:szCs w:val="21"/>
                    </w:rPr>
                  </w:pPr>
                  <w:r>
                    <w:rPr>
                      <w:kern w:val="0"/>
                      <w:sz w:val="21"/>
                      <w:szCs w:val="21"/>
                    </w:rPr>
                    <w:t>9.新、改、扩建煤电、钢铁、建材、石化、化工等“两高”项目，严格落实国家、省、市产业规划、产业政策、“三线一单”、规划环评，以及产能置换、煤炭消费减量替代、区域污染削减等相关要求。</w:t>
                  </w:r>
                </w:p>
                <w:p w14:paraId="3C213585">
                  <w:pPr>
                    <w:wordWrap w:val="0"/>
                    <w:topLinePunct/>
                    <w:adjustRightInd w:val="0"/>
                    <w:snapToGrid w:val="0"/>
                    <w:spacing w:line="240" w:lineRule="auto"/>
                    <w:ind w:firstLine="0" w:firstLineChars="0"/>
                    <w:jc w:val="center"/>
                    <w:rPr>
                      <w:kern w:val="0"/>
                      <w:sz w:val="21"/>
                      <w:szCs w:val="21"/>
                    </w:rPr>
                  </w:pPr>
                  <w:r>
                    <w:rPr>
                      <w:kern w:val="0"/>
                      <w:sz w:val="21"/>
                      <w:szCs w:val="21"/>
                    </w:rPr>
                    <w:t>10.单元内涉及永久基本农田的，应按照《福建省基本农田保护条例》（2010 年修正本）、《</w:t>
                  </w:r>
                  <w:r>
                    <w:rPr>
                      <w:kern w:val="0"/>
                      <w:sz w:val="21"/>
                      <w:szCs w:val="21"/>
                      <w:shd w:val="clear" w:fill="FFFFFF"/>
                    </w:rPr>
                    <w:t>国土资源部</w:t>
                  </w:r>
                  <w:r>
                    <w:rPr>
                      <w:kern w:val="0"/>
                      <w:sz w:val="21"/>
                      <w:szCs w:val="21"/>
                    </w:rPr>
                    <w:t>关于全面实行</w:t>
                  </w:r>
                  <w:r>
                    <w:rPr>
                      <w:kern w:val="0"/>
                      <w:sz w:val="21"/>
                      <w:szCs w:val="21"/>
                      <w:shd w:val="clear" w:fill="FFFFFF"/>
                    </w:rPr>
                    <w:t>永久共本农田</w:t>
                  </w:r>
                  <w:r>
                    <w:rPr>
                      <w:kern w:val="0"/>
                      <w:sz w:val="21"/>
                      <w:szCs w:val="21"/>
                    </w:rPr>
                    <w:t>特殊保护的通知》（国土资规〔2018〕1号）、</w:t>
                  </w:r>
                  <w:r>
                    <w:rPr>
                      <w:kern w:val="0"/>
                      <w:sz w:val="21"/>
                      <w:szCs w:val="21"/>
                      <w:shd w:val="clear" w:fill="FFFFFF"/>
                    </w:rPr>
                    <w:t>《中共中央国务院</w:t>
                  </w:r>
                  <w:r>
                    <w:rPr>
                      <w:kern w:val="0"/>
                      <w:sz w:val="21"/>
                      <w:szCs w:val="21"/>
                    </w:rPr>
                    <w:t>关于加强耕地保护和改进占补平衡的意见》（2017年1月9日）等相关文件要求进</w:t>
                  </w:r>
                  <w:r>
                    <w:rPr>
                      <w:kern w:val="0"/>
                      <w:sz w:val="21"/>
                      <w:szCs w:val="21"/>
                      <w:shd w:val="clear" w:fill="FFFFFF"/>
                    </w:rPr>
                    <w:t>行</w:t>
                  </w:r>
                  <w:r>
                    <w:rPr>
                      <w:kern w:val="0"/>
                      <w:sz w:val="21"/>
                      <w:szCs w:val="21"/>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606" w:type="dxa"/>
                  <w:vAlign w:val="center"/>
                </w:tcPr>
                <w:p w14:paraId="610EFFA3">
                  <w:pPr>
                    <w:wordWrap w:val="0"/>
                    <w:spacing w:line="240" w:lineRule="auto"/>
                    <w:ind w:firstLine="0" w:firstLineChars="0"/>
                    <w:jc w:val="center"/>
                    <w:rPr>
                      <w:rFonts w:ascii="Calibri" w:hAnsi="Calibri" w:eastAsia="Calibri"/>
                      <w:kern w:val="0"/>
                      <w:sz w:val="22"/>
                      <w:szCs w:val="22"/>
                    </w:rPr>
                  </w:pPr>
                  <w:r>
                    <w:rPr>
                      <w:rFonts w:hint="eastAsia"/>
                      <w:spacing w:val="8"/>
                      <w:kern w:val="0"/>
                      <w:sz w:val="21"/>
                      <w:szCs w:val="21"/>
                    </w:rPr>
                    <w:t>本项目为</w:t>
                  </w:r>
                  <w:r>
                    <w:rPr>
                      <w:bCs/>
                      <w:spacing w:val="8"/>
                      <w:kern w:val="0"/>
                      <w:sz w:val="21"/>
                      <w:szCs w:val="21"/>
                    </w:rPr>
                    <w:t>C</w:t>
                  </w:r>
                  <w:r>
                    <w:rPr>
                      <w:rFonts w:hint="eastAsia"/>
                      <w:bCs/>
                      <w:spacing w:val="8"/>
                      <w:kern w:val="0"/>
                      <w:sz w:val="21"/>
                      <w:szCs w:val="21"/>
                    </w:rPr>
                    <w:t>3670</w:t>
                  </w:r>
                  <w:r>
                    <w:rPr>
                      <w:rFonts w:hint="eastAsia"/>
                      <w:spacing w:val="8"/>
                      <w:kern w:val="0"/>
                      <w:sz w:val="21"/>
                      <w:szCs w:val="21"/>
                    </w:rPr>
                    <w:t>汽车零部件及配件制造</w:t>
                  </w:r>
                  <w:r>
                    <w:rPr>
                      <w:rFonts w:hint="eastAsia"/>
                      <w:spacing w:val="17"/>
                      <w:kern w:val="0"/>
                      <w:sz w:val="21"/>
                      <w:szCs w:val="21"/>
                    </w:rPr>
                    <w:t>，不属于左列禁止建设项目；项目位于福建省福州市福清市音西街道西楼村，不位于新局调节库周边</w:t>
                  </w:r>
                  <w:r>
                    <w:rPr>
                      <w:rFonts w:eastAsia="Times New Roman"/>
                      <w:spacing w:val="1"/>
                      <w:kern w:val="0"/>
                      <w:sz w:val="21"/>
                      <w:szCs w:val="21"/>
                    </w:rPr>
                    <w:t>200m</w:t>
                  </w:r>
                  <w:r>
                    <w:rPr>
                      <w:rFonts w:hint="eastAsia"/>
                      <w:spacing w:val="1"/>
                      <w:kern w:val="0"/>
                      <w:sz w:val="21"/>
                      <w:szCs w:val="21"/>
                    </w:rPr>
                    <w:t>范围内；项目不占用基本农田和生态保护红线。</w:t>
                  </w:r>
                </w:p>
              </w:tc>
              <w:tc>
                <w:tcPr>
                  <w:tcW w:w="0" w:type="auto"/>
                  <w:vAlign w:val="center"/>
                </w:tcPr>
                <w:p w14:paraId="177205A1">
                  <w:pPr>
                    <w:pBdr>
                      <w:top w:val="none" w:color="auto" w:sz="0" w:space="1"/>
                      <w:left w:val="none" w:color="auto" w:sz="0" w:space="4"/>
                      <w:bottom w:val="none" w:color="auto" w:sz="0" w:space="1"/>
                      <w:right w:val="none" w:color="auto" w:sz="0" w:space="4"/>
                    </w:pBdr>
                    <w:wordWrap w:val="0"/>
                    <w:topLinePunct/>
                    <w:adjustRightInd w:val="0"/>
                    <w:snapToGrid w:val="0"/>
                    <w:spacing w:line="240" w:lineRule="auto"/>
                    <w:ind w:firstLine="0" w:firstLineChars="0"/>
                    <w:jc w:val="center"/>
                    <w:rPr>
                      <w:kern w:val="0"/>
                      <w:sz w:val="21"/>
                      <w:szCs w:val="21"/>
                      <w:lang w:eastAsia="en-US"/>
                    </w:rPr>
                  </w:pPr>
                  <w:r>
                    <w:rPr>
                      <w:kern w:val="0"/>
                      <w:sz w:val="21"/>
                      <w:szCs w:val="21"/>
                      <w:lang w:eastAsia="en-US"/>
                    </w:rPr>
                    <w:t>符合</w:t>
                  </w:r>
                </w:p>
              </w:tc>
            </w:tr>
            <w:tr w14:paraId="16B41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43BBDFA1">
                  <w:pPr>
                    <w:wordWrap w:val="0"/>
                    <w:spacing w:line="240" w:lineRule="auto"/>
                    <w:ind w:firstLine="0" w:firstLineChars="0"/>
                    <w:jc w:val="center"/>
                    <w:rPr>
                      <w:rFonts w:ascii="Calibri" w:hAnsi="Calibri" w:eastAsia="Calibri"/>
                      <w:kern w:val="0"/>
                      <w:sz w:val="22"/>
                      <w:szCs w:val="22"/>
                      <w:lang w:eastAsia="en-US"/>
                    </w:rPr>
                  </w:pPr>
                </w:p>
              </w:tc>
              <w:tc>
                <w:tcPr>
                  <w:tcW w:w="0" w:type="auto"/>
                  <w:vAlign w:val="center"/>
                </w:tcPr>
                <w:p w14:paraId="197F087F">
                  <w:pPr>
                    <w:wordWrap w:val="0"/>
                    <w:topLinePunct/>
                    <w:adjustRightInd w:val="0"/>
                    <w:snapToGrid w:val="0"/>
                    <w:spacing w:line="240" w:lineRule="auto"/>
                    <w:ind w:firstLine="0" w:firstLineChars="0"/>
                    <w:jc w:val="center"/>
                    <w:rPr>
                      <w:kern w:val="0"/>
                      <w:sz w:val="21"/>
                      <w:szCs w:val="21"/>
                      <w:lang w:eastAsia="en-US"/>
                    </w:rPr>
                  </w:pPr>
                  <w:r>
                    <w:rPr>
                      <w:kern w:val="0"/>
                      <w:sz w:val="21"/>
                      <w:szCs w:val="21"/>
                      <w:lang w:eastAsia="en-US"/>
                    </w:rPr>
                    <w:t>污染物排放管控</w:t>
                  </w:r>
                </w:p>
              </w:tc>
              <w:tc>
                <w:tcPr>
                  <w:tcW w:w="5411" w:type="dxa"/>
                  <w:vAlign w:val="center"/>
                </w:tcPr>
                <w:p w14:paraId="39759DEB">
                  <w:pPr>
                    <w:wordWrap w:val="0"/>
                    <w:topLinePunct/>
                    <w:adjustRightInd w:val="0"/>
                    <w:snapToGrid w:val="0"/>
                    <w:spacing w:line="240" w:lineRule="auto"/>
                    <w:ind w:firstLine="0" w:firstLineChars="0"/>
                    <w:jc w:val="center"/>
                    <w:rPr>
                      <w:kern w:val="0"/>
                      <w:sz w:val="21"/>
                      <w:szCs w:val="21"/>
                    </w:rPr>
                  </w:pPr>
                  <w:r>
                    <w:rPr>
                      <w:kern w:val="0"/>
                      <w:sz w:val="21"/>
                      <w:szCs w:val="21"/>
                    </w:rPr>
                    <w:t>1.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 号”等相关文件执行。</w:t>
                  </w:r>
                </w:p>
                <w:p w14:paraId="70381988">
                  <w:pPr>
                    <w:wordWrap w:val="0"/>
                    <w:topLinePunct/>
                    <w:adjustRightInd w:val="0"/>
                    <w:snapToGrid w:val="0"/>
                    <w:spacing w:line="240" w:lineRule="auto"/>
                    <w:ind w:firstLine="0" w:firstLineChars="0"/>
                    <w:jc w:val="center"/>
                    <w:rPr>
                      <w:kern w:val="0"/>
                      <w:sz w:val="21"/>
                      <w:szCs w:val="21"/>
                    </w:rPr>
                  </w:pPr>
                  <w:r>
                    <w:rPr>
                      <w:kern w:val="0"/>
                      <w:sz w:val="21"/>
                      <w:szCs w:val="21"/>
                    </w:rPr>
                    <w:t>2.新、改、扩建涉 VOCs 排放项目污染物排放量应满足《福州市“十四五”</w:t>
                  </w:r>
                  <w:r>
                    <w:rPr>
                      <w:kern w:val="0"/>
                      <w:sz w:val="21"/>
                      <w:szCs w:val="21"/>
                      <w:shd w:val="clear" w:fill="FFFFFF"/>
                    </w:rPr>
                    <w:t>空气质量持续改善计划</w:t>
                  </w:r>
                  <w:r>
                    <w:rPr>
                      <w:kern w:val="0"/>
                      <w:sz w:val="21"/>
                      <w:szCs w:val="21"/>
                    </w:rPr>
                    <w:t>》（榕环保综〔2023〕40号），应从源头加强控制，使用低（无）VOCs 含量的原辅材料。</w:t>
                  </w:r>
                </w:p>
                <w:p w14:paraId="33387C74">
                  <w:pPr>
                    <w:wordWrap w:val="0"/>
                    <w:topLinePunct/>
                    <w:adjustRightInd w:val="0"/>
                    <w:snapToGrid w:val="0"/>
                    <w:spacing w:line="240" w:lineRule="auto"/>
                    <w:ind w:firstLine="0" w:firstLineChars="0"/>
                    <w:jc w:val="center"/>
                    <w:rPr>
                      <w:kern w:val="0"/>
                      <w:sz w:val="21"/>
                      <w:szCs w:val="21"/>
                    </w:rPr>
                  </w:pPr>
                  <w:r>
                    <w:rPr>
                      <w:kern w:val="0"/>
                      <w:sz w:val="21"/>
                      <w:szCs w:val="21"/>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14:paraId="190B4655">
                  <w:pPr>
                    <w:wordWrap w:val="0"/>
                    <w:topLinePunct/>
                    <w:adjustRightInd w:val="0"/>
                    <w:snapToGrid w:val="0"/>
                    <w:spacing w:line="240" w:lineRule="auto"/>
                    <w:ind w:firstLine="0" w:firstLineChars="0"/>
                    <w:jc w:val="center"/>
                    <w:rPr>
                      <w:kern w:val="0"/>
                      <w:sz w:val="21"/>
                      <w:szCs w:val="21"/>
                    </w:rPr>
                  </w:pPr>
                  <w:r>
                    <w:rPr>
                      <w:kern w:val="0"/>
                      <w:sz w:val="21"/>
                      <w:szCs w:val="21"/>
                    </w:rPr>
                    <w:t>4.氟化工、印染、电镀等行业企业实行水污染物特别排放限值。</w:t>
                  </w:r>
                </w:p>
                <w:p w14:paraId="6095FCB3">
                  <w:pPr>
                    <w:wordWrap w:val="0"/>
                    <w:topLinePunct/>
                    <w:adjustRightInd w:val="0"/>
                    <w:snapToGrid w:val="0"/>
                    <w:spacing w:line="240" w:lineRule="auto"/>
                    <w:ind w:firstLine="0" w:firstLineChars="0"/>
                    <w:jc w:val="center"/>
                    <w:rPr>
                      <w:kern w:val="0"/>
                      <w:sz w:val="21"/>
                      <w:szCs w:val="21"/>
                    </w:rPr>
                  </w:pPr>
                  <w:r>
                    <w:rPr>
                      <w:kern w:val="0"/>
                      <w:sz w:val="21"/>
                      <w:szCs w:val="21"/>
                    </w:rPr>
                    <w:t>5.新、改、扩建重点行业</w:t>
                  </w:r>
                  <w:r>
                    <w:rPr>
                      <w:kern w:val="0"/>
                      <w:sz w:val="21"/>
                      <w:szCs w:val="21"/>
                      <w:vertAlign w:val="superscript"/>
                    </w:rPr>
                    <w:t>［2］</w:t>
                  </w:r>
                  <w:r>
                    <w:rPr>
                      <w:kern w:val="0"/>
                      <w:sz w:val="21"/>
                      <w:szCs w:val="21"/>
                    </w:rPr>
                    <w:t>建设项目要遵循重点重金属污染物排放“等量替代”原则，总量来源原则上应是同一重点行业内的削减量，当同一重点行业无法满足时可从其他重点行业调剂。</w:t>
                  </w:r>
                </w:p>
                <w:p w14:paraId="750C465A">
                  <w:pPr>
                    <w:wordWrap w:val="0"/>
                    <w:topLinePunct/>
                    <w:adjustRightInd w:val="0"/>
                    <w:snapToGrid w:val="0"/>
                    <w:spacing w:line="240" w:lineRule="auto"/>
                    <w:ind w:firstLine="0" w:firstLineChars="0"/>
                    <w:jc w:val="center"/>
                    <w:rPr>
                      <w:kern w:val="0"/>
                      <w:sz w:val="21"/>
                      <w:szCs w:val="21"/>
                    </w:rPr>
                  </w:pPr>
                  <w:r>
                    <w:rPr>
                      <w:kern w:val="0"/>
                      <w:sz w:val="21"/>
                      <w:szCs w:val="21"/>
                    </w:rPr>
                    <w:t>6.每小时 35（含）—65 蒸吨燃煤锅炉和位于县级及以上城市建成区内保留的燃煤、燃油、燃生物质锅炉，原则上 2024 年底前必须全面实现超低排放。</w:t>
                  </w:r>
                </w:p>
                <w:p w14:paraId="72F3D70A">
                  <w:pPr>
                    <w:wordWrap w:val="0"/>
                    <w:topLinePunct/>
                    <w:adjustRightInd w:val="0"/>
                    <w:snapToGrid w:val="0"/>
                    <w:spacing w:line="240" w:lineRule="auto"/>
                    <w:ind w:firstLine="0" w:firstLineChars="0"/>
                    <w:jc w:val="center"/>
                    <w:rPr>
                      <w:kern w:val="0"/>
                      <w:sz w:val="21"/>
                      <w:szCs w:val="21"/>
                    </w:rPr>
                  </w:pPr>
                  <w:r>
                    <w:rPr>
                      <w:kern w:val="0"/>
                      <w:sz w:val="21"/>
                      <w:szCs w:val="21"/>
                    </w:rPr>
                    <w:t>7.水泥行业新改扩建项目严格对照超低排放、能效标杆水平建设实施；现有项目超低排放改造应按文件（闽环规〔2023〕2 号）的时限要求分步推进，2025 年底前全面完成</w:t>
                  </w:r>
                  <w:r>
                    <w:rPr>
                      <w:kern w:val="0"/>
                      <w:sz w:val="21"/>
                      <w:szCs w:val="21"/>
                      <w:vertAlign w:val="superscript"/>
                    </w:rPr>
                    <w:t>［3］［4］</w:t>
                  </w:r>
                  <w:r>
                    <w:rPr>
                      <w:kern w:val="0"/>
                      <w:sz w:val="21"/>
                      <w:szCs w:val="21"/>
                    </w:rPr>
                    <w:t>。</w:t>
                  </w:r>
                </w:p>
                <w:p w14:paraId="0F8D8DA7">
                  <w:pPr>
                    <w:wordWrap w:val="0"/>
                    <w:topLinePunct/>
                    <w:adjustRightInd w:val="0"/>
                    <w:snapToGrid w:val="0"/>
                    <w:spacing w:line="240" w:lineRule="auto"/>
                    <w:ind w:firstLine="0" w:firstLineChars="0"/>
                    <w:jc w:val="center"/>
                    <w:rPr>
                      <w:kern w:val="0"/>
                      <w:sz w:val="21"/>
                      <w:szCs w:val="21"/>
                    </w:rPr>
                  </w:pPr>
                  <w:r>
                    <w:rPr>
                      <w:kern w:val="0"/>
                      <w:sz w:val="21"/>
                      <w:szCs w:val="21"/>
                    </w:rPr>
                    <w:t>8.化工园区新建项目实施“禁限控”化学物质管控措施，项目在开展环境影响评价时应</w:t>
                  </w:r>
                  <w:r>
                    <w:rPr>
                      <w:kern w:val="0"/>
                      <w:sz w:val="21"/>
                      <w:szCs w:val="21"/>
                      <w:shd w:val="clear" w:fill="FFFFFF"/>
                    </w:rPr>
                    <w:t>严格落实相关要求</w:t>
                  </w:r>
                  <w:r>
                    <w:rPr>
                      <w:kern w:val="0"/>
                      <w:sz w:val="21"/>
                      <w:szCs w:val="21"/>
                    </w:rPr>
                    <w:t>，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p w14:paraId="447FEC40">
                  <w:pPr>
                    <w:spacing w:line="240" w:lineRule="auto"/>
                    <w:ind w:firstLine="0" w:firstLineChars="0"/>
                    <w:jc w:val="center"/>
                    <w:rPr>
                      <w:kern w:val="0"/>
                      <w:sz w:val="21"/>
                      <w:szCs w:val="21"/>
                    </w:rPr>
                  </w:pPr>
                </w:p>
              </w:tc>
              <w:tc>
                <w:tcPr>
                  <w:tcW w:w="1606" w:type="dxa"/>
                  <w:vAlign w:val="center"/>
                </w:tcPr>
                <w:p w14:paraId="7A973002">
                  <w:pPr>
                    <w:pBdr>
                      <w:top w:val="none" w:color="auto" w:sz="0" w:space="1"/>
                      <w:left w:val="none" w:color="auto" w:sz="0" w:space="4"/>
                      <w:bottom w:val="none" w:color="auto" w:sz="0" w:space="1"/>
                      <w:right w:val="none" w:color="auto" w:sz="0" w:space="4"/>
                    </w:pBdr>
                    <w:wordWrap w:val="0"/>
                    <w:topLinePunct/>
                    <w:adjustRightInd w:val="0"/>
                    <w:snapToGrid w:val="0"/>
                    <w:spacing w:line="240" w:lineRule="auto"/>
                    <w:ind w:firstLine="0" w:firstLineChars="0"/>
                    <w:jc w:val="center"/>
                    <w:rPr>
                      <w:kern w:val="0"/>
                      <w:sz w:val="21"/>
                      <w:szCs w:val="21"/>
                    </w:rPr>
                  </w:pPr>
                  <w:r>
                    <w:rPr>
                      <w:rFonts w:hint="eastAsia"/>
                      <w:spacing w:val="14"/>
                      <w:kern w:val="0"/>
                      <w:sz w:val="21"/>
                      <w:szCs w:val="21"/>
                    </w:rPr>
                    <w:t>本项目产生的</w:t>
                  </w:r>
                  <w:r>
                    <w:rPr>
                      <w:rFonts w:eastAsia="Times New Roman"/>
                      <w:kern w:val="0"/>
                      <w:sz w:val="21"/>
                      <w:szCs w:val="21"/>
                    </w:rPr>
                    <w:t>VOCs</w:t>
                  </w:r>
                  <w:r>
                    <w:rPr>
                      <w:rFonts w:hint="eastAsia"/>
                      <w:spacing w:val="6"/>
                      <w:kern w:val="0"/>
                      <w:sz w:val="21"/>
                      <w:szCs w:val="21"/>
                    </w:rPr>
                    <w:t>排放实</w:t>
                  </w:r>
                  <w:r>
                    <w:rPr>
                      <w:rFonts w:hint="eastAsia"/>
                      <w:spacing w:val="26"/>
                      <w:kern w:val="0"/>
                      <w:sz w:val="21"/>
                      <w:szCs w:val="21"/>
                    </w:rPr>
                    <w:t>行区域内倍量</w:t>
                  </w:r>
                  <w:r>
                    <w:rPr>
                      <w:rFonts w:hint="eastAsia"/>
                      <w:spacing w:val="5"/>
                      <w:kern w:val="0"/>
                      <w:sz w:val="21"/>
                      <w:szCs w:val="21"/>
                    </w:rPr>
                    <w:t>替代；</w:t>
                  </w:r>
                  <w:r>
                    <w:rPr>
                      <w:spacing w:val="5"/>
                      <w:kern w:val="0"/>
                      <w:sz w:val="21"/>
                      <w:szCs w:val="21"/>
                    </w:rPr>
                    <w:t>使用低VOCs 含量的原辅材料</w:t>
                  </w:r>
                  <w:r>
                    <w:rPr>
                      <w:rFonts w:hint="eastAsia"/>
                      <w:spacing w:val="5"/>
                      <w:kern w:val="0"/>
                      <w:sz w:val="21"/>
                      <w:szCs w:val="21"/>
                    </w:rPr>
                    <w:t>；其余要求不涉及</w:t>
                  </w:r>
                </w:p>
              </w:tc>
              <w:tc>
                <w:tcPr>
                  <w:tcW w:w="0" w:type="auto"/>
                  <w:vAlign w:val="center"/>
                </w:tcPr>
                <w:p w14:paraId="1519B7FD">
                  <w:pPr>
                    <w:pBdr>
                      <w:top w:val="none" w:color="auto" w:sz="0" w:space="1"/>
                      <w:left w:val="none" w:color="auto" w:sz="0" w:space="4"/>
                      <w:bottom w:val="none" w:color="auto" w:sz="0" w:space="1"/>
                      <w:right w:val="none" w:color="auto" w:sz="0" w:space="4"/>
                    </w:pBdr>
                    <w:wordWrap w:val="0"/>
                    <w:topLinePunct/>
                    <w:adjustRightInd w:val="0"/>
                    <w:snapToGrid w:val="0"/>
                    <w:spacing w:line="240" w:lineRule="auto"/>
                    <w:ind w:firstLine="0" w:firstLineChars="0"/>
                    <w:jc w:val="center"/>
                    <w:rPr>
                      <w:kern w:val="0"/>
                      <w:sz w:val="21"/>
                      <w:szCs w:val="21"/>
                      <w:lang w:eastAsia="en-US"/>
                    </w:rPr>
                  </w:pPr>
                  <w:r>
                    <w:rPr>
                      <w:kern w:val="0"/>
                      <w:sz w:val="21"/>
                      <w:szCs w:val="21"/>
                      <w:lang w:eastAsia="en-US"/>
                    </w:rPr>
                    <w:t>符合</w:t>
                  </w:r>
                </w:p>
              </w:tc>
            </w:tr>
            <w:tr w14:paraId="6E7DDF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14F32CD5">
                  <w:pPr>
                    <w:wordWrap w:val="0"/>
                    <w:spacing w:line="240" w:lineRule="auto"/>
                    <w:ind w:firstLine="0" w:firstLineChars="0"/>
                    <w:jc w:val="center"/>
                    <w:rPr>
                      <w:rFonts w:ascii="Calibri" w:hAnsi="Calibri" w:eastAsia="Calibri"/>
                      <w:kern w:val="0"/>
                      <w:sz w:val="22"/>
                      <w:szCs w:val="22"/>
                      <w:lang w:eastAsia="en-US"/>
                    </w:rPr>
                  </w:pPr>
                </w:p>
              </w:tc>
              <w:tc>
                <w:tcPr>
                  <w:tcW w:w="0" w:type="auto"/>
                  <w:vAlign w:val="center"/>
                </w:tcPr>
                <w:p w14:paraId="500B98C2">
                  <w:pPr>
                    <w:wordWrap w:val="0"/>
                    <w:topLinePunct/>
                    <w:adjustRightInd w:val="0"/>
                    <w:snapToGrid w:val="0"/>
                    <w:spacing w:line="240" w:lineRule="auto"/>
                    <w:ind w:firstLine="0" w:firstLineChars="0"/>
                    <w:jc w:val="center"/>
                    <w:rPr>
                      <w:kern w:val="0"/>
                      <w:sz w:val="21"/>
                      <w:szCs w:val="21"/>
                      <w:lang w:eastAsia="en-US"/>
                    </w:rPr>
                  </w:pPr>
                  <w:r>
                    <w:rPr>
                      <w:kern w:val="0"/>
                      <w:sz w:val="21"/>
                      <w:szCs w:val="21"/>
                      <w:lang w:eastAsia="en-US"/>
                    </w:rPr>
                    <w:t>资源开发效率要求</w:t>
                  </w:r>
                </w:p>
              </w:tc>
              <w:tc>
                <w:tcPr>
                  <w:tcW w:w="5411" w:type="dxa"/>
                  <w:vAlign w:val="center"/>
                </w:tcPr>
                <w:p w14:paraId="67F018D9">
                  <w:pPr>
                    <w:wordWrap w:val="0"/>
                    <w:topLinePunct/>
                    <w:adjustRightInd w:val="0"/>
                    <w:snapToGrid w:val="0"/>
                    <w:spacing w:line="240" w:lineRule="auto"/>
                    <w:ind w:firstLine="0" w:firstLineChars="0"/>
                    <w:jc w:val="center"/>
                    <w:rPr>
                      <w:kern w:val="0"/>
                      <w:sz w:val="21"/>
                      <w:szCs w:val="21"/>
                    </w:rPr>
                  </w:pPr>
                  <w:r>
                    <w:rPr>
                      <w:kern w:val="0"/>
                      <w:sz w:val="21"/>
                      <w:szCs w:val="21"/>
                    </w:rPr>
                    <w:t>1.到 2024 年底，全市范围内每小时 10 蒸吨及以下燃煤锅炉全面淘汰；到 2025 年底，全市范围内每小时35 蒸吨以下燃煤锅炉通过集中供热、清洁能源替代、深度治理等方式全面实现转型、升级、退出，县级及以上城市建成区在用锅炉（燃煤、燃油、燃生物质）全面改用电能等清洁能源或治理达到超低排放水平；禁止新建每小时35 蒸吨以下燃煤锅炉，以及每小时10蒸吨及以下燃生物质和其他使用高污染燃料的锅炉。集中供热管网覆盖范围内禁止新建、扩建分散燃煤、燃油等供热锅炉。</w:t>
                  </w:r>
                </w:p>
                <w:p w14:paraId="00F63CE3">
                  <w:pPr>
                    <w:wordWrap w:val="0"/>
                    <w:topLinePunct/>
                    <w:adjustRightInd w:val="0"/>
                    <w:snapToGrid w:val="0"/>
                    <w:spacing w:line="240" w:lineRule="auto"/>
                    <w:ind w:firstLine="0" w:firstLineChars="0"/>
                    <w:jc w:val="center"/>
                    <w:rPr>
                      <w:kern w:val="0"/>
                      <w:sz w:val="21"/>
                      <w:szCs w:val="21"/>
                    </w:rPr>
                  </w:pPr>
                  <w:r>
                    <w:rPr>
                      <w:kern w:val="0"/>
                      <w:sz w:val="21"/>
                      <w:szCs w:val="21"/>
                    </w:rPr>
                    <w:t>2.按照“提气、转电、控煤”的发展思路，推动陶瓷行业进一步优化用能结构，实现能源消费清洁低碳化。</w:t>
                  </w:r>
                </w:p>
              </w:tc>
              <w:tc>
                <w:tcPr>
                  <w:tcW w:w="1606" w:type="dxa"/>
                  <w:vAlign w:val="center"/>
                </w:tcPr>
                <w:p w14:paraId="018A9434">
                  <w:pPr>
                    <w:pBdr>
                      <w:top w:val="none" w:color="auto" w:sz="0" w:space="1"/>
                      <w:left w:val="none" w:color="auto" w:sz="0" w:space="4"/>
                      <w:bottom w:val="none" w:color="auto" w:sz="0" w:space="1"/>
                      <w:right w:val="none" w:color="auto" w:sz="0" w:space="4"/>
                    </w:pBdr>
                    <w:wordWrap w:val="0"/>
                    <w:topLinePunct/>
                    <w:adjustRightInd w:val="0"/>
                    <w:snapToGrid w:val="0"/>
                    <w:spacing w:line="240" w:lineRule="auto"/>
                    <w:ind w:firstLine="0" w:firstLineChars="0"/>
                    <w:jc w:val="center"/>
                    <w:rPr>
                      <w:kern w:val="0"/>
                      <w:sz w:val="21"/>
                      <w:szCs w:val="21"/>
                    </w:rPr>
                  </w:pPr>
                  <w:r>
                    <w:rPr>
                      <w:rFonts w:hint="eastAsia"/>
                      <w:kern w:val="0"/>
                      <w:sz w:val="21"/>
                      <w:szCs w:val="21"/>
                    </w:rPr>
                    <w:t>项目仅使用电能，不设置锅炉</w:t>
                  </w:r>
                </w:p>
              </w:tc>
              <w:tc>
                <w:tcPr>
                  <w:tcW w:w="0" w:type="auto"/>
                  <w:vAlign w:val="center"/>
                </w:tcPr>
                <w:p w14:paraId="3C644A29">
                  <w:pPr>
                    <w:pBdr>
                      <w:top w:val="none" w:color="auto" w:sz="0" w:space="1"/>
                      <w:left w:val="none" w:color="auto" w:sz="0" w:space="4"/>
                      <w:bottom w:val="none" w:color="auto" w:sz="0" w:space="1"/>
                      <w:right w:val="none" w:color="auto" w:sz="0" w:space="4"/>
                    </w:pBdr>
                    <w:wordWrap w:val="0"/>
                    <w:topLinePunct/>
                    <w:adjustRightInd w:val="0"/>
                    <w:snapToGrid w:val="0"/>
                    <w:spacing w:line="240" w:lineRule="auto"/>
                    <w:ind w:firstLine="0" w:firstLineChars="0"/>
                    <w:jc w:val="center"/>
                    <w:rPr>
                      <w:kern w:val="0"/>
                      <w:sz w:val="21"/>
                      <w:szCs w:val="21"/>
                      <w:lang w:eastAsia="en-US"/>
                    </w:rPr>
                  </w:pPr>
                  <w:r>
                    <w:rPr>
                      <w:kern w:val="0"/>
                      <w:sz w:val="21"/>
                      <w:szCs w:val="21"/>
                      <w:lang w:eastAsia="en-US"/>
                    </w:rPr>
                    <w:t>符合</w:t>
                  </w:r>
                </w:p>
              </w:tc>
            </w:tr>
            <w:tr w14:paraId="2918B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restart"/>
                  <w:vAlign w:val="center"/>
                </w:tcPr>
                <w:p w14:paraId="6E02387D">
                  <w:pPr>
                    <w:widowControl/>
                    <w:wordWrap w:val="0"/>
                    <w:spacing w:line="240" w:lineRule="auto"/>
                    <w:ind w:firstLine="0" w:firstLineChars="0"/>
                    <w:jc w:val="center"/>
                    <w:rPr>
                      <w:kern w:val="0"/>
                      <w:sz w:val="21"/>
                      <w14:ligatures w14:val="standardContextual"/>
                    </w:rPr>
                  </w:pPr>
                  <w:r>
                    <w:rPr>
                      <w:rFonts w:hint="eastAsia"/>
                      <w:kern w:val="0"/>
                      <w:sz w:val="21"/>
                      <w14:ligatures w14:val="standardContextual"/>
                    </w:rPr>
                    <w:t>福清市重点管控单元1</w:t>
                  </w:r>
                  <w:r>
                    <w:rPr>
                      <w:kern w:val="0"/>
                      <w:sz w:val="21"/>
                      <w14:ligatures w14:val="standardContextual"/>
                    </w:rPr>
                    <w:t>-</w:t>
                  </w:r>
                  <w:r>
                    <w:rPr>
                      <w:rFonts w:hint="eastAsia"/>
                      <w:kern w:val="0"/>
                      <w:sz w:val="21"/>
                      <w14:ligatures w14:val="standardContextual"/>
                    </w:rPr>
                    <w:t>ZH35018120008</w:t>
                  </w:r>
                </w:p>
              </w:tc>
              <w:tc>
                <w:tcPr>
                  <w:tcW w:w="0" w:type="auto"/>
                  <w:vAlign w:val="center"/>
                </w:tcPr>
                <w:p w14:paraId="663E0287">
                  <w:pPr>
                    <w:wordWrap w:val="0"/>
                    <w:topLinePunct/>
                    <w:adjustRightInd w:val="0"/>
                    <w:snapToGrid w:val="0"/>
                    <w:spacing w:line="240" w:lineRule="auto"/>
                    <w:ind w:firstLine="0" w:firstLineChars="0"/>
                    <w:jc w:val="center"/>
                    <w:rPr>
                      <w:kern w:val="0"/>
                      <w:sz w:val="21"/>
                      <w:szCs w:val="21"/>
                      <w:lang w:eastAsia="en-US"/>
                    </w:rPr>
                  </w:pPr>
                  <w:r>
                    <w:rPr>
                      <w:kern w:val="0"/>
                      <w:sz w:val="21"/>
                      <w:szCs w:val="21"/>
                      <w:lang w:eastAsia="en-US"/>
                    </w:rPr>
                    <w:t>空间布局约束</w:t>
                  </w:r>
                </w:p>
              </w:tc>
              <w:tc>
                <w:tcPr>
                  <w:tcW w:w="5411" w:type="dxa"/>
                  <w:vAlign w:val="center"/>
                </w:tcPr>
                <w:p w14:paraId="73F3DD44">
                  <w:pPr>
                    <w:wordWrap w:val="0"/>
                    <w:topLinePunct/>
                    <w:adjustRightInd w:val="0"/>
                    <w:snapToGrid w:val="0"/>
                    <w:spacing w:line="240" w:lineRule="auto"/>
                    <w:ind w:firstLine="0" w:firstLineChars="0"/>
                    <w:jc w:val="center"/>
                    <w:rPr>
                      <w:kern w:val="0"/>
                      <w:sz w:val="21"/>
                      <w:szCs w:val="21"/>
                    </w:rPr>
                  </w:pPr>
                  <w:r>
                    <w:rPr>
                      <w:rFonts w:hint="eastAsia"/>
                      <w:kern w:val="0"/>
                      <w:sz w:val="21"/>
                      <w:szCs w:val="21"/>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2.严格控制包装印刷、工业涂装、制鞋等高VOCs排放的项目建设，相关新建项目必须进入工业园区。3.禁止开发利用未经评估和无害化处理的列入建设用地污染地块名录及开发利用负面清单的土地。</w:t>
                  </w:r>
                </w:p>
              </w:tc>
              <w:tc>
                <w:tcPr>
                  <w:tcW w:w="1606" w:type="dxa"/>
                  <w:vAlign w:val="center"/>
                </w:tcPr>
                <w:p w14:paraId="6D7C6CF1">
                  <w:pPr>
                    <w:wordWrap w:val="0"/>
                    <w:spacing w:line="240" w:lineRule="auto"/>
                    <w:ind w:firstLine="0" w:firstLineChars="0"/>
                    <w:jc w:val="center"/>
                    <w:rPr>
                      <w:rFonts w:ascii="Calibri" w:hAnsi="Calibri" w:eastAsia="Calibri"/>
                      <w:kern w:val="0"/>
                      <w:sz w:val="22"/>
                      <w:szCs w:val="22"/>
                    </w:rPr>
                  </w:pPr>
                  <w:r>
                    <w:rPr>
                      <w:rFonts w:hint="eastAsia"/>
                      <w:spacing w:val="8"/>
                      <w:kern w:val="0"/>
                      <w:sz w:val="21"/>
                      <w:szCs w:val="21"/>
                    </w:rPr>
                    <w:t>项目不属于需管控行业；项目未开发利用未经评估和无害化处理的列入建设用地污染地块名录及开发利用负面清单的土地</w:t>
                  </w:r>
                </w:p>
              </w:tc>
              <w:tc>
                <w:tcPr>
                  <w:tcW w:w="0" w:type="auto"/>
                  <w:vAlign w:val="center"/>
                </w:tcPr>
                <w:p w14:paraId="596C417A">
                  <w:pPr>
                    <w:wordWrap w:val="0"/>
                    <w:topLinePunct/>
                    <w:adjustRightInd w:val="0"/>
                    <w:snapToGrid w:val="0"/>
                    <w:spacing w:line="240" w:lineRule="auto"/>
                    <w:ind w:firstLine="0" w:firstLineChars="0"/>
                    <w:jc w:val="center"/>
                    <w:rPr>
                      <w:kern w:val="0"/>
                      <w:sz w:val="21"/>
                      <w:szCs w:val="21"/>
                      <w:lang w:eastAsia="en-US"/>
                    </w:rPr>
                  </w:pPr>
                  <w:r>
                    <w:rPr>
                      <w:kern w:val="0"/>
                      <w:sz w:val="21"/>
                      <w:szCs w:val="21"/>
                      <w:lang w:eastAsia="en-US"/>
                    </w:rPr>
                    <w:t>符合</w:t>
                  </w:r>
                </w:p>
              </w:tc>
            </w:tr>
            <w:tr w14:paraId="67B61A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350E5DB5">
                  <w:pPr>
                    <w:wordWrap w:val="0"/>
                    <w:spacing w:line="240" w:lineRule="auto"/>
                    <w:ind w:firstLine="0" w:firstLineChars="0"/>
                    <w:jc w:val="center"/>
                    <w:rPr>
                      <w:rFonts w:ascii="Calibri" w:hAnsi="Calibri" w:eastAsia="Calibri"/>
                      <w:kern w:val="0"/>
                      <w:sz w:val="22"/>
                      <w:szCs w:val="22"/>
                      <w:lang w:eastAsia="en-US"/>
                    </w:rPr>
                  </w:pPr>
                </w:p>
              </w:tc>
              <w:tc>
                <w:tcPr>
                  <w:tcW w:w="0" w:type="auto"/>
                  <w:vAlign w:val="center"/>
                </w:tcPr>
                <w:p w14:paraId="032DAC91">
                  <w:pPr>
                    <w:wordWrap w:val="0"/>
                    <w:topLinePunct/>
                    <w:adjustRightInd w:val="0"/>
                    <w:snapToGrid w:val="0"/>
                    <w:spacing w:line="240" w:lineRule="auto"/>
                    <w:ind w:firstLine="0" w:firstLineChars="0"/>
                    <w:jc w:val="center"/>
                    <w:rPr>
                      <w:kern w:val="0"/>
                      <w:sz w:val="21"/>
                      <w:szCs w:val="21"/>
                      <w:lang w:eastAsia="en-US"/>
                    </w:rPr>
                  </w:pPr>
                  <w:r>
                    <w:rPr>
                      <w:kern w:val="0"/>
                      <w:sz w:val="21"/>
                      <w:szCs w:val="21"/>
                      <w:lang w:eastAsia="en-US"/>
                    </w:rPr>
                    <w:t>污染物排放管控</w:t>
                  </w:r>
                </w:p>
              </w:tc>
              <w:tc>
                <w:tcPr>
                  <w:tcW w:w="5411" w:type="dxa"/>
                  <w:vAlign w:val="center"/>
                </w:tcPr>
                <w:p w14:paraId="0A41F8EA">
                  <w:pPr>
                    <w:wordWrap w:val="0"/>
                    <w:topLinePunct/>
                    <w:adjustRightInd w:val="0"/>
                    <w:snapToGrid w:val="0"/>
                    <w:spacing w:line="240" w:lineRule="auto"/>
                    <w:ind w:firstLine="0" w:firstLineChars="0"/>
                    <w:jc w:val="center"/>
                    <w:rPr>
                      <w:kern w:val="0"/>
                      <w:sz w:val="21"/>
                      <w:szCs w:val="21"/>
                    </w:rPr>
                  </w:pPr>
                  <w:r>
                    <w:rPr>
                      <w:rFonts w:hint="eastAsia"/>
                      <w:kern w:val="0"/>
                      <w:sz w:val="21"/>
                      <w:szCs w:val="21"/>
                    </w:rPr>
                    <w:t>落实新增二氧化硫、氮氧化物和VOCs排放总量控制要求。</w:t>
                  </w:r>
                </w:p>
              </w:tc>
              <w:tc>
                <w:tcPr>
                  <w:tcW w:w="1606" w:type="dxa"/>
                  <w:vAlign w:val="center"/>
                </w:tcPr>
                <w:p w14:paraId="1FF6F25E">
                  <w:pPr>
                    <w:wordWrap w:val="0"/>
                    <w:topLinePunct/>
                    <w:adjustRightInd w:val="0"/>
                    <w:snapToGrid w:val="0"/>
                    <w:spacing w:line="240" w:lineRule="auto"/>
                    <w:ind w:firstLine="0" w:firstLineChars="0"/>
                    <w:jc w:val="center"/>
                    <w:rPr>
                      <w:kern w:val="0"/>
                      <w:sz w:val="21"/>
                      <w:szCs w:val="21"/>
                    </w:rPr>
                  </w:pPr>
                  <w:r>
                    <w:rPr>
                      <w:rFonts w:hint="eastAsia"/>
                      <w:spacing w:val="13"/>
                      <w:kern w:val="0"/>
                      <w:sz w:val="21"/>
                      <w:szCs w:val="21"/>
                    </w:rPr>
                    <w:t>项目不排放二氧化硫、氮氧化物，</w:t>
                  </w:r>
                  <w:r>
                    <w:rPr>
                      <w:spacing w:val="13"/>
                      <w:kern w:val="0"/>
                      <w:sz w:val="21"/>
                      <w:szCs w:val="21"/>
                    </w:rPr>
                    <w:t>VOCs排放实行区域内倍量替代</w:t>
                  </w:r>
                </w:p>
              </w:tc>
              <w:tc>
                <w:tcPr>
                  <w:tcW w:w="0" w:type="auto"/>
                  <w:vAlign w:val="center"/>
                </w:tcPr>
                <w:p w14:paraId="5FBCC3F3">
                  <w:pPr>
                    <w:wordWrap w:val="0"/>
                    <w:topLinePunct/>
                    <w:adjustRightInd w:val="0"/>
                    <w:snapToGrid w:val="0"/>
                    <w:spacing w:line="240" w:lineRule="auto"/>
                    <w:ind w:firstLine="0" w:firstLineChars="0"/>
                    <w:jc w:val="center"/>
                    <w:rPr>
                      <w:kern w:val="0"/>
                      <w:sz w:val="21"/>
                      <w:szCs w:val="21"/>
                      <w:lang w:eastAsia="en-US"/>
                    </w:rPr>
                  </w:pPr>
                  <w:r>
                    <w:rPr>
                      <w:kern w:val="0"/>
                      <w:sz w:val="21"/>
                      <w:szCs w:val="21"/>
                      <w:lang w:eastAsia="en-US"/>
                    </w:rPr>
                    <w:t>符合</w:t>
                  </w:r>
                </w:p>
              </w:tc>
            </w:tr>
            <w:tr w14:paraId="45664E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50287073">
                  <w:pPr>
                    <w:wordWrap w:val="0"/>
                    <w:spacing w:line="240" w:lineRule="auto"/>
                    <w:ind w:firstLine="0" w:firstLineChars="0"/>
                    <w:jc w:val="center"/>
                    <w:rPr>
                      <w:rFonts w:ascii="Calibri" w:hAnsi="Calibri" w:eastAsia="Calibri"/>
                      <w:kern w:val="0"/>
                      <w:sz w:val="22"/>
                      <w:szCs w:val="22"/>
                      <w:lang w:eastAsia="en-US"/>
                    </w:rPr>
                  </w:pPr>
                </w:p>
              </w:tc>
              <w:tc>
                <w:tcPr>
                  <w:tcW w:w="0" w:type="auto"/>
                  <w:vAlign w:val="center"/>
                </w:tcPr>
                <w:p w14:paraId="3A6EBD13">
                  <w:pPr>
                    <w:wordWrap w:val="0"/>
                    <w:topLinePunct/>
                    <w:adjustRightInd w:val="0"/>
                    <w:snapToGrid w:val="0"/>
                    <w:spacing w:line="240" w:lineRule="auto"/>
                    <w:ind w:firstLine="0" w:firstLineChars="0"/>
                    <w:jc w:val="center"/>
                    <w:rPr>
                      <w:kern w:val="0"/>
                      <w:sz w:val="21"/>
                      <w:szCs w:val="21"/>
                      <w:lang w:eastAsia="en-US"/>
                    </w:rPr>
                  </w:pPr>
                  <w:r>
                    <w:rPr>
                      <w:kern w:val="0"/>
                      <w:sz w:val="21"/>
                      <w:szCs w:val="21"/>
                      <w:lang w:eastAsia="en-US"/>
                    </w:rPr>
                    <w:t>环境风险防控</w:t>
                  </w:r>
                </w:p>
              </w:tc>
              <w:tc>
                <w:tcPr>
                  <w:tcW w:w="5411" w:type="dxa"/>
                  <w:vAlign w:val="center"/>
                </w:tcPr>
                <w:p w14:paraId="45585ED0">
                  <w:pPr>
                    <w:wordWrap w:val="0"/>
                    <w:topLinePunct/>
                    <w:adjustRightInd w:val="0"/>
                    <w:snapToGrid w:val="0"/>
                    <w:spacing w:line="240" w:lineRule="auto"/>
                    <w:ind w:firstLine="0" w:firstLineChars="0"/>
                    <w:jc w:val="center"/>
                    <w:rPr>
                      <w:kern w:val="0"/>
                      <w:sz w:val="21"/>
                      <w:szCs w:val="21"/>
                    </w:rPr>
                  </w:pPr>
                  <w:r>
                    <w:rPr>
                      <w:rFonts w:hint="eastAsia"/>
                      <w:kern w:val="0"/>
                      <w:sz w:val="21"/>
                      <w:szCs w:val="21"/>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1606" w:type="dxa"/>
                  <w:vAlign w:val="center"/>
                </w:tcPr>
                <w:p w14:paraId="6A3A3464">
                  <w:pPr>
                    <w:wordWrap w:val="0"/>
                    <w:topLinePunct/>
                    <w:adjustRightInd w:val="0"/>
                    <w:snapToGrid w:val="0"/>
                    <w:spacing w:line="240" w:lineRule="auto"/>
                    <w:ind w:firstLine="0" w:firstLineChars="0"/>
                    <w:jc w:val="center"/>
                    <w:rPr>
                      <w:kern w:val="0"/>
                      <w:sz w:val="21"/>
                      <w:szCs w:val="21"/>
                    </w:rPr>
                  </w:pPr>
                  <w:r>
                    <w:rPr>
                      <w:rFonts w:hint="eastAsia"/>
                      <w:kern w:val="0"/>
                      <w:sz w:val="21"/>
                      <w:szCs w:val="21"/>
                    </w:rPr>
                    <w:t>不涉及</w:t>
                  </w:r>
                </w:p>
              </w:tc>
              <w:tc>
                <w:tcPr>
                  <w:tcW w:w="0" w:type="auto"/>
                  <w:vAlign w:val="center"/>
                </w:tcPr>
                <w:p w14:paraId="55F8D092">
                  <w:pPr>
                    <w:wordWrap w:val="0"/>
                    <w:topLinePunct/>
                    <w:adjustRightInd w:val="0"/>
                    <w:snapToGrid w:val="0"/>
                    <w:spacing w:line="240" w:lineRule="auto"/>
                    <w:ind w:firstLine="0" w:firstLineChars="0"/>
                    <w:jc w:val="center"/>
                    <w:rPr>
                      <w:kern w:val="0"/>
                      <w:sz w:val="21"/>
                      <w:szCs w:val="21"/>
                      <w:lang w:eastAsia="en-US"/>
                    </w:rPr>
                  </w:pPr>
                  <w:r>
                    <w:rPr>
                      <w:kern w:val="0"/>
                      <w:sz w:val="21"/>
                      <w:szCs w:val="21"/>
                      <w:lang w:eastAsia="en-US"/>
                    </w:rPr>
                    <w:t>符合</w:t>
                  </w:r>
                </w:p>
              </w:tc>
            </w:tr>
            <w:tr w14:paraId="6BD22E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00E324F3">
                  <w:pPr>
                    <w:wordWrap w:val="0"/>
                    <w:spacing w:line="240" w:lineRule="auto"/>
                    <w:ind w:firstLine="0" w:firstLineChars="0"/>
                    <w:jc w:val="center"/>
                    <w:rPr>
                      <w:rFonts w:ascii="Calibri" w:hAnsi="Calibri" w:eastAsia="Calibri"/>
                      <w:kern w:val="0"/>
                      <w:sz w:val="22"/>
                      <w:szCs w:val="22"/>
                      <w:lang w:eastAsia="en-US"/>
                    </w:rPr>
                  </w:pPr>
                </w:p>
              </w:tc>
              <w:tc>
                <w:tcPr>
                  <w:tcW w:w="0" w:type="auto"/>
                  <w:vAlign w:val="center"/>
                </w:tcPr>
                <w:p w14:paraId="250D2312">
                  <w:pPr>
                    <w:wordWrap w:val="0"/>
                    <w:topLinePunct/>
                    <w:adjustRightInd w:val="0"/>
                    <w:snapToGrid w:val="0"/>
                    <w:spacing w:line="240" w:lineRule="auto"/>
                    <w:ind w:firstLine="0" w:firstLineChars="0"/>
                    <w:jc w:val="center"/>
                    <w:rPr>
                      <w:kern w:val="0"/>
                      <w:sz w:val="21"/>
                      <w:szCs w:val="21"/>
                      <w:lang w:eastAsia="en-US"/>
                    </w:rPr>
                  </w:pPr>
                  <w:r>
                    <w:rPr>
                      <w:kern w:val="0"/>
                      <w:sz w:val="21"/>
                      <w:szCs w:val="21"/>
                      <w:lang w:eastAsia="en-US"/>
                    </w:rPr>
                    <w:t>资源开发效率要求</w:t>
                  </w:r>
                </w:p>
              </w:tc>
              <w:tc>
                <w:tcPr>
                  <w:tcW w:w="5411" w:type="dxa"/>
                  <w:vAlign w:val="center"/>
                </w:tcPr>
                <w:p w14:paraId="04072423">
                  <w:pPr>
                    <w:wordWrap w:val="0"/>
                    <w:topLinePunct/>
                    <w:adjustRightInd w:val="0"/>
                    <w:snapToGrid w:val="0"/>
                    <w:spacing w:line="240" w:lineRule="auto"/>
                    <w:ind w:firstLine="210" w:firstLineChars="100"/>
                    <w:jc w:val="center"/>
                    <w:rPr>
                      <w:kern w:val="0"/>
                      <w:sz w:val="21"/>
                      <w:szCs w:val="21"/>
                    </w:rPr>
                  </w:pPr>
                  <w:r>
                    <w:rPr>
                      <w:rFonts w:hint="eastAsia"/>
                      <w:kern w:val="0"/>
                      <w:sz w:val="21"/>
                      <w:szCs w:val="21"/>
                    </w:rPr>
                    <w:t>高污染燃料禁燃区内禁止燃用高污染燃料，禁止新建、扩建燃用高污染燃料的设施。已建的燃用高污染燃料设施，限期改用电、天然气、液化石油气等清洁能源。</w:t>
                  </w:r>
                </w:p>
              </w:tc>
              <w:tc>
                <w:tcPr>
                  <w:tcW w:w="1606" w:type="dxa"/>
                  <w:vAlign w:val="center"/>
                </w:tcPr>
                <w:p w14:paraId="21021358">
                  <w:pPr>
                    <w:wordWrap w:val="0"/>
                    <w:topLinePunct/>
                    <w:adjustRightInd w:val="0"/>
                    <w:snapToGrid w:val="0"/>
                    <w:spacing w:line="240" w:lineRule="auto"/>
                    <w:ind w:firstLine="0" w:firstLineChars="0"/>
                    <w:jc w:val="center"/>
                    <w:rPr>
                      <w:kern w:val="0"/>
                      <w:sz w:val="21"/>
                      <w:szCs w:val="21"/>
                    </w:rPr>
                  </w:pPr>
                  <w:r>
                    <w:rPr>
                      <w:kern w:val="0"/>
                      <w:sz w:val="21"/>
                      <w:szCs w:val="21"/>
                    </w:rPr>
                    <w:t>项目未使用高污染燃料</w:t>
                  </w:r>
                </w:p>
              </w:tc>
              <w:tc>
                <w:tcPr>
                  <w:tcW w:w="0" w:type="auto"/>
                  <w:vAlign w:val="center"/>
                </w:tcPr>
                <w:p w14:paraId="67ACD0C6">
                  <w:pPr>
                    <w:wordWrap w:val="0"/>
                    <w:topLinePunct/>
                    <w:adjustRightInd w:val="0"/>
                    <w:snapToGrid w:val="0"/>
                    <w:spacing w:line="240" w:lineRule="auto"/>
                    <w:ind w:firstLine="0" w:firstLineChars="0"/>
                    <w:jc w:val="center"/>
                    <w:rPr>
                      <w:kern w:val="0"/>
                      <w:sz w:val="21"/>
                      <w:szCs w:val="21"/>
                    </w:rPr>
                  </w:pPr>
                  <w:r>
                    <w:rPr>
                      <w:kern w:val="0"/>
                      <w:sz w:val="21"/>
                      <w:szCs w:val="21"/>
                    </w:rPr>
                    <w:t>符合</w:t>
                  </w:r>
                </w:p>
              </w:tc>
            </w:tr>
          </w:tbl>
          <w:p w14:paraId="79419E2D">
            <w:pPr>
              <w:pStyle w:val="109"/>
              <w:rPr>
                <w:rFonts w:hint="eastAsia"/>
              </w:rPr>
            </w:pPr>
            <w:r>
              <w:rPr>
                <w:rFonts w:hint="eastAsia"/>
              </w:rPr>
              <w:t>根据上述分析，本项目与福州市人民政府办公厅关于印发《福州市生态环境分区管控方案（</w:t>
            </w:r>
            <w:r>
              <w:rPr>
                <w:rFonts w:ascii="Calibri" w:hAnsi="Calibri" w:eastAsia="Calibri"/>
              </w:rPr>
              <w:t>2023</w:t>
            </w:r>
            <w:r>
              <w:rPr>
                <w:rFonts w:hint="eastAsia"/>
              </w:rPr>
              <w:t>年更新）》的通知（榕政办规〔</w:t>
            </w:r>
            <w:r>
              <w:rPr>
                <w:rFonts w:ascii="Calibri" w:hAnsi="Calibri" w:eastAsia="Calibri"/>
              </w:rPr>
              <w:t>2024</w:t>
            </w:r>
            <w:r>
              <w:rPr>
                <w:rFonts w:hint="eastAsia" w:ascii="Cambria Math" w:hAnsi="Cambria Math" w:eastAsia="Cambria Math" w:cs="Cambria Math"/>
              </w:rPr>
              <w:t>〕</w:t>
            </w:r>
            <w:r>
              <w:rPr>
                <w:rFonts w:ascii="Calibri" w:hAnsi="Calibri" w:eastAsia="Calibri"/>
              </w:rPr>
              <w:t>20</w:t>
            </w:r>
            <w:r>
              <w:rPr>
                <w:rFonts w:hint="eastAsia"/>
              </w:rPr>
              <w:t>号）中的相关规定是符合的。</w:t>
            </w:r>
          </w:p>
          <w:p w14:paraId="655E290B">
            <w:pPr>
              <w:ind w:firstLine="0" w:firstLineChars="0"/>
              <w:rPr>
                <w:b/>
                <w:bCs/>
              </w:rPr>
            </w:pPr>
            <w:r>
              <w:rPr>
                <w:rFonts w:hint="eastAsia"/>
                <w:b/>
                <w:bCs/>
              </w:rPr>
              <w:t>1.4产业政策符合性分析</w:t>
            </w:r>
          </w:p>
          <w:p w14:paraId="68597F35">
            <w:pPr>
              <w:pStyle w:val="9"/>
              <w:ind w:firstLine="480"/>
            </w:pPr>
            <w:r>
              <w:t>（1）本项目为</w:t>
            </w:r>
            <w:r>
              <w:rPr>
                <w:rFonts w:hint="eastAsia"/>
              </w:rPr>
              <w:t>汽车制造业中汽车零部件及配件制造</w:t>
            </w:r>
            <w:r>
              <w:t>，</w:t>
            </w:r>
            <w:r>
              <w:rPr>
                <w:rFonts w:hint="eastAsia"/>
              </w:rPr>
              <w:t>不属于《产业结构调整指导目录（2024年本）》中的鼓励类、限制类、淘汰类项目，</w:t>
            </w:r>
            <w:r>
              <w:rPr>
                <w:rFonts w:hint="eastAsia"/>
                <w:shd w:val="clear" w:fill="FFFFFF"/>
              </w:rPr>
              <w:t>属</w:t>
            </w:r>
            <w:r>
              <w:rPr>
                <w:rFonts w:hint="eastAsia"/>
              </w:rPr>
              <w:t>允许类项目。项目于2025年4月14日取得了福清市发展和改革局备案证明（闽发改备</w:t>
            </w:r>
            <w:r>
              <w:rPr>
                <w:rFonts w:hint="eastAsia"/>
                <w:shd w:val="clear" w:fill="FFFFFF"/>
              </w:rPr>
              <w:t>[2025]</w:t>
            </w:r>
            <w:r>
              <w:rPr>
                <w:rFonts w:hint="eastAsia"/>
              </w:rPr>
              <w:t>A060143号）（见附件3）。</w:t>
            </w:r>
          </w:p>
          <w:p w14:paraId="4C7209E4">
            <w:pPr>
              <w:ind w:firstLine="480"/>
            </w:pPr>
            <w:r>
              <w:t>（</w:t>
            </w:r>
            <w:r>
              <w:rPr>
                <w:rFonts w:hint="eastAsia"/>
              </w:rPr>
              <w:t>2</w:t>
            </w:r>
            <w:r>
              <w:t>）对照</w:t>
            </w:r>
            <w:r>
              <w:rPr>
                <w:rFonts w:hint="eastAsia"/>
              </w:rPr>
              <w:t>《市场准入负面清单（2022年版）》，项目不属于清单中禁止准入类项目。</w:t>
            </w:r>
          </w:p>
          <w:p w14:paraId="4DF25069">
            <w:pPr>
              <w:ind w:firstLine="480"/>
            </w:pPr>
            <w:r>
              <w:rPr>
                <w:rFonts w:hint="eastAsia"/>
              </w:rPr>
              <w:t>（3）项目生产工艺装备不属于《部分工业行业淘汰落后生产工艺装备和产品指导目录》中规定的淘汰设备范畴。</w:t>
            </w:r>
          </w:p>
          <w:p w14:paraId="6403AB27">
            <w:pPr>
              <w:ind w:firstLine="480"/>
            </w:pPr>
            <w:r>
              <w:t>综上，本项目建设符合国家及地方当前的产业政策。</w:t>
            </w:r>
          </w:p>
          <w:p w14:paraId="7BC9DD4B">
            <w:pPr>
              <w:ind w:firstLine="0" w:firstLineChars="0"/>
              <w:rPr>
                <w:b/>
                <w:bCs/>
              </w:rPr>
            </w:pPr>
            <w:r>
              <w:rPr>
                <w:rFonts w:hint="eastAsia"/>
                <w:b/>
                <w:bCs/>
              </w:rPr>
              <w:t>1.5选址合理性分析</w:t>
            </w:r>
          </w:p>
          <w:p w14:paraId="0A3B7631">
            <w:pPr>
              <w:ind w:firstLine="480"/>
            </w:pPr>
            <w:r>
              <w:rPr>
                <w:rFonts w:hint="eastAsia"/>
              </w:rPr>
              <w:t>1、</w:t>
            </w:r>
            <w:r>
              <w:t>土地利用符合性</w:t>
            </w:r>
          </w:p>
          <w:p w14:paraId="2631F7AA">
            <w:pPr>
              <w:ind w:firstLine="480"/>
            </w:pPr>
            <w:r>
              <w:rPr>
                <w:rFonts w:hint="eastAsia"/>
              </w:rPr>
              <w:t>项目租赁福建三锋汽配开发有限公司位于福建省福州市福清市音西街道清繁大道1号的车间二（见附件4），根据出租方产权证（见附件5），项目用地属于工业用地，符合</w:t>
            </w:r>
            <w:r>
              <w:t>土地利用</w:t>
            </w:r>
            <w:r>
              <w:rPr>
                <w:rFonts w:hint="eastAsia"/>
              </w:rPr>
              <w:t>规划。</w:t>
            </w:r>
          </w:p>
          <w:p w14:paraId="65F701A2">
            <w:pPr>
              <w:ind w:firstLine="480"/>
            </w:pPr>
            <w:r>
              <w:rPr>
                <w:rFonts w:hint="eastAsia"/>
              </w:rPr>
              <w:t>2、周边环境相容性分析</w:t>
            </w:r>
          </w:p>
          <w:p w14:paraId="50068BA0">
            <w:pPr>
              <w:ind w:firstLine="480"/>
            </w:pPr>
            <w:r>
              <w:rPr>
                <w:lang w:bidi="zh-CN"/>
              </w:rPr>
              <w:t>根据现场踏勘，</w:t>
            </w:r>
            <w:r>
              <w:rPr>
                <w:rFonts w:hint="eastAsia"/>
              </w:rPr>
              <w:t>项目东、西、北侧均为福建三锋汽配开发有限公司现有工业厂房，南侧为清繁大道，周边无食品加工、医药等需要特别保护的企业，同时</w:t>
            </w:r>
            <w:r>
              <w:t>周边最近</w:t>
            </w:r>
            <w:r>
              <w:rPr>
                <w:rFonts w:hint="eastAsia"/>
              </w:rPr>
              <w:t>敏感点</w:t>
            </w:r>
            <w:r>
              <w:t>为</w:t>
            </w:r>
            <w:r>
              <w:rPr>
                <w:rFonts w:hint="eastAsia"/>
              </w:rPr>
              <w:t>450</w:t>
            </w:r>
            <w:r>
              <w:t>m处的</w:t>
            </w:r>
            <w:r>
              <w:rPr>
                <w:rFonts w:hint="eastAsia"/>
              </w:rPr>
              <w:t>黄厝村，距项目较远，</w:t>
            </w:r>
            <w:r>
              <w:t>建设单位在认真落实本环评提出的各项处理措施后，对外围的环境影响较小</w:t>
            </w:r>
            <w:r>
              <w:rPr>
                <w:lang w:bidi="zh-CN"/>
              </w:rPr>
              <w:t>。</w:t>
            </w:r>
          </w:p>
          <w:p w14:paraId="262768EB">
            <w:pPr>
              <w:ind w:firstLine="0" w:firstLineChars="0"/>
              <w:rPr>
                <w:b/>
                <w:bCs/>
              </w:rPr>
            </w:pPr>
            <w:r>
              <w:rPr>
                <w:rFonts w:hint="eastAsia"/>
                <w:b/>
                <w:bCs/>
              </w:rPr>
              <w:t>1.6</w:t>
            </w:r>
            <w:r>
              <w:rPr>
                <w:b/>
                <w:bCs/>
              </w:rPr>
              <w:t>与挥发性有机物污染防治政策相关内容符合性分析</w:t>
            </w:r>
          </w:p>
          <w:p w14:paraId="50F0D982">
            <w:pPr>
              <w:pStyle w:val="109"/>
              <w:rPr>
                <w:rFonts w:hint="eastAsia"/>
                <w:lang w:val="zh-CN" w:bidi="zh-CN"/>
              </w:rPr>
            </w:pPr>
            <w:r>
              <w:rPr>
                <w:lang w:val="zh-CN" w:bidi="zh-CN"/>
              </w:rPr>
              <w:t>本项目与挥发性有机物污染防治政策相关内容符合性分析详见表1.</w:t>
            </w:r>
            <w:r>
              <w:rPr>
                <w:rFonts w:hint="eastAsia"/>
                <w:lang w:val="zh-CN" w:bidi="zh-CN"/>
              </w:rPr>
              <w:t>6-1</w:t>
            </w:r>
            <w:r>
              <w:rPr>
                <w:lang w:val="zh-CN" w:bidi="zh-CN"/>
              </w:rPr>
              <w:t>。</w:t>
            </w:r>
          </w:p>
          <w:p w14:paraId="42D53DC6">
            <w:pPr>
              <w:pStyle w:val="92"/>
              <w:spacing w:before="120"/>
              <w:rPr>
                <w:rFonts w:hint="eastAsia" w:ascii="宋体" w:hAnsi="宋体"/>
              </w:rPr>
            </w:pPr>
            <w:r>
              <w:t>表1.</w:t>
            </w:r>
            <w:r>
              <w:rPr>
                <w:rFonts w:hint="eastAsia"/>
              </w:rPr>
              <w:t>6-1</w:t>
            </w:r>
            <w:r>
              <w:t xml:space="preserve"> 挥发性有机物污染防治政策相关内容</w:t>
            </w:r>
          </w:p>
          <w:tbl>
            <w:tblPr>
              <w:tblStyle w:val="8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408"/>
              <w:gridCol w:w="3792"/>
              <w:gridCol w:w="1701"/>
              <w:gridCol w:w="427"/>
            </w:tblGrid>
            <w:tr w14:paraId="3DF85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5" w:type="pct"/>
                  <w:vAlign w:val="center"/>
                </w:tcPr>
                <w:p w14:paraId="09AF9DD7">
                  <w:pPr>
                    <w:widowControl/>
                    <w:spacing w:line="240" w:lineRule="auto"/>
                    <w:ind w:firstLine="0" w:firstLineChars="0"/>
                    <w:jc w:val="center"/>
                    <w:rPr>
                      <w:rFonts w:ascii="Calibri" w:hAnsi="Calibri"/>
                      <w:sz w:val="21"/>
                      <w14:ligatures w14:val="standardContextual"/>
                    </w:rPr>
                  </w:pPr>
                  <w:r>
                    <w:rPr>
                      <w:rFonts w:hint="eastAsia"/>
                      <w:kern w:val="0"/>
                      <w:sz w:val="21"/>
                      <w14:ligatures w14:val="standardContextual"/>
                    </w:rPr>
                    <w:t>序号</w:t>
                  </w:r>
                </w:p>
              </w:tc>
              <w:tc>
                <w:tcPr>
                  <w:tcW w:w="908" w:type="pct"/>
                  <w:vAlign w:val="center"/>
                </w:tcPr>
                <w:p w14:paraId="3146EA78">
                  <w:pPr>
                    <w:widowControl/>
                    <w:spacing w:line="240" w:lineRule="auto"/>
                    <w:ind w:firstLine="0" w:firstLineChars="0"/>
                    <w:jc w:val="center"/>
                    <w:rPr>
                      <w:rFonts w:ascii="Calibri" w:hAnsi="Calibri"/>
                      <w:sz w:val="21"/>
                      <w14:ligatures w14:val="standardContextual"/>
                    </w:rPr>
                  </w:pPr>
                  <w:r>
                    <w:rPr>
                      <w:rFonts w:hint="eastAsia"/>
                      <w:kern w:val="0"/>
                      <w:sz w:val="21"/>
                      <w14:ligatures w14:val="standardContextual"/>
                    </w:rPr>
                    <w:t>相关文件名称</w:t>
                  </w:r>
                </w:p>
              </w:tc>
              <w:tc>
                <w:tcPr>
                  <w:tcW w:w="2445" w:type="pct"/>
                  <w:vAlign w:val="center"/>
                </w:tcPr>
                <w:p w14:paraId="089DBB43">
                  <w:pPr>
                    <w:widowControl/>
                    <w:spacing w:line="240" w:lineRule="auto"/>
                    <w:ind w:firstLine="0" w:firstLineChars="0"/>
                    <w:jc w:val="center"/>
                    <w:rPr>
                      <w:rFonts w:ascii="Calibri" w:hAnsi="Calibri"/>
                      <w:sz w:val="21"/>
                      <w14:ligatures w14:val="standardContextual"/>
                    </w:rPr>
                  </w:pPr>
                  <w:r>
                    <w:rPr>
                      <w:rFonts w:hint="eastAsia"/>
                      <w:kern w:val="0"/>
                      <w:sz w:val="21"/>
                      <w14:ligatures w14:val="standardContextual"/>
                    </w:rPr>
                    <w:t>相关内容</w:t>
                  </w:r>
                </w:p>
              </w:tc>
              <w:tc>
                <w:tcPr>
                  <w:tcW w:w="1097" w:type="pct"/>
                  <w:vAlign w:val="center"/>
                </w:tcPr>
                <w:p w14:paraId="2625BFA0">
                  <w:pPr>
                    <w:widowControl/>
                    <w:spacing w:line="240" w:lineRule="auto"/>
                    <w:ind w:firstLine="0" w:firstLineChars="0"/>
                    <w:jc w:val="center"/>
                    <w:rPr>
                      <w:rFonts w:ascii="Calibri" w:hAnsi="Calibri"/>
                      <w:sz w:val="21"/>
                      <w14:ligatures w14:val="standardContextual"/>
                    </w:rPr>
                  </w:pPr>
                  <w:r>
                    <w:rPr>
                      <w:rFonts w:hint="eastAsia"/>
                      <w:kern w:val="0"/>
                      <w:sz w:val="21"/>
                      <w14:ligatures w14:val="standardContextual"/>
                    </w:rPr>
                    <w:t>本项目内容</w:t>
                  </w:r>
                </w:p>
              </w:tc>
              <w:tc>
                <w:tcPr>
                  <w:tcW w:w="275" w:type="pct"/>
                  <w:vAlign w:val="center"/>
                </w:tcPr>
                <w:p w14:paraId="11351F24">
                  <w:pPr>
                    <w:widowControl/>
                    <w:spacing w:line="240" w:lineRule="auto"/>
                    <w:ind w:firstLine="0" w:firstLineChars="0"/>
                    <w:jc w:val="center"/>
                    <w:rPr>
                      <w:rFonts w:ascii="Calibri" w:hAnsi="Calibri"/>
                      <w:sz w:val="21"/>
                      <w14:ligatures w14:val="standardContextual"/>
                    </w:rPr>
                  </w:pPr>
                  <w:r>
                    <w:rPr>
                      <w:rFonts w:hint="eastAsia"/>
                      <w:kern w:val="0"/>
                      <w:sz w:val="21"/>
                      <w14:ligatures w14:val="standardContextual"/>
                    </w:rPr>
                    <w:t>符合性</w:t>
                  </w:r>
                </w:p>
              </w:tc>
            </w:tr>
            <w:tr w14:paraId="02E3B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5" w:type="pct"/>
                  <w:vAlign w:val="center"/>
                </w:tcPr>
                <w:p w14:paraId="7C028693">
                  <w:pPr>
                    <w:widowControl/>
                    <w:spacing w:line="240" w:lineRule="auto"/>
                    <w:ind w:firstLine="0" w:firstLineChars="0"/>
                    <w:jc w:val="center"/>
                    <w:rPr>
                      <w:rFonts w:ascii="Calibri" w:hAnsi="Calibri"/>
                      <w:sz w:val="21"/>
                      <w14:ligatures w14:val="standardContextual"/>
                    </w:rPr>
                  </w:pPr>
                  <w:r>
                    <w:rPr>
                      <w:kern w:val="0"/>
                      <w:sz w:val="21"/>
                      <w14:ligatures w14:val="standardContextual"/>
                    </w:rPr>
                    <w:t>1</w:t>
                  </w:r>
                </w:p>
              </w:tc>
              <w:tc>
                <w:tcPr>
                  <w:tcW w:w="908" w:type="pct"/>
                  <w:vAlign w:val="center"/>
                </w:tcPr>
                <w:p w14:paraId="07F1A5F3">
                  <w:pPr>
                    <w:widowControl/>
                    <w:spacing w:line="240" w:lineRule="auto"/>
                    <w:ind w:firstLine="0" w:firstLineChars="0"/>
                    <w:jc w:val="center"/>
                    <w:rPr>
                      <w:kern w:val="0"/>
                      <w:sz w:val="21"/>
                      <w14:ligatures w14:val="standardContextual"/>
                    </w:rPr>
                  </w:pPr>
                  <w:r>
                    <w:rPr>
                      <w:rFonts w:hint="eastAsia"/>
                      <w:kern w:val="0"/>
                      <w:sz w:val="21"/>
                      <w14:ligatures w14:val="standardContextual"/>
                    </w:rPr>
                    <w:t>《福建省“十四五”空气质量改善规划》(2022年)</w:t>
                  </w:r>
                </w:p>
              </w:tc>
              <w:tc>
                <w:tcPr>
                  <w:tcW w:w="2445" w:type="pct"/>
                  <w:vAlign w:val="center"/>
                </w:tcPr>
                <w:p w14:paraId="5C780828">
                  <w:pPr>
                    <w:widowControl/>
                    <w:spacing w:line="240" w:lineRule="auto"/>
                    <w:ind w:firstLine="0" w:firstLineChars="0"/>
                    <w:jc w:val="center"/>
                    <w:rPr>
                      <w:kern w:val="0"/>
                      <w:sz w:val="21"/>
                      <w14:ligatures w14:val="standardContextual"/>
                    </w:rPr>
                  </w:pPr>
                  <w:r>
                    <w:rPr>
                      <w:rFonts w:hint="eastAsia"/>
                      <w:kern w:val="0"/>
                      <w:sz w:val="21"/>
                      <w14:ligatures w14:val="standardContextual"/>
                    </w:rPr>
                    <w:t>推广使用水性、高固体分、无溶剂、粉末等低VOCs含量涂料，......</w:t>
                  </w:r>
                  <w:r>
                    <w:rPr>
                      <w:rFonts w:hint="eastAsia"/>
                      <w:kern w:val="0"/>
                      <w:sz w:val="21"/>
                      <w:shd w:val="clear" w:fill="FFFFFF"/>
                      <w:lang w:eastAsia="zh-CN"/>
                      <w14:ligatures w14:val="standardContextual"/>
                    </w:rPr>
                    <w:t>木制家具</w:t>
                  </w:r>
                  <w:r>
                    <w:rPr>
                      <w:rFonts w:hint="eastAsia"/>
                      <w:kern w:val="0"/>
                      <w:sz w:val="21"/>
                      <w14:ligatures w14:val="standardContextual"/>
                    </w:rPr>
                    <w:t>制造、汽车零部件、工程机械使用比例达到50%以上；......严格执行涂料、油墨、</w:t>
                  </w:r>
                  <w:r>
                    <w:rPr>
                      <w:rFonts w:hint="eastAsia"/>
                      <w:kern w:val="0"/>
                      <w:sz w:val="21"/>
                      <w:shd w:val="clear" w:fill="FFFFFF"/>
                      <w14:ligatures w14:val="standardContextual"/>
                    </w:rPr>
                    <w:t>胶粘剂</w:t>
                  </w:r>
                  <w:r>
                    <w:rPr>
                      <w:rFonts w:hint="eastAsia"/>
                      <w:kern w:val="0"/>
                      <w:sz w:val="21"/>
                      <w14:ligatures w14:val="standardContextual"/>
                    </w:rPr>
                    <w:t>、清洗剂VOCs含量限值标准，加大抽检力度，确保生产、销售、进口、使用符合标准的产品。严格涉VOCs建设项目环境影响评价，VOCs排放实行区域内等量替代，福州、厦门、漳州、泉州、莆田、宁德实施VOCs倍量替代。</w:t>
                  </w:r>
                </w:p>
              </w:tc>
              <w:tc>
                <w:tcPr>
                  <w:tcW w:w="1097" w:type="pct"/>
                  <w:vAlign w:val="center"/>
                </w:tcPr>
                <w:p w14:paraId="03DDDF2B">
                  <w:pPr>
                    <w:widowControl/>
                    <w:spacing w:line="240" w:lineRule="auto"/>
                    <w:ind w:firstLine="0" w:firstLineChars="0"/>
                    <w:jc w:val="center"/>
                    <w:rPr>
                      <w:kern w:val="0"/>
                      <w:sz w:val="21"/>
                      <w14:ligatures w14:val="standardContextual"/>
                    </w:rPr>
                  </w:pPr>
                  <w:r>
                    <w:rPr>
                      <w:rFonts w:hint="eastAsia"/>
                      <w:kern w:val="0"/>
                      <w:sz w:val="21"/>
                      <w14:ligatures w14:val="standardContextual"/>
                    </w:rPr>
                    <w:t>项目使用的</w:t>
                  </w:r>
                  <w:r>
                    <w:rPr>
                      <w:rFonts w:hint="eastAsia"/>
                      <w:kern w:val="0"/>
                      <w:sz w:val="21"/>
                      <w:shd w:val="clear" w:fill="FFFFFF"/>
                      <w14:ligatures w14:val="standardContextual"/>
                    </w:rPr>
                    <w:t>胶粘剂</w:t>
                  </w:r>
                  <w:r>
                    <w:rPr>
                      <w:rFonts w:hint="eastAsia"/>
                      <w:kern w:val="0"/>
                      <w:sz w:val="21"/>
                      <w14:ligatures w14:val="standardContextual"/>
                    </w:rPr>
                    <w:t>、密封胶符合《</w:t>
                  </w:r>
                  <w:r>
                    <w:rPr>
                      <w:rFonts w:hint="eastAsia"/>
                      <w:kern w:val="0"/>
                      <w:sz w:val="21"/>
                      <w:shd w:val="clear" w:fill="FFFFFF"/>
                      <w14:ligatures w14:val="standardContextual"/>
                    </w:rPr>
                    <w:t>胶粘剂</w:t>
                  </w:r>
                  <w:r>
                    <w:rPr>
                      <w:rFonts w:hint="eastAsia"/>
                      <w:kern w:val="0"/>
                      <w:sz w:val="21"/>
                      <w14:ligatures w14:val="standardContextual"/>
                    </w:rPr>
                    <w:t>挥发性有机化合物限量》限值要求，排放的VOCs实行倍量替代</w:t>
                  </w:r>
                </w:p>
              </w:tc>
              <w:tc>
                <w:tcPr>
                  <w:tcW w:w="275" w:type="pct"/>
                  <w:vAlign w:val="center"/>
                </w:tcPr>
                <w:p w14:paraId="71C73907">
                  <w:pPr>
                    <w:widowControl/>
                    <w:spacing w:line="240" w:lineRule="auto"/>
                    <w:ind w:firstLine="0" w:firstLineChars="0"/>
                    <w:jc w:val="center"/>
                    <w:rPr>
                      <w:rFonts w:ascii="Calibri" w:hAnsi="Calibri"/>
                      <w:sz w:val="21"/>
                      <w14:ligatures w14:val="standardContextual"/>
                    </w:rPr>
                  </w:pPr>
                  <w:r>
                    <w:rPr>
                      <w:rFonts w:hint="eastAsia"/>
                      <w:kern w:val="0"/>
                      <w:sz w:val="21"/>
                      <w14:ligatures w14:val="standardContextual"/>
                    </w:rPr>
                    <w:t>符合</w:t>
                  </w:r>
                </w:p>
              </w:tc>
            </w:tr>
            <w:tr w14:paraId="4BC4C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5" w:type="pct"/>
                  <w:vAlign w:val="center"/>
                </w:tcPr>
                <w:p w14:paraId="759DF8CA">
                  <w:pPr>
                    <w:widowControl/>
                    <w:spacing w:line="240" w:lineRule="auto"/>
                    <w:ind w:firstLine="0" w:firstLineChars="0"/>
                    <w:jc w:val="center"/>
                    <w:rPr>
                      <w:kern w:val="0"/>
                      <w:sz w:val="21"/>
                      <w14:ligatures w14:val="standardContextual"/>
                    </w:rPr>
                  </w:pPr>
                  <w:r>
                    <w:rPr>
                      <w:rFonts w:hint="eastAsia"/>
                      <w:kern w:val="0"/>
                      <w:sz w:val="21"/>
                      <w14:ligatures w14:val="standardContextual"/>
                    </w:rPr>
                    <w:t>2</w:t>
                  </w:r>
                </w:p>
              </w:tc>
              <w:tc>
                <w:tcPr>
                  <w:tcW w:w="908" w:type="pct"/>
                  <w:vAlign w:val="center"/>
                </w:tcPr>
                <w:p w14:paraId="485E59EA">
                  <w:pPr>
                    <w:widowControl/>
                    <w:spacing w:line="240" w:lineRule="auto"/>
                    <w:ind w:firstLine="0" w:firstLineChars="0"/>
                    <w:jc w:val="center"/>
                    <w:rPr>
                      <w:kern w:val="0"/>
                      <w:sz w:val="21"/>
                      <w14:ligatures w14:val="standardContextual"/>
                    </w:rPr>
                  </w:pPr>
                  <w:r>
                    <w:rPr>
                      <w:kern w:val="0"/>
                      <w:sz w:val="21"/>
                      <w14:ligatures w14:val="standardContextual"/>
                    </w:rPr>
                    <w:t>《福建省2020年挥发性有机物治理攻坚实施方案》的通知(闽环保大气〔2020〕6号)</w:t>
                  </w:r>
                </w:p>
              </w:tc>
              <w:tc>
                <w:tcPr>
                  <w:tcW w:w="2445" w:type="pct"/>
                  <w:vAlign w:val="center"/>
                </w:tcPr>
                <w:p w14:paraId="66AC5294">
                  <w:pPr>
                    <w:widowControl/>
                    <w:spacing w:line="240" w:lineRule="auto"/>
                    <w:ind w:firstLine="0" w:firstLineChars="0"/>
                    <w:jc w:val="center"/>
                    <w:rPr>
                      <w:kern w:val="0"/>
                      <w:sz w:val="21"/>
                      <w14:ligatures w14:val="standardContextual"/>
                    </w:rPr>
                  </w:pPr>
                  <w:r>
                    <w:rPr>
                      <w:rFonts w:hint="eastAsia"/>
                      <w:kern w:val="0"/>
                      <w:sz w:val="21"/>
                      <w14:ligatures w14:val="standardContextual"/>
                    </w:rPr>
                    <w:t>(1)大力推进源头替代，有效减少VOCs产生；</w:t>
                  </w:r>
                </w:p>
                <w:p w14:paraId="7BE8D92B">
                  <w:pPr>
                    <w:widowControl/>
                    <w:spacing w:line="240" w:lineRule="auto"/>
                    <w:ind w:firstLine="0" w:firstLineChars="0"/>
                    <w:jc w:val="center"/>
                    <w:rPr>
                      <w:kern w:val="0"/>
                      <w:sz w:val="21"/>
                      <w14:ligatures w14:val="standardContextual"/>
                    </w:rPr>
                  </w:pPr>
                  <w:r>
                    <w:rPr>
                      <w:rFonts w:hint="eastAsia"/>
                      <w:kern w:val="0"/>
                      <w:sz w:val="21"/>
                      <w14:ligatures w14:val="standardContextual"/>
                    </w:rPr>
                    <w:t>(2)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渣、液)、废吸附剂等通过加盖、封装等方式密闭，妥善存放，集中清运，交有资质的单位处置，不得随意丢弃；</w:t>
                  </w:r>
                </w:p>
                <w:p w14:paraId="2EE04BEB">
                  <w:pPr>
                    <w:widowControl/>
                    <w:spacing w:line="240" w:lineRule="auto"/>
                    <w:ind w:firstLine="0" w:firstLineChars="0"/>
                    <w:jc w:val="center"/>
                    <w:rPr>
                      <w:kern w:val="0"/>
                      <w:sz w:val="21"/>
                      <w14:ligatures w14:val="standardContextual"/>
                    </w:rPr>
                  </w:pPr>
                  <w:r>
                    <w:rPr>
                      <w:rFonts w:hint="eastAsia"/>
                      <w:kern w:val="0"/>
                      <w:sz w:val="21"/>
                      <w14:ligatures w14:val="standardContextual"/>
                    </w:rPr>
                    <w:t>(3)聚焦治污设施“三率”，提升综合治理效率</w:t>
                  </w:r>
                  <w:r>
                    <w:rPr>
                      <w:rFonts w:hint="eastAsia"/>
                      <w:kern w:val="0"/>
                      <w:sz w:val="21"/>
                      <w:shd w:val="clear" w:fill="FFFFFF"/>
                      <w14:ligatures w14:val="standardContextual"/>
                    </w:rPr>
                    <w:t>。.</w:t>
                  </w:r>
                  <w:r>
                    <w:rPr>
                      <w:rFonts w:hint="eastAsia"/>
                      <w:kern w:val="0"/>
                      <w:sz w:val="21"/>
                      <w14:ligatures w14:val="standardContextual"/>
                    </w:rPr>
                    <w:t>.....除恶臭异味治理外，一般不采用低温等离子、光催化、光氧化等技术。优先采用密闭设备、在密闭空间中操作或采用全密闭集气罩收集方式；......采用活性炭吸附技术的，应选择碘值不低于800毫克/克的活性炭，并按设计要求足量添加</w:t>
                  </w:r>
                  <w:r>
                    <w:rPr>
                      <w:rFonts w:hint="eastAsia"/>
                      <w:kern w:val="0"/>
                      <w:sz w:val="21"/>
                      <w:lang w:eastAsia="zh-CN"/>
                      <w14:ligatures w14:val="standardContextual"/>
                    </w:rPr>
                    <w:t>及</w:t>
                  </w:r>
                  <w:r>
                    <w:rPr>
                      <w:rFonts w:hint="eastAsia"/>
                      <w:kern w:val="0"/>
                      <w:sz w:val="21"/>
                      <w14:ligatures w14:val="standardContextual"/>
                    </w:rPr>
                    <w:t>时更换。</w:t>
                  </w:r>
                </w:p>
              </w:tc>
              <w:tc>
                <w:tcPr>
                  <w:tcW w:w="1097" w:type="pct"/>
                  <w:vAlign w:val="center"/>
                </w:tcPr>
                <w:p w14:paraId="6DCD559A">
                  <w:pPr>
                    <w:widowControl/>
                    <w:spacing w:line="240" w:lineRule="auto"/>
                    <w:ind w:firstLine="0" w:firstLineChars="0"/>
                    <w:jc w:val="center"/>
                    <w:rPr>
                      <w:kern w:val="0"/>
                      <w:sz w:val="21"/>
                      <w14:ligatures w14:val="standardContextual"/>
                    </w:rPr>
                  </w:pPr>
                  <w:r>
                    <w:rPr>
                      <w:rFonts w:hint="eastAsia"/>
                      <w:kern w:val="0"/>
                      <w:sz w:val="21"/>
                      <w14:ligatures w14:val="standardContextual"/>
                    </w:rPr>
                    <w:t>(1)项目使用的</w:t>
                  </w:r>
                  <w:r>
                    <w:rPr>
                      <w:rFonts w:hint="eastAsia"/>
                      <w:kern w:val="0"/>
                      <w:sz w:val="21"/>
                      <w:shd w:val="clear" w:fill="FFFFFF"/>
                      <w14:ligatures w14:val="standardContextual"/>
                    </w:rPr>
                    <w:t>胶粘剂</w:t>
                  </w:r>
                  <w:r>
                    <w:rPr>
                      <w:rFonts w:hint="eastAsia"/>
                      <w:kern w:val="0"/>
                      <w:sz w:val="21"/>
                      <w14:ligatures w14:val="standardContextual"/>
                    </w:rPr>
                    <w:t>、密封胶符合《</w:t>
                  </w:r>
                  <w:r>
                    <w:rPr>
                      <w:rFonts w:hint="eastAsia"/>
                      <w:kern w:val="0"/>
                      <w:sz w:val="21"/>
                      <w:shd w:val="clear" w:fill="FFFFFF"/>
                      <w14:ligatures w14:val="standardContextual"/>
                    </w:rPr>
                    <w:t>胶粘剂</w:t>
                  </w:r>
                  <w:r>
                    <w:rPr>
                      <w:rFonts w:hint="eastAsia"/>
                      <w:kern w:val="0"/>
                      <w:sz w:val="21"/>
                      <w14:ligatures w14:val="standardContextual"/>
                    </w:rPr>
                    <w:t>挥发性有机化合物限量》限值要求；</w:t>
                  </w:r>
                </w:p>
                <w:p w14:paraId="7959EFF9">
                  <w:pPr>
                    <w:widowControl/>
                    <w:spacing w:line="240" w:lineRule="auto"/>
                    <w:ind w:firstLine="0" w:firstLineChars="0"/>
                    <w:jc w:val="center"/>
                    <w:rPr>
                      <w:kern w:val="0"/>
                      <w:sz w:val="21"/>
                      <w14:ligatures w14:val="standardContextual"/>
                    </w:rPr>
                  </w:pPr>
                  <w:r>
                    <w:rPr>
                      <w:rFonts w:hint="eastAsia"/>
                      <w:kern w:val="0"/>
                      <w:sz w:val="21"/>
                      <w14:ligatures w14:val="standardContextual"/>
                    </w:rPr>
                    <w:t>(2)原料采用密闭袋装暂存在原料仓库；项目采取集气罩收集废气；拟将更换的废</w:t>
                  </w:r>
                  <w:r>
                    <w:rPr>
                      <w:rFonts w:hint="eastAsia"/>
                      <w:kern w:val="0"/>
                      <w:sz w:val="21"/>
                      <w:shd w:val="clear" w:fill="FFFFFF"/>
                      <w14:ligatures w14:val="standardContextual"/>
                    </w:rPr>
                    <w:t>活性等当做</w:t>
                  </w:r>
                  <w:r>
                    <w:rPr>
                      <w:rFonts w:hint="eastAsia"/>
                      <w:kern w:val="0"/>
                      <w:sz w:val="21"/>
                      <w14:ligatures w14:val="standardContextual"/>
                    </w:rPr>
                    <w:t>危险废物，袋装密闭暂存于危险废物暂存库内，定期委托有资质单位统一处置；</w:t>
                  </w:r>
                </w:p>
                <w:p w14:paraId="0A582D8E">
                  <w:pPr>
                    <w:widowControl/>
                    <w:spacing w:line="240" w:lineRule="auto"/>
                    <w:ind w:firstLine="0" w:firstLineChars="0"/>
                    <w:jc w:val="center"/>
                    <w:rPr>
                      <w:kern w:val="0"/>
                      <w:sz w:val="21"/>
                      <w14:ligatures w14:val="standardContextual"/>
                    </w:rPr>
                  </w:pPr>
                  <w:r>
                    <w:rPr>
                      <w:rFonts w:hint="eastAsia"/>
                      <w:kern w:val="0"/>
                      <w:sz w:val="21"/>
                      <w14:ligatures w14:val="standardContextual"/>
                    </w:rPr>
                    <w:t>(3)本项目将产生的非甲烷总烃收集后通过1套“二级活性炭吸附装置”处理后排放，项目采取集气罩将废气收集，采用碘值不低于800毫克/克的活性炭，并定期更换</w:t>
                  </w:r>
                </w:p>
              </w:tc>
              <w:tc>
                <w:tcPr>
                  <w:tcW w:w="275" w:type="pct"/>
                  <w:vAlign w:val="center"/>
                </w:tcPr>
                <w:p w14:paraId="73D84B11">
                  <w:pPr>
                    <w:widowControl/>
                    <w:spacing w:line="240" w:lineRule="auto"/>
                    <w:ind w:firstLine="0" w:firstLineChars="0"/>
                    <w:jc w:val="center"/>
                    <w:rPr>
                      <w:kern w:val="0"/>
                      <w:sz w:val="21"/>
                      <w14:ligatures w14:val="standardContextual"/>
                    </w:rPr>
                  </w:pPr>
                  <w:r>
                    <w:rPr>
                      <w:rFonts w:hint="eastAsia"/>
                      <w:kern w:val="0"/>
                      <w:sz w:val="21"/>
                      <w14:ligatures w14:val="standardContextual"/>
                    </w:rPr>
                    <w:t>符合</w:t>
                  </w:r>
                </w:p>
              </w:tc>
            </w:tr>
            <w:tr w14:paraId="161379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5" w:type="pct"/>
                  <w:vAlign w:val="center"/>
                </w:tcPr>
                <w:p w14:paraId="57ACBAB5">
                  <w:pPr>
                    <w:widowControl/>
                    <w:spacing w:line="240" w:lineRule="auto"/>
                    <w:ind w:firstLine="0" w:firstLineChars="0"/>
                    <w:jc w:val="center"/>
                    <w:rPr>
                      <w:kern w:val="0"/>
                      <w:sz w:val="21"/>
                      <w14:ligatures w14:val="standardContextual"/>
                    </w:rPr>
                  </w:pPr>
                  <w:r>
                    <w:rPr>
                      <w:rFonts w:hint="eastAsia"/>
                      <w:kern w:val="0"/>
                      <w:sz w:val="21"/>
                      <w14:ligatures w14:val="standardContextual"/>
                    </w:rPr>
                    <w:t>3</w:t>
                  </w:r>
                </w:p>
              </w:tc>
              <w:tc>
                <w:tcPr>
                  <w:tcW w:w="908" w:type="pct"/>
                  <w:vAlign w:val="center"/>
                </w:tcPr>
                <w:p w14:paraId="18838753">
                  <w:pPr>
                    <w:widowControl/>
                    <w:spacing w:line="240" w:lineRule="auto"/>
                    <w:ind w:firstLine="0" w:firstLineChars="0"/>
                    <w:jc w:val="center"/>
                    <w:rPr>
                      <w:kern w:val="0"/>
                      <w:sz w:val="21"/>
                      <w14:ligatures w14:val="standardContextual"/>
                    </w:rPr>
                  </w:pPr>
                  <w:r>
                    <w:rPr>
                      <w:rFonts w:hint="eastAsia"/>
                      <w:kern w:val="0"/>
                      <w:sz w:val="21"/>
                      <w14:ligatures w14:val="standardContextual"/>
                    </w:rPr>
                    <w:t>《福州市生态环境保护委员会办公室关于印发</w:t>
                  </w:r>
                  <w:r>
                    <w:rPr>
                      <w:kern w:val="0"/>
                      <w:sz w:val="21"/>
                      <w14:ligatures w14:val="standardContextual"/>
                    </w:rPr>
                    <w:t>2022</w:t>
                  </w:r>
                  <w:r>
                    <w:rPr>
                      <w:rFonts w:hint="eastAsia"/>
                      <w:kern w:val="0"/>
                      <w:sz w:val="21"/>
                      <w14:ligatures w14:val="standardContextual"/>
                    </w:rPr>
                    <w:t>年度福州市蓝天碧海净土保卫战行动计划通知》</w:t>
                  </w:r>
                  <w:r>
                    <w:rPr>
                      <w:kern w:val="0"/>
                      <w:sz w:val="21"/>
                      <w14:ligatures w14:val="standardContextual"/>
                    </w:rPr>
                    <w:t>(</w:t>
                  </w:r>
                  <w:r>
                    <w:rPr>
                      <w:rFonts w:hint="eastAsia"/>
                      <w:kern w:val="0"/>
                      <w:sz w:val="21"/>
                      <w14:ligatures w14:val="standardContextual"/>
                    </w:rPr>
                    <w:t>榕环委办</w:t>
                  </w:r>
                  <w:r>
                    <w:rPr>
                      <w:kern w:val="0"/>
                      <w:sz w:val="21"/>
                      <w:shd w:val="clear" w:fill="FFFFFF"/>
                      <w14:ligatures w14:val="standardContextual"/>
                    </w:rPr>
                    <w:t>[2022]49</w:t>
                  </w:r>
                  <w:r>
                    <w:rPr>
                      <w:rFonts w:hint="eastAsia"/>
                      <w:kern w:val="0"/>
                      <w:sz w:val="21"/>
                      <w:shd w:val="clear" w:fill="FFFFFF"/>
                      <w14:ligatures w14:val="standardContextual"/>
                    </w:rPr>
                    <w:t>号</w:t>
                  </w:r>
                  <w:r>
                    <w:rPr>
                      <w:kern w:val="0"/>
                      <w:sz w:val="21"/>
                      <w14:ligatures w14:val="standardContextual"/>
                    </w:rPr>
                    <w:t>)</w:t>
                  </w:r>
                </w:p>
              </w:tc>
              <w:tc>
                <w:tcPr>
                  <w:tcW w:w="2445" w:type="pct"/>
                  <w:vAlign w:val="center"/>
                </w:tcPr>
                <w:p w14:paraId="08EB3F44">
                  <w:pPr>
                    <w:widowControl/>
                    <w:spacing w:line="240" w:lineRule="auto"/>
                    <w:ind w:firstLine="0" w:firstLineChars="0"/>
                    <w:jc w:val="center"/>
                    <w:rPr>
                      <w:kern w:val="0"/>
                      <w:sz w:val="21"/>
                      <w14:ligatures w14:val="standardContextual"/>
                    </w:rPr>
                  </w:pPr>
                  <w:r>
                    <w:rPr>
                      <w:kern w:val="0"/>
                      <w:sz w:val="21"/>
                      <w14:ligatures w14:val="standardContextual"/>
                    </w:rPr>
                    <w:t>四是严格涉VOCs建设项目环境影响评价审批。新、改、扩建涉VOCs排放项目，应使用低(无)VOCs涂料、粘胶剂等，实施新建项目VOCs排放区域内1.2及以上倍量替代。VOCs年排放量大于5吨的新建项目投运前应安装VOCs在线监控设备，并接入市生态云平台。</w:t>
                  </w:r>
                </w:p>
              </w:tc>
              <w:tc>
                <w:tcPr>
                  <w:tcW w:w="1097" w:type="pct"/>
                  <w:vAlign w:val="center"/>
                </w:tcPr>
                <w:p w14:paraId="43E6CB73">
                  <w:pPr>
                    <w:widowControl/>
                    <w:spacing w:line="240" w:lineRule="auto"/>
                    <w:ind w:firstLine="0" w:firstLineChars="0"/>
                    <w:jc w:val="center"/>
                    <w:rPr>
                      <w:kern w:val="0"/>
                      <w:sz w:val="21"/>
                      <w14:ligatures w14:val="standardContextual"/>
                    </w:rPr>
                  </w:pPr>
                  <w:r>
                    <w:rPr>
                      <w:kern w:val="0"/>
                      <w:sz w:val="21"/>
                      <w14:ligatures w14:val="standardContextual"/>
                    </w:rPr>
                    <w:t>项目VOCs排放拟实行区域内倍量替代，项目VOCs年排放量小于5吨。</w:t>
                  </w:r>
                </w:p>
              </w:tc>
              <w:tc>
                <w:tcPr>
                  <w:tcW w:w="275" w:type="pct"/>
                  <w:vAlign w:val="center"/>
                </w:tcPr>
                <w:p w14:paraId="0817DA04">
                  <w:pPr>
                    <w:widowControl/>
                    <w:spacing w:line="240" w:lineRule="auto"/>
                    <w:ind w:firstLine="0" w:firstLineChars="0"/>
                    <w:jc w:val="center"/>
                    <w:rPr>
                      <w:kern w:val="0"/>
                      <w:sz w:val="21"/>
                      <w14:ligatures w14:val="standardContextual"/>
                    </w:rPr>
                  </w:pPr>
                  <w:r>
                    <w:rPr>
                      <w:rFonts w:hint="eastAsia"/>
                      <w:kern w:val="0"/>
                      <w:sz w:val="21"/>
                      <w14:ligatures w14:val="standardContextual"/>
                    </w:rPr>
                    <w:t>符合</w:t>
                  </w:r>
                </w:p>
              </w:tc>
            </w:tr>
            <w:tr w14:paraId="077B6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5" w:type="pct"/>
                  <w:vAlign w:val="center"/>
                </w:tcPr>
                <w:p w14:paraId="0432EB0F">
                  <w:pPr>
                    <w:widowControl/>
                    <w:spacing w:line="240" w:lineRule="auto"/>
                    <w:ind w:firstLine="0" w:firstLineChars="0"/>
                    <w:jc w:val="center"/>
                    <w:rPr>
                      <w:kern w:val="0"/>
                      <w:sz w:val="21"/>
                      <w14:ligatures w14:val="standardContextual"/>
                    </w:rPr>
                  </w:pPr>
                  <w:r>
                    <w:rPr>
                      <w:rFonts w:hint="eastAsia"/>
                      <w:kern w:val="0"/>
                      <w:sz w:val="21"/>
                      <w14:ligatures w14:val="standardContextual"/>
                    </w:rPr>
                    <w:t>4</w:t>
                  </w:r>
                </w:p>
              </w:tc>
              <w:tc>
                <w:tcPr>
                  <w:tcW w:w="908" w:type="pct"/>
                  <w:vAlign w:val="center"/>
                </w:tcPr>
                <w:p w14:paraId="30706149">
                  <w:pPr>
                    <w:pStyle w:val="41"/>
                    <w:rPr>
                      <w:kern w:val="0"/>
                    </w:rPr>
                  </w:pPr>
                  <w:r>
                    <w:t>《福州市“十四五”生态环境保护规划》(榕政办〔2021〕123 号)</w:t>
                  </w:r>
                </w:p>
                <w:p w14:paraId="62510842">
                  <w:pPr>
                    <w:pStyle w:val="41"/>
                    <w:rPr>
                      <w:kern w:val="0"/>
                      <w14:ligatures w14:val="standardContextual"/>
                    </w:rPr>
                  </w:pPr>
                </w:p>
              </w:tc>
              <w:tc>
                <w:tcPr>
                  <w:tcW w:w="2445" w:type="pct"/>
                  <w:vAlign w:val="center"/>
                </w:tcPr>
                <w:p w14:paraId="59B6A48A">
                  <w:pPr>
                    <w:pStyle w:val="41"/>
                    <w:rPr>
                      <w:kern w:val="0"/>
                      <w14:ligatures w14:val="standardContextual"/>
                    </w:rPr>
                  </w:pPr>
                  <w:r>
                    <w:t>强化挥发性有机物整治</w:t>
                  </w:r>
                  <w:r>
                    <w:rPr>
                      <w:shd w:val="clear" w:fill="FFFFFF"/>
                    </w:rPr>
                    <w:t>。.</w:t>
                  </w:r>
                  <w:r>
                    <w:t>.....实行挥发性有机物排放倍量替代。加大涉VOCs企业源头替代力度，推广使用低(无)VOCs原辅材料替代，禁止生产高VOCs含量有机溶剂型涂料、油墨和</w:t>
                  </w:r>
                  <w:r>
                    <w:rPr>
                      <w:shd w:val="clear" w:fill="FFFFFF"/>
                    </w:rPr>
                    <w:t>胶粘剂</w:t>
                  </w:r>
                  <w:r>
                    <w:t>的新、改、扩建项目，推进重点企业“油改水”治理，提高有机溶剂回收率。”</w:t>
                  </w:r>
                </w:p>
              </w:tc>
              <w:tc>
                <w:tcPr>
                  <w:tcW w:w="1097" w:type="pct"/>
                  <w:vAlign w:val="center"/>
                </w:tcPr>
                <w:p w14:paraId="4ED336CC">
                  <w:pPr>
                    <w:widowControl/>
                    <w:spacing w:line="240" w:lineRule="auto"/>
                    <w:ind w:firstLine="0" w:firstLineChars="0"/>
                    <w:jc w:val="center"/>
                    <w:rPr>
                      <w:kern w:val="0"/>
                      <w:sz w:val="21"/>
                      <w14:ligatures w14:val="standardContextual"/>
                    </w:rPr>
                  </w:pPr>
                  <w:r>
                    <w:rPr>
                      <w:kern w:val="0"/>
                      <w:sz w:val="21"/>
                      <w14:ligatures w14:val="standardContextual"/>
                    </w:rPr>
                    <w:t>项目VOCs排放拟实行区域内倍量替代，</w:t>
                  </w:r>
                  <w:r>
                    <w:rPr>
                      <w:rFonts w:hint="eastAsia"/>
                      <w:kern w:val="0"/>
                      <w:sz w:val="21"/>
                      <w14:ligatures w14:val="standardContextual"/>
                    </w:rPr>
                    <w:t>使用的</w:t>
                  </w:r>
                  <w:r>
                    <w:rPr>
                      <w:rFonts w:hint="eastAsia"/>
                      <w:kern w:val="0"/>
                      <w:sz w:val="21"/>
                      <w:shd w:val="clear" w:fill="FFFFFF"/>
                      <w14:ligatures w14:val="standardContextual"/>
                    </w:rPr>
                    <w:t>胶粘剂</w:t>
                  </w:r>
                  <w:r>
                    <w:rPr>
                      <w:rFonts w:hint="eastAsia"/>
                      <w:kern w:val="0"/>
                      <w:sz w:val="21"/>
                      <w14:ligatures w14:val="standardContextual"/>
                    </w:rPr>
                    <w:t>、密封胶符合《</w:t>
                  </w:r>
                  <w:r>
                    <w:rPr>
                      <w:rFonts w:hint="eastAsia"/>
                      <w:kern w:val="0"/>
                      <w:sz w:val="21"/>
                      <w:shd w:val="clear" w:fill="FFFFFF"/>
                      <w14:ligatures w14:val="standardContextual"/>
                    </w:rPr>
                    <w:t>胶粘剂</w:t>
                  </w:r>
                  <w:r>
                    <w:rPr>
                      <w:rFonts w:hint="eastAsia"/>
                      <w:kern w:val="0"/>
                      <w:sz w:val="21"/>
                      <w14:ligatures w14:val="standardContextual"/>
                    </w:rPr>
                    <w:t>挥发性有机化合物限量》限值要求</w:t>
                  </w:r>
                </w:p>
              </w:tc>
              <w:tc>
                <w:tcPr>
                  <w:tcW w:w="275" w:type="pct"/>
                  <w:vAlign w:val="center"/>
                </w:tcPr>
                <w:p w14:paraId="17EA02D5">
                  <w:pPr>
                    <w:widowControl/>
                    <w:spacing w:line="240" w:lineRule="auto"/>
                    <w:ind w:firstLine="0" w:firstLineChars="0"/>
                    <w:jc w:val="center"/>
                    <w:rPr>
                      <w:kern w:val="0"/>
                      <w:sz w:val="21"/>
                      <w14:ligatures w14:val="standardContextual"/>
                    </w:rPr>
                  </w:pPr>
                  <w:r>
                    <w:rPr>
                      <w:rFonts w:hint="eastAsia"/>
                      <w:kern w:val="0"/>
                      <w:sz w:val="21"/>
                      <w14:ligatures w14:val="standardContextual"/>
                    </w:rPr>
                    <w:t>符合</w:t>
                  </w:r>
                </w:p>
              </w:tc>
            </w:tr>
          </w:tbl>
          <w:p w14:paraId="251A780E">
            <w:pPr>
              <w:pStyle w:val="109"/>
              <w:rPr>
                <w:rFonts w:hint="eastAsia"/>
              </w:rPr>
            </w:pPr>
          </w:p>
          <w:p w14:paraId="037C8216">
            <w:pPr>
              <w:pStyle w:val="109"/>
              <w:rPr>
                <w:rFonts w:hint="eastAsia"/>
              </w:rPr>
            </w:pPr>
          </w:p>
        </w:tc>
      </w:tr>
    </w:tbl>
    <w:p w14:paraId="4FA7E1CF">
      <w:pPr>
        <w:ind w:firstLine="600"/>
        <w:outlineLvl w:val="0"/>
        <w:rPr>
          <w:rFonts w:eastAsia="黑体"/>
          <w:sz w:val="30"/>
        </w:rPr>
        <w:sectPr>
          <w:pgSz w:w="11905" w:h="16838"/>
          <w:pgMar w:top="1417" w:right="1417" w:bottom="1417" w:left="1417" w:header="851" w:footer="850" w:gutter="0"/>
          <w:pgNumType w:start="1"/>
          <w:cols w:space="720" w:num="1"/>
          <w:docGrid w:linePitch="312" w:charSpace="0"/>
        </w:sectPr>
      </w:pPr>
    </w:p>
    <w:p w14:paraId="4C4F224D">
      <w:pPr>
        <w:pStyle w:val="2"/>
        <w:spacing w:before="120" w:after="120"/>
      </w:pPr>
      <w:r>
        <w:t>二、建设项目工程分析</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54"/>
        <w:gridCol w:w="8673"/>
      </w:tblGrid>
      <w:tr w14:paraId="14F538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1320" w:hRule="atLeast"/>
          <w:jc w:val="center"/>
        </w:trPr>
        <w:tc>
          <w:tcPr>
            <w:tcW w:w="249" w:type="pct"/>
            <w:vAlign w:val="center"/>
          </w:tcPr>
          <w:p w14:paraId="12E3CFCC">
            <w:pPr>
              <w:pStyle w:val="41"/>
            </w:pPr>
            <w:r>
              <w:t>建设内容</w:t>
            </w:r>
          </w:p>
        </w:tc>
        <w:tc>
          <w:tcPr>
            <w:tcW w:w="4751" w:type="pct"/>
          </w:tcPr>
          <w:p w14:paraId="48A78732">
            <w:pPr>
              <w:pStyle w:val="4"/>
              <w:spacing w:before="120" w:after="0" w:afterLines="0"/>
            </w:pPr>
            <w:r>
              <w:rPr>
                <w:rFonts w:hint="eastAsia"/>
              </w:rPr>
              <w:t>2.1.1项目由来</w:t>
            </w:r>
          </w:p>
          <w:p w14:paraId="5DFA6AF2">
            <w:pPr>
              <w:ind w:firstLine="480"/>
            </w:pPr>
            <w:r>
              <w:rPr>
                <w:rFonts w:hint="eastAsia"/>
              </w:rPr>
              <w:t>凌云新能源科技有限公司福州分公司成立于2025年4月8日，经营范围为汽车零部件研发；汽车零部件及配件制造；工程和技术研究和试验发展；机械零件、零部件销售；金属结构制造；金属结构销售；技术服务、技术开发、技术咨询、技术交流、技术转让、技术推广；机械设备销售。</w:t>
            </w:r>
          </w:p>
          <w:p w14:paraId="6AE5A153">
            <w:pPr>
              <w:ind w:firstLine="480"/>
            </w:pPr>
            <w:r>
              <w:rPr>
                <w:rFonts w:hint="eastAsia"/>
              </w:rPr>
              <w:t>凌云新能源科技有限公司福州分公司拟在福建省福州市福清市音西街道西楼村建设“凌云新能源科技有限公司福州分公司年加工铝合金电池结构件10万件、保险杠20万件”项目，拟租赁福建三锋汽配开发有限公司厂房车间二面积11000平方米，年加工铝合金电池结构件10万件、保险杠20万件，购置设备CNC加工中心、CMT弧焊工作站等相关附属设备，技术水平达到国家先进。</w:t>
            </w:r>
          </w:p>
          <w:p w14:paraId="066ADE13">
            <w:pPr>
              <w:ind w:firstLine="480"/>
            </w:pPr>
            <w:r>
              <w:rPr>
                <w:rFonts w:hint="eastAsia"/>
              </w:rPr>
              <w:t>根据</w:t>
            </w:r>
            <w:r>
              <w:t>现场踏勘，项目目前处于</w:t>
            </w:r>
            <w:r>
              <w:rPr>
                <w:rFonts w:hint="eastAsia"/>
              </w:rPr>
              <w:t>前期</w:t>
            </w:r>
            <w:r>
              <w:t>准备阶段</w:t>
            </w:r>
            <w:r>
              <w:rPr>
                <w:rFonts w:hint="eastAsia"/>
              </w:rPr>
              <w:t>，</w:t>
            </w:r>
            <w:r>
              <w:t>尚未投入建设运营</w:t>
            </w:r>
            <w:r>
              <w:rPr>
                <w:rFonts w:hint="eastAsia"/>
              </w:rPr>
              <w:t>。</w:t>
            </w:r>
            <w:r>
              <w:t>根据《建设项目环境保护管理条例</w:t>
            </w:r>
            <w:r>
              <w:rPr>
                <w:rFonts w:hint="eastAsia"/>
              </w:rPr>
              <w:t>》《</w:t>
            </w:r>
            <w:r>
              <w:t>建设项目环境影响评价分类管理名录</w:t>
            </w:r>
            <w:r>
              <w:rPr>
                <w:rFonts w:hint="eastAsia"/>
              </w:rPr>
              <w:t>（2021年版）</w:t>
            </w:r>
            <w:r>
              <w:t>》的相关规定，项目属于</w:t>
            </w:r>
            <w:r>
              <w:rPr>
                <w:rFonts w:hint="eastAsia"/>
              </w:rPr>
              <w:t>汽车零部件及配件制造中“其他”，</w:t>
            </w:r>
            <w:r>
              <w:t>需编制环境影响报告表。</w:t>
            </w:r>
          </w:p>
          <w:p w14:paraId="4CD62830">
            <w:pPr>
              <w:pStyle w:val="92"/>
              <w:spacing w:before="120"/>
              <w:rPr>
                <w:color w:val="auto"/>
              </w:rPr>
            </w:pPr>
            <w:r>
              <w:rPr>
                <w:color w:val="auto"/>
              </w:rPr>
              <w:t>表2</w:t>
            </w:r>
            <w:r>
              <w:rPr>
                <w:rFonts w:hint="eastAsia"/>
                <w:color w:val="auto"/>
              </w:rPr>
              <w:t>.1</w:t>
            </w:r>
            <w:r>
              <w:rPr>
                <w:color w:val="auto"/>
              </w:rPr>
              <w:t>-1  建设项目环境影响评价分类管理名录（摘录）</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1"/>
              <w:gridCol w:w="1711"/>
              <w:gridCol w:w="2437"/>
              <w:gridCol w:w="2818"/>
              <w:gridCol w:w="1000"/>
            </w:tblGrid>
            <w:tr w14:paraId="0880CA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71" w:type="pct"/>
                  <w:gridSpan w:val="2"/>
                  <w:tcBorders>
                    <w:top w:val="single" w:color="auto" w:sz="12" w:space="0"/>
                    <w:bottom w:val="single" w:color="auto" w:sz="6" w:space="0"/>
                    <w:tl2br w:val="single" w:color="auto" w:sz="4" w:space="0"/>
                  </w:tcBorders>
                  <w:vAlign w:val="center"/>
                </w:tcPr>
                <w:p w14:paraId="4ED0967F">
                  <w:pPr>
                    <w:pStyle w:val="98"/>
                    <w:jc w:val="right"/>
                  </w:pPr>
                  <w:r>
                    <w:t>环评类别</w:t>
                  </w:r>
                </w:p>
                <w:p w14:paraId="332A76E8">
                  <w:pPr>
                    <w:pStyle w:val="98"/>
                  </w:pPr>
                </w:p>
                <w:p w14:paraId="7F2063EA">
                  <w:pPr>
                    <w:pStyle w:val="98"/>
                    <w:jc w:val="left"/>
                  </w:pPr>
                  <w:r>
                    <w:t>项</w:t>
                  </w:r>
                  <w:r>
                    <w:rPr>
                      <w:rFonts w:hint="eastAsia"/>
                    </w:rPr>
                    <w:t>目</w:t>
                  </w:r>
                  <w:r>
                    <w:t>类别</w:t>
                  </w:r>
                </w:p>
              </w:tc>
              <w:tc>
                <w:tcPr>
                  <w:tcW w:w="1414" w:type="pct"/>
                  <w:vAlign w:val="center"/>
                </w:tcPr>
                <w:p w14:paraId="18A60CB5">
                  <w:pPr>
                    <w:pStyle w:val="98"/>
                  </w:pPr>
                  <w:r>
                    <w:t>报告书</w:t>
                  </w:r>
                </w:p>
              </w:tc>
              <w:tc>
                <w:tcPr>
                  <w:tcW w:w="1635" w:type="pct"/>
                  <w:vAlign w:val="center"/>
                </w:tcPr>
                <w:p w14:paraId="3542499B">
                  <w:pPr>
                    <w:pStyle w:val="98"/>
                  </w:pPr>
                  <w:r>
                    <w:t>报告表</w:t>
                  </w:r>
                </w:p>
              </w:tc>
              <w:tc>
                <w:tcPr>
                  <w:tcW w:w="577" w:type="pct"/>
                  <w:vAlign w:val="center"/>
                </w:tcPr>
                <w:p w14:paraId="4B0E8E95">
                  <w:pPr>
                    <w:pStyle w:val="98"/>
                  </w:pPr>
                  <w:r>
                    <w:t>登记表</w:t>
                  </w:r>
                </w:p>
              </w:tc>
            </w:tr>
            <w:tr w14:paraId="6665BC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5"/>
                  <w:shd w:val="clear" w:color="auto" w:fill="auto"/>
                  <w:vAlign w:val="center"/>
                </w:tcPr>
                <w:p w14:paraId="4FED8720">
                  <w:pPr>
                    <w:pStyle w:val="98"/>
                    <w:jc w:val="both"/>
                    <w:rPr>
                      <w:lang w:val="en-US"/>
                    </w:rPr>
                  </w:pPr>
                  <w:r>
                    <w:rPr>
                      <w:rFonts w:hint="eastAsia"/>
                      <w:lang w:val="en-US"/>
                    </w:rPr>
                    <w:t>三十三</w:t>
                  </w:r>
                  <w:r>
                    <w:rPr>
                      <w:rFonts w:hint="eastAsia"/>
                    </w:rPr>
                    <w:t>、</w:t>
                  </w:r>
                  <w:r>
                    <w:rPr>
                      <w:rFonts w:hint="eastAsia"/>
                      <w:lang w:val="en-US"/>
                    </w:rPr>
                    <w:t>汽车制造业36</w:t>
                  </w:r>
                </w:p>
              </w:tc>
            </w:tr>
            <w:tr w14:paraId="2642ED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8" w:type="pct"/>
                  <w:shd w:val="clear" w:color="auto" w:fill="auto"/>
                  <w:vAlign w:val="center"/>
                </w:tcPr>
                <w:p w14:paraId="680701B1">
                  <w:pPr>
                    <w:pStyle w:val="98"/>
                    <w:rPr>
                      <w:lang w:val="en-US"/>
                    </w:rPr>
                  </w:pPr>
                  <w:r>
                    <w:rPr>
                      <w:rFonts w:hint="eastAsia"/>
                      <w:lang w:val="en-US"/>
                    </w:rPr>
                    <w:t>71</w:t>
                  </w:r>
                </w:p>
              </w:tc>
              <w:tc>
                <w:tcPr>
                  <w:tcW w:w="992" w:type="pct"/>
                  <w:shd w:val="clear" w:color="auto" w:fill="auto"/>
                  <w:vAlign w:val="center"/>
                </w:tcPr>
                <w:p w14:paraId="6FD8CB60">
                  <w:pPr>
                    <w:pStyle w:val="98"/>
                    <w:rPr>
                      <w:lang w:val="en-US"/>
                    </w:rPr>
                  </w:pPr>
                  <w:r>
                    <w:rPr>
                      <w:rFonts w:hint="eastAsia"/>
                      <w:lang w:val="en-US"/>
                    </w:rPr>
                    <w:t>汽车零部件及配件制造367</w:t>
                  </w:r>
                </w:p>
              </w:tc>
              <w:tc>
                <w:tcPr>
                  <w:tcW w:w="1414" w:type="pct"/>
                  <w:shd w:val="clear" w:color="auto" w:fill="auto"/>
                  <w:vAlign w:val="center"/>
                </w:tcPr>
                <w:p w14:paraId="6AFF072D">
                  <w:pPr>
                    <w:pStyle w:val="98"/>
                  </w:pPr>
                  <w:r>
                    <w:rPr>
                      <w:rFonts w:hint="eastAsia"/>
                    </w:rPr>
                    <w:t>汽车整车制造（仅组装的除外）；汽车用发动机制造（仅组装的除外）；有电镀工艺的；年用溶剂型涂料（含稀释剂）10吨及以上的</w:t>
                  </w:r>
                </w:p>
              </w:tc>
              <w:tc>
                <w:tcPr>
                  <w:tcW w:w="1635" w:type="pct"/>
                  <w:shd w:val="clear" w:color="auto" w:fill="D8D8D8" w:themeFill="background1" w:themeFillShade="D9"/>
                  <w:vAlign w:val="center"/>
                </w:tcPr>
                <w:p w14:paraId="54C3395D">
                  <w:pPr>
                    <w:pStyle w:val="98"/>
                  </w:pPr>
                  <w:r>
                    <w:rPr>
                      <w:rFonts w:hint="eastAsia"/>
                    </w:rPr>
                    <w:t>其他（年用非溶剂型低VOCs含量涂料10吨以下的除外）</w:t>
                  </w:r>
                </w:p>
              </w:tc>
              <w:tc>
                <w:tcPr>
                  <w:tcW w:w="577" w:type="pct"/>
                  <w:vAlign w:val="center"/>
                </w:tcPr>
                <w:p w14:paraId="607C93E7">
                  <w:pPr>
                    <w:pStyle w:val="98"/>
                  </w:pPr>
                  <w:r>
                    <w:rPr>
                      <w:rFonts w:hint="eastAsia"/>
                    </w:rPr>
                    <w:t>/</w:t>
                  </w:r>
                </w:p>
              </w:tc>
            </w:tr>
            <w:tr w14:paraId="0211AE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5"/>
                  <w:shd w:val="clear" w:color="auto" w:fill="auto"/>
                  <w:vAlign w:val="center"/>
                </w:tcPr>
                <w:p w14:paraId="708D9172">
                  <w:pPr>
                    <w:pStyle w:val="98"/>
                    <w:jc w:val="both"/>
                    <w:rPr>
                      <w:lang w:val="en-US"/>
                    </w:rPr>
                  </w:pPr>
                  <w:r>
                    <w:rPr>
                      <w:rFonts w:hint="eastAsia"/>
                      <w:lang w:val="en-US"/>
                    </w:rPr>
                    <w:t>注：本项目</w:t>
                  </w:r>
                  <w:r>
                    <w:rPr>
                      <w:rFonts w:hint="eastAsia"/>
                      <w:shd w:val="clear" w:fill="FFFFFF"/>
                      <w:lang w:val="en-US"/>
                    </w:rPr>
                    <w:t>胶粘剂</w:t>
                  </w:r>
                  <w:r>
                    <w:rPr>
                      <w:rFonts w:hint="eastAsia"/>
                      <w:lang w:val="en-US"/>
                    </w:rPr>
                    <w:t>、密封胶使用量合计8.4t/a，属于本体型</w:t>
                  </w:r>
                  <w:r>
                    <w:rPr>
                      <w:rFonts w:hint="eastAsia"/>
                      <w:shd w:val="clear" w:fill="FFFFFF"/>
                      <w:lang w:val="en-US"/>
                    </w:rPr>
                    <w:t>胶粘剂</w:t>
                  </w:r>
                  <w:r>
                    <w:rPr>
                      <w:rFonts w:hint="eastAsia"/>
                      <w:lang w:val="en-US"/>
                    </w:rPr>
                    <w:t>。</w:t>
                  </w:r>
                </w:p>
              </w:tc>
            </w:tr>
          </w:tbl>
          <w:p w14:paraId="7B58FC1D">
            <w:pPr>
              <w:spacing w:before="120" w:beforeLines="50"/>
              <w:ind w:firstLine="480"/>
            </w:pPr>
            <w:r>
              <w:t>因此，建设单位委托</w:t>
            </w:r>
            <w:r>
              <w:rPr>
                <w:rFonts w:hint="eastAsia"/>
              </w:rPr>
              <w:t>我司</w:t>
            </w:r>
            <w:r>
              <w:t>编制</w:t>
            </w:r>
            <w:r>
              <w:rPr>
                <w:rFonts w:hint="eastAsia"/>
              </w:rPr>
              <w:t>本</w:t>
            </w:r>
            <w:r>
              <w:t>项目的环境影响报告表（附件</w:t>
            </w:r>
            <w:r>
              <w:rPr>
                <w:rFonts w:hint="eastAsia"/>
              </w:rPr>
              <w:t>1</w:t>
            </w:r>
            <w:r>
              <w:t>：委托书）。评价单位接受委托后，立即派技术人员踏勘现场和收集有关资料，并依照《中华人民共和国环境影响评价法》等的相关规定编写成本报告表，供建设单位报环境保护行政主管部门审批和作为污染防治设施建设的依据。</w:t>
            </w:r>
          </w:p>
          <w:p w14:paraId="1FCCE890">
            <w:pPr>
              <w:spacing w:before="120" w:beforeLines="50"/>
              <w:ind w:firstLine="480"/>
            </w:pPr>
          </w:p>
          <w:p w14:paraId="1302A8D1">
            <w:pPr>
              <w:spacing w:before="120" w:beforeLines="50"/>
              <w:ind w:firstLine="480"/>
            </w:pPr>
          </w:p>
          <w:p w14:paraId="68131EDC">
            <w:pPr>
              <w:pStyle w:val="4"/>
              <w:spacing w:before="120" w:after="0" w:afterLines="0"/>
            </w:pPr>
            <w:r>
              <w:rPr>
                <w:rFonts w:hint="eastAsia"/>
              </w:rPr>
              <w:t>2</w:t>
            </w:r>
            <w:r>
              <w:t>.</w:t>
            </w:r>
            <w:r>
              <w:rPr>
                <w:rFonts w:hint="eastAsia"/>
              </w:rPr>
              <w:t>1.2</w:t>
            </w:r>
            <w:r>
              <w:t>建设内容</w:t>
            </w:r>
          </w:p>
          <w:p w14:paraId="4093BBF5">
            <w:pPr>
              <w:ind w:firstLine="480"/>
            </w:pPr>
            <w:r>
              <w:t>项目</w:t>
            </w:r>
            <w:r>
              <w:rPr>
                <w:rFonts w:hint="eastAsia"/>
              </w:rPr>
              <w:t>租赁福建三锋汽配开发有限公司厂房车间二面积11000平方米，建设有主体工程、辅助工程、公用工程、储运工程等，均位于租赁的车间二内，</w:t>
            </w:r>
            <w:r>
              <w:t>项目建设具体工程内容见表2</w:t>
            </w:r>
            <w:r>
              <w:rPr>
                <w:rFonts w:hint="eastAsia"/>
              </w:rPr>
              <w:t>.1</w:t>
            </w:r>
            <w:r>
              <w:t>-</w:t>
            </w:r>
            <w:r>
              <w:rPr>
                <w:rFonts w:hint="eastAsia"/>
              </w:rPr>
              <w:t>2</w:t>
            </w:r>
            <w:r>
              <w:t>。</w:t>
            </w:r>
          </w:p>
          <w:p w14:paraId="7E9E7E44">
            <w:pPr>
              <w:pStyle w:val="32"/>
              <w:spacing w:before="120" w:beforeLines="50" w:line="240" w:lineRule="auto"/>
            </w:pPr>
            <w:r>
              <w:t>表2.</w:t>
            </w:r>
            <w:r>
              <w:rPr>
                <w:rFonts w:hint="eastAsia"/>
              </w:rPr>
              <w:t>1</w:t>
            </w:r>
            <w:r>
              <w:t>-</w:t>
            </w:r>
            <w:r>
              <w:rPr>
                <w:rFonts w:hint="eastAsia"/>
              </w:rPr>
              <w:t>2</w:t>
            </w:r>
            <w:r>
              <w:t xml:space="preserve">  建设内容一览表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96"/>
              <w:gridCol w:w="2017"/>
              <w:gridCol w:w="5804"/>
            </w:tblGrid>
            <w:tr w14:paraId="4F3F55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94" w:type="dxa"/>
                  <w:tcBorders>
                    <w:right w:val="single" w:color="auto" w:sz="4" w:space="0"/>
                  </w:tcBorders>
                  <w:vAlign w:val="center"/>
                </w:tcPr>
                <w:p w14:paraId="215EF5DC">
                  <w:pPr>
                    <w:pStyle w:val="41"/>
                  </w:pPr>
                  <w:bookmarkStart w:id="2" w:name="_Hlk196228018"/>
                  <w:r>
                    <w:t>项目类别</w:t>
                  </w:r>
                </w:p>
              </w:tc>
              <w:tc>
                <w:tcPr>
                  <w:tcW w:w="2015" w:type="dxa"/>
                  <w:vAlign w:val="center"/>
                </w:tcPr>
                <w:p w14:paraId="530AB5D6">
                  <w:pPr>
                    <w:pStyle w:val="41"/>
                  </w:pPr>
                  <w:r>
                    <w:rPr>
                      <w:rFonts w:hint="eastAsia"/>
                    </w:rPr>
                    <w:t>工程</w:t>
                  </w:r>
                  <w:r>
                    <w:t>名称</w:t>
                  </w:r>
                </w:p>
              </w:tc>
              <w:tc>
                <w:tcPr>
                  <w:tcW w:w="5802" w:type="dxa"/>
                  <w:tcBorders>
                    <w:right w:val="single" w:color="auto" w:sz="4" w:space="0"/>
                  </w:tcBorders>
                  <w:vAlign w:val="center"/>
                </w:tcPr>
                <w:p w14:paraId="5CEEC66E">
                  <w:pPr>
                    <w:pStyle w:val="41"/>
                  </w:pPr>
                  <w:r>
                    <w:rPr>
                      <w:rFonts w:hint="eastAsia"/>
                    </w:rPr>
                    <w:t>建设内容</w:t>
                  </w:r>
                </w:p>
              </w:tc>
            </w:tr>
            <w:tr w14:paraId="612551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94" w:type="dxa"/>
                  <w:vMerge w:val="restart"/>
                  <w:tcBorders>
                    <w:right w:val="single" w:color="auto" w:sz="4" w:space="0"/>
                  </w:tcBorders>
                  <w:vAlign w:val="center"/>
                </w:tcPr>
                <w:p w14:paraId="4BB3C324">
                  <w:pPr>
                    <w:pStyle w:val="41"/>
                  </w:pPr>
                  <w:r>
                    <w:t>主体工程</w:t>
                  </w:r>
                </w:p>
              </w:tc>
              <w:tc>
                <w:tcPr>
                  <w:tcW w:w="2015" w:type="dxa"/>
                  <w:vAlign w:val="center"/>
                </w:tcPr>
                <w:p w14:paraId="4A521877">
                  <w:pPr>
                    <w:pStyle w:val="41"/>
                  </w:pPr>
                </w:p>
              </w:tc>
              <w:tc>
                <w:tcPr>
                  <w:tcW w:w="5802" w:type="dxa"/>
                  <w:tcBorders>
                    <w:right w:val="single" w:color="auto" w:sz="4" w:space="0"/>
                  </w:tcBorders>
                  <w:vAlign w:val="center"/>
                </w:tcPr>
                <w:p w14:paraId="4A8165A5">
                  <w:pPr>
                    <w:pStyle w:val="41"/>
                  </w:pPr>
                </w:p>
              </w:tc>
            </w:tr>
            <w:tr w14:paraId="1F8181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94" w:type="dxa"/>
                  <w:vMerge w:val="continue"/>
                  <w:tcBorders>
                    <w:right w:val="single" w:color="auto" w:sz="4" w:space="0"/>
                  </w:tcBorders>
                  <w:vAlign w:val="center"/>
                </w:tcPr>
                <w:p w14:paraId="6FBAE815">
                  <w:pPr>
                    <w:pStyle w:val="41"/>
                  </w:pPr>
                </w:p>
              </w:tc>
              <w:tc>
                <w:tcPr>
                  <w:tcW w:w="2015" w:type="dxa"/>
                  <w:vAlign w:val="center"/>
                </w:tcPr>
                <w:p w14:paraId="70665B19">
                  <w:pPr>
                    <w:pStyle w:val="41"/>
                  </w:pPr>
                </w:p>
              </w:tc>
              <w:tc>
                <w:tcPr>
                  <w:tcW w:w="5802" w:type="dxa"/>
                  <w:tcBorders>
                    <w:right w:val="single" w:color="auto" w:sz="4" w:space="0"/>
                  </w:tcBorders>
                  <w:vAlign w:val="center"/>
                </w:tcPr>
                <w:p w14:paraId="21C1B676">
                  <w:pPr>
                    <w:pStyle w:val="41"/>
                  </w:pPr>
                </w:p>
              </w:tc>
            </w:tr>
            <w:tr w14:paraId="477D45B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94" w:type="dxa"/>
                  <w:vMerge w:val="restart"/>
                  <w:tcBorders>
                    <w:right w:val="single" w:color="auto" w:sz="4" w:space="0"/>
                  </w:tcBorders>
                  <w:vAlign w:val="center"/>
                </w:tcPr>
                <w:p w14:paraId="464DBFD4">
                  <w:pPr>
                    <w:pStyle w:val="41"/>
                  </w:pPr>
                  <w:r>
                    <w:t>储运工程</w:t>
                  </w:r>
                </w:p>
              </w:tc>
              <w:tc>
                <w:tcPr>
                  <w:tcW w:w="2015" w:type="dxa"/>
                  <w:tcBorders>
                    <w:right w:val="single" w:color="auto" w:sz="4" w:space="0"/>
                  </w:tcBorders>
                  <w:vAlign w:val="center"/>
                </w:tcPr>
                <w:p w14:paraId="2FC51470">
                  <w:pPr>
                    <w:pStyle w:val="41"/>
                  </w:pPr>
                </w:p>
              </w:tc>
              <w:tc>
                <w:tcPr>
                  <w:tcW w:w="5802" w:type="dxa"/>
                  <w:tcBorders>
                    <w:left w:val="single" w:color="auto" w:sz="4" w:space="0"/>
                  </w:tcBorders>
                  <w:vAlign w:val="center"/>
                </w:tcPr>
                <w:p w14:paraId="36ADE029">
                  <w:pPr>
                    <w:pStyle w:val="41"/>
                    <w:rPr>
                      <w:vertAlign w:val="superscript"/>
                    </w:rPr>
                  </w:pPr>
                </w:p>
              </w:tc>
            </w:tr>
            <w:tr w14:paraId="1E734CF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94" w:type="dxa"/>
                  <w:vMerge w:val="continue"/>
                  <w:tcBorders>
                    <w:right w:val="single" w:color="auto" w:sz="4" w:space="0"/>
                  </w:tcBorders>
                  <w:vAlign w:val="center"/>
                </w:tcPr>
                <w:p w14:paraId="2BE80F2A">
                  <w:pPr>
                    <w:pStyle w:val="41"/>
                  </w:pPr>
                </w:p>
              </w:tc>
              <w:tc>
                <w:tcPr>
                  <w:tcW w:w="2015" w:type="dxa"/>
                  <w:tcBorders>
                    <w:right w:val="single" w:color="auto" w:sz="4" w:space="0"/>
                  </w:tcBorders>
                  <w:vAlign w:val="center"/>
                </w:tcPr>
                <w:p w14:paraId="009A9302">
                  <w:pPr>
                    <w:pStyle w:val="41"/>
                  </w:pPr>
                </w:p>
              </w:tc>
              <w:tc>
                <w:tcPr>
                  <w:tcW w:w="5802" w:type="dxa"/>
                  <w:tcBorders>
                    <w:left w:val="single" w:color="auto" w:sz="4" w:space="0"/>
                  </w:tcBorders>
                  <w:vAlign w:val="center"/>
                </w:tcPr>
                <w:p w14:paraId="4506518C">
                  <w:pPr>
                    <w:pStyle w:val="41"/>
                  </w:pPr>
                </w:p>
              </w:tc>
            </w:tr>
            <w:tr w14:paraId="0E9617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94" w:type="dxa"/>
                  <w:vMerge w:val="restart"/>
                  <w:tcBorders>
                    <w:right w:val="single" w:color="auto" w:sz="4" w:space="0"/>
                  </w:tcBorders>
                  <w:vAlign w:val="center"/>
                </w:tcPr>
                <w:p w14:paraId="485B79C4">
                  <w:pPr>
                    <w:pStyle w:val="41"/>
                  </w:pPr>
                  <w:r>
                    <w:t>辅助工程</w:t>
                  </w:r>
                </w:p>
              </w:tc>
              <w:tc>
                <w:tcPr>
                  <w:tcW w:w="2015" w:type="dxa"/>
                  <w:tcBorders>
                    <w:right w:val="single" w:color="auto" w:sz="4" w:space="0"/>
                  </w:tcBorders>
                  <w:vAlign w:val="center"/>
                </w:tcPr>
                <w:p w14:paraId="785B213A">
                  <w:pPr>
                    <w:pStyle w:val="41"/>
                  </w:pPr>
                </w:p>
              </w:tc>
              <w:tc>
                <w:tcPr>
                  <w:tcW w:w="5802" w:type="dxa"/>
                  <w:tcBorders>
                    <w:left w:val="single" w:color="auto" w:sz="4" w:space="0"/>
                  </w:tcBorders>
                  <w:vAlign w:val="center"/>
                </w:tcPr>
                <w:p w14:paraId="5B16A3C8">
                  <w:pPr>
                    <w:pStyle w:val="41"/>
                    <w:rPr>
                      <w:vertAlign w:val="superscript"/>
                    </w:rPr>
                  </w:pPr>
                </w:p>
              </w:tc>
            </w:tr>
            <w:tr w14:paraId="019EF4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94" w:type="dxa"/>
                  <w:vMerge w:val="continue"/>
                  <w:tcBorders>
                    <w:right w:val="single" w:color="auto" w:sz="4" w:space="0"/>
                  </w:tcBorders>
                  <w:vAlign w:val="center"/>
                </w:tcPr>
                <w:p w14:paraId="2F080704">
                  <w:pPr>
                    <w:pStyle w:val="41"/>
                  </w:pPr>
                </w:p>
              </w:tc>
              <w:tc>
                <w:tcPr>
                  <w:tcW w:w="2015" w:type="dxa"/>
                  <w:tcBorders>
                    <w:right w:val="single" w:color="auto" w:sz="4" w:space="0"/>
                  </w:tcBorders>
                  <w:vAlign w:val="center"/>
                </w:tcPr>
                <w:p w14:paraId="6201E078">
                  <w:pPr>
                    <w:pStyle w:val="41"/>
                  </w:pPr>
                </w:p>
              </w:tc>
              <w:tc>
                <w:tcPr>
                  <w:tcW w:w="5802" w:type="dxa"/>
                  <w:tcBorders>
                    <w:left w:val="single" w:color="auto" w:sz="4" w:space="0"/>
                  </w:tcBorders>
                  <w:vAlign w:val="center"/>
                </w:tcPr>
                <w:p w14:paraId="7D0D4863">
                  <w:pPr>
                    <w:pStyle w:val="41"/>
                  </w:pPr>
                </w:p>
              </w:tc>
            </w:tr>
            <w:tr w14:paraId="685A2C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94" w:type="dxa"/>
                  <w:vMerge w:val="restart"/>
                  <w:tcBorders>
                    <w:right w:val="single" w:color="auto" w:sz="4" w:space="0"/>
                  </w:tcBorders>
                  <w:vAlign w:val="center"/>
                </w:tcPr>
                <w:p w14:paraId="4A0E1A70">
                  <w:pPr>
                    <w:pStyle w:val="41"/>
                  </w:pPr>
                  <w:r>
                    <w:rPr>
                      <w:rFonts w:hint="eastAsia"/>
                    </w:rPr>
                    <w:t>公用工程</w:t>
                  </w:r>
                </w:p>
              </w:tc>
              <w:tc>
                <w:tcPr>
                  <w:tcW w:w="2015" w:type="dxa"/>
                  <w:tcBorders>
                    <w:right w:val="single" w:color="auto" w:sz="4" w:space="0"/>
                  </w:tcBorders>
                  <w:vAlign w:val="center"/>
                </w:tcPr>
                <w:p w14:paraId="1A1921F1">
                  <w:pPr>
                    <w:pStyle w:val="41"/>
                  </w:pPr>
                </w:p>
              </w:tc>
              <w:tc>
                <w:tcPr>
                  <w:tcW w:w="5802" w:type="dxa"/>
                  <w:tcBorders>
                    <w:left w:val="single" w:color="auto" w:sz="4" w:space="0"/>
                  </w:tcBorders>
                  <w:vAlign w:val="center"/>
                </w:tcPr>
                <w:p w14:paraId="5137E507">
                  <w:pPr>
                    <w:pStyle w:val="41"/>
                  </w:pPr>
                </w:p>
              </w:tc>
            </w:tr>
            <w:tr w14:paraId="2BB711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94" w:type="dxa"/>
                  <w:vMerge w:val="continue"/>
                  <w:tcBorders>
                    <w:right w:val="single" w:color="auto" w:sz="4" w:space="0"/>
                  </w:tcBorders>
                  <w:vAlign w:val="center"/>
                </w:tcPr>
                <w:p w14:paraId="666A77CD">
                  <w:pPr>
                    <w:pStyle w:val="41"/>
                  </w:pPr>
                </w:p>
              </w:tc>
              <w:tc>
                <w:tcPr>
                  <w:tcW w:w="2015" w:type="dxa"/>
                  <w:tcBorders>
                    <w:right w:val="single" w:color="auto" w:sz="4" w:space="0"/>
                  </w:tcBorders>
                  <w:vAlign w:val="center"/>
                </w:tcPr>
                <w:p w14:paraId="1D82E7FD">
                  <w:pPr>
                    <w:pStyle w:val="41"/>
                  </w:pPr>
                </w:p>
              </w:tc>
              <w:tc>
                <w:tcPr>
                  <w:tcW w:w="5802" w:type="dxa"/>
                  <w:tcBorders>
                    <w:left w:val="single" w:color="auto" w:sz="4" w:space="0"/>
                  </w:tcBorders>
                  <w:vAlign w:val="center"/>
                </w:tcPr>
                <w:p w14:paraId="420A99B2">
                  <w:pPr>
                    <w:pStyle w:val="41"/>
                  </w:pPr>
                </w:p>
              </w:tc>
            </w:tr>
            <w:tr w14:paraId="3CFC6E0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94" w:type="dxa"/>
                  <w:vMerge w:val="restart"/>
                  <w:tcBorders>
                    <w:right w:val="single" w:color="auto" w:sz="4" w:space="0"/>
                  </w:tcBorders>
                  <w:vAlign w:val="center"/>
                </w:tcPr>
                <w:p w14:paraId="29314659">
                  <w:pPr>
                    <w:pStyle w:val="41"/>
                  </w:pPr>
                  <w:r>
                    <w:rPr>
                      <w:rFonts w:hint="eastAsia"/>
                    </w:rPr>
                    <w:t>环保</w:t>
                  </w:r>
                  <w:r>
                    <w:t>工程</w:t>
                  </w:r>
                </w:p>
              </w:tc>
              <w:tc>
                <w:tcPr>
                  <w:tcW w:w="2015" w:type="dxa"/>
                  <w:tcBorders>
                    <w:left w:val="single" w:color="auto" w:sz="4" w:space="0"/>
                  </w:tcBorders>
                  <w:vAlign w:val="center"/>
                </w:tcPr>
                <w:p w14:paraId="62649C5F">
                  <w:pPr>
                    <w:pStyle w:val="41"/>
                  </w:pPr>
                </w:p>
              </w:tc>
              <w:tc>
                <w:tcPr>
                  <w:tcW w:w="5802" w:type="dxa"/>
                  <w:tcBorders>
                    <w:right w:val="single" w:color="auto" w:sz="4" w:space="0"/>
                  </w:tcBorders>
                  <w:vAlign w:val="center"/>
                </w:tcPr>
                <w:p w14:paraId="4C88F3C3">
                  <w:pPr>
                    <w:pStyle w:val="41"/>
                    <w:jc w:val="left"/>
                  </w:pPr>
                </w:p>
              </w:tc>
            </w:tr>
            <w:tr w14:paraId="3122CEE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94" w:type="dxa"/>
                  <w:vMerge w:val="continue"/>
                  <w:tcBorders>
                    <w:right w:val="single" w:color="auto" w:sz="4" w:space="0"/>
                  </w:tcBorders>
                  <w:vAlign w:val="center"/>
                </w:tcPr>
                <w:p w14:paraId="3B1716B5">
                  <w:pPr>
                    <w:pStyle w:val="41"/>
                  </w:pPr>
                </w:p>
              </w:tc>
              <w:tc>
                <w:tcPr>
                  <w:tcW w:w="2015" w:type="dxa"/>
                  <w:tcBorders>
                    <w:left w:val="single" w:color="auto" w:sz="4" w:space="0"/>
                  </w:tcBorders>
                  <w:vAlign w:val="center"/>
                </w:tcPr>
                <w:p w14:paraId="7FCEEEBF">
                  <w:pPr>
                    <w:pStyle w:val="41"/>
                  </w:pPr>
                </w:p>
              </w:tc>
              <w:tc>
                <w:tcPr>
                  <w:tcW w:w="5802" w:type="dxa"/>
                  <w:tcBorders>
                    <w:right w:val="single" w:color="auto" w:sz="4" w:space="0"/>
                  </w:tcBorders>
                  <w:vAlign w:val="center"/>
                </w:tcPr>
                <w:p w14:paraId="3F18AFF3">
                  <w:pPr>
                    <w:pStyle w:val="41"/>
                    <w:jc w:val="left"/>
                  </w:pPr>
                </w:p>
              </w:tc>
            </w:tr>
            <w:tr w14:paraId="2BF6759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94" w:type="dxa"/>
                  <w:vMerge w:val="continue"/>
                  <w:tcBorders>
                    <w:right w:val="single" w:color="auto" w:sz="4" w:space="0"/>
                  </w:tcBorders>
                  <w:vAlign w:val="center"/>
                </w:tcPr>
                <w:p w14:paraId="1F6739CC">
                  <w:pPr>
                    <w:pStyle w:val="41"/>
                  </w:pPr>
                </w:p>
              </w:tc>
              <w:tc>
                <w:tcPr>
                  <w:tcW w:w="2015" w:type="dxa"/>
                  <w:tcBorders>
                    <w:left w:val="single" w:color="auto" w:sz="4" w:space="0"/>
                  </w:tcBorders>
                  <w:vAlign w:val="center"/>
                </w:tcPr>
                <w:p w14:paraId="56211974">
                  <w:pPr>
                    <w:pStyle w:val="41"/>
                  </w:pPr>
                </w:p>
              </w:tc>
              <w:tc>
                <w:tcPr>
                  <w:tcW w:w="5802" w:type="dxa"/>
                  <w:tcBorders>
                    <w:right w:val="single" w:color="auto" w:sz="4" w:space="0"/>
                  </w:tcBorders>
                  <w:vAlign w:val="center"/>
                </w:tcPr>
                <w:p w14:paraId="4EDA68E2">
                  <w:pPr>
                    <w:pStyle w:val="41"/>
                  </w:pPr>
                </w:p>
              </w:tc>
            </w:tr>
            <w:tr w14:paraId="2DF8A0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94" w:type="dxa"/>
                  <w:vMerge w:val="continue"/>
                  <w:tcBorders>
                    <w:right w:val="single" w:color="auto" w:sz="4" w:space="0"/>
                  </w:tcBorders>
                  <w:vAlign w:val="center"/>
                </w:tcPr>
                <w:p w14:paraId="290A6412">
                  <w:pPr>
                    <w:pStyle w:val="41"/>
                  </w:pPr>
                </w:p>
              </w:tc>
              <w:tc>
                <w:tcPr>
                  <w:tcW w:w="2015" w:type="dxa"/>
                  <w:tcBorders>
                    <w:left w:val="single" w:color="auto" w:sz="4" w:space="0"/>
                  </w:tcBorders>
                  <w:vAlign w:val="center"/>
                </w:tcPr>
                <w:p w14:paraId="0EADD930">
                  <w:pPr>
                    <w:pStyle w:val="41"/>
                  </w:pPr>
                </w:p>
              </w:tc>
              <w:tc>
                <w:tcPr>
                  <w:tcW w:w="5802" w:type="dxa"/>
                  <w:tcBorders>
                    <w:right w:val="single" w:color="auto" w:sz="4" w:space="0"/>
                  </w:tcBorders>
                  <w:vAlign w:val="center"/>
                </w:tcPr>
                <w:p w14:paraId="3E71C753">
                  <w:pPr>
                    <w:pStyle w:val="41"/>
                  </w:pPr>
                </w:p>
              </w:tc>
            </w:tr>
            <w:bookmarkEnd w:id="2"/>
          </w:tbl>
          <w:p w14:paraId="36335208">
            <w:pPr>
              <w:pStyle w:val="4"/>
              <w:spacing w:before="120" w:after="0" w:afterLines="0"/>
            </w:pPr>
            <w:r>
              <w:rPr>
                <w:rFonts w:hint="eastAsia"/>
              </w:rPr>
              <w:t>2.1.3主要</w:t>
            </w:r>
            <w:r>
              <w:t>产品及产能</w:t>
            </w:r>
          </w:p>
          <w:p w14:paraId="69DEC177">
            <w:pPr>
              <w:ind w:firstLine="480"/>
              <w:rPr>
                <w:rFonts w:ascii="宋体" w:cs="宋体"/>
                <w:kern w:val="0"/>
                <w:szCs w:val="21"/>
              </w:rPr>
            </w:pPr>
            <w:r>
              <w:rPr>
                <w:rFonts w:hint="eastAsia"/>
              </w:rPr>
              <w:t>具体项</w:t>
            </w:r>
            <w:r>
              <w:rPr>
                <w:rFonts w:hint="eastAsia" w:ascii="宋体" w:cs="宋体"/>
                <w:kern w:val="0"/>
                <w:szCs w:val="21"/>
              </w:rPr>
              <w:t>目产品方案见</w:t>
            </w:r>
            <w:r>
              <w:rPr>
                <w:kern w:val="0"/>
                <w:szCs w:val="21"/>
              </w:rPr>
              <w:t>表</w:t>
            </w:r>
            <w:r>
              <w:rPr>
                <w:rFonts w:eastAsia="TimesNewRomanPSMT"/>
                <w:kern w:val="0"/>
                <w:szCs w:val="21"/>
              </w:rPr>
              <w:t>2</w:t>
            </w:r>
            <w:r>
              <w:rPr>
                <w:rFonts w:hint="eastAsia" w:eastAsiaTheme="minorEastAsia"/>
                <w:kern w:val="0"/>
                <w:szCs w:val="21"/>
              </w:rPr>
              <w:t>.1</w:t>
            </w:r>
            <w:r>
              <w:rPr>
                <w:rFonts w:eastAsia="TimesNewRomanPSMT"/>
                <w:kern w:val="0"/>
                <w:szCs w:val="21"/>
              </w:rPr>
              <w:t>-</w:t>
            </w:r>
            <w:r>
              <w:rPr>
                <w:rFonts w:hint="eastAsia" w:eastAsiaTheme="minorEastAsia"/>
                <w:kern w:val="0"/>
                <w:szCs w:val="21"/>
              </w:rPr>
              <w:t>3</w:t>
            </w:r>
            <w:r>
              <w:rPr>
                <w:rFonts w:hint="eastAsia" w:ascii="宋体" w:cs="宋体"/>
                <w:kern w:val="0"/>
                <w:szCs w:val="21"/>
              </w:rPr>
              <w:t>。</w:t>
            </w:r>
          </w:p>
          <w:p w14:paraId="21B0D3CA">
            <w:pPr>
              <w:pStyle w:val="99"/>
            </w:pPr>
            <w:r>
              <w:rPr>
                <w:rFonts w:hint="eastAsia"/>
              </w:rPr>
              <w:t>表</w:t>
            </w:r>
            <w:r>
              <w:rPr>
                <w:rFonts w:cs="Times New Roman"/>
              </w:rPr>
              <w:t>2</w:t>
            </w:r>
            <w:r>
              <w:rPr>
                <w:rFonts w:hint="eastAsia" w:cs="Times New Roman"/>
              </w:rPr>
              <w:t>.1</w:t>
            </w:r>
            <w:r>
              <w:rPr>
                <w:rFonts w:cs="Times New Roman"/>
              </w:rPr>
              <w:t>-</w:t>
            </w:r>
            <w:r>
              <w:rPr>
                <w:rFonts w:hint="eastAsia" w:cs="Times New Roman"/>
              </w:rPr>
              <w:t xml:space="preserve">3 </w:t>
            </w:r>
            <w:r>
              <w:rPr>
                <w:rFonts w:hint="eastAsia"/>
              </w:rPr>
              <w:t xml:space="preserve"> 项目主要产品及产能</w:t>
            </w:r>
          </w:p>
          <w:tbl>
            <w:tblPr>
              <w:tblStyle w:val="21"/>
              <w:tblW w:w="876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8"/>
              <w:gridCol w:w="2180"/>
              <w:gridCol w:w="5731"/>
            </w:tblGrid>
            <w:tr w14:paraId="29BCC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pct"/>
                  <w:vAlign w:val="center"/>
                </w:tcPr>
                <w:p w14:paraId="17B9B2E5">
                  <w:pPr>
                    <w:pStyle w:val="41"/>
                  </w:pPr>
                  <w:r>
                    <w:rPr>
                      <w:rFonts w:hint="eastAsia"/>
                    </w:rPr>
                    <w:t>序号</w:t>
                  </w:r>
                </w:p>
              </w:tc>
              <w:tc>
                <w:tcPr>
                  <w:tcW w:w="1243" w:type="pct"/>
                  <w:vAlign w:val="center"/>
                </w:tcPr>
                <w:p w14:paraId="4A10ABBF">
                  <w:pPr>
                    <w:pStyle w:val="41"/>
                  </w:pPr>
                  <w:r>
                    <w:rPr>
                      <w:rFonts w:hint="eastAsia"/>
                    </w:rPr>
                    <w:t>产品名称</w:t>
                  </w:r>
                </w:p>
              </w:tc>
              <w:tc>
                <w:tcPr>
                  <w:tcW w:w="3268" w:type="pct"/>
                  <w:vAlign w:val="center"/>
                </w:tcPr>
                <w:p w14:paraId="7C998CD5">
                  <w:pPr>
                    <w:pStyle w:val="41"/>
                  </w:pPr>
                  <w:r>
                    <w:rPr>
                      <w:rFonts w:hint="eastAsia"/>
                    </w:rPr>
                    <w:t>年产能</w:t>
                  </w:r>
                </w:p>
              </w:tc>
            </w:tr>
            <w:tr w14:paraId="3EA561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pct"/>
                  <w:vAlign w:val="center"/>
                </w:tcPr>
                <w:p w14:paraId="4B47052E">
                  <w:pPr>
                    <w:pStyle w:val="41"/>
                  </w:pPr>
                  <w:r>
                    <w:rPr>
                      <w:rFonts w:hint="eastAsia"/>
                    </w:rPr>
                    <w:t>1</w:t>
                  </w:r>
                </w:p>
              </w:tc>
              <w:tc>
                <w:tcPr>
                  <w:tcW w:w="1243" w:type="pct"/>
                  <w:vAlign w:val="center"/>
                </w:tcPr>
                <w:p w14:paraId="7E9EA5A6">
                  <w:pPr>
                    <w:pStyle w:val="41"/>
                  </w:pPr>
                  <w:r>
                    <w:rPr>
                      <w:rFonts w:hint="eastAsia"/>
                    </w:rPr>
                    <w:t>铝合金电池结构件</w:t>
                  </w:r>
                </w:p>
              </w:tc>
              <w:tc>
                <w:tcPr>
                  <w:tcW w:w="3268" w:type="pct"/>
                  <w:vAlign w:val="center"/>
                </w:tcPr>
                <w:p w14:paraId="2745DFBF">
                  <w:pPr>
                    <w:pStyle w:val="41"/>
                  </w:pPr>
                  <w:r>
                    <w:rPr>
                      <w:rFonts w:hint="eastAsia"/>
                    </w:rPr>
                    <w:t>10万件</w:t>
                  </w:r>
                </w:p>
              </w:tc>
            </w:tr>
            <w:tr w14:paraId="29BCE1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pct"/>
                  <w:vAlign w:val="center"/>
                </w:tcPr>
                <w:p w14:paraId="69967D0A">
                  <w:pPr>
                    <w:pStyle w:val="41"/>
                  </w:pPr>
                  <w:r>
                    <w:rPr>
                      <w:rFonts w:hint="eastAsia"/>
                    </w:rPr>
                    <w:t>2</w:t>
                  </w:r>
                </w:p>
              </w:tc>
              <w:tc>
                <w:tcPr>
                  <w:tcW w:w="1243" w:type="pct"/>
                  <w:vAlign w:val="center"/>
                </w:tcPr>
                <w:p w14:paraId="4D47D38E">
                  <w:pPr>
                    <w:pStyle w:val="41"/>
                  </w:pPr>
                  <w:r>
                    <w:rPr>
                      <w:rFonts w:hint="eastAsia"/>
                    </w:rPr>
                    <w:t>汽车保险杠</w:t>
                  </w:r>
                </w:p>
              </w:tc>
              <w:tc>
                <w:tcPr>
                  <w:tcW w:w="3268" w:type="pct"/>
                  <w:vAlign w:val="center"/>
                </w:tcPr>
                <w:p w14:paraId="578BD024">
                  <w:pPr>
                    <w:pStyle w:val="41"/>
                  </w:pPr>
                  <w:r>
                    <w:rPr>
                      <w:rFonts w:hint="eastAsia"/>
                    </w:rPr>
                    <w:t>20万件</w:t>
                  </w:r>
                </w:p>
              </w:tc>
            </w:tr>
          </w:tbl>
          <w:p w14:paraId="4E34FE32">
            <w:pPr>
              <w:pStyle w:val="4"/>
              <w:spacing w:before="120" w:after="0" w:afterLines="0"/>
            </w:pPr>
            <w:r>
              <w:rPr>
                <w:rFonts w:hint="eastAsia"/>
              </w:rPr>
              <w:t>2.1.4</w:t>
            </w:r>
            <w:r>
              <w:t>主要生产设施</w:t>
            </w:r>
          </w:p>
          <w:p w14:paraId="6208929D">
            <w:pPr>
              <w:ind w:firstLine="480"/>
            </w:pPr>
            <w:r>
              <w:t>本项目主要生产设备见</w:t>
            </w:r>
            <w:r>
              <w:rPr>
                <w:rFonts w:hint="eastAsia"/>
              </w:rPr>
              <w:t>下</w:t>
            </w:r>
            <w:r>
              <w:t>表</w:t>
            </w:r>
            <w:r>
              <w:rPr>
                <w:rFonts w:hint="eastAsia"/>
              </w:rPr>
              <w:t>。</w:t>
            </w:r>
          </w:p>
          <w:p w14:paraId="7DED71B0">
            <w:pPr>
              <w:pStyle w:val="92"/>
              <w:spacing w:before="120"/>
              <w:rPr>
                <w:color w:val="auto"/>
              </w:rPr>
            </w:pPr>
            <w:r>
              <w:rPr>
                <w:color w:val="auto"/>
              </w:rPr>
              <w:t>表2.</w:t>
            </w:r>
            <w:r>
              <w:rPr>
                <w:rFonts w:hint="eastAsia"/>
                <w:color w:val="auto"/>
              </w:rPr>
              <w:t>1-4</w:t>
            </w:r>
            <w:r>
              <w:rPr>
                <w:color w:val="auto"/>
              </w:rPr>
              <w:t xml:space="preserve">  </w:t>
            </w:r>
            <w:r>
              <w:rPr>
                <w:rFonts w:hint="eastAsia"/>
                <w:color w:val="auto"/>
              </w:rPr>
              <w:t>铝合金结构件生产线主要</w:t>
            </w:r>
            <w:r>
              <w:rPr>
                <w:color w:val="auto"/>
              </w:rPr>
              <w:t>生产设备一览表</w:t>
            </w:r>
          </w:p>
          <w:p w14:paraId="2142766E">
            <w:pPr>
              <w:pStyle w:val="92"/>
              <w:spacing w:before="120"/>
              <w:rPr>
                <w:color w:val="auto"/>
              </w:rPr>
            </w:pPr>
            <w:r>
              <w:rPr>
                <w:color w:val="auto"/>
              </w:rPr>
              <w:t>表2.</w:t>
            </w:r>
            <w:r>
              <w:rPr>
                <w:rFonts w:hint="eastAsia"/>
                <w:color w:val="auto"/>
              </w:rPr>
              <w:t>1-5</w:t>
            </w:r>
            <w:r>
              <w:rPr>
                <w:color w:val="auto"/>
              </w:rPr>
              <w:t xml:space="preserve">  </w:t>
            </w:r>
            <w:r>
              <w:rPr>
                <w:rFonts w:hint="eastAsia"/>
                <w:color w:val="auto"/>
              </w:rPr>
              <w:t>保险杆生产线主要</w:t>
            </w:r>
            <w:r>
              <w:rPr>
                <w:color w:val="auto"/>
              </w:rPr>
              <w:t>生产设备一览表</w:t>
            </w:r>
          </w:p>
          <w:p w14:paraId="7810E5D8">
            <w:pPr>
              <w:pStyle w:val="4"/>
              <w:spacing w:before="120" w:after="0" w:afterLines="0"/>
            </w:pPr>
            <w:r>
              <w:rPr>
                <w:rFonts w:hint="eastAsia"/>
              </w:rPr>
              <w:t>2.1.5</w:t>
            </w:r>
            <w:r>
              <w:t>主要原辅材料及能源消耗</w:t>
            </w:r>
          </w:p>
          <w:p w14:paraId="3B4E7DFD">
            <w:pPr>
              <w:pStyle w:val="92"/>
              <w:spacing w:before="120"/>
              <w:jc w:val="both"/>
              <w:rPr>
                <w:color w:val="auto"/>
              </w:rPr>
            </w:pPr>
            <w:r>
              <w:rPr>
                <w:color w:val="auto"/>
              </w:rPr>
              <w:t>（</w:t>
            </w:r>
            <w:r>
              <w:rPr>
                <w:rFonts w:hint="eastAsia"/>
                <w:color w:val="auto"/>
              </w:rPr>
              <w:t>1</w:t>
            </w:r>
            <w:r>
              <w:rPr>
                <w:color w:val="auto"/>
              </w:rPr>
              <w:t>）</w:t>
            </w:r>
            <w:r>
              <w:rPr>
                <w:rFonts w:hint="eastAsia"/>
                <w:color w:val="auto"/>
              </w:rPr>
              <w:t>主要原辅材料及能源用量</w:t>
            </w:r>
          </w:p>
          <w:p w14:paraId="4D4429C0">
            <w:pPr>
              <w:pStyle w:val="92"/>
              <w:spacing w:before="120"/>
              <w:rPr>
                <w:color w:val="auto"/>
              </w:rPr>
            </w:pPr>
            <w:r>
              <w:rPr>
                <w:color w:val="auto"/>
              </w:rPr>
              <w:t>表2.</w:t>
            </w:r>
            <w:r>
              <w:rPr>
                <w:rFonts w:hint="eastAsia"/>
                <w:color w:val="auto"/>
              </w:rPr>
              <w:t>1</w:t>
            </w:r>
            <w:r>
              <w:rPr>
                <w:color w:val="auto"/>
              </w:rPr>
              <w:t>-</w:t>
            </w:r>
            <w:r>
              <w:rPr>
                <w:rFonts w:hint="eastAsia"/>
                <w:color w:val="auto"/>
              </w:rPr>
              <w:t>6</w:t>
            </w:r>
            <w:r>
              <w:rPr>
                <w:color w:val="auto"/>
              </w:rPr>
              <w:t xml:space="preserve">  主要原辅材料及能源消耗情况</w:t>
            </w:r>
          </w:p>
          <w:p w14:paraId="06B0D8F9">
            <w:pPr>
              <w:spacing w:before="120" w:beforeLines="50"/>
              <w:ind w:firstLine="0" w:firstLineChars="0"/>
              <w:rPr>
                <w:b/>
                <w:bCs/>
              </w:rPr>
            </w:pPr>
            <w:r>
              <w:rPr>
                <w:rFonts w:hint="eastAsia"/>
                <w:b/>
                <w:bCs/>
              </w:rPr>
              <w:t>（2）</w:t>
            </w:r>
            <w:r>
              <w:rPr>
                <w:rFonts w:hint="eastAsia"/>
                <w:b/>
                <w:bCs/>
                <w:shd w:val="clear" w:fill="FFFFFF"/>
              </w:rPr>
              <w:t>胶粘剂</w:t>
            </w:r>
            <w:r>
              <w:rPr>
                <w:rFonts w:hint="eastAsia"/>
                <w:b/>
                <w:bCs/>
              </w:rPr>
              <w:t>、密封胶用量核算</w:t>
            </w:r>
          </w:p>
          <w:p w14:paraId="498070C5">
            <w:pPr>
              <w:ind w:firstLine="480"/>
              <w:jc w:val="left"/>
            </w:pPr>
            <w:r>
              <w:rPr>
                <w:rFonts w:hint="eastAsia"/>
              </w:rPr>
              <w:t>根据业主提供资料，每台铝合金结构件平均需要用</w:t>
            </w:r>
            <w:r>
              <w:rPr>
                <w:rFonts w:hint="eastAsia"/>
                <w:shd w:val="clear" w:fill="FFFFFF"/>
              </w:rPr>
              <w:t>胶粘剂</w:t>
            </w:r>
            <w:r>
              <w:rPr>
                <w:rFonts w:hint="eastAsia"/>
              </w:rPr>
              <w:t>约为0.048kg、密封胶约为0.036kg，项目年产铝合金结构件10万件，则</w:t>
            </w:r>
            <w:r>
              <w:rPr>
                <w:rFonts w:hint="eastAsia"/>
                <w:shd w:val="clear" w:fill="FFFFFF"/>
              </w:rPr>
              <w:t>胶粘剂</w:t>
            </w:r>
            <w:r>
              <w:rPr>
                <w:rFonts w:hint="eastAsia"/>
              </w:rPr>
              <w:t>年用量为4.8t/a、密封胶为3.6t/a。MSDS报告见附件6、7。</w:t>
            </w:r>
          </w:p>
          <w:p w14:paraId="5F7304C4">
            <w:pPr>
              <w:spacing w:before="120" w:beforeLines="50" w:line="240" w:lineRule="auto"/>
              <w:ind w:firstLine="0" w:firstLineChars="0"/>
              <w:rPr>
                <w:b/>
                <w:bCs/>
              </w:rPr>
            </w:pPr>
            <w:r>
              <w:rPr>
                <w:rFonts w:hint="eastAsia"/>
                <w:b/>
                <w:bCs/>
              </w:rPr>
              <w:t>（3）原辅材料理化性质</w:t>
            </w:r>
          </w:p>
          <w:p w14:paraId="5A8AACD1">
            <w:pPr>
              <w:spacing w:before="120" w:beforeLines="50" w:line="240" w:lineRule="auto"/>
              <w:ind w:firstLine="0" w:firstLineChars="0"/>
              <w:jc w:val="center"/>
              <w:rPr>
                <w:b/>
                <w:bCs/>
              </w:rPr>
            </w:pPr>
            <w:r>
              <w:rPr>
                <w:b/>
                <w:bCs/>
              </w:rPr>
              <w:t>表2</w:t>
            </w:r>
            <w:r>
              <w:rPr>
                <w:rFonts w:hint="eastAsia"/>
                <w:b/>
                <w:bCs/>
              </w:rPr>
              <w:t>.1</w:t>
            </w:r>
            <w:r>
              <w:rPr>
                <w:b/>
                <w:bCs/>
              </w:rPr>
              <w:t>-</w:t>
            </w:r>
            <w:r>
              <w:rPr>
                <w:rFonts w:hint="eastAsia"/>
                <w:b/>
                <w:bCs/>
              </w:rPr>
              <w:t>7</w:t>
            </w:r>
            <w:r>
              <w:rPr>
                <w:b/>
                <w:bCs/>
              </w:rPr>
              <w:t xml:space="preserve">  </w:t>
            </w:r>
            <w:r>
              <w:rPr>
                <w:rFonts w:hint="eastAsia"/>
                <w:b/>
                <w:bCs/>
              </w:rPr>
              <w:t>氩气理化性质一览</w:t>
            </w:r>
            <w:r>
              <w:rPr>
                <w:b/>
                <w:bCs/>
              </w:rPr>
              <w:t>表</w:t>
            </w:r>
          </w:p>
          <w:p w14:paraId="1CDB91FA">
            <w:pPr>
              <w:pStyle w:val="4"/>
              <w:spacing w:before="120" w:after="0" w:afterLines="0"/>
            </w:pPr>
            <w:r>
              <w:rPr>
                <w:rFonts w:hint="eastAsia"/>
              </w:rPr>
              <w:t>2.1.6项目</w:t>
            </w:r>
            <w:r>
              <w:t>用水分析</w:t>
            </w:r>
          </w:p>
          <w:p w14:paraId="2E7BDDF7">
            <w:pPr>
              <w:pStyle w:val="9"/>
              <w:ind w:firstLine="480"/>
            </w:pPr>
            <w:r>
              <w:rPr>
                <w:rFonts w:hint="eastAsia"/>
              </w:rPr>
              <w:t>1、生产用水</w:t>
            </w:r>
          </w:p>
          <w:p w14:paraId="531E37CD">
            <w:pPr>
              <w:ind w:firstLine="480"/>
            </w:pPr>
          </w:p>
          <w:p w14:paraId="494F946E">
            <w:pPr>
              <w:pStyle w:val="9"/>
              <w:ind w:firstLine="480"/>
            </w:pPr>
            <w:r>
              <w:rPr>
                <w:rFonts w:hint="eastAsia"/>
              </w:rPr>
              <w:t>2、生活用水</w:t>
            </w:r>
          </w:p>
          <w:p w14:paraId="0CFE1B74">
            <w:pPr>
              <w:ind w:firstLine="480"/>
            </w:pPr>
            <w:r>
              <w:rPr>
                <w:rFonts w:hint="eastAsia"/>
              </w:rPr>
              <w:t>项目劳动定员为100人，均不在场内食宿，</w:t>
            </w:r>
            <w:r>
              <w:t>根据《室外排水设计规范》（GB50014-2006）及《建筑给水排水设计规范》（GB50015-2003，2009修订版）等有关规定，未食宿厂内取</w:t>
            </w:r>
            <w:r>
              <w:rPr>
                <w:rFonts w:hint="eastAsia"/>
              </w:rPr>
              <w:t>50</w:t>
            </w:r>
            <w:r>
              <w:t>L/人·d</w:t>
            </w:r>
            <w:r>
              <w:rPr>
                <w:rFonts w:hint="eastAsia"/>
              </w:rPr>
              <w:t>，</w:t>
            </w:r>
            <w:r>
              <w:t>生活污水产生系数取0.8，则生活用水量为</w:t>
            </w:r>
            <w:r>
              <w:rPr>
                <w:rFonts w:hint="eastAsia"/>
              </w:rPr>
              <w:t>5</w:t>
            </w:r>
            <w:r>
              <w:t>m</w:t>
            </w:r>
            <w:r>
              <w:rPr>
                <w:vertAlign w:val="superscript"/>
              </w:rPr>
              <w:t>3</w:t>
            </w:r>
            <w:r>
              <w:t>/d（</w:t>
            </w:r>
            <w:r>
              <w:rPr>
                <w:rFonts w:hint="eastAsia"/>
              </w:rPr>
              <w:t>1305</w:t>
            </w:r>
            <w:r>
              <w:t>m</w:t>
            </w:r>
            <w:r>
              <w:rPr>
                <w:vertAlign w:val="superscript"/>
              </w:rPr>
              <w:t>3</w:t>
            </w:r>
            <w:r>
              <w:t>/a），生活污水产生量为</w:t>
            </w:r>
            <w:r>
              <w:rPr>
                <w:rFonts w:hint="eastAsia"/>
              </w:rPr>
              <w:t>4</w:t>
            </w:r>
            <w:r>
              <w:t>m</w:t>
            </w:r>
            <w:r>
              <w:rPr>
                <w:vertAlign w:val="superscript"/>
              </w:rPr>
              <w:t>3</w:t>
            </w:r>
            <w:r>
              <w:t>/d（</w:t>
            </w:r>
            <w:r>
              <w:rPr>
                <w:rFonts w:hint="eastAsia"/>
              </w:rPr>
              <w:t>1044</w:t>
            </w:r>
            <w:r>
              <w:t>m</w:t>
            </w:r>
            <w:r>
              <w:rPr>
                <w:vertAlign w:val="superscript"/>
              </w:rPr>
              <w:t>3</w:t>
            </w:r>
            <w:r>
              <w:t>/a）</w:t>
            </w:r>
            <w:r>
              <w:rPr>
                <w:rFonts w:hint="eastAsia"/>
              </w:rPr>
              <w:t>。</w:t>
            </w:r>
          </w:p>
          <w:p w14:paraId="0B6FDC4E">
            <w:pPr>
              <w:pStyle w:val="96"/>
              <w:rPr>
                <w:bCs/>
              </w:rPr>
            </w:pPr>
          </w:p>
          <w:p w14:paraId="5D63416D">
            <w:pPr>
              <w:pStyle w:val="96"/>
            </w:pPr>
            <w:r>
              <w:rPr>
                <w:rFonts w:hint="eastAsia"/>
              </w:rPr>
              <w:t>图2.1-2  全厂水平衡图（单位t/d）</w:t>
            </w:r>
          </w:p>
          <w:p w14:paraId="43D1C911">
            <w:pPr>
              <w:pStyle w:val="4"/>
              <w:spacing w:before="120" w:after="0" w:afterLines="0"/>
            </w:pPr>
            <w:r>
              <w:rPr>
                <w:rFonts w:hint="eastAsia"/>
              </w:rPr>
              <w:t>2.1.7</w:t>
            </w:r>
            <w:r>
              <w:t>劳动定员及工作制度</w:t>
            </w:r>
          </w:p>
          <w:p w14:paraId="621B5C2D">
            <w:pPr>
              <w:ind w:firstLine="480"/>
            </w:pPr>
            <w:r>
              <w:rPr>
                <w:rFonts w:hint="eastAsia"/>
              </w:rPr>
              <w:t>项目劳动定员为100人，</w:t>
            </w:r>
            <w:r>
              <w:t>年工作</w:t>
            </w:r>
            <w:r>
              <w:rPr>
                <w:rFonts w:hint="eastAsia"/>
              </w:rPr>
              <w:t>261</w:t>
            </w:r>
            <w:r>
              <w:t>天，每天</w:t>
            </w:r>
            <w:r>
              <w:rPr>
                <w:rFonts w:hint="eastAsia"/>
              </w:rPr>
              <w:t>3班制，一班8小时</w:t>
            </w:r>
            <w:r>
              <w:t>。</w:t>
            </w:r>
            <w:r>
              <w:rPr>
                <w:rFonts w:hint="eastAsia"/>
              </w:rPr>
              <w:t>年生产时间6264h。</w:t>
            </w:r>
          </w:p>
          <w:p w14:paraId="4EAC23BB">
            <w:pPr>
              <w:pStyle w:val="4"/>
              <w:spacing w:before="120" w:after="0" w:afterLines="0"/>
            </w:pPr>
            <w:r>
              <w:rPr>
                <w:rFonts w:hint="eastAsia"/>
              </w:rPr>
              <w:t>2.1.8</w:t>
            </w:r>
            <w:r>
              <w:t>厂区平面布置</w:t>
            </w:r>
          </w:p>
          <w:p w14:paraId="3CE3A0AA">
            <w:pPr>
              <w:pStyle w:val="32"/>
              <w:ind w:firstLine="480"/>
              <w:jc w:val="both"/>
              <w:rPr>
                <w:b w:val="0"/>
                <w:bCs/>
              </w:rPr>
            </w:pPr>
            <w:r>
              <w:rPr>
                <w:rFonts w:hint="eastAsia"/>
                <w:b w:val="0"/>
                <w:bCs/>
              </w:rPr>
              <w:t>项目所有生产工序及原料库、成品库等均位于同一车间内，生产区、储存区均相连，方便进料及成品储存，</w:t>
            </w:r>
            <w:r>
              <w:rPr>
                <w:b w:val="0"/>
                <w:bCs/>
              </w:rPr>
              <w:t>厂区各功能分区明确，生产作业流畅，平面布置基本合理</w:t>
            </w:r>
            <w:r>
              <w:rPr>
                <w:rFonts w:hint="eastAsia"/>
                <w:b w:val="0"/>
                <w:bCs/>
              </w:rPr>
              <w:t>。</w:t>
            </w:r>
            <w:r>
              <w:rPr>
                <w:b w:val="0"/>
                <w:bCs/>
              </w:rPr>
              <w:t>厂区总平面布置图见附图2。</w:t>
            </w:r>
          </w:p>
          <w:p w14:paraId="03976A89">
            <w:pPr>
              <w:pStyle w:val="32"/>
              <w:ind w:firstLine="480"/>
              <w:jc w:val="both"/>
              <w:rPr>
                <w:b w:val="0"/>
              </w:rPr>
            </w:pPr>
          </w:p>
          <w:p w14:paraId="62DEB5E7">
            <w:pPr>
              <w:pStyle w:val="32"/>
              <w:jc w:val="both"/>
              <w:rPr>
                <w:b w:val="0"/>
              </w:rPr>
            </w:pPr>
          </w:p>
        </w:tc>
      </w:tr>
      <w:tr w14:paraId="0ED7AE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5" w:hRule="atLeast"/>
          <w:jc w:val="center"/>
        </w:trPr>
        <w:tc>
          <w:tcPr>
            <w:tcW w:w="249" w:type="pct"/>
            <w:vAlign w:val="center"/>
          </w:tcPr>
          <w:p w14:paraId="1E7B1D0E">
            <w:pPr>
              <w:pStyle w:val="41"/>
            </w:pPr>
            <w:r>
              <w:t>工艺流程和产排污环节</w:t>
            </w:r>
          </w:p>
        </w:tc>
        <w:tc>
          <w:tcPr>
            <w:tcW w:w="4751" w:type="pct"/>
          </w:tcPr>
          <w:p w14:paraId="741671F5">
            <w:pPr>
              <w:pStyle w:val="4"/>
              <w:spacing w:before="120" w:after="0" w:afterLines="0"/>
            </w:pPr>
            <w:r>
              <w:rPr>
                <w:rFonts w:hint="eastAsia"/>
              </w:rPr>
              <w:t>2.2.1</w:t>
            </w:r>
            <w:r>
              <w:t>工艺流程：</w:t>
            </w:r>
          </w:p>
          <w:p w14:paraId="6137CF92">
            <w:pPr>
              <w:pStyle w:val="96"/>
            </w:pPr>
          </w:p>
          <w:p w14:paraId="5A42F848">
            <w:pPr>
              <w:ind w:firstLine="480"/>
            </w:pPr>
          </w:p>
          <w:p w14:paraId="563BD911">
            <w:pPr>
              <w:pStyle w:val="4"/>
              <w:spacing w:before="120" w:after="0" w:afterLines="0"/>
            </w:pPr>
            <w:r>
              <w:rPr>
                <w:rFonts w:hint="eastAsia"/>
              </w:rPr>
              <w:t>2.2.2</w:t>
            </w:r>
            <w:r>
              <w:t>产污环节分析</w:t>
            </w:r>
          </w:p>
          <w:p w14:paraId="51034521">
            <w:pPr>
              <w:adjustRightInd w:val="0"/>
              <w:snapToGrid w:val="0"/>
              <w:ind w:firstLine="480"/>
              <w:jc w:val="left"/>
              <w:rPr>
                <w:bCs/>
              </w:rPr>
            </w:pPr>
            <w:r>
              <w:rPr>
                <w:rFonts w:hint="eastAsia"/>
                <w:bCs/>
              </w:rPr>
              <w:t>参照《排污许可证申请与核发技术规范 汽车制造业》（HJ971-2018）与项目实际生产工艺，项目主要产污环节如下表。</w:t>
            </w:r>
          </w:p>
          <w:p w14:paraId="057FE8AB">
            <w:pPr>
              <w:pStyle w:val="92"/>
              <w:spacing w:before="120"/>
              <w:rPr>
                <w:snapToGrid w:val="0"/>
                <w:color w:val="auto"/>
              </w:rPr>
            </w:pPr>
            <w:r>
              <w:rPr>
                <w:rFonts w:hint="eastAsia"/>
                <w:snapToGrid w:val="0"/>
                <w:color w:val="auto"/>
              </w:rPr>
              <w:t>表</w:t>
            </w:r>
            <w:r>
              <w:rPr>
                <w:snapToGrid w:val="0"/>
                <w:color w:val="auto"/>
              </w:rPr>
              <w:t>2</w:t>
            </w:r>
            <w:r>
              <w:rPr>
                <w:rFonts w:hint="eastAsia"/>
                <w:snapToGrid w:val="0"/>
                <w:color w:val="auto"/>
              </w:rPr>
              <w:t xml:space="preserve">.2-1 </w:t>
            </w:r>
            <w:r>
              <w:rPr>
                <w:snapToGrid w:val="0"/>
                <w:color w:val="auto"/>
              </w:rPr>
              <w:t xml:space="preserve"> </w:t>
            </w:r>
            <w:r>
              <w:rPr>
                <w:rFonts w:hint="eastAsia"/>
                <w:snapToGrid w:val="0"/>
                <w:color w:val="auto"/>
              </w:rPr>
              <w:t>项目主要污染物产排污节点一览表</w:t>
            </w:r>
          </w:p>
          <w:tbl>
            <w:tblPr>
              <w:tblStyle w:val="87"/>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946"/>
              <w:gridCol w:w="1086"/>
              <w:gridCol w:w="2174"/>
              <w:gridCol w:w="3254"/>
            </w:tblGrid>
            <w:tr w14:paraId="761C77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Align w:val="center"/>
                </w:tcPr>
                <w:p w14:paraId="170DAE42">
                  <w:pPr>
                    <w:pStyle w:val="41"/>
                    <w:rPr>
                      <w:lang w:val="en-GB"/>
                    </w:rPr>
                  </w:pPr>
                  <w:r>
                    <w:rPr>
                      <w:lang w:val="en-GB"/>
                    </w:rPr>
                    <w:t>类别</w:t>
                  </w:r>
                </w:p>
              </w:tc>
              <w:tc>
                <w:tcPr>
                  <w:tcW w:w="2032" w:type="dxa"/>
                  <w:gridSpan w:val="2"/>
                  <w:vAlign w:val="center"/>
                </w:tcPr>
                <w:p w14:paraId="02E2CE0E">
                  <w:pPr>
                    <w:pStyle w:val="41"/>
                    <w:rPr>
                      <w:lang w:val="en-GB"/>
                    </w:rPr>
                  </w:pPr>
                  <w:r>
                    <w:rPr>
                      <w:rFonts w:hint="eastAsia"/>
                      <w:lang w:val="en-GB"/>
                    </w:rPr>
                    <w:t>产污</w:t>
                  </w:r>
                  <w:r>
                    <w:rPr>
                      <w:lang w:val="en-GB"/>
                    </w:rPr>
                    <w:t>环节</w:t>
                  </w:r>
                </w:p>
              </w:tc>
              <w:tc>
                <w:tcPr>
                  <w:tcW w:w="2174" w:type="dxa"/>
                  <w:vAlign w:val="center"/>
                </w:tcPr>
                <w:p w14:paraId="5207ABC7">
                  <w:pPr>
                    <w:pStyle w:val="41"/>
                    <w:rPr>
                      <w:lang w:val="en-GB"/>
                    </w:rPr>
                  </w:pPr>
                  <w:r>
                    <w:rPr>
                      <w:lang w:val="en-GB"/>
                    </w:rPr>
                    <w:t>主要污染物</w:t>
                  </w:r>
                </w:p>
              </w:tc>
              <w:tc>
                <w:tcPr>
                  <w:tcW w:w="3254" w:type="dxa"/>
                  <w:vAlign w:val="center"/>
                </w:tcPr>
                <w:p w14:paraId="0B55D015">
                  <w:pPr>
                    <w:pStyle w:val="41"/>
                    <w:rPr>
                      <w:lang w:val="en-GB"/>
                    </w:rPr>
                  </w:pPr>
                  <w:r>
                    <w:rPr>
                      <w:rFonts w:hint="eastAsia"/>
                    </w:rPr>
                    <w:t>环保措施</w:t>
                  </w:r>
                </w:p>
              </w:tc>
            </w:tr>
            <w:tr w14:paraId="45D808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157" w:type="dxa"/>
                  <w:vMerge w:val="restart"/>
                  <w:vAlign w:val="center"/>
                </w:tcPr>
                <w:p w14:paraId="3D20E9A6">
                  <w:pPr>
                    <w:pStyle w:val="41"/>
                    <w:rPr>
                      <w:lang w:val="en-GB"/>
                    </w:rPr>
                  </w:pPr>
                  <w:r>
                    <w:rPr>
                      <w:lang w:val="en-GB"/>
                    </w:rPr>
                    <w:t>废气</w:t>
                  </w:r>
                </w:p>
              </w:tc>
              <w:tc>
                <w:tcPr>
                  <w:tcW w:w="946" w:type="dxa"/>
                  <w:vAlign w:val="center"/>
                </w:tcPr>
                <w:p w14:paraId="32B06D3B">
                  <w:pPr>
                    <w:pStyle w:val="41"/>
                  </w:pPr>
                  <w:r>
                    <w:rPr>
                      <w:rFonts w:hint="eastAsia"/>
                    </w:rPr>
                    <w:t>保险杠生产线</w:t>
                  </w:r>
                </w:p>
              </w:tc>
              <w:tc>
                <w:tcPr>
                  <w:tcW w:w="1086" w:type="dxa"/>
                  <w:vAlign w:val="center"/>
                </w:tcPr>
                <w:p w14:paraId="355B47CD">
                  <w:pPr>
                    <w:pStyle w:val="41"/>
                  </w:pPr>
                  <w:r>
                    <w:rPr>
                      <w:rFonts w:hint="eastAsia"/>
                    </w:rPr>
                    <w:t>焊接烟尘</w:t>
                  </w:r>
                </w:p>
              </w:tc>
              <w:tc>
                <w:tcPr>
                  <w:tcW w:w="2174" w:type="dxa"/>
                  <w:vAlign w:val="center"/>
                </w:tcPr>
                <w:p w14:paraId="09DE555F">
                  <w:pPr>
                    <w:pStyle w:val="41"/>
                    <w:rPr>
                      <w:lang w:val="en-GB"/>
                    </w:rPr>
                  </w:pPr>
                  <w:r>
                    <w:rPr>
                      <w:rFonts w:hint="eastAsia"/>
                      <w:lang w:val="en-GB"/>
                    </w:rPr>
                    <w:t>颗粒物</w:t>
                  </w:r>
                </w:p>
              </w:tc>
              <w:tc>
                <w:tcPr>
                  <w:tcW w:w="3254" w:type="dxa"/>
                  <w:vAlign w:val="center"/>
                </w:tcPr>
                <w:p w14:paraId="317DE572">
                  <w:pPr>
                    <w:pStyle w:val="41"/>
                  </w:pPr>
                  <w:r>
                    <w:rPr>
                      <w:rFonts w:hint="eastAsia"/>
                    </w:rPr>
                    <w:t>焊烟净化器处理后无组织排放</w:t>
                  </w:r>
                </w:p>
              </w:tc>
            </w:tr>
            <w:tr w14:paraId="4BF7C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157" w:type="dxa"/>
                  <w:vMerge w:val="continue"/>
                  <w:vAlign w:val="center"/>
                </w:tcPr>
                <w:p w14:paraId="0BC258AC">
                  <w:pPr>
                    <w:pStyle w:val="41"/>
                    <w:rPr>
                      <w:lang w:val="en-GB"/>
                    </w:rPr>
                  </w:pPr>
                </w:p>
              </w:tc>
              <w:tc>
                <w:tcPr>
                  <w:tcW w:w="946" w:type="dxa"/>
                  <w:vMerge w:val="restart"/>
                  <w:vAlign w:val="center"/>
                </w:tcPr>
                <w:p w14:paraId="39D07FE6">
                  <w:pPr>
                    <w:pStyle w:val="41"/>
                  </w:pPr>
                  <w:r>
                    <w:rPr>
                      <w:rFonts w:hint="eastAsia"/>
                    </w:rPr>
                    <w:t>铝合金电池结构件</w:t>
                  </w:r>
                </w:p>
              </w:tc>
              <w:tc>
                <w:tcPr>
                  <w:tcW w:w="1086" w:type="dxa"/>
                  <w:vAlign w:val="center"/>
                </w:tcPr>
                <w:p w14:paraId="0EC763FD">
                  <w:pPr>
                    <w:pStyle w:val="41"/>
                  </w:pPr>
                  <w:r>
                    <w:rPr>
                      <w:rFonts w:hint="eastAsia"/>
                    </w:rPr>
                    <w:t>焊接烟尘</w:t>
                  </w:r>
                </w:p>
              </w:tc>
              <w:tc>
                <w:tcPr>
                  <w:tcW w:w="2174" w:type="dxa"/>
                  <w:vAlign w:val="center"/>
                </w:tcPr>
                <w:p w14:paraId="125394B0">
                  <w:pPr>
                    <w:pStyle w:val="41"/>
                    <w:rPr>
                      <w:lang w:val="en-GB"/>
                    </w:rPr>
                  </w:pPr>
                  <w:r>
                    <w:rPr>
                      <w:rFonts w:hint="eastAsia"/>
                      <w:lang w:val="en-GB"/>
                    </w:rPr>
                    <w:t>颗粒物</w:t>
                  </w:r>
                </w:p>
              </w:tc>
              <w:tc>
                <w:tcPr>
                  <w:tcW w:w="3254" w:type="dxa"/>
                  <w:vAlign w:val="center"/>
                </w:tcPr>
                <w:p w14:paraId="2B7BEB1F">
                  <w:pPr>
                    <w:pStyle w:val="41"/>
                  </w:pPr>
                  <w:r>
                    <w:rPr>
                      <w:rFonts w:hint="eastAsia"/>
                    </w:rPr>
                    <w:t>焊烟净化器处理后无组织排放</w:t>
                  </w:r>
                </w:p>
              </w:tc>
            </w:tr>
            <w:tr w14:paraId="71F986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vAlign w:val="center"/>
                </w:tcPr>
                <w:p w14:paraId="7C86BA57">
                  <w:pPr>
                    <w:pStyle w:val="41"/>
                    <w:rPr>
                      <w:lang w:val="en-GB"/>
                    </w:rPr>
                  </w:pPr>
                </w:p>
              </w:tc>
              <w:tc>
                <w:tcPr>
                  <w:tcW w:w="946" w:type="dxa"/>
                  <w:vMerge w:val="continue"/>
                  <w:vAlign w:val="center"/>
                </w:tcPr>
                <w:p w14:paraId="57A7A5FF">
                  <w:pPr>
                    <w:pStyle w:val="41"/>
                  </w:pPr>
                </w:p>
              </w:tc>
              <w:tc>
                <w:tcPr>
                  <w:tcW w:w="1086" w:type="dxa"/>
                  <w:vAlign w:val="center"/>
                </w:tcPr>
                <w:p w14:paraId="5598145B">
                  <w:pPr>
                    <w:pStyle w:val="41"/>
                  </w:pPr>
                  <w:r>
                    <w:rPr>
                      <w:rFonts w:hint="eastAsia"/>
                    </w:rPr>
                    <w:t>打磨粉尘</w:t>
                  </w:r>
                </w:p>
              </w:tc>
              <w:tc>
                <w:tcPr>
                  <w:tcW w:w="2174" w:type="dxa"/>
                  <w:tcBorders>
                    <w:bottom w:val="single" w:color="auto" w:sz="4" w:space="0"/>
                  </w:tcBorders>
                  <w:vAlign w:val="center"/>
                </w:tcPr>
                <w:p w14:paraId="4651D667">
                  <w:pPr>
                    <w:pStyle w:val="41"/>
                    <w:rPr>
                      <w:lang w:val="en-GB"/>
                    </w:rPr>
                  </w:pPr>
                  <w:r>
                    <w:rPr>
                      <w:rFonts w:hint="eastAsia"/>
                      <w:lang w:val="en-GB"/>
                    </w:rPr>
                    <w:t>颗粒物</w:t>
                  </w:r>
                </w:p>
              </w:tc>
              <w:tc>
                <w:tcPr>
                  <w:tcW w:w="3254" w:type="dxa"/>
                  <w:tcBorders>
                    <w:bottom w:val="single" w:color="auto" w:sz="4" w:space="0"/>
                  </w:tcBorders>
                  <w:vAlign w:val="center"/>
                </w:tcPr>
                <w:p w14:paraId="4C9B041C">
                  <w:pPr>
                    <w:pStyle w:val="41"/>
                    <w:rPr>
                      <w:lang w:val="en-GB"/>
                    </w:rPr>
                  </w:pPr>
                  <w:r>
                    <w:rPr>
                      <w:rFonts w:hint="eastAsia"/>
                      <w:shd w:val="clear" w:fill="FFFFFF"/>
                    </w:rPr>
                    <w:t>单机</w:t>
                  </w:r>
                  <w:r>
                    <w:rPr>
                      <w:rFonts w:hint="eastAsia"/>
                    </w:rPr>
                    <w:t>脉冲布袋除尘器处理后无组织排放</w:t>
                  </w:r>
                </w:p>
              </w:tc>
            </w:tr>
            <w:tr w14:paraId="3F807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vAlign w:val="center"/>
                </w:tcPr>
                <w:p w14:paraId="0C999A4A">
                  <w:pPr>
                    <w:pStyle w:val="41"/>
                    <w:rPr>
                      <w:lang w:val="en-GB"/>
                    </w:rPr>
                  </w:pPr>
                </w:p>
              </w:tc>
              <w:tc>
                <w:tcPr>
                  <w:tcW w:w="946" w:type="dxa"/>
                  <w:vMerge w:val="continue"/>
                  <w:vAlign w:val="center"/>
                </w:tcPr>
                <w:p w14:paraId="7BC0C772">
                  <w:pPr>
                    <w:pStyle w:val="41"/>
                  </w:pPr>
                </w:p>
              </w:tc>
              <w:tc>
                <w:tcPr>
                  <w:tcW w:w="1086" w:type="dxa"/>
                  <w:vAlign w:val="center"/>
                </w:tcPr>
                <w:p w14:paraId="2DB053F4">
                  <w:pPr>
                    <w:pStyle w:val="41"/>
                  </w:pPr>
                  <w:r>
                    <w:rPr>
                      <w:rFonts w:hint="eastAsia"/>
                    </w:rPr>
                    <w:t>涂胶工序有机废气</w:t>
                  </w:r>
                </w:p>
              </w:tc>
              <w:tc>
                <w:tcPr>
                  <w:tcW w:w="2174" w:type="dxa"/>
                  <w:tcBorders>
                    <w:top w:val="single" w:color="auto" w:sz="4" w:space="0"/>
                  </w:tcBorders>
                  <w:vAlign w:val="center"/>
                </w:tcPr>
                <w:p w14:paraId="60919513">
                  <w:pPr>
                    <w:pStyle w:val="41"/>
                    <w:rPr>
                      <w:lang w:val="en-GB"/>
                    </w:rPr>
                  </w:pPr>
                  <w:r>
                    <w:rPr>
                      <w:rFonts w:hint="eastAsia"/>
                    </w:rPr>
                    <w:t>挥发性有机物（以非甲烷总烃计）</w:t>
                  </w:r>
                </w:p>
              </w:tc>
              <w:tc>
                <w:tcPr>
                  <w:tcW w:w="3254" w:type="dxa"/>
                  <w:tcBorders>
                    <w:top w:val="single" w:color="auto" w:sz="4" w:space="0"/>
                  </w:tcBorders>
                  <w:vAlign w:val="center"/>
                </w:tcPr>
                <w:p w14:paraId="4C10E726">
                  <w:pPr>
                    <w:pStyle w:val="41"/>
                    <w:rPr>
                      <w:bCs/>
                    </w:rPr>
                  </w:pPr>
                  <w:r>
                    <w:rPr>
                      <w:rFonts w:hint="eastAsia"/>
                    </w:rPr>
                    <w:t>集气罩收集后经两级活性炭吸附装置处理后于15m排气筒DA001排放</w:t>
                  </w:r>
                </w:p>
              </w:tc>
            </w:tr>
            <w:tr w14:paraId="35367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Align w:val="center"/>
                </w:tcPr>
                <w:p w14:paraId="3D5D34BC">
                  <w:pPr>
                    <w:pStyle w:val="41"/>
                    <w:rPr>
                      <w:lang w:val="en-GB"/>
                    </w:rPr>
                  </w:pPr>
                  <w:r>
                    <w:rPr>
                      <w:lang w:val="en-GB"/>
                    </w:rPr>
                    <w:t>废水</w:t>
                  </w:r>
                </w:p>
              </w:tc>
              <w:tc>
                <w:tcPr>
                  <w:tcW w:w="2032" w:type="dxa"/>
                  <w:gridSpan w:val="2"/>
                  <w:vAlign w:val="center"/>
                </w:tcPr>
                <w:p w14:paraId="3BBCF2D4">
                  <w:pPr>
                    <w:pStyle w:val="41"/>
                    <w:rPr>
                      <w:lang w:val="en-GB"/>
                    </w:rPr>
                  </w:pPr>
                  <w:r>
                    <w:rPr>
                      <w:lang w:val="en-GB"/>
                    </w:rPr>
                    <w:t>生活污水</w:t>
                  </w:r>
                </w:p>
              </w:tc>
              <w:tc>
                <w:tcPr>
                  <w:tcW w:w="2174" w:type="dxa"/>
                  <w:vAlign w:val="center"/>
                </w:tcPr>
                <w:p w14:paraId="5ABC8362">
                  <w:pPr>
                    <w:pStyle w:val="41"/>
                    <w:rPr>
                      <w:lang w:val="en-GB"/>
                    </w:rPr>
                  </w:pPr>
                  <w:r>
                    <w:rPr>
                      <w:rFonts w:hint="eastAsia"/>
                      <w:lang w:val="en-GB"/>
                    </w:rPr>
                    <w:t>pH、SS、COD</w:t>
                  </w:r>
                  <w:r>
                    <w:rPr>
                      <w:lang w:val="en-GB"/>
                    </w:rPr>
                    <w:t>、BOD</w:t>
                  </w:r>
                  <w:r>
                    <w:rPr>
                      <w:vertAlign w:val="subscript"/>
                      <w:lang w:val="en-GB"/>
                    </w:rPr>
                    <w:t>5</w:t>
                  </w:r>
                  <w:r>
                    <w:rPr>
                      <w:lang w:val="en-GB"/>
                    </w:rPr>
                    <w:t>、氨氮</w:t>
                  </w:r>
                </w:p>
              </w:tc>
              <w:tc>
                <w:tcPr>
                  <w:tcW w:w="3254" w:type="dxa"/>
                  <w:vAlign w:val="center"/>
                </w:tcPr>
                <w:p w14:paraId="0D0934AD">
                  <w:pPr>
                    <w:pStyle w:val="41"/>
                  </w:pPr>
                  <w:r>
                    <w:t>经化粪池处理后排入市政污水管网，进入福清市融元污水处理厂进一步处理</w:t>
                  </w:r>
                </w:p>
              </w:tc>
            </w:tr>
            <w:tr w14:paraId="12AAA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Align w:val="center"/>
                </w:tcPr>
                <w:p w14:paraId="06852114">
                  <w:pPr>
                    <w:pStyle w:val="41"/>
                    <w:rPr>
                      <w:lang w:val="en-GB"/>
                    </w:rPr>
                  </w:pPr>
                  <w:r>
                    <w:rPr>
                      <w:rFonts w:hint="eastAsia"/>
                      <w:lang w:val="en-GB"/>
                    </w:rPr>
                    <w:t>噪声</w:t>
                  </w:r>
                </w:p>
              </w:tc>
              <w:tc>
                <w:tcPr>
                  <w:tcW w:w="2032" w:type="dxa"/>
                  <w:gridSpan w:val="2"/>
                  <w:vAlign w:val="center"/>
                </w:tcPr>
                <w:p w14:paraId="3C52BC8E">
                  <w:pPr>
                    <w:pStyle w:val="41"/>
                    <w:rPr>
                      <w:lang w:val="en-GB"/>
                    </w:rPr>
                  </w:pPr>
                  <w:r>
                    <w:rPr>
                      <w:lang w:val="en-GB"/>
                    </w:rPr>
                    <w:t>生产</w:t>
                  </w:r>
                  <w:r>
                    <w:rPr>
                      <w:rFonts w:hint="eastAsia"/>
                      <w:lang w:val="en-GB"/>
                    </w:rPr>
                    <w:t>过程</w:t>
                  </w:r>
                </w:p>
              </w:tc>
              <w:tc>
                <w:tcPr>
                  <w:tcW w:w="2174" w:type="dxa"/>
                  <w:vAlign w:val="center"/>
                </w:tcPr>
                <w:p w14:paraId="4D186795">
                  <w:pPr>
                    <w:pStyle w:val="41"/>
                  </w:pPr>
                  <w:r>
                    <w:rPr>
                      <w:rFonts w:hint="eastAsia"/>
                      <w:shd w:val="clear" w:fill="FFFFFF"/>
                    </w:rPr>
                    <w:t>LAeq</w:t>
                  </w:r>
                </w:p>
              </w:tc>
              <w:tc>
                <w:tcPr>
                  <w:tcW w:w="3254" w:type="dxa"/>
                  <w:vAlign w:val="center"/>
                </w:tcPr>
                <w:p w14:paraId="3C4A8A5C">
                  <w:pPr>
                    <w:pStyle w:val="41"/>
                    <w:rPr>
                      <w:lang w:val="en-GB"/>
                    </w:rPr>
                  </w:pPr>
                  <w:r>
                    <w:rPr>
                      <w:rFonts w:hint="eastAsia"/>
                    </w:rPr>
                    <w:t>采取基础减震、厂房隔声等降噪措施</w:t>
                  </w:r>
                </w:p>
              </w:tc>
            </w:tr>
            <w:tr w14:paraId="036F1A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restart"/>
                  <w:vAlign w:val="center"/>
                </w:tcPr>
                <w:p w14:paraId="38BB16EA">
                  <w:pPr>
                    <w:pStyle w:val="41"/>
                    <w:rPr>
                      <w:lang w:val="en-GB"/>
                    </w:rPr>
                  </w:pPr>
                  <w:r>
                    <w:rPr>
                      <w:rFonts w:hint="eastAsia"/>
                    </w:rPr>
                    <w:t>一般</w:t>
                  </w:r>
                  <w:r>
                    <w:rPr>
                      <w:lang w:val="en-GB"/>
                    </w:rPr>
                    <w:t>固废</w:t>
                  </w:r>
                </w:p>
              </w:tc>
              <w:tc>
                <w:tcPr>
                  <w:tcW w:w="2032" w:type="dxa"/>
                  <w:gridSpan w:val="2"/>
                  <w:vAlign w:val="center"/>
                </w:tcPr>
                <w:p w14:paraId="7C6AE0E7">
                  <w:pPr>
                    <w:pStyle w:val="41"/>
                  </w:pPr>
                  <w:r>
                    <w:rPr>
                      <w:rFonts w:hint="eastAsia"/>
                    </w:rPr>
                    <w:t>打磨</w:t>
                  </w:r>
                </w:p>
              </w:tc>
              <w:tc>
                <w:tcPr>
                  <w:tcW w:w="2174" w:type="dxa"/>
                  <w:vAlign w:val="center"/>
                </w:tcPr>
                <w:p w14:paraId="2B42EC37">
                  <w:pPr>
                    <w:pStyle w:val="41"/>
                    <w:rPr>
                      <w:lang w:val="en-GB"/>
                    </w:rPr>
                  </w:pPr>
                  <w:r>
                    <w:rPr>
                      <w:rFonts w:hint="eastAsia"/>
                    </w:rPr>
                    <w:t>打磨金属屑</w:t>
                  </w:r>
                </w:p>
              </w:tc>
              <w:tc>
                <w:tcPr>
                  <w:tcW w:w="3254" w:type="dxa"/>
                  <w:vMerge w:val="restart"/>
                  <w:vAlign w:val="center"/>
                </w:tcPr>
                <w:p w14:paraId="416CBBD8">
                  <w:pPr>
                    <w:pStyle w:val="41"/>
                  </w:pPr>
                  <w:r>
                    <w:rPr>
                      <w:rFonts w:hint="eastAsia"/>
                    </w:rPr>
                    <w:t>一般固废经收集后暂存于一般固废间作为可回收资源出售；</w:t>
                  </w:r>
                </w:p>
              </w:tc>
            </w:tr>
            <w:tr w14:paraId="05BB0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vAlign w:val="center"/>
                </w:tcPr>
                <w:p w14:paraId="585289BE">
                  <w:pPr>
                    <w:pStyle w:val="41"/>
                    <w:rPr>
                      <w:lang w:val="en-GB"/>
                    </w:rPr>
                  </w:pPr>
                </w:p>
              </w:tc>
              <w:tc>
                <w:tcPr>
                  <w:tcW w:w="2032" w:type="dxa"/>
                  <w:gridSpan w:val="2"/>
                  <w:vMerge w:val="restart"/>
                  <w:vAlign w:val="center"/>
                </w:tcPr>
                <w:p w14:paraId="717B2DD0">
                  <w:pPr>
                    <w:pStyle w:val="41"/>
                  </w:pPr>
                  <w:r>
                    <w:rPr>
                      <w:rFonts w:hint="eastAsia"/>
                    </w:rPr>
                    <w:t>焊接</w:t>
                  </w:r>
                </w:p>
              </w:tc>
              <w:tc>
                <w:tcPr>
                  <w:tcW w:w="2174" w:type="dxa"/>
                  <w:vAlign w:val="center"/>
                </w:tcPr>
                <w:p w14:paraId="1D998511">
                  <w:pPr>
                    <w:pStyle w:val="41"/>
                  </w:pPr>
                  <w:r>
                    <w:rPr>
                      <w:rFonts w:hint="eastAsia"/>
                    </w:rPr>
                    <w:t>废烟尘过滤棉</w:t>
                  </w:r>
                </w:p>
              </w:tc>
              <w:tc>
                <w:tcPr>
                  <w:tcW w:w="3254" w:type="dxa"/>
                  <w:vMerge w:val="continue"/>
                  <w:vAlign w:val="center"/>
                </w:tcPr>
                <w:p w14:paraId="2592A46F">
                  <w:pPr>
                    <w:pStyle w:val="41"/>
                  </w:pPr>
                </w:p>
              </w:tc>
            </w:tr>
            <w:tr w14:paraId="14D40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vAlign w:val="center"/>
                </w:tcPr>
                <w:p w14:paraId="72E99E21">
                  <w:pPr>
                    <w:pStyle w:val="41"/>
                    <w:rPr>
                      <w:lang w:val="en-GB"/>
                    </w:rPr>
                  </w:pPr>
                </w:p>
              </w:tc>
              <w:tc>
                <w:tcPr>
                  <w:tcW w:w="2032" w:type="dxa"/>
                  <w:gridSpan w:val="2"/>
                  <w:vMerge w:val="continue"/>
                  <w:vAlign w:val="center"/>
                </w:tcPr>
                <w:p w14:paraId="07643C65">
                  <w:pPr>
                    <w:pStyle w:val="41"/>
                  </w:pPr>
                </w:p>
              </w:tc>
              <w:tc>
                <w:tcPr>
                  <w:tcW w:w="2174" w:type="dxa"/>
                  <w:vAlign w:val="center"/>
                </w:tcPr>
                <w:p w14:paraId="2B6DB174">
                  <w:pPr>
                    <w:pStyle w:val="41"/>
                    <w:rPr>
                      <w:lang w:val="en-GB"/>
                    </w:rPr>
                  </w:pPr>
                  <w:r>
                    <w:rPr>
                      <w:rFonts w:hint="eastAsia"/>
                    </w:rPr>
                    <w:t>废焊接材料</w:t>
                  </w:r>
                </w:p>
              </w:tc>
              <w:tc>
                <w:tcPr>
                  <w:tcW w:w="3254" w:type="dxa"/>
                  <w:vMerge w:val="continue"/>
                  <w:vAlign w:val="center"/>
                </w:tcPr>
                <w:p w14:paraId="2A3D82EA">
                  <w:pPr>
                    <w:pStyle w:val="41"/>
                  </w:pPr>
                </w:p>
              </w:tc>
            </w:tr>
            <w:tr w14:paraId="07F78C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157" w:type="dxa"/>
                  <w:vMerge w:val="continue"/>
                  <w:vAlign w:val="center"/>
                </w:tcPr>
                <w:p w14:paraId="2443E7CE">
                  <w:pPr>
                    <w:pStyle w:val="41"/>
                    <w:rPr>
                      <w:lang w:val="en-GB"/>
                    </w:rPr>
                  </w:pPr>
                </w:p>
              </w:tc>
              <w:tc>
                <w:tcPr>
                  <w:tcW w:w="2032" w:type="dxa"/>
                  <w:gridSpan w:val="2"/>
                  <w:vAlign w:val="center"/>
                </w:tcPr>
                <w:p w14:paraId="5C20A014">
                  <w:pPr>
                    <w:pStyle w:val="41"/>
                  </w:pPr>
                  <w:r>
                    <w:rPr>
                      <w:rFonts w:hint="eastAsia"/>
                    </w:rPr>
                    <w:t>CNC</w:t>
                  </w:r>
                </w:p>
              </w:tc>
              <w:tc>
                <w:tcPr>
                  <w:tcW w:w="2174" w:type="dxa"/>
                  <w:vAlign w:val="center"/>
                </w:tcPr>
                <w:p w14:paraId="6AA9FBBA">
                  <w:pPr>
                    <w:pStyle w:val="41"/>
                  </w:pPr>
                  <w:r>
                    <w:rPr>
                      <w:rFonts w:hint="eastAsia"/>
                    </w:rPr>
                    <w:t>边角料</w:t>
                  </w:r>
                </w:p>
              </w:tc>
              <w:tc>
                <w:tcPr>
                  <w:tcW w:w="3254" w:type="dxa"/>
                  <w:vMerge w:val="continue"/>
                  <w:vAlign w:val="center"/>
                </w:tcPr>
                <w:p w14:paraId="162AEDF5">
                  <w:pPr>
                    <w:pStyle w:val="41"/>
                  </w:pPr>
                </w:p>
              </w:tc>
            </w:tr>
            <w:tr w14:paraId="31659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vAlign w:val="center"/>
                </w:tcPr>
                <w:p w14:paraId="3ECC283A">
                  <w:pPr>
                    <w:pStyle w:val="41"/>
                    <w:rPr>
                      <w:lang w:val="en-GB"/>
                    </w:rPr>
                  </w:pPr>
                </w:p>
              </w:tc>
              <w:tc>
                <w:tcPr>
                  <w:tcW w:w="2032" w:type="dxa"/>
                  <w:gridSpan w:val="2"/>
                  <w:vAlign w:val="center"/>
                </w:tcPr>
                <w:p w14:paraId="392FFCA8">
                  <w:pPr>
                    <w:pStyle w:val="41"/>
                  </w:pPr>
                  <w:r>
                    <w:rPr>
                      <w:rFonts w:hint="eastAsia"/>
                    </w:rPr>
                    <w:t>产品检测</w:t>
                  </w:r>
                </w:p>
              </w:tc>
              <w:tc>
                <w:tcPr>
                  <w:tcW w:w="2174" w:type="dxa"/>
                  <w:vAlign w:val="center"/>
                </w:tcPr>
                <w:p w14:paraId="00FC8CBB">
                  <w:pPr>
                    <w:pStyle w:val="41"/>
                  </w:pPr>
                  <w:r>
                    <w:rPr>
                      <w:rFonts w:hint="eastAsia"/>
                    </w:rPr>
                    <w:t>不合格产品</w:t>
                  </w:r>
                </w:p>
              </w:tc>
              <w:tc>
                <w:tcPr>
                  <w:tcW w:w="3254" w:type="dxa"/>
                  <w:vMerge w:val="continue"/>
                  <w:vAlign w:val="center"/>
                </w:tcPr>
                <w:p w14:paraId="73AF9149">
                  <w:pPr>
                    <w:pStyle w:val="41"/>
                  </w:pPr>
                </w:p>
              </w:tc>
            </w:tr>
            <w:tr w14:paraId="7ED80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vAlign w:val="center"/>
                </w:tcPr>
                <w:p w14:paraId="2135ACF2">
                  <w:pPr>
                    <w:pStyle w:val="41"/>
                    <w:rPr>
                      <w:lang w:val="en-GB"/>
                    </w:rPr>
                  </w:pPr>
                </w:p>
              </w:tc>
              <w:tc>
                <w:tcPr>
                  <w:tcW w:w="2032" w:type="dxa"/>
                  <w:gridSpan w:val="2"/>
                  <w:vAlign w:val="center"/>
                </w:tcPr>
                <w:p w14:paraId="23387F75">
                  <w:pPr>
                    <w:pStyle w:val="41"/>
                    <w:rPr>
                      <w:lang w:val="en-GB"/>
                    </w:rPr>
                  </w:pPr>
                  <w:r>
                    <w:rPr>
                      <w:rFonts w:hint="eastAsia"/>
                    </w:rPr>
                    <w:t>生活</w:t>
                  </w:r>
                </w:p>
              </w:tc>
              <w:tc>
                <w:tcPr>
                  <w:tcW w:w="2174" w:type="dxa"/>
                  <w:tcBorders>
                    <w:bottom w:val="single" w:color="auto" w:sz="4" w:space="0"/>
                  </w:tcBorders>
                  <w:vAlign w:val="center"/>
                </w:tcPr>
                <w:p w14:paraId="497E602E">
                  <w:pPr>
                    <w:pStyle w:val="41"/>
                  </w:pPr>
                  <w:r>
                    <w:rPr>
                      <w:rFonts w:hint="eastAsia"/>
                    </w:rPr>
                    <w:t>生活</w:t>
                  </w:r>
                  <w:r>
                    <w:t>垃圾</w:t>
                  </w:r>
                </w:p>
              </w:tc>
              <w:tc>
                <w:tcPr>
                  <w:tcW w:w="3254" w:type="dxa"/>
                  <w:tcBorders>
                    <w:bottom w:val="single" w:color="auto" w:sz="4" w:space="0"/>
                  </w:tcBorders>
                  <w:vAlign w:val="center"/>
                </w:tcPr>
                <w:p w14:paraId="103C92CA">
                  <w:pPr>
                    <w:pStyle w:val="41"/>
                  </w:pPr>
                  <w:r>
                    <w:rPr>
                      <w:rFonts w:hint="eastAsia"/>
                    </w:rPr>
                    <w:t>垃圾桶，环卫部门统一清运</w:t>
                  </w:r>
                </w:p>
              </w:tc>
            </w:tr>
            <w:tr w14:paraId="42183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restart"/>
                  <w:vAlign w:val="center"/>
                </w:tcPr>
                <w:p w14:paraId="417F31BF">
                  <w:pPr>
                    <w:pStyle w:val="41"/>
                  </w:pPr>
                  <w:r>
                    <w:rPr>
                      <w:rFonts w:hint="eastAsia"/>
                    </w:rPr>
                    <w:t>危险废物</w:t>
                  </w:r>
                </w:p>
              </w:tc>
              <w:tc>
                <w:tcPr>
                  <w:tcW w:w="2032" w:type="dxa"/>
                  <w:gridSpan w:val="2"/>
                  <w:vMerge w:val="restart"/>
                  <w:vAlign w:val="center"/>
                </w:tcPr>
                <w:p w14:paraId="47A44C85">
                  <w:pPr>
                    <w:pStyle w:val="41"/>
                    <w:rPr>
                      <w:lang w:val="en-GB"/>
                    </w:rPr>
                  </w:pPr>
                  <w:r>
                    <w:rPr>
                      <w:rFonts w:hint="eastAsia"/>
                    </w:rPr>
                    <w:t>设备润滑</w:t>
                  </w:r>
                </w:p>
              </w:tc>
              <w:tc>
                <w:tcPr>
                  <w:tcW w:w="2174" w:type="dxa"/>
                  <w:tcBorders>
                    <w:top w:val="single" w:color="auto" w:sz="4" w:space="0"/>
                    <w:bottom w:val="single" w:color="auto" w:sz="4" w:space="0"/>
                  </w:tcBorders>
                  <w:vAlign w:val="center"/>
                </w:tcPr>
                <w:p w14:paraId="051865E2">
                  <w:pPr>
                    <w:pStyle w:val="41"/>
                  </w:pPr>
                  <w:r>
                    <w:rPr>
                      <w:rFonts w:hint="eastAsia"/>
                    </w:rPr>
                    <w:t>废润滑油</w:t>
                  </w:r>
                </w:p>
              </w:tc>
              <w:tc>
                <w:tcPr>
                  <w:tcW w:w="3254" w:type="dxa"/>
                  <w:vMerge w:val="restart"/>
                  <w:tcBorders>
                    <w:top w:val="single" w:color="auto" w:sz="4" w:space="0"/>
                  </w:tcBorders>
                  <w:vAlign w:val="center"/>
                </w:tcPr>
                <w:p w14:paraId="1409413B">
                  <w:pPr>
                    <w:pStyle w:val="41"/>
                  </w:pPr>
                  <w:r>
                    <w:rPr>
                      <w:rFonts w:hint="eastAsia"/>
                    </w:rPr>
                    <w:t>危险废物经收集后暂存于危废暂存库，</w:t>
                  </w:r>
                  <w:r>
                    <w:rPr>
                      <w:rFonts w:hint="eastAsia" w:ascii="宋体" w:hAnsi="宋体" w:cs="宋体"/>
                    </w:rPr>
                    <w:t>并</w:t>
                  </w:r>
                  <w:r>
                    <w:rPr>
                      <w:rFonts w:hint="eastAsia"/>
                    </w:rPr>
                    <w:t>委托有资质单位处置</w:t>
                  </w:r>
                </w:p>
              </w:tc>
            </w:tr>
            <w:tr w14:paraId="06414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vAlign w:val="center"/>
                </w:tcPr>
                <w:p w14:paraId="36B9A50C">
                  <w:pPr>
                    <w:pStyle w:val="41"/>
                  </w:pPr>
                </w:p>
              </w:tc>
              <w:tc>
                <w:tcPr>
                  <w:tcW w:w="2032" w:type="dxa"/>
                  <w:gridSpan w:val="2"/>
                  <w:vMerge w:val="continue"/>
                  <w:vAlign w:val="center"/>
                </w:tcPr>
                <w:p w14:paraId="0AFD84D8">
                  <w:pPr>
                    <w:pStyle w:val="41"/>
                  </w:pPr>
                </w:p>
              </w:tc>
              <w:tc>
                <w:tcPr>
                  <w:tcW w:w="2174" w:type="dxa"/>
                  <w:tcBorders>
                    <w:top w:val="single" w:color="auto" w:sz="4" w:space="0"/>
                    <w:bottom w:val="single" w:color="auto" w:sz="4" w:space="0"/>
                  </w:tcBorders>
                  <w:vAlign w:val="center"/>
                </w:tcPr>
                <w:p w14:paraId="3ADE10E2">
                  <w:pPr>
                    <w:pStyle w:val="41"/>
                  </w:pPr>
                  <w:r>
                    <w:rPr>
                      <w:rFonts w:hint="eastAsia"/>
                    </w:rPr>
                    <w:t>废润滑油桶</w:t>
                  </w:r>
                </w:p>
              </w:tc>
              <w:tc>
                <w:tcPr>
                  <w:tcW w:w="3254" w:type="dxa"/>
                  <w:vMerge w:val="continue"/>
                  <w:tcBorders>
                    <w:top w:val="single" w:color="auto" w:sz="4" w:space="0"/>
                  </w:tcBorders>
                  <w:vAlign w:val="center"/>
                </w:tcPr>
                <w:p w14:paraId="743A93B4">
                  <w:pPr>
                    <w:pStyle w:val="41"/>
                  </w:pPr>
                </w:p>
              </w:tc>
            </w:tr>
            <w:tr w14:paraId="428DCE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vAlign w:val="center"/>
                </w:tcPr>
                <w:p w14:paraId="11242702">
                  <w:pPr>
                    <w:pStyle w:val="41"/>
                    <w:rPr>
                      <w:lang w:val="en-GB"/>
                    </w:rPr>
                  </w:pPr>
                </w:p>
              </w:tc>
              <w:tc>
                <w:tcPr>
                  <w:tcW w:w="2032" w:type="dxa"/>
                  <w:gridSpan w:val="2"/>
                  <w:vMerge w:val="restart"/>
                  <w:vAlign w:val="center"/>
                </w:tcPr>
                <w:p w14:paraId="32F93B03">
                  <w:pPr>
                    <w:pStyle w:val="41"/>
                    <w:rPr>
                      <w:lang w:val="en-GB"/>
                    </w:rPr>
                  </w:pPr>
                  <w:r>
                    <w:rPr>
                      <w:rFonts w:hint="eastAsia"/>
                    </w:rPr>
                    <w:t>涂胶工段</w:t>
                  </w:r>
                </w:p>
              </w:tc>
              <w:tc>
                <w:tcPr>
                  <w:tcW w:w="2174" w:type="dxa"/>
                  <w:tcBorders>
                    <w:top w:val="single" w:color="auto" w:sz="4" w:space="0"/>
                  </w:tcBorders>
                  <w:vAlign w:val="center"/>
                </w:tcPr>
                <w:p w14:paraId="1E59C047">
                  <w:pPr>
                    <w:pStyle w:val="41"/>
                  </w:pPr>
                  <w:r>
                    <w:rPr>
                      <w:rFonts w:hint="eastAsia"/>
                    </w:rPr>
                    <w:t>废活性炭</w:t>
                  </w:r>
                </w:p>
              </w:tc>
              <w:tc>
                <w:tcPr>
                  <w:tcW w:w="3254" w:type="dxa"/>
                  <w:vMerge w:val="continue"/>
                  <w:vAlign w:val="center"/>
                </w:tcPr>
                <w:p w14:paraId="743223A1">
                  <w:pPr>
                    <w:pStyle w:val="41"/>
                  </w:pPr>
                </w:p>
              </w:tc>
            </w:tr>
            <w:tr w14:paraId="25790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vAlign w:val="center"/>
                </w:tcPr>
                <w:p w14:paraId="55340315">
                  <w:pPr>
                    <w:pStyle w:val="41"/>
                    <w:rPr>
                      <w:lang w:val="en-GB"/>
                    </w:rPr>
                  </w:pPr>
                </w:p>
              </w:tc>
              <w:tc>
                <w:tcPr>
                  <w:tcW w:w="2032" w:type="dxa"/>
                  <w:gridSpan w:val="2"/>
                  <w:vMerge w:val="continue"/>
                  <w:vAlign w:val="center"/>
                </w:tcPr>
                <w:p w14:paraId="47672946">
                  <w:pPr>
                    <w:pStyle w:val="41"/>
                  </w:pPr>
                </w:p>
              </w:tc>
              <w:tc>
                <w:tcPr>
                  <w:tcW w:w="2174" w:type="dxa"/>
                  <w:tcBorders>
                    <w:top w:val="single" w:color="auto" w:sz="4" w:space="0"/>
                  </w:tcBorders>
                  <w:vAlign w:val="center"/>
                </w:tcPr>
                <w:p w14:paraId="5BA74ACE">
                  <w:pPr>
                    <w:pStyle w:val="41"/>
                  </w:pPr>
                  <w:r>
                    <w:rPr>
                      <w:rFonts w:hint="eastAsia"/>
                    </w:rPr>
                    <w:t>废胶桶</w:t>
                  </w:r>
                </w:p>
              </w:tc>
              <w:tc>
                <w:tcPr>
                  <w:tcW w:w="3254" w:type="dxa"/>
                  <w:vMerge w:val="continue"/>
                  <w:vAlign w:val="center"/>
                </w:tcPr>
                <w:p w14:paraId="3BED9BA6">
                  <w:pPr>
                    <w:pStyle w:val="41"/>
                  </w:pPr>
                </w:p>
              </w:tc>
            </w:tr>
            <w:tr w14:paraId="0BA27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vAlign w:val="center"/>
                </w:tcPr>
                <w:p w14:paraId="303B1849">
                  <w:pPr>
                    <w:pStyle w:val="41"/>
                    <w:rPr>
                      <w:lang w:val="en-GB"/>
                    </w:rPr>
                  </w:pPr>
                </w:p>
              </w:tc>
              <w:tc>
                <w:tcPr>
                  <w:tcW w:w="2032" w:type="dxa"/>
                  <w:gridSpan w:val="2"/>
                  <w:vMerge w:val="continue"/>
                  <w:vAlign w:val="center"/>
                </w:tcPr>
                <w:p w14:paraId="661F7B9D">
                  <w:pPr>
                    <w:pStyle w:val="41"/>
                  </w:pPr>
                </w:p>
              </w:tc>
              <w:tc>
                <w:tcPr>
                  <w:tcW w:w="2174" w:type="dxa"/>
                  <w:tcBorders>
                    <w:top w:val="single" w:color="auto" w:sz="4" w:space="0"/>
                  </w:tcBorders>
                  <w:vAlign w:val="center"/>
                </w:tcPr>
                <w:p w14:paraId="60D620BB">
                  <w:pPr>
                    <w:pStyle w:val="41"/>
                  </w:pPr>
                  <w:r>
                    <w:rPr>
                      <w:rFonts w:hint="eastAsia"/>
                    </w:rPr>
                    <w:t>废胶</w:t>
                  </w:r>
                </w:p>
              </w:tc>
              <w:tc>
                <w:tcPr>
                  <w:tcW w:w="3254" w:type="dxa"/>
                  <w:vMerge w:val="continue"/>
                  <w:vAlign w:val="center"/>
                </w:tcPr>
                <w:p w14:paraId="11B298F4">
                  <w:pPr>
                    <w:pStyle w:val="41"/>
                  </w:pPr>
                </w:p>
              </w:tc>
            </w:tr>
          </w:tbl>
          <w:p w14:paraId="72750898">
            <w:pPr>
              <w:ind w:firstLine="0" w:firstLineChars="0"/>
            </w:pPr>
          </w:p>
        </w:tc>
      </w:tr>
      <w:tr w14:paraId="232C96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640" w:hRule="atLeast"/>
          <w:jc w:val="center"/>
        </w:trPr>
        <w:tc>
          <w:tcPr>
            <w:tcW w:w="249" w:type="pct"/>
            <w:vAlign w:val="center"/>
          </w:tcPr>
          <w:p w14:paraId="0351F555">
            <w:pPr>
              <w:pStyle w:val="41"/>
            </w:pPr>
            <w:r>
              <w:t>与项目有关的原有环境污染问题</w:t>
            </w:r>
          </w:p>
        </w:tc>
        <w:tc>
          <w:tcPr>
            <w:tcW w:w="4751" w:type="pct"/>
          </w:tcPr>
          <w:p w14:paraId="7A3D77DF">
            <w:pPr>
              <w:pStyle w:val="109"/>
              <w:rPr>
                <w:rFonts w:hint="eastAsia"/>
              </w:rPr>
            </w:pPr>
            <w:r>
              <w:rPr>
                <w:rFonts w:hint="eastAsia"/>
              </w:rPr>
              <w:t>本项目为新建项目，租赁已建厂房进行建设，根据现场踏勘，租赁厂房现状为空置（现场情况图见附图4），无</w:t>
            </w:r>
            <w:r>
              <w:t>环境污染问题</w:t>
            </w:r>
            <w:r>
              <w:rPr>
                <w:rFonts w:hint="eastAsia"/>
              </w:rPr>
              <w:t>。</w:t>
            </w:r>
          </w:p>
        </w:tc>
      </w:tr>
    </w:tbl>
    <w:p w14:paraId="4C8DFBEB">
      <w:pPr>
        <w:ind w:firstLine="720"/>
        <w:rPr>
          <w:rFonts w:eastAsia="黑体"/>
          <w:snapToGrid w:val="0"/>
          <w:sz w:val="36"/>
          <w:szCs w:val="36"/>
        </w:rPr>
        <w:sectPr>
          <w:headerReference r:id="rId17" w:type="first"/>
          <w:headerReference r:id="rId15" w:type="default"/>
          <w:footerReference r:id="rId18" w:type="default"/>
          <w:headerReference r:id="rId16" w:type="even"/>
          <w:pgSz w:w="11905" w:h="16838"/>
          <w:pgMar w:top="1417" w:right="1417" w:bottom="1417" w:left="1417" w:header="851" w:footer="850" w:gutter="0"/>
          <w:cols w:space="720" w:num="1"/>
          <w:docGrid w:linePitch="312" w:charSpace="0"/>
        </w:sectPr>
      </w:pPr>
    </w:p>
    <w:p w14:paraId="0E524452">
      <w:pPr>
        <w:pStyle w:val="2"/>
        <w:spacing w:before="120" w:after="120"/>
      </w:pPr>
      <w:r>
        <w:t>三、区域环境质量现状、环境保护目标及评价标准</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4"/>
        <w:gridCol w:w="8613"/>
      </w:tblGrid>
      <w:tr w14:paraId="20BBEC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8" w:hRule="atLeast"/>
          <w:jc w:val="center"/>
        </w:trPr>
        <w:tc>
          <w:tcPr>
            <w:tcW w:w="363" w:type="pct"/>
            <w:vAlign w:val="center"/>
          </w:tcPr>
          <w:p w14:paraId="0513A488">
            <w:pPr>
              <w:pStyle w:val="41"/>
            </w:pPr>
            <w:r>
              <w:t>区域</w:t>
            </w:r>
          </w:p>
          <w:p w14:paraId="5D9BB0DC">
            <w:pPr>
              <w:pStyle w:val="41"/>
            </w:pPr>
            <w:r>
              <w:t>环境</w:t>
            </w:r>
          </w:p>
          <w:p w14:paraId="38DCDA00">
            <w:pPr>
              <w:pStyle w:val="41"/>
            </w:pPr>
            <w:r>
              <w:t>质量</w:t>
            </w:r>
          </w:p>
          <w:p w14:paraId="0BA40DB7">
            <w:pPr>
              <w:pStyle w:val="41"/>
            </w:pPr>
            <w:r>
              <w:t>现状</w:t>
            </w:r>
          </w:p>
        </w:tc>
        <w:tc>
          <w:tcPr>
            <w:tcW w:w="4637" w:type="pct"/>
            <w:vAlign w:val="center"/>
          </w:tcPr>
          <w:p w14:paraId="2FAEE58C">
            <w:pPr>
              <w:pStyle w:val="4"/>
              <w:spacing w:before="120" w:after="0" w:afterLines="0"/>
            </w:pPr>
            <w:bookmarkStart w:id="3" w:name="_Toc6917"/>
            <w:r>
              <w:rPr>
                <w:rFonts w:hint="eastAsia"/>
              </w:rPr>
              <w:t>3.1.1</w:t>
            </w:r>
            <w:r>
              <w:t>大气环境质量现状</w:t>
            </w:r>
            <w:bookmarkEnd w:id="3"/>
          </w:p>
          <w:p w14:paraId="63A8EAF2">
            <w:pPr>
              <w:widowControl/>
              <w:ind w:firstLine="480"/>
              <w:rPr>
                <w:kern w:val="0"/>
                <w:lang w:val="zh-CN" w:bidi="zh-CN"/>
                <w14:ligatures w14:val="standardContextual"/>
              </w:rPr>
            </w:pPr>
            <w:r>
              <w:rPr>
                <w:kern w:val="0"/>
                <w:lang w:val="zh-CN" w:bidi="zh-CN"/>
                <w14:ligatures w14:val="standardContextual"/>
              </w:rPr>
              <w:t>根据《2023年福州市环境状况公报》，全省68个城市(9个设区城市、平潭综合实验区和58个县级城市)环境空气中细颗粒物、可吸入颗粒物、二氧化硫和二氧化氮年均浓度分别为16微克/立方米、31微克/立方米、5微克/立方米和12微克/立方米，臭氧和一氧化碳特定百分位数平均值分别为113微克/立方米和0.8毫克/立方米。按照《环境空气质量标准》(CB3095-2012)评价，空气质量优良天数比例99.4%。</w:t>
            </w:r>
          </w:p>
          <w:p w14:paraId="624A43DE">
            <w:pPr>
              <w:topLinePunct/>
              <w:adjustRightInd w:val="0"/>
              <w:snapToGrid w:val="0"/>
              <w:ind w:firstLine="480"/>
              <w:jc w:val="left"/>
              <w:rPr>
                <w:kern w:val="0"/>
                <w:sz w:val="21"/>
                <w:szCs w:val="20"/>
              </w:rPr>
            </w:pPr>
            <w:r>
              <w:rPr>
                <w:kern w:val="0"/>
              </w:rPr>
              <w:t>根据福州市福清生态环境局发布的2023年1月至2023年12月空气质量月报数据，详见表3.1-1，空气环境中SO</w:t>
            </w:r>
            <w:r>
              <w:rPr>
                <w:kern w:val="0"/>
                <w:vertAlign w:val="subscript"/>
              </w:rPr>
              <w:t>2</w:t>
            </w:r>
            <w:r>
              <w:rPr>
                <w:kern w:val="0"/>
              </w:rPr>
              <w:t>、NO</w:t>
            </w:r>
            <w:r>
              <w:rPr>
                <w:kern w:val="0"/>
                <w:vertAlign w:val="subscript"/>
              </w:rPr>
              <w:t>2</w:t>
            </w:r>
            <w:r>
              <w:rPr>
                <w:kern w:val="0"/>
              </w:rPr>
              <w:t>、PM</w:t>
            </w:r>
            <w:r>
              <w:rPr>
                <w:kern w:val="0"/>
                <w:vertAlign w:val="subscript"/>
              </w:rPr>
              <w:t>10</w:t>
            </w:r>
            <w:r>
              <w:rPr>
                <w:kern w:val="0"/>
              </w:rPr>
              <w:t>和PM</w:t>
            </w:r>
            <w:r>
              <w:rPr>
                <w:kern w:val="0"/>
                <w:vertAlign w:val="subscript"/>
              </w:rPr>
              <w:t>2.5</w:t>
            </w:r>
            <w:r>
              <w:rPr>
                <w:kern w:val="0"/>
              </w:rPr>
              <w:t>均未超过</w:t>
            </w:r>
            <w:bookmarkStart w:id="11" w:name="_GoBack"/>
            <w:r>
              <w:rPr>
                <w:kern w:val="0"/>
              </w:rPr>
              <w:t>国家二级</w:t>
            </w:r>
            <w:bookmarkEnd w:id="11"/>
            <w:r>
              <w:rPr>
                <w:kern w:val="0"/>
              </w:rPr>
              <w:t>标准，CO日均值第95百分数和O</w:t>
            </w:r>
            <w:r>
              <w:rPr>
                <w:kern w:val="0"/>
                <w:vertAlign w:val="subscript"/>
              </w:rPr>
              <w:t>3</w:t>
            </w:r>
            <w:r>
              <w:rPr>
                <w:kern w:val="0"/>
              </w:rPr>
              <w:t>最大8小时值第90百分数未超过国家二级标准。</w:t>
            </w:r>
          </w:p>
          <w:p w14:paraId="561A8273">
            <w:pPr>
              <w:pStyle w:val="92"/>
              <w:spacing w:before="120"/>
            </w:pPr>
            <w:r>
              <w:t>表3.1-1  2023年福清市空气质量月报数据</w:t>
            </w:r>
          </w:p>
          <w:tbl>
            <w:tblPr>
              <w:tblStyle w:val="8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115"/>
              <w:gridCol w:w="1115"/>
              <w:gridCol w:w="1114"/>
              <w:gridCol w:w="1540"/>
              <w:gridCol w:w="1050"/>
              <w:gridCol w:w="1119"/>
            </w:tblGrid>
            <w:tr w14:paraId="09169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pct"/>
                  <w:vAlign w:val="center"/>
                </w:tcPr>
                <w:p w14:paraId="520B57B5">
                  <w:pPr>
                    <w:pStyle w:val="41"/>
                    <w:rPr>
                      <w:lang w:eastAsia="en-US"/>
                    </w:rPr>
                  </w:pPr>
                  <w:r>
                    <w:rPr>
                      <w:lang w:eastAsia="en-US"/>
                    </w:rPr>
                    <w:t>时间</w:t>
                  </w:r>
                </w:p>
              </w:tc>
              <w:tc>
                <w:tcPr>
                  <w:tcW w:w="664" w:type="pct"/>
                  <w:vAlign w:val="center"/>
                </w:tcPr>
                <w:p w14:paraId="1830A41B">
                  <w:pPr>
                    <w:pStyle w:val="41"/>
                    <w:rPr>
                      <w:lang w:eastAsia="en-US"/>
                    </w:rPr>
                  </w:pPr>
                  <w:r>
                    <w:rPr>
                      <w:lang w:eastAsia="en-US"/>
                    </w:rPr>
                    <w:t>SO</w:t>
                  </w:r>
                  <w:r>
                    <w:rPr>
                      <w:vertAlign w:val="subscript"/>
                      <w:lang w:eastAsia="en-US"/>
                    </w:rPr>
                    <w:t>2</w:t>
                  </w:r>
                </w:p>
                <w:p w14:paraId="1D14621F">
                  <w:pPr>
                    <w:pStyle w:val="41"/>
                    <w:rPr>
                      <w:lang w:eastAsia="en-US"/>
                    </w:rPr>
                  </w:pPr>
                  <w:r>
                    <w:rPr>
                      <w:lang w:eastAsia="en-US"/>
                    </w:rPr>
                    <w:t>（mg/m</w:t>
                  </w:r>
                  <w:r>
                    <w:rPr>
                      <w:vertAlign w:val="superscript"/>
                      <w:lang w:eastAsia="en-US"/>
                    </w:rPr>
                    <w:t>3</w:t>
                  </w:r>
                  <w:r>
                    <w:rPr>
                      <w:lang w:eastAsia="en-US"/>
                    </w:rPr>
                    <w:t>）</w:t>
                  </w:r>
                </w:p>
              </w:tc>
              <w:tc>
                <w:tcPr>
                  <w:tcW w:w="664" w:type="pct"/>
                  <w:vAlign w:val="center"/>
                </w:tcPr>
                <w:p w14:paraId="32050F96">
                  <w:pPr>
                    <w:pStyle w:val="41"/>
                    <w:rPr>
                      <w:lang w:eastAsia="en-US"/>
                    </w:rPr>
                  </w:pPr>
                  <w:r>
                    <w:rPr>
                      <w:lang w:eastAsia="en-US"/>
                    </w:rPr>
                    <w:t>NO</w:t>
                  </w:r>
                  <w:r>
                    <w:rPr>
                      <w:vertAlign w:val="subscript"/>
                      <w:lang w:eastAsia="en-US"/>
                    </w:rPr>
                    <w:t>2</w:t>
                  </w:r>
                </w:p>
                <w:p w14:paraId="0733BC8C">
                  <w:pPr>
                    <w:pStyle w:val="41"/>
                    <w:rPr>
                      <w:lang w:eastAsia="en-US"/>
                    </w:rPr>
                  </w:pPr>
                  <w:r>
                    <w:rPr>
                      <w:lang w:eastAsia="en-US"/>
                    </w:rPr>
                    <w:t>（mg/m</w:t>
                  </w:r>
                  <w:r>
                    <w:rPr>
                      <w:vertAlign w:val="superscript"/>
                      <w:lang w:eastAsia="en-US"/>
                    </w:rPr>
                    <w:t>3</w:t>
                  </w:r>
                  <w:r>
                    <w:rPr>
                      <w:lang w:eastAsia="en-US"/>
                    </w:rPr>
                    <w:t>）</w:t>
                  </w:r>
                </w:p>
              </w:tc>
              <w:tc>
                <w:tcPr>
                  <w:tcW w:w="664" w:type="pct"/>
                  <w:vAlign w:val="center"/>
                </w:tcPr>
                <w:p w14:paraId="66D4EC2C">
                  <w:pPr>
                    <w:pStyle w:val="41"/>
                    <w:rPr>
                      <w:lang w:eastAsia="en-US"/>
                    </w:rPr>
                  </w:pPr>
                  <w:r>
                    <w:rPr>
                      <w:lang w:eastAsia="en-US"/>
                    </w:rPr>
                    <w:t>PM</w:t>
                  </w:r>
                  <w:r>
                    <w:rPr>
                      <w:vertAlign w:val="subscript"/>
                      <w:lang w:eastAsia="en-US"/>
                    </w:rPr>
                    <w:t>10</w:t>
                  </w:r>
                </w:p>
                <w:p w14:paraId="11753F5C">
                  <w:pPr>
                    <w:pStyle w:val="41"/>
                    <w:rPr>
                      <w:lang w:eastAsia="en-US"/>
                    </w:rPr>
                  </w:pPr>
                  <w:r>
                    <w:rPr>
                      <w:lang w:eastAsia="en-US"/>
                    </w:rPr>
                    <w:t>（mg/m</w:t>
                  </w:r>
                  <w:r>
                    <w:rPr>
                      <w:vertAlign w:val="superscript"/>
                      <w:lang w:eastAsia="en-US"/>
                    </w:rPr>
                    <w:t>3</w:t>
                  </w:r>
                  <w:r>
                    <w:rPr>
                      <w:lang w:eastAsia="en-US"/>
                    </w:rPr>
                    <w:t>）</w:t>
                  </w:r>
                </w:p>
              </w:tc>
              <w:tc>
                <w:tcPr>
                  <w:tcW w:w="917" w:type="pct"/>
                  <w:vAlign w:val="center"/>
                </w:tcPr>
                <w:p w14:paraId="5A0C6B10">
                  <w:pPr>
                    <w:pStyle w:val="41"/>
                    <w:rPr>
                      <w:lang w:eastAsia="en-US"/>
                    </w:rPr>
                  </w:pPr>
                  <w:r>
                    <w:rPr>
                      <w:lang w:eastAsia="en-US"/>
                    </w:rPr>
                    <w:t>PM</w:t>
                  </w:r>
                  <w:r>
                    <w:rPr>
                      <w:vertAlign w:val="subscript"/>
                      <w:lang w:eastAsia="en-US"/>
                    </w:rPr>
                    <w:t>2.5</w:t>
                  </w:r>
                  <w:r>
                    <w:rPr>
                      <w:lang w:eastAsia="en-US"/>
                    </w:rPr>
                    <w:t>（mg/m</w:t>
                  </w:r>
                  <w:r>
                    <w:rPr>
                      <w:vertAlign w:val="superscript"/>
                      <w:lang w:eastAsia="en-US"/>
                    </w:rPr>
                    <w:t>3</w:t>
                  </w:r>
                  <w:r>
                    <w:rPr>
                      <w:lang w:eastAsia="en-US"/>
                    </w:rPr>
                    <w:t>）</w:t>
                  </w:r>
                </w:p>
              </w:tc>
              <w:tc>
                <w:tcPr>
                  <w:tcW w:w="625" w:type="pct"/>
                  <w:vAlign w:val="center"/>
                </w:tcPr>
                <w:p w14:paraId="297418F5">
                  <w:pPr>
                    <w:pStyle w:val="41"/>
                    <w:rPr>
                      <w:lang w:eastAsia="en-US"/>
                    </w:rPr>
                  </w:pPr>
                  <w:r>
                    <w:rPr>
                      <w:lang w:eastAsia="en-US"/>
                    </w:rPr>
                    <w:t>CO</w:t>
                  </w:r>
                </w:p>
                <w:p w14:paraId="65EE482B">
                  <w:pPr>
                    <w:pStyle w:val="41"/>
                    <w:rPr>
                      <w:lang w:eastAsia="en-US"/>
                    </w:rPr>
                  </w:pPr>
                  <w:r>
                    <w:rPr>
                      <w:lang w:eastAsia="en-US"/>
                    </w:rPr>
                    <w:t>（mg/m</w:t>
                  </w:r>
                  <w:r>
                    <w:rPr>
                      <w:vertAlign w:val="superscript"/>
                      <w:lang w:eastAsia="en-US"/>
                    </w:rPr>
                    <w:t>3</w:t>
                  </w:r>
                  <w:r>
                    <w:rPr>
                      <w:lang w:eastAsia="en-US"/>
                    </w:rPr>
                    <w:t>）</w:t>
                  </w:r>
                </w:p>
              </w:tc>
              <w:tc>
                <w:tcPr>
                  <w:tcW w:w="665" w:type="pct"/>
                  <w:vAlign w:val="center"/>
                </w:tcPr>
                <w:p w14:paraId="0153794F">
                  <w:pPr>
                    <w:pStyle w:val="41"/>
                    <w:rPr>
                      <w:vertAlign w:val="subscript"/>
                      <w:lang w:eastAsia="en-US"/>
                    </w:rPr>
                  </w:pPr>
                  <w:r>
                    <w:rPr>
                      <w:lang w:eastAsia="en-US"/>
                    </w:rPr>
                    <w:t>O</w:t>
                  </w:r>
                  <w:r>
                    <w:rPr>
                      <w:vertAlign w:val="subscript"/>
                      <w:lang w:eastAsia="en-US"/>
                    </w:rPr>
                    <w:t>3</w:t>
                  </w:r>
                </w:p>
                <w:p w14:paraId="7A617D73">
                  <w:pPr>
                    <w:pStyle w:val="41"/>
                    <w:rPr>
                      <w:lang w:eastAsia="en-US"/>
                    </w:rPr>
                  </w:pPr>
                  <w:r>
                    <w:rPr>
                      <w:lang w:eastAsia="en-US"/>
                    </w:rPr>
                    <w:t>（mg/m</w:t>
                  </w:r>
                  <w:r>
                    <w:rPr>
                      <w:vertAlign w:val="superscript"/>
                      <w:lang w:eastAsia="en-US"/>
                    </w:rPr>
                    <w:t>3</w:t>
                  </w:r>
                  <w:r>
                    <w:rPr>
                      <w:lang w:eastAsia="en-US"/>
                    </w:rPr>
                    <w:t>）</w:t>
                  </w:r>
                </w:p>
              </w:tc>
            </w:tr>
            <w:tr w14:paraId="6AA97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pct"/>
                  <w:vAlign w:val="center"/>
                </w:tcPr>
                <w:p w14:paraId="42852856">
                  <w:pPr>
                    <w:pStyle w:val="41"/>
                    <w:rPr>
                      <w:lang w:eastAsia="en-US"/>
                    </w:rPr>
                  </w:pPr>
                  <w:r>
                    <w:rPr>
                      <w:lang w:eastAsia="en-US"/>
                    </w:rPr>
                    <w:t>2023年1月</w:t>
                  </w:r>
                </w:p>
              </w:tc>
              <w:tc>
                <w:tcPr>
                  <w:tcW w:w="664" w:type="pct"/>
                  <w:vAlign w:val="center"/>
                </w:tcPr>
                <w:p w14:paraId="096936C6">
                  <w:pPr>
                    <w:pStyle w:val="41"/>
                    <w:rPr>
                      <w:lang w:eastAsia="en-US"/>
                    </w:rPr>
                  </w:pPr>
                  <w:r>
                    <w:rPr>
                      <w:lang w:eastAsia="en-US"/>
                    </w:rPr>
                    <w:t>0.003</w:t>
                  </w:r>
                </w:p>
              </w:tc>
              <w:tc>
                <w:tcPr>
                  <w:tcW w:w="664" w:type="pct"/>
                  <w:vAlign w:val="center"/>
                </w:tcPr>
                <w:p w14:paraId="24670101">
                  <w:pPr>
                    <w:pStyle w:val="41"/>
                    <w:rPr>
                      <w:lang w:eastAsia="en-US"/>
                    </w:rPr>
                  </w:pPr>
                  <w:r>
                    <w:rPr>
                      <w:lang w:eastAsia="en-US"/>
                    </w:rPr>
                    <w:t>0.016</w:t>
                  </w:r>
                </w:p>
              </w:tc>
              <w:tc>
                <w:tcPr>
                  <w:tcW w:w="664" w:type="pct"/>
                  <w:vAlign w:val="center"/>
                </w:tcPr>
                <w:p w14:paraId="1E9E4A3F">
                  <w:pPr>
                    <w:pStyle w:val="41"/>
                    <w:rPr>
                      <w:lang w:eastAsia="en-US"/>
                    </w:rPr>
                  </w:pPr>
                  <w:r>
                    <w:rPr>
                      <w:lang w:eastAsia="en-US"/>
                    </w:rPr>
                    <w:t>0.032</w:t>
                  </w:r>
                </w:p>
              </w:tc>
              <w:tc>
                <w:tcPr>
                  <w:tcW w:w="917" w:type="pct"/>
                  <w:vAlign w:val="center"/>
                </w:tcPr>
                <w:p w14:paraId="39932648">
                  <w:pPr>
                    <w:pStyle w:val="41"/>
                    <w:rPr>
                      <w:lang w:eastAsia="en-US"/>
                    </w:rPr>
                  </w:pPr>
                  <w:r>
                    <w:rPr>
                      <w:lang w:eastAsia="en-US"/>
                    </w:rPr>
                    <w:t>0.017</w:t>
                  </w:r>
                </w:p>
              </w:tc>
              <w:tc>
                <w:tcPr>
                  <w:tcW w:w="625" w:type="pct"/>
                  <w:vAlign w:val="center"/>
                </w:tcPr>
                <w:p w14:paraId="5D30785D">
                  <w:pPr>
                    <w:pStyle w:val="41"/>
                    <w:rPr>
                      <w:lang w:eastAsia="en-US"/>
                    </w:rPr>
                  </w:pPr>
                  <w:r>
                    <w:rPr>
                      <w:lang w:eastAsia="en-US"/>
                    </w:rPr>
                    <w:t>0.6</w:t>
                  </w:r>
                </w:p>
              </w:tc>
              <w:tc>
                <w:tcPr>
                  <w:tcW w:w="665" w:type="pct"/>
                  <w:vAlign w:val="center"/>
                </w:tcPr>
                <w:p w14:paraId="27866A51">
                  <w:pPr>
                    <w:pStyle w:val="41"/>
                    <w:rPr>
                      <w:lang w:eastAsia="en-US"/>
                    </w:rPr>
                  </w:pPr>
                  <w:r>
                    <w:rPr>
                      <w:lang w:eastAsia="en-US"/>
                    </w:rPr>
                    <w:t>0.100</w:t>
                  </w:r>
                </w:p>
              </w:tc>
            </w:tr>
            <w:tr w14:paraId="72A0A7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pct"/>
                  <w:vAlign w:val="center"/>
                </w:tcPr>
                <w:p w14:paraId="02B24ED2">
                  <w:pPr>
                    <w:pStyle w:val="41"/>
                    <w:rPr>
                      <w:lang w:eastAsia="en-US"/>
                    </w:rPr>
                  </w:pPr>
                  <w:r>
                    <w:rPr>
                      <w:lang w:eastAsia="en-US"/>
                    </w:rPr>
                    <w:t>2023年2月</w:t>
                  </w:r>
                </w:p>
              </w:tc>
              <w:tc>
                <w:tcPr>
                  <w:tcW w:w="664" w:type="pct"/>
                  <w:vAlign w:val="center"/>
                </w:tcPr>
                <w:p w14:paraId="0D867B40">
                  <w:pPr>
                    <w:pStyle w:val="41"/>
                    <w:rPr>
                      <w:lang w:eastAsia="en-US"/>
                    </w:rPr>
                  </w:pPr>
                  <w:r>
                    <w:rPr>
                      <w:lang w:eastAsia="en-US"/>
                    </w:rPr>
                    <w:t>0.005</w:t>
                  </w:r>
                </w:p>
              </w:tc>
              <w:tc>
                <w:tcPr>
                  <w:tcW w:w="664" w:type="pct"/>
                  <w:vAlign w:val="center"/>
                </w:tcPr>
                <w:p w14:paraId="7B32F920">
                  <w:pPr>
                    <w:pStyle w:val="41"/>
                    <w:rPr>
                      <w:lang w:eastAsia="en-US"/>
                    </w:rPr>
                  </w:pPr>
                  <w:r>
                    <w:rPr>
                      <w:lang w:eastAsia="en-US"/>
                    </w:rPr>
                    <w:t>0.020</w:t>
                  </w:r>
                </w:p>
              </w:tc>
              <w:tc>
                <w:tcPr>
                  <w:tcW w:w="664" w:type="pct"/>
                  <w:vAlign w:val="center"/>
                </w:tcPr>
                <w:p w14:paraId="6D8C3E47">
                  <w:pPr>
                    <w:pStyle w:val="41"/>
                    <w:rPr>
                      <w:lang w:eastAsia="en-US"/>
                    </w:rPr>
                  </w:pPr>
                  <w:r>
                    <w:rPr>
                      <w:lang w:eastAsia="en-US"/>
                    </w:rPr>
                    <w:t>0.033</w:t>
                  </w:r>
                </w:p>
              </w:tc>
              <w:tc>
                <w:tcPr>
                  <w:tcW w:w="917" w:type="pct"/>
                  <w:vAlign w:val="center"/>
                </w:tcPr>
                <w:p w14:paraId="383E1B29">
                  <w:pPr>
                    <w:pStyle w:val="41"/>
                    <w:rPr>
                      <w:lang w:eastAsia="en-US"/>
                    </w:rPr>
                  </w:pPr>
                  <w:r>
                    <w:rPr>
                      <w:lang w:eastAsia="en-US"/>
                    </w:rPr>
                    <w:t>0.018</w:t>
                  </w:r>
                </w:p>
              </w:tc>
              <w:tc>
                <w:tcPr>
                  <w:tcW w:w="625" w:type="pct"/>
                  <w:vAlign w:val="center"/>
                </w:tcPr>
                <w:p w14:paraId="41A4C6FD">
                  <w:pPr>
                    <w:pStyle w:val="41"/>
                    <w:rPr>
                      <w:lang w:eastAsia="en-US"/>
                    </w:rPr>
                  </w:pPr>
                  <w:r>
                    <w:rPr>
                      <w:lang w:eastAsia="en-US"/>
                    </w:rPr>
                    <w:t>0.8</w:t>
                  </w:r>
                </w:p>
              </w:tc>
              <w:tc>
                <w:tcPr>
                  <w:tcW w:w="665" w:type="pct"/>
                  <w:vAlign w:val="center"/>
                </w:tcPr>
                <w:p w14:paraId="6972C29B">
                  <w:pPr>
                    <w:pStyle w:val="41"/>
                    <w:rPr>
                      <w:lang w:eastAsia="en-US"/>
                    </w:rPr>
                  </w:pPr>
                  <w:r>
                    <w:rPr>
                      <w:lang w:eastAsia="en-US"/>
                    </w:rPr>
                    <w:t>0.105</w:t>
                  </w:r>
                </w:p>
              </w:tc>
            </w:tr>
            <w:tr w14:paraId="72415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pct"/>
                  <w:vAlign w:val="center"/>
                </w:tcPr>
                <w:p w14:paraId="183FEE07">
                  <w:pPr>
                    <w:pStyle w:val="41"/>
                    <w:rPr>
                      <w:lang w:eastAsia="en-US"/>
                    </w:rPr>
                  </w:pPr>
                  <w:r>
                    <w:rPr>
                      <w:lang w:eastAsia="en-US"/>
                    </w:rPr>
                    <w:t>2023年3月</w:t>
                  </w:r>
                </w:p>
              </w:tc>
              <w:tc>
                <w:tcPr>
                  <w:tcW w:w="664" w:type="pct"/>
                  <w:vAlign w:val="center"/>
                </w:tcPr>
                <w:p w14:paraId="679B321F">
                  <w:pPr>
                    <w:pStyle w:val="41"/>
                    <w:rPr>
                      <w:lang w:eastAsia="en-US"/>
                    </w:rPr>
                  </w:pPr>
                  <w:r>
                    <w:rPr>
                      <w:lang w:eastAsia="en-US"/>
                    </w:rPr>
                    <w:t>0.005</w:t>
                  </w:r>
                </w:p>
              </w:tc>
              <w:tc>
                <w:tcPr>
                  <w:tcW w:w="664" w:type="pct"/>
                  <w:vAlign w:val="center"/>
                </w:tcPr>
                <w:p w14:paraId="47DEB637">
                  <w:pPr>
                    <w:pStyle w:val="41"/>
                    <w:rPr>
                      <w:lang w:eastAsia="en-US"/>
                    </w:rPr>
                  </w:pPr>
                  <w:r>
                    <w:rPr>
                      <w:lang w:eastAsia="en-US"/>
                    </w:rPr>
                    <w:t>0.024</w:t>
                  </w:r>
                </w:p>
              </w:tc>
              <w:tc>
                <w:tcPr>
                  <w:tcW w:w="664" w:type="pct"/>
                  <w:vAlign w:val="center"/>
                </w:tcPr>
                <w:p w14:paraId="4601257C">
                  <w:pPr>
                    <w:pStyle w:val="41"/>
                    <w:rPr>
                      <w:lang w:eastAsia="en-US"/>
                    </w:rPr>
                  </w:pPr>
                  <w:r>
                    <w:rPr>
                      <w:lang w:eastAsia="en-US"/>
                    </w:rPr>
                    <w:t>0.042</w:t>
                  </w:r>
                </w:p>
              </w:tc>
              <w:tc>
                <w:tcPr>
                  <w:tcW w:w="917" w:type="pct"/>
                  <w:vAlign w:val="center"/>
                </w:tcPr>
                <w:p w14:paraId="3507E728">
                  <w:pPr>
                    <w:pStyle w:val="41"/>
                    <w:rPr>
                      <w:lang w:eastAsia="en-US"/>
                    </w:rPr>
                  </w:pPr>
                  <w:r>
                    <w:rPr>
                      <w:lang w:eastAsia="en-US"/>
                    </w:rPr>
                    <w:t>0.020</w:t>
                  </w:r>
                </w:p>
              </w:tc>
              <w:tc>
                <w:tcPr>
                  <w:tcW w:w="625" w:type="pct"/>
                  <w:vAlign w:val="center"/>
                </w:tcPr>
                <w:p w14:paraId="0B3BAC98">
                  <w:pPr>
                    <w:pStyle w:val="41"/>
                    <w:rPr>
                      <w:lang w:eastAsia="en-US"/>
                    </w:rPr>
                  </w:pPr>
                  <w:r>
                    <w:rPr>
                      <w:lang w:eastAsia="en-US"/>
                    </w:rPr>
                    <w:t>0.8</w:t>
                  </w:r>
                </w:p>
              </w:tc>
              <w:tc>
                <w:tcPr>
                  <w:tcW w:w="665" w:type="pct"/>
                  <w:vAlign w:val="center"/>
                </w:tcPr>
                <w:p w14:paraId="0B590C81">
                  <w:pPr>
                    <w:pStyle w:val="41"/>
                    <w:rPr>
                      <w:lang w:eastAsia="en-US"/>
                    </w:rPr>
                  </w:pPr>
                  <w:r>
                    <w:rPr>
                      <w:lang w:eastAsia="en-US"/>
                    </w:rPr>
                    <w:t>0.130</w:t>
                  </w:r>
                </w:p>
              </w:tc>
            </w:tr>
            <w:tr w14:paraId="1C4C7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pct"/>
                  <w:vAlign w:val="center"/>
                </w:tcPr>
                <w:p w14:paraId="4FA806D0">
                  <w:pPr>
                    <w:pStyle w:val="41"/>
                    <w:rPr>
                      <w:lang w:eastAsia="en-US"/>
                    </w:rPr>
                  </w:pPr>
                  <w:r>
                    <w:rPr>
                      <w:lang w:eastAsia="en-US"/>
                    </w:rPr>
                    <w:t>2023年4月</w:t>
                  </w:r>
                </w:p>
              </w:tc>
              <w:tc>
                <w:tcPr>
                  <w:tcW w:w="664" w:type="pct"/>
                  <w:vAlign w:val="center"/>
                </w:tcPr>
                <w:p w14:paraId="7C1A4814">
                  <w:pPr>
                    <w:pStyle w:val="41"/>
                    <w:rPr>
                      <w:lang w:eastAsia="en-US"/>
                    </w:rPr>
                  </w:pPr>
                  <w:r>
                    <w:rPr>
                      <w:lang w:eastAsia="en-US"/>
                    </w:rPr>
                    <w:t>0.003</w:t>
                  </w:r>
                </w:p>
              </w:tc>
              <w:tc>
                <w:tcPr>
                  <w:tcW w:w="664" w:type="pct"/>
                  <w:vAlign w:val="center"/>
                </w:tcPr>
                <w:p w14:paraId="174C2466">
                  <w:pPr>
                    <w:pStyle w:val="41"/>
                    <w:rPr>
                      <w:lang w:eastAsia="en-US"/>
                    </w:rPr>
                  </w:pPr>
                  <w:r>
                    <w:rPr>
                      <w:lang w:eastAsia="en-US"/>
                    </w:rPr>
                    <w:t>0.019</w:t>
                  </w:r>
                </w:p>
              </w:tc>
              <w:tc>
                <w:tcPr>
                  <w:tcW w:w="664" w:type="pct"/>
                  <w:vAlign w:val="center"/>
                </w:tcPr>
                <w:p w14:paraId="5F1D1DB7">
                  <w:pPr>
                    <w:pStyle w:val="41"/>
                    <w:rPr>
                      <w:lang w:eastAsia="en-US"/>
                    </w:rPr>
                  </w:pPr>
                  <w:r>
                    <w:rPr>
                      <w:lang w:eastAsia="en-US"/>
                    </w:rPr>
                    <w:t>0.047</w:t>
                  </w:r>
                </w:p>
              </w:tc>
              <w:tc>
                <w:tcPr>
                  <w:tcW w:w="917" w:type="pct"/>
                  <w:vAlign w:val="center"/>
                </w:tcPr>
                <w:p w14:paraId="7B09EC50">
                  <w:pPr>
                    <w:pStyle w:val="41"/>
                    <w:rPr>
                      <w:lang w:eastAsia="en-US"/>
                    </w:rPr>
                  </w:pPr>
                  <w:r>
                    <w:rPr>
                      <w:lang w:eastAsia="en-US"/>
                    </w:rPr>
                    <w:t>0.020</w:t>
                  </w:r>
                </w:p>
              </w:tc>
              <w:tc>
                <w:tcPr>
                  <w:tcW w:w="625" w:type="pct"/>
                  <w:vAlign w:val="center"/>
                </w:tcPr>
                <w:p w14:paraId="46BBBC69">
                  <w:pPr>
                    <w:pStyle w:val="41"/>
                    <w:rPr>
                      <w:lang w:eastAsia="en-US"/>
                    </w:rPr>
                  </w:pPr>
                  <w:r>
                    <w:rPr>
                      <w:lang w:eastAsia="en-US"/>
                    </w:rPr>
                    <w:t>0.9</w:t>
                  </w:r>
                </w:p>
              </w:tc>
              <w:tc>
                <w:tcPr>
                  <w:tcW w:w="665" w:type="pct"/>
                  <w:vAlign w:val="center"/>
                </w:tcPr>
                <w:p w14:paraId="2B37F205">
                  <w:pPr>
                    <w:pStyle w:val="41"/>
                    <w:rPr>
                      <w:lang w:eastAsia="en-US"/>
                    </w:rPr>
                  </w:pPr>
                  <w:r>
                    <w:rPr>
                      <w:lang w:eastAsia="en-US"/>
                    </w:rPr>
                    <w:t>0.151</w:t>
                  </w:r>
                </w:p>
              </w:tc>
            </w:tr>
            <w:tr w14:paraId="3F263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pct"/>
                  <w:vAlign w:val="center"/>
                </w:tcPr>
                <w:p w14:paraId="3C6C8C56">
                  <w:pPr>
                    <w:pStyle w:val="41"/>
                    <w:rPr>
                      <w:lang w:eastAsia="en-US"/>
                    </w:rPr>
                  </w:pPr>
                  <w:r>
                    <w:rPr>
                      <w:lang w:eastAsia="en-US"/>
                    </w:rPr>
                    <w:t>2023年5月</w:t>
                  </w:r>
                </w:p>
              </w:tc>
              <w:tc>
                <w:tcPr>
                  <w:tcW w:w="664" w:type="pct"/>
                  <w:vAlign w:val="center"/>
                </w:tcPr>
                <w:p w14:paraId="2B5090EA">
                  <w:pPr>
                    <w:pStyle w:val="41"/>
                    <w:rPr>
                      <w:lang w:eastAsia="en-US"/>
                    </w:rPr>
                  </w:pPr>
                  <w:r>
                    <w:rPr>
                      <w:lang w:eastAsia="en-US"/>
                    </w:rPr>
                    <w:t>0.002</w:t>
                  </w:r>
                </w:p>
              </w:tc>
              <w:tc>
                <w:tcPr>
                  <w:tcW w:w="664" w:type="pct"/>
                  <w:vAlign w:val="center"/>
                </w:tcPr>
                <w:p w14:paraId="4CD43A66">
                  <w:pPr>
                    <w:pStyle w:val="41"/>
                    <w:rPr>
                      <w:lang w:eastAsia="en-US"/>
                    </w:rPr>
                  </w:pPr>
                  <w:r>
                    <w:rPr>
                      <w:lang w:eastAsia="en-US"/>
                    </w:rPr>
                    <w:t>0.013</w:t>
                  </w:r>
                </w:p>
              </w:tc>
              <w:tc>
                <w:tcPr>
                  <w:tcW w:w="664" w:type="pct"/>
                  <w:vAlign w:val="center"/>
                </w:tcPr>
                <w:p w14:paraId="04D12949">
                  <w:pPr>
                    <w:pStyle w:val="41"/>
                    <w:rPr>
                      <w:lang w:eastAsia="en-US"/>
                    </w:rPr>
                  </w:pPr>
                  <w:r>
                    <w:rPr>
                      <w:lang w:eastAsia="en-US"/>
                    </w:rPr>
                    <w:t>0.037</w:t>
                  </w:r>
                </w:p>
              </w:tc>
              <w:tc>
                <w:tcPr>
                  <w:tcW w:w="917" w:type="pct"/>
                  <w:vAlign w:val="center"/>
                </w:tcPr>
                <w:p w14:paraId="67297AE8">
                  <w:pPr>
                    <w:pStyle w:val="41"/>
                    <w:rPr>
                      <w:lang w:eastAsia="en-US"/>
                    </w:rPr>
                  </w:pPr>
                  <w:r>
                    <w:rPr>
                      <w:lang w:eastAsia="en-US"/>
                    </w:rPr>
                    <w:t>0.017</w:t>
                  </w:r>
                </w:p>
              </w:tc>
              <w:tc>
                <w:tcPr>
                  <w:tcW w:w="625" w:type="pct"/>
                  <w:vAlign w:val="center"/>
                </w:tcPr>
                <w:p w14:paraId="3D5D089F">
                  <w:pPr>
                    <w:pStyle w:val="41"/>
                    <w:rPr>
                      <w:lang w:eastAsia="en-US"/>
                    </w:rPr>
                  </w:pPr>
                  <w:r>
                    <w:rPr>
                      <w:lang w:eastAsia="en-US"/>
                    </w:rPr>
                    <w:t>0.9</w:t>
                  </w:r>
                </w:p>
              </w:tc>
              <w:tc>
                <w:tcPr>
                  <w:tcW w:w="665" w:type="pct"/>
                  <w:vAlign w:val="center"/>
                </w:tcPr>
                <w:p w14:paraId="35209CA5">
                  <w:pPr>
                    <w:pStyle w:val="41"/>
                    <w:rPr>
                      <w:lang w:eastAsia="en-US"/>
                    </w:rPr>
                  </w:pPr>
                  <w:r>
                    <w:rPr>
                      <w:lang w:eastAsia="en-US"/>
                    </w:rPr>
                    <w:t>0.137</w:t>
                  </w:r>
                </w:p>
              </w:tc>
            </w:tr>
            <w:tr w14:paraId="0DB3A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pct"/>
                  <w:vAlign w:val="center"/>
                </w:tcPr>
                <w:p w14:paraId="389D9683">
                  <w:pPr>
                    <w:pStyle w:val="41"/>
                    <w:rPr>
                      <w:lang w:eastAsia="en-US"/>
                    </w:rPr>
                  </w:pPr>
                  <w:r>
                    <w:rPr>
                      <w:lang w:eastAsia="en-US"/>
                    </w:rPr>
                    <w:t>2023年6月</w:t>
                  </w:r>
                </w:p>
              </w:tc>
              <w:tc>
                <w:tcPr>
                  <w:tcW w:w="664" w:type="pct"/>
                  <w:vAlign w:val="center"/>
                </w:tcPr>
                <w:p w14:paraId="10A3EAAC">
                  <w:pPr>
                    <w:pStyle w:val="41"/>
                    <w:rPr>
                      <w:lang w:eastAsia="en-US"/>
                    </w:rPr>
                  </w:pPr>
                  <w:r>
                    <w:rPr>
                      <w:lang w:eastAsia="en-US"/>
                    </w:rPr>
                    <w:t>0.002</w:t>
                  </w:r>
                </w:p>
              </w:tc>
              <w:tc>
                <w:tcPr>
                  <w:tcW w:w="664" w:type="pct"/>
                  <w:vAlign w:val="center"/>
                </w:tcPr>
                <w:p w14:paraId="7B6E7C1B">
                  <w:pPr>
                    <w:pStyle w:val="41"/>
                    <w:rPr>
                      <w:lang w:eastAsia="en-US"/>
                    </w:rPr>
                  </w:pPr>
                  <w:r>
                    <w:rPr>
                      <w:lang w:eastAsia="en-US"/>
                    </w:rPr>
                    <w:t>0.011</w:t>
                  </w:r>
                </w:p>
              </w:tc>
              <w:tc>
                <w:tcPr>
                  <w:tcW w:w="664" w:type="pct"/>
                  <w:vAlign w:val="center"/>
                </w:tcPr>
                <w:p w14:paraId="589C1DC7">
                  <w:pPr>
                    <w:pStyle w:val="41"/>
                    <w:rPr>
                      <w:lang w:eastAsia="en-US"/>
                    </w:rPr>
                  </w:pPr>
                  <w:r>
                    <w:rPr>
                      <w:lang w:eastAsia="en-US"/>
                    </w:rPr>
                    <w:t>0.026</w:t>
                  </w:r>
                </w:p>
              </w:tc>
              <w:tc>
                <w:tcPr>
                  <w:tcW w:w="917" w:type="pct"/>
                  <w:vAlign w:val="center"/>
                </w:tcPr>
                <w:p w14:paraId="782F52CD">
                  <w:pPr>
                    <w:pStyle w:val="41"/>
                    <w:rPr>
                      <w:lang w:eastAsia="en-US"/>
                    </w:rPr>
                  </w:pPr>
                  <w:r>
                    <w:rPr>
                      <w:lang w:eastAsia="en-US"/>
                    </w:rPr>
                    <w:t>0.012</w:t>
                  </w:r>
                </w:p>
              </w:tc>
              <w:tc>
                <w:tcPr>
                  <w:tcW w:w="625" w:type="pct"/>
                  <w:vAlign w:val="center"/>
                </w:tcPr>
                <w:p w14:paraId="4A8877CF">
                  <w:pPr>
                    <w:pStyle w:val="41"/>
                    <w:rPr>
                      <w:lang w:eastAsia="en-US"/>
                    </w:rPr>
                  </w:pPr>
                  <w:r>
                    <w:rPr>
                      <w:lang w:eastAsia="en-US"/>
                    </w:rPr>
                    <w:t>0.6</w:t>
                  </w:r>
                </w:p>
              </w:tc>
              <w:tc>
                <w:tcPr>
                  <w:tcW w:w="665" w:type="pct"/>
                  <w:vAlign w:val="center"/>
                </w:tcPr>
                <w:p w14:paraId="70692B6B">
                  <w:pPr>
                    <w:pStyle w:val="41"/>
                    <w:rPr>
                      <w:lang w:eastAsia="en-US"/>
                    </w:rPr>
                  </w:pPr>
                  <w:r>
                    <w:rPr>
                      <w:lang w:eastAsia="en-US"/>
                    </w:rPr>
                    <w:t>0.123</w:t>
                  </w:r>
                </w:p>
              </w:tc>
            </w:tr>
            <w:tr w14:paraId="5C6B0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pct"/>
                  <w:vAlign w:val="center"/>
                </w:tcPr>
                <w:p w14:paraId="3FD95782">
                  <w:pPr>
                    <w:pStyle w:val="41"/>
                    <w:rPr>
                      <w:lang w:eastAsia="en-US"/>
                    </w:rPr>
                  </w:pPr>
                  <w:r>
                    <w:rPr>
                      <w:lang w:eastAsia="en-US"/>
                    </w:rPr>
                    <w:t>2023年7月</w:t>
                  </w:r>
                </w:p>
              </w:tc>
              <w:tc>
                <w:tcPr>
                  <w:tcW w:w="664" w:type="pct"/>
                  <w:vAlign w:val="center"/>
                </w:tcPr>
                <w:p w14:paraId="0FFEFC95">
                  <w:pPr>
                    <w:pStyle w:val="41"/>
                    <w:rPr>
                      <w:lang w:eastAsia="en-US"/>
                    </w:rPr>
                  </w:pPr>
                  <w:r>
                    <w:rPr>
                      <w:lang w:eastAsia="en-US"/>
                    </w:rPr>
                    <w:t>0.002</w:t>
                  </w:r>
                </w:p>
              </w:tc>
              <w:tc>
                <w:tcPr>
                  <w:tcW w:w="664" w:type="pct"/>
                  <w:vAlign w:val="center"/>
                </w:tcPr>
                <w:p w14:paraId="442C9840">
                  <w:pPr>
                    <w:pStyle w:val="41"/>
                    <w:rPr>
                      <w:lang w:eastAsia="en-US"/>
                    </w:rPr>
                  </w:pPr>
                  <w:r>
                    <w:rPr>
                      <w:lang w:eastAsia="en-US"/>
                    </w:rPr>
                    <w:t>0.008</w:t>
                  </w:r>
                </w:p>
              </w:tc>
              <w:tc>
                <w:tcPr>
                  <w:tcW w:w="664" w:type="pct"/>
                  <w:vAlign w:val="center"/>
                </w:tcPr>
                <w:p w14:paraId="7DD9AAF5">
                  <w:pPr>
                    <w:pStyle w:val="41"/>
                    <w:rPr>
                      <w:lang w:eastAsia="en-US"/>
                    </w:rPr>
                  </w:pPr>
                  <w:r>
                    <w:rPr>
                      <w:lang w:eastAsia="en-US"/>
                    </w:rPr>
                    <w:t>0.027</w:t>
                  </w:r>
                </w:p>
              </w:tc>
              <w:tc>
                <w:tcPr>
                  <w:tcW w:w="917" w:type="pct"/>
                  <w:vAlign w:val="center"/>
                </w:tcPr>
                <w:p w14:paraId="228085CC">
                  <w:pPr>
                    <w:pStyle w:val="41"/>
                    <w:rPr>
                      <w:lang w:eastAsia="en-US"/>
                    </w:rPr>
                  </w:pPr>
                  <w:r>
                    <w:rPr>
                      <w:lang w:eastAsia="en-US"/>
                    </w:rPr>
                    <w:t>0.010</w:t>
                  </w:r>
                </w:p>
              </w:tc>
              <w:tc>
                <w:tcPr>
                  <w:tcW w:w="625" w:type="pct"/>
                  <w:vAlign w:val="center"/>
                </w:tcPr>
                <w:p w14:paraId="3799A246">
                  <w:pPr>
                    <w:pStyle w:val="41"/>
                    <w:rPr>
                      <w:lang w:eastAsia="en-US"/>
                    </w:rPr>
                  </w:pPr>
                  <w:r>
                    <w:rPr>
                      <w:lang w:eastAsia="en-US"/>
                    </w:rPr>
                    <w:t>0.6</w:t>
                  </w:r>
                </w:p>
              </w:tc>
              <w:tc>
                <w:tcPr>
                  <w:tcW w:w="665" w:type="pct"/>
                  <w:vAlign w:val="center"/>
                </w:tcPr>
                <w:p w14:paraId="1BF335FE">
                  <w:pPr>
                    <w:pStyle w:val="41"/>
                    <w:rPr>
                      <w:lang w:eastAsia="en-US"/>
                    </w:rPr>
                  </w:pPr>
                  <w:r>
                    <w:rPr>
                      <w:lang w:eastAsia="en-US"/>
                    </w:rPr>
                    <w:t>0.128</w:t>
                  </w:r>
                </w:p>
              </w:tc>
            </w:tr>
            <w:tr w14:paraId="7AECA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pct"/>
                  <w:vAlign w:val="center"/>
                </w:tcPr>
                <w:p w14:paraId="11F53C2A">
                  <w:pPr>
                    <w:pStyle w:val="41"/>
                    <w:rPr>
                      <w:lang w:eastAsia="en-US"/>
                    </w:rPr>
                  </w:pPr>
                  <w:r>
                    <w:rPr>
                      <w:lang w:eastAsia="en-US"/>
                    </w:rPr>
                    <w:t>2023年8月</w:t>
                  </w:r>
                </w:p>
              </w:tc>
              <w:tc>
                <w:tcPr>
                  <w:tcW w:w="664" w:type="pct"/>
                  <w:vAlign w:val="center"/>
                </w:tcPr>
                <w:p w14:paraId="0811D6BA">
                  <w:pPr>
                    <w:pStyle w:val="41"/>
                    <w:rPr>
                      <w:lang w:eastAsia="en-US"/>
                    </w:rPr>
                  </w:pPr>
                  <w:r>
                    <w:rPr>
                      <w:lang w:eastAsia="en-US"/>
                    </w:rPr>
                    <w:t>0.002</w:t>
                  </w:r>
                </w:p>
              </w:tc>
              <w:tc>
                <w:tcPr>
                  <w:tcW w:w="664" w:type="pct"/>
                  <w:vAlign w:val="center"/>
                </w:tcPr>
                <w:p w14:paraId="2F674B47">
                  <w:pPr>
                    <w:pStyle w:val="41"/>
                    <w:rPr>
                      <w:lang w:eastAsia="en-US"/>
                    </w:rPr>
                  </w:pPr>
                  <w:r>
                    <w:rPr>
                      <w:lang w:eastAsia="en-US"/>
                    </w:rPr>
                    <w:t>0.011</w:t>
                  </w:r>
                </w:p>
              </w:tc>
              <w:tc>
                <w:tcPr>
                  <w:tcW w:w="664" w:type="pct"/>
                  <w:vAlign w:val="center"/>
                </w:tcPr>
                <w:p w14:paraId="28BFB4FE">
                  <w:pPr>
                    <w:pStyle w:val="41"/>
                    <w:rPr>
                      <w:lang w:eastAsia="en-US"/>
                    </w:rPr>
                  </w:pPr>
                  <w:r>
                    <w:rPr>
                      <w:lang w:eastAsia="en-US"/>
                    </w:rPr>
                    <w:t>0.027</w:t>
                  </w:r>
                </w:p>
              </w:tc>
              <w:tc>
                <w:tcPr>
                  <w:tcW w:w="917" w:type="pct"/>
                  <w:vAlign w:val="center"/>
                </w:tcPr>
                <w:p w14:paraId="5D8F31B7">
                  <w:pPr>
                    <w:pStyle w:val="41"/>
                    <w:rPr>
                      <w:lang w:eastAsia="en-US"/>
                    </w:rPr>
                  </w:pPr>
                  <w:r>
                    <w:rPr>
                      <w:lang w:eastAsia="en-US"/>
                    </w:rPr>
                    <w:t>0.012</w:t>
                  </w:r>
                </w:p>
              </w:tc>
              <w:tc>
                <w:tcPr>
                  <w:tcW w:w="625" w:type="pct"/>
                  <w:vAlign w:val="center"/>
                </w:tcPr>
                <w:p w14:paraId="59731138">
                  <w:pPr>
                    <w:pStyle w:val="41"/>
                    <w:rPr>
                      <w:lang w:eastAsia="en-US"/>
                    </w:rPr>
                  </w:pPr>
                  <w:r>
                    <w:rPr>
                      <w:lang w:eastAsia="en-US"/>
                    </w:rPr>
                    <w:t>0.6</w:t>
                  </w:r>
                </w:p>
              </w:tc>
              <w:tc>
                <w:tcPr>
                  <w:tcW w:w="665" w:type="pct"/>
                  <w:vAlign w:val="center"/>
                </w:tcPr>
                <w:p w14:paraId="2E688615">
                  <w:pPr>
                    <w:pStyle w:val="41"/>
                    <w:rPr>
                      <w:lang w:eastAsia="en-US"/>
                    </w:rPr>
                  </w:pPr>
                  <w:r>
                    <w:rPr>
                      <w:lang w:eastAsia="en-US"/>
                    </w:rPr>
                    <w:t>0.124</w:t>
                  </w:r>
                </w:p>
              </w:tc>
            </w:tr>
            <w:tr w14:paraId="22810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pct"/>
                  <w:vAlign w:val="center"/>
                </w:tcPr>
                <w:p w14:paraId="64C1E686">
                  <w:pPr>
                    <w:pStyle w:val="41"/>
                    <w:rPr>
                      <w:lang w:eastAsia="en-US"/>
                    </w:rPr>
                  </w:pPr>
                  <w:r>
                    <w:rPr>
                      <w:lang w:eastAsia="en-US"/>
                    </w:rPr>
                    <w:t>2023年9月</w:t>
                  </w:r>
                </w:p>
              </w:tc>
              <w:tc>
                <w:tcPr>
                  <w:tcW w:w="664" w:type="pct"/>
                  <w:vAlign w:val="center"/>
                </w:tcPr>
                <w:p w14:paraId="7DB5844F">
                  <w:pPr>
                    <w:pStyle w:val="41"/>
                    <w:rPr>
                      <w:lang w:eastAsia="en-US"/>
                    </w:rPr>
                  </w:pPr>
                  <w:r>
                    <w:rPr>
                      <w:lang w:eastAsia="en-US"/>
                    </w:rPr>
                    <w:t>0.002</w:t>
                  </w:r>
                </w:p>
              </w:tc>
              <w:tc>
                <w:tcPr>
                  <w:tcW w:w="664" w:type="pct"/>
                  <w:vAlign w:val="center"/>
                </w:tcPr>
                <w:p w14:paraId="37A1BE8A">
                  <w:pPr>
                    <w:pStyle w:val="41"/>
                    <w:rPr>
                      <w:lang w:eastAsia="en-US"/>
                    </w:rPr>
                  </w:pPr>
                  <w:r>
                    <w:rPr>
                      <w:lang w:eastAsia="en-US"/>
                    </w:rPr>
                    <w:t>0.007</w:t>
                  </w:r>
                </w:p>
              </w:tc>
              <w:tc>
                <w:tcPr>
                  <w:tcW w:w="664" w:type="pct"/>
                  <w:vAlign w:val="center"/>
                </w:tcPr>
                <w:p w14:paraId="53178714">
                  <w:pPr>
                    <w:pStyle w:val="41"/>
                    <w:rPr>
                      <w:lang w:eastAsia="en-US"/>
                    </w:rPr>
                  </w:pPr>
                  <w:r>
                    <w:rPr>
                      <w:lang w:eastAsia="en-US"/>
                    </w:rPr>
                    <w:t>0.022</w:t>
                  </w:r>
                </w:p>
              </w:tc>
              <w:tc>
                <w:tcPr>
                  <w:tcW w:w="917" w:type="pct"/>
                  <w:vAlign w:val="center"/>
                </w:tcPr>
                <w:p w14:paraId="48A5E707">
                  <w:pPr>
                    <w:pStyle w:val="41"/>
                    <w:rPr>
                      <w:lang w:eastAsia="en-US"/>
                    </w:rPr>
                  </w:pPr>
                  <w:r>
                    <w:rPr>
                      <w:lang w:eastAsia="en-US"/>
                    </w:rPr>
                    <w:t>0.011</w:t>
                  </w:r>
                </w:p>
              </w:tc>
              <w:tc>
                <w:tcPr>
                  <w:tcW w:w="625" w:type="pct"/>
                  <w:vAlign w:val="center"/>
                </w:tcPr>
                <w:p w14:paraId="1F9CCC70">
                  <w:pPr>
                    <w:pStyle w:val="41"/>
                    <w:rPr>
                      <w:lang w:eastAsia="en-US"/>
                    </w:rPr>
                  </w:pPr>
                  <w:r>
                    <w:rPr>
                      <w:lang w:eastAsia="en-US"/>
                    </w:rPr>
                    <w:t>0.6</w:t>
                  </w:r>
                </w:p>
              </w:tc>
              <w:tc>
                <w:tcPr>
                  <w:tcW w:w="665" w:type="pct"/>
                  <w:vAlign w:val="center"/>
                </w:tcPr>
                <w:p w14:paraId="5D5BB6CF">
                  <w:pPr>
                    <w:pStyle w:val="41"/>
                    <w:rPr>
                      <w:lang w:eastAsia="en-US"/>
                    </w:rPr>
                  </w:pPr>
                  <w:r>
                    <w:rPr>
                      <w:lang w:eastAsia="en-US"/>
                    </w:rPr>
                    <w:t>0.115</w:t>
                  </w:r>
                </w:p>
              </w:tc>
            </w:tr>
            <w:tr w14:paraId="73A83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pct"/>
                  <w:vAlign w:val="center"/>
                </w:tcPr>
                <w:p w14:paraId="49EB3522">
                  <w:pPr>
                    <w:pStyle w:val="41"/>
                    <w:rPr>
                      <w:lang w:eastAsia="en-US"/>
                    </w:rPr>
                  </w:pPr>
                  <w:r>
                    <w:rPr>
                      <w:lang w:eastAsia="en-US"/>
                    </w:rPr>
                    <w:t>2023年10月</w:t>
                  </w:r>
                </w:p>
              </w:tc>
              <w:tc>
                <w:tcPr>
                  <w:tcW w:w="664" w:type="pct"/>
                  <w:vAlign w:val="center"/>
                </w:tcPr>
                <w:p w14:paraId="5F62275A">
                  <w:pPr>
                    <w:pStyle w:val="41"/>
                    <w:rPr>
                      <w:lang w:eastAsia="en-US"/>
                    </w:rPr>
                  </w:pPr>
                  <w:r>
                    <w:rPr>
                      <w:lang w:eastAsia="en-US"/>
                    </w:rPr>
                    <w:t>0.002</w:t>
                  </w:r>
                </w:p>
              </w:tc>
              <w:tc>
                <w:tcPr>
                  <w:tcW w:w="664" w:type="pct"/>
                  <w:vAlign w:val="center"/>
                </w:tcPr>
                <w:p w14:paraId="538C84E8">
                  <w:pPr>
                    <w:pStyle w:val="41"/>
                    <w:rPr>
                      <w:lang w:eastAsia="en-US"/>
                    </w:rPr>
                  </w:pPr>
                  <w:r>
                    <w:rPr>
                      <w:lang w:eastAsia="en-US"/>
                    </w:rPr>
                    <w:t>0.008</w:t>
                  </w:r>
                </w:p>
              </w:tc>
              <w:tc>
                <w:tcPr>
                  <w:tcW w:w="664" w:type="pct"/>
                  <w:vAlign w:val="center"/>
                </w:tcPr>
                <w:p w14:paraId="50D3909F">
                  <w:pPr>
                    <w:pStyle w:val="41"/>
                    <w:rPr>
                      <w:lang w:eastAsia="en-US"/>
                    </w:rPr>
                  </w:pPr>
                  <w:r>
                    <w:rPr>
                      <w:lang w:eastAsia="en-US"/>
                    </w:rPr>
                    <w:t>0.028</w:t>
                  </w:r>
                </w:p>
              </w:tc>
              <w:tc>
                <w:tcPr>
                  <w:tcW w:w="917" w:type="pct"/>
                  <w:vAlign w:val="center"/>
                </w:tcPr>
                <w:p w14:paraId="5F600385">
                  <w:pPr>
                    <w:pStyle w:val="41"/>
                    <w:rPr>
                      <w:lang w:eastAsia="en-US"/>
                    </w:rPr>
                  </w:pPr>
                  <w:r>
                    <w:rPr>
                      <w:lang w:eastAsia="en-US"/>
                    </w:rPr>
                    <w:t>0.014</w:t>
                  </w:r>
                </w:p>
              </w:tc>
              <w:tc>
                <w:tcPr>
                  <w:tcW w:w="625" w:type="pct"/>
                  <w:vAlign w:val="center"/>
                </w:tcPr>
                <w:p w14:paraId="0173E468">
                  <w:pPr>
                    <w:pStyle w:val="41"/>
                    <w:rPr>
                      <w:lang w:eastAsia="en-US"/>
                    </w:rPr>
                  </w:pPr>
                  <w:r>
                    <w:rPr>
                      <w:lang w:eastAsia="en-US"/>
                    </w:rPr>
                    <w:t>0.6</w:t>
                  </w:r>
                </w:p>
              </w:tc>
              <w:tc>
                <w:tcPr>
                  <w:tcW w:w="665" w:type="pct"/>
                  <w:vAlign w:val="center"/>
                </w:tcPr>
                <w:p w14:paraId="560E0A26">
                  <w:pPr>
                    <w:pStyle w:val="41"/>
                    <w:rPr>
                      <w:lang w:eastAsia="en-US"/>
                    </w:rPr>
                  </w:pPr>
                  <w:r>
                    <w:rPr>
                      <w:lang w:eastAsia="en-US"/>
                    </w:rPr>
                    <w:t>0.137</w:t>
                  </w:r>
                </w:p>
              </w:tc>
            </w:tr>
            <w:tr w14:paraId="267BE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pct"/>
                  <w:vAlign w:val="center"/>
                </w:tcPr>
                <w:p w14:paraId="189DD10B">
                  <w:pPr>
                    <w:pStyle w:val="41"/>
                    <w:rPr>
                      <w:lang w:eastAsia="en-US"/>
                    </w:rPr>
                  </w:pPr>
                  <w:r>
                    <w:rPr>
                      <w:lang w:eastAsia="en-US"/>
                    </w:rPr>
                    <w:t>2023年11月</w:t>
                  </w:r>
                </w:p>
              </w:tc>
              <w:tc>
                <w:tcPr>
                  <w:tcW w:w="664" w:type="pct"/>
                  <w:vAlign w:val="center"/>
                </w:tcPr>
                <w:p w14:paraId="79694678">
                  <w:pPr>
                    <w:pStyle w:val="41"/>
                    <w:rPr>
                      <w:lang w:eastAsia="en-US"/>
                    </w:rPr>
                  </w:pPr>
                  <w:r>
                    <w:rPr>
                      <w:lang w:eastAsia="en-US"/>
                    </w:rPr>
                    <w:t>0.002</w:t>
                  </w:r>
                </w:p>
              </w:tc>
              <w:tc>
                <w:tcPr>
                  <w:tcW w:w="664" w:type="pct"/>
                  <w:vAlign w:val="center"/>
                </w:tcPr>
                <w:p w14:paraId="56C161A1">
                  <w:pPr>
                    <w:pStyle w:val="41"/>
                    <w:rPr>
                      <w:lang w:eastAsia="en-US"/>
                    </w:rPr>
                  </w:pPr>
                  <w:r>
                    <w:rPr>
                      <w:lang w:eastAsia="en-US"/>
                    </w:rPr>
                    <w:t>0.009</w:t>
                  </w:r>
                </w:p>
              </w:tc>
              <w:tc>
                <w:tcPr>
                  <w:tcW w:w="664" w:type="pct"/>
                  <w:vAlign w:val="center"/>
                </w:tcPr>
                <w:p w14:paraId="53CB3707">
                  <w:pPr>
                    <w:pStyle w:val="41"/>
                    <w:rPr>
                      <w:lang w:eastAsia="en-US"/>
                    </w:rPr>
                  </w:pPr>
                  <w:r>
                    <w:rPr>
                      <w:lang w:eastAsia="en-US"/>
                    </w:rPr>
                    <w:t>0.030</w:t>
                  </w:r>
                </w:p>
              </w:tc>
              <w:tc>
                <w:tcPr>
                  <w:tcW w:w="917" w:type="pct"/>
                  <w:vAlign w:val="center"/>
                </w:tcPr>
                <w:p w14:paraId="360AE3B5">
                  <w:pPr>
                    <w:pStyle w:val="41"/>
                    <w:rPr>
                      <w:lang w:eastAsia="en-US"/>
                    </w:rPr>
                  </w:pPr>
                  <w:r>
                    <w:rPr>
                      <w:lang w:eastAsia="en-US"/>
                    </w:rPr>
                    <w:t>0.015</w:t>
                  </w:r>
                </w:p>
              </w:tc>
              <w:tc>
                <w:tcPr>
                  <w:tcW w:w="625" w:type="pct"/>
                  <w:vAlign w:val="center"/>
                </w:tcPr>
                <w:p w14:paraId="5ACE5A43">
                  <w:pPr>
                    <w:pStyle w:val="41"/>
                    <w:rPr>
                      <w:lang w:eastAsia="en-US"/>
                    </w:rPr>
                  </w:pPr>
                  <w:r>
                    <w:rPr>
                      <w:lang w:eastAsia="en-US"/>
                    </w:rPr>
                    <w:t>0.6</w:t>
                  </w:r>
                </w:p>
              </w:tc>
              <w:tc>
                <w:tcPr>
                  <w:tcW w:w="665" w:type="pct"/>
                  <w:vAlign w:val="center"/>
                </w:tcPr>
                <w:p w14:paraId="3969AF6E">
                  <w:pPr>
                    <w:pStyle w:val="41"/>
                    <w:rPr>
                      <w:lang w:eastAsia="en-US"/>
                    </w:rPr>
                  </w:pPr>
                  <w:r>
                    <w:rPr>
                      <w:lang w:eastAsia="en-US"/>
                    </w:rPr>
                    <w:t>0.120</w:t>
                  </w:r>
                </w:p>
              </w:tc>
            </w:tr>
            <w:tr w14:paraId="39106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pct"/>
                  <w:vAlign w:val="center"/>
                </w:tcPr>
                <w:p w14:paraId="7A9ED224">
                  <w:pPr>
                    <w:pStyle w:val="41"/>
                    <w:rPr>
                      <w:lang w:eastAsia="en-US"/>
                    </w:rPr>
                  </w:pPr>
                  <w:r>
                    <w:rPr>
                      <w:lang w:eastAsia="en-US"/>
                    </w:rPr>
                    <w:t>2023年12月</w:t>
                  </w:r>
                </w:p>
              </w:tc>
              <w:tc>
                <w:tcPr>
                  <w:tcW w:w="664" w:type="pct"/>
                  <w:vAlign w:val="center"/>
                </w:tcPr>
                <w:p w14:paraId="39F0AED5">
                  <w:pPr>
                    <w:pStyle w:val="41"/>
                    <w:rPr>
                      <w:lang w:eastAsia="en-US"/>
                    </w:rPr>
                  </w:pPr>
                  <w:r>
                    <w:rPr>
                      <w:lang w:eastAsia="en-US"/>
                    </w:rPr>
                    <w:t>0.003</w:t>
                  </w:r>
                </w:p>
              </w:tc>
              <w:tc>
                <w:tcPr>
                  <w:tcW w:w="664" w:type="pct"/>
                  <w:vAlign w:val="center"/>
                </w:tcPr>
                <w:p w14:paraId="616FEFAD">
                  <w:pPr>
                    <w:pStyle w:val="41"/>
                    <w:rPr>
                      <w:lang w:eastAsia="en-US"/>
                    </w:rPr>
                  </w:pPr>
                  <w:r>
                    <w:rPr>
                      <w:lang w:eastAsia="en-US"/>
                    </w:rPr>
                    <w:t>0.019</w:t>
                  </w:r>
                </w:p>
              </w:tc>
              <w:tc>
                <w:tcPr>
                  <w:tcW w:w="664" w:type="pct"/>
                  <w:vAlign w:val="center"/>
                </w:tcPr>
                <w:p w14:paraId="1E4AB8EF">
                  <w:pPr>
                    <w:pStyle w:val="41"/>
                    <w:rPr>
                      <w:lang w:eastAsia="en-US"/>
                    </w:rPr>
                  </w:pPr>
                  <w:r>
                    <w:rPr>
                      <w:lang w:eastAsia="en-US"/>
                    </w:rPr>
                    <w:t>0.030</w:t>
                  </w:r>
                </w:p>
              </w:tc>
              <w:tc>
                <w:tcPr>
                  <w:tcW w:w="917" w:type="pct"/>
                  <w:vAlign w:val="center"/>
                </w:tcPr>
                <w:p w14:paraId="33A570AE">
                  <w:pPr>
                    <w:pStyle w:val="41"/>
                    <w:rPr>
                      <w:lang w:eastAsia="en-US"/>
                    </w:rPr>
                  </w:pPr>
                  <w:r>
                    <w:rPr>
                      <w:lang w:eastAsia="en-US"/>
                    </w:rPr>
                    <w:t>0.018</w:t>
                  </w:r>
                </w:p>
              </w:tc>
              <w:tc>
                <w:tcPr>
                  <w:tcW w:w="625" w:type="pct"/>
                  <w:vAlign w:val="center"/>
                </w:tcPr>
                <w:p w14:paraId="6CE0A477">
                  <w:pPr>
                    <w:pStyle w:val="41"/>
                    <w:rPr>
                      <w:lang w:eastAsia="en-US"/>
                    </w:rPr>
                  </w:pPr>
                  <w:r>
                    <w:rPr>
                      <w:lang w:eastAsia="en-US"/>
                    </w:rPr>
                    <w:t>0.9</w:t>
                  </w:r>
                </w:p>
              </w:tc>
              <w:tc>
                <w:tcPr>
                  <w:tcW w:w="665" w:type="pct"/>
                  <w:vAlign w:val="center"/>
                </w:tcPr>
                <w:p w14:paraId="01126098">
                  <w:pPr>
                    <w:pStyle w:val="41"/>
                    <w:rPr>
                      <w:lang w:eastAsia="en-US"/>
                    </w:rPr>
                  </w:pPr>
                  <w:r>
                    <w:rPr>
                      <w:lang w:eastAsia="en-US"/>
                    </w:rPr>
                    <w:t>0.112</w:t>
                  </w:r>
                </w:p>
              </w:tc>
            </w:tr>
            <w:tr w14:paraId="28BEE5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pct"/>
                  <w:vAlign w:val="center"/>
                </w:tcPr>
                <w:p w14:paraId="457F58CD">
                  <w:pPr>
                    <w:pStyle w:val="41"/>
                    <w:rPr>
                      <w:lang w:eastAsia="en-US"/>
                    </w:rPr>
                  </w:pPr>
                  <w:r>
                    <w:rPr>
                      <w:lang w:eastAsia="en-US"/>
                    </w:rPr>
                    <w:t>国家二级</w:t>
                  </w:r>
                </w:p>
                <w:p w14:paraId="417E8032">
                  <w:pPr>
                    <w:pStyle w:val="41"/>
                    <w:rPr>
                      <w:lang w:eastAsia="en-US"/>
                    </w:rPr>
                  </w:pPr>
                  <w:r>
                    <w:rPr>
                      <w:lang w:eastAsia="en-US"/>
                    </w:rPr>
                    <w:t>标准</w:t>
                  </w:r>
                </w:p>
              </w:tc>
              <w:tc>
                <w:tcPr>
                  <w:tcW w:w="664" w:type="pct"/>
                  <w:vAlign w:val="center"/>
                </w:tcPr>
                <w:p w14:paraId="2D08E232">
                  <w:pPr>
                    <w:pStyle w:val="41"/>
                    <w:rPr>
                      <w:lang w:eastAsia="en-US"/>
                    </w:rPr>
                  </w:pPr>
                  <w:r>
                    <w:rPr>
                      <w:lang w:eastAsia="en-US"/>
                    </w:rPr>
                    <w:t>0.06</w:t>
                  </w:r>
                </w:p>
              </w:tc>
              <w:tc>
                <w:tcPr>
                  <w:tcW w:w="664" w:type="pct"/>
                  <w:vAlign w:val="center"/>
                </w:tcPr>
                <w:p w14:paraId="48DA5E72">
                  <w:pPr>
                    <w:pStyle w:val="41"/>
                    <w:rPr>
                      <w:lang w:eastAsia="en-US"/>
                    </w:rPr>
                  </w:pPr>
                  <w:r>
                    <w:rPr>
                      <w:lang w:eastAsia="en-US"/>
                    </w:rPr>
                    <w:t>0.04</w:t>
                  </w:r>
                </w:p>
              </w:tc>
              <w:tc>
                <w:tcPr>
                  <w:tcW w:w="664" w:type="pct"/>
                  <w:vAlign w:val="center"/>
                </w:tcPr>
                <w:p w14:paraId="7C6623C9">
                  <w:pPr>
                    <w:pStyle w:val="41"/>
                    <w:rPr>
                      <w:lang w:eastAsia="en-US"/>
                    </w:rPr>
                  </w:pPr>
                  <w:r>
                    <w:rPr>
                      <w:lang w:eastAsia="en-US"/>
                    </w:rPr>
                    <w:t>0.07</w:t>
                  </w:r>
                </w:p>
              </w:tc>
              <w:tc>
                <w:tcPr>
                  <w:tcW w:w="917" w:type="pct"/>
                  <w:vAlign w:val="center"/>
                </w:tcPr>
                <w:p w14:paraId="7577D731">
                  <w:pPr>
                    <w:pStyle w:val="41"/>
                    <w:rPr>
                      <w:lang w:eastAsia="en-US"/>
                    </w:rPr>
                  </w:pPr>
                  <w:r>
                    <w:rPr>
                      <w:lang w:eastAsia="en-US"/>
                    </w:rPr>
                    <w:t>0.035</w:t>
                  </w:r>
                </w:p>
              </w:tc>
              <w:tc>
                <w:tcPr>
                  <w:tcW w:w="625" w:type="pct"/>
                  <w:vAlign w:val="center"/>
                </w:tcPr>
                <w:p w14:paraId="118778B3">
                  <w:pPr>
                    <w:pStyle w:val="41"/>
                    <w:rPr>
                      <w:lang w:eastAsia="en-US"/>
                    </w:rPr>
                  </w:pPr>
                  <w:r>
                    <w:rPr>
                      <w:lang w:eastAsia="en-US"/>
                    </w:rPr>
                    <w:t>4</w:t>
                  </w:r>
                </w:p>
              </w:tc>
              <w:tc>
                <w:tcPr>
                  <w:tcW w:w="665" w:type="pct"/>
                  <w:vAlign w:val="center"/>
                </w:tcPr>
                <w:p w14:paraId="152E3549">
                  <w:pPr>
                    <w:pStyle w:val="41"/>
                    <w:rPr>
                      <w:lang w:eastAsia="en-US"/>
                    </w:rPr>
                  </w:pPr>
                  <w:r>
                    <w:rPr>
                      <w:lang w:eastAsia="en-US"/>
                    </w:rPr>
                    <w:t>0.16</w:t>
                  </w:r>
                </w:p>
              </w:tc>
            </w:tr>
            <w:tr w14:paraId="00E0D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pct"/>
                  <w:vAlign w:val="center"/>
                </w:tcPr>
                <w:p w14:paraId="3E6C7BEC">
                  <w:pPr>
                    <w:pStyle w:val="41"/>
                    <w:rPr>
                      <w:lang w:eastAsia="en-US"/>
                    </w:rPr>
                  </w:pPr>
                  <w:r>
                    <w:rPr>
                      <w:lang w:eastAsia="en-US"/>
                    </w:rPr>
                    <w:t>备注</w:t>
                  </w:r>
                </w:p>
              </w:tc>
              <w:tc>
                <w:tcPr>
                  <w:tcW w:w="4201" w:type="pct"/>
                  <w:gridSpan w:val="6"/>
                  <w:vAlign w:val="center"/>
                </w:tcPr>
                <w:p w14:paraId="62DAD9C2">
                  <w:pPr>
                    <w:pStyle w:val="41"/>
                  </w:pPr>
                  <w:r>
                    <w:rPr>
                      <w:shd w:val="clear" w:fill="FFFFFF"/>
                    </w:rPr>
                    <w:t>*</w:t>
                  </w:r>
                  <w:r>
                    <w:t>CO为日均值第95百分位数，O</w:t>
                  </w:r>
                  <w:r>
                    <w:rPr>
                      <w:vertAlign w:val="subscript"/>
                    </w:rPr>
                    <w:t>3</w:t>
                  </w:r>
                  <w:r>
                    <w:t>为日最大8小时值第90百分位数。</w:t>
                  </w:r>
                </w:p>
              </w:tc>
            </w:tr>
          </w:tbl>
          <w:p w14:paraId="4D9261FD">
            <w:pPr>
              <w:pStyle w:val="109"/>
              <w:rPr>
                <w:rFonts w:hint="eastAsia"/>
              </w:rPr>
            </w:pPr>
            <w:r>
              <w:rPr>
                <w:rFonts w:hint="eastAsia"/>
              </w:rPr>
              <w:t>综上所述，</w:t>
            </w:r>
            <w:r>
              <w:t>福清市大气环境质量现状符合《环境空气质量标准》（GB3095-2012）的二级标准要求，城市环境空气质量达标，为达标区。</w:t>
            </w:r>
          </w:p>
          <w:p w14:paraId="03C601CE">
            <w:pPr>
              <w:pStyle w:val="108"/>
              <w:ind w:firstLine="480"/>
            </w:pPr>
            <w:r>
              <w:rPr>
                <w:rFonts w:hint="eastAsia"/>
              </w:rPr>
              <w:t>项目涉及排放颗粒物，颗粒物产生于焊接和打磨工序，其中打磨为金属部件打磨，产生的颗粒物为金属颗粒，粒径较大，大部分在打磨区沉降。且焊接和打磨工序设置于封闭车间内，同时焊接设置有焊烟净化器、打磨设置有单机布袋除尘器收集逸散的颗粒物，经处理和车间沉降后排放的颗粒物主要为PM</w:t>
            </w:r>
            <w:r>
              <w:rPr>
                <w:rFonts w:hint="eastAsia"/>
                <w:vertAlign w:val="subscript"/>
              </w:rPr>
              <w:t>10</w:t>
            </w:r>
            <w:r>
              <w:rPr>
                <w:rFonts w:hint="eastAsia"/>
              </w:rPr>
              <w:t>，故本评价不对TSP进行现状监测。</w:t>
            </w:r>
          </w:p>
          <w:p w14:paraId="5E3FE113">
            <w:pPr>
              <w:pStyle w:val="4"/>
              <w:spacing w:before="120" w:after="0" w:afterLines="0"/>
            </w:pPr>
            <w:r>
              <w:rPr>
                <w:rFonts w:hint="eastAsia"/>
              </w:rPr>
              <w:t>3</w:t>
            </w:r>
            <w:r>
              <w:t>.</w:t>
            </w:r>
            <w:r>
              <w:rPr>
                <w:rFonts w:hint="eastAsia"/>
              </w:rPr>
              <w:t>1.</w:t>
            </w:r>
            <w:r>
              <w:t>2地表水环境质量现状</w:t>
            </w:r>
          </w:p>
          <w:p w14:paraId="53AA7A4E">
            <w:pPr>
              <w:pStyle w:val="108"/>
              <w:ind w:firstLine="480"/>
              <w:rPr>
                <w:lang w:bidi="zh-CN"/>
              </w:rPr>
            </w:pPr>
            <w:r>
              <w:rPr>
                <w:lang w:bidi="zh-CN"/>
              </w:rPr>
              <w:t>项目周边地表水</w:t>
            </w:r>
            <w:r>
              <w:rPr>
                <w:rFonts w:hint="eastAsia"/>
                <w:lang w:bidi="zh-CN"/>
              </w:rPr>
              <w:t>为太城溪和</w:t>
            </w:r>
            <w:r>
              <w:rPr>
                <w:lang w:bidi="zh-CN"/>
              </w:rPr>
              <w:t>龙江，根据《2023年福州市环境状况公报》，纳入福建省地表水环境质量考核的375个断面(含国考断面)，按照评价标准Ⅰ~Ⅲ类水质比例99.5%，同比上升0.8个百分点；其中Ⅰ~Ⅱ类水质比例65.3%，同比上升9.8个百分点；Ⅳ类占0.5%；无V类和劣V类断面。</w:t>
            </w:r>
          </w:p>
          <w:p w14:paraId="4E22EB76">
            <w:pPr>
              <w:pStyle w:val="108"/>
              <w:ind w:firstLine="480"/>
            </w:pPr>
            <w:r>
              <w:t>2023年，全省9个设区城市主要流域水质均为优。除漳州外，其余8个城市Ⅰ~Ⅲ类水质断面比例均为100%。各设区城市主要流域水质按照水质指数从相对较好开始排名，具体为：南平、宁德、泉州、三明、龙岩、莆田、厦门、福州、漳州。由此可知</w:t>
            </w:r>
            <w:r>
              <w:rPr>
                <w:rFonts w:hint="eastAsia"/>
              </w:rPr>
              <w:t>太城溪和</w:t>
            </w:r>
            <w:r>
              <w:t xml:space="preserve">龙江质可达到《 地表水环境质量标准 》 (GB3838-2002) </w:t>
            </w:r>
            <w:r>
              <w:rPr>
                <w:rFonts w:hint="eastAsia"/>
              </w:rPr>
              <w:t>Ⅲ</w:t>
            </w:r>
            <w:r>
              <w:t>类水标准。</w:t>
            </w:r>
          </w:p>
          <w:p w14:paraId="2CAFE1A3">
            <w:pPr>
              <w:pStyle w:val="4"/>
              <w:spacing w:before="120" w:after="0" w:afterLines="0"/>
            </w:pPr>
            <w:r>
              <w:rPr>
                <w:rFonts w:hint="eastAsia"/>
              </w:rPr>
              <w:t>3.1.</w:t>
            </w:r>
            <w:r>
              <w:t>3声环境质量现状</w:t>
            </w:r>
          </w:p>
          <w:p w14:paraId="727006E6">
            <w:pPr>
              <w:ind w:firstLine="480"/>
            </w:pPr>
            <w:r>
              <w:t>厂界周边50m范围内不存在声环境保护目标，</w:t>
            </w:r>
            <w:r>
              <w:rPr>
                <w:rFonts w:hint="eastAsia"/>
              </w:rPr>
              <w:t>根据</w:t>
            </w:r>
            <w:r>
              <w:t>《建设项目环境影响报告表编制技术指南》（污染影响类）（试行）</w:t>
            </w:r>
            <w:r>
              <w:rPr>
                <w:rFonts w:hint="eastAsia"/>
              </w:rPr>
              <w:t>，无需对声环境质量现状进行监测。</w:t>
            </w:r>
          </w:p>
          <w:p w14:paraId="4EC599D8">
            <w:pPr>
              <w:pStyle w:val="4"/>
              <w:spacing w:before="120" w:after="0" w:afterLines="0"/>
            </w:pPr>
            <w:r>
              <w:rPr>
                <w:rFonts w:hint="eastAsia"/>
              </w:rPr>
              <w:t>3.1.</w:t>
            </w:r>
            <w:r>
              <w:t>4生态环境质量现状</w:t>
            </w:r>
          </w:p>
          <w:p w14:paraId="0DABC9B7">
            <w:pPr>
              <w:ind w:firstLine="480"/>
              <w:rPr>
                <w:bCs/>
              </w:rPr>
            </w:pPr>
            <w:r>
              <w:rPr>
                <w:bCs/>
              </w:rPr>
              <w:t>项目位于工业园区内</w:t>
            </w:r>
            <w:r>
              <w:rPr>
                <w:rFonts w:hint="eastAsia"/>
                <w:bCs/>
              </w:rPr>
              <w:t>，</w:t>
            </w:r>
            <w:r>
              <w:rPr>
                <w:bCs/>
              </w:rPr>
              <w:t>用地范围内不涉及生态环境保护目标，故项目无需进行生态现状调查。</w:t>
            </w:r>
          </w:p>
          <w:p w14:paraId="12662795">
            <w:pPr>
              <w:pStyle w:val="4"/>
              <w:spacing w:before="120" w:after="0" w:afterLines="0"/>
            </w:pPr>
            <w:r>
              <w:rPr>
                <w:rFonts w:hint="eastAsia"/>
              </w:rPr>
              <w:t>3.1.</w:t>
            </w:r>
            <w:r>
              <w:t>5电磁辐射环境质量现状</w:t>
            </w:r>
          </w:p>
          <w:p w14:paraId="74093826">
            <w:pPr>
              <w:ind w:firstLine="480"/>
              <w:rPr>
                <w:bCs/>
              </w:rPr>
            </w:pPr>
            <w:r>
              <w:rPr>
                <w:bCs/>
              </w:rPr>
              <w:t>项目不属于新建、改建、扩建广播电台、差转台、电视塔台、卫星地球上行站、雷达等电磁辐射类项目，故无需进行电磁辐射现状监测与评价。</w:t>
            </w:r>
          </w:p>
        </w:tc>
      </w:tr>
      <w:tr w14:paraId="3EA4BA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8" w:hRule="atLeast"/>
          <w:jc w:val="center"/>
        </w:trPr>
        <w:tc>
          <w:tcPr>
            <w:tcW w:w="363" w:type="pct"/>
            <w:vAlign w:val="center"/>
          </w:tcPr>
          <w:p w14:paraId="6469537B">
            <w:pPr>
              <w:pStyle w:val="41"/>
            </w:pPr>
            <w:r>
              <w:t>环境</w:t>
            </w:r>
          </w:p>
          <w:p w14:paraId="37B47FA2">
            <w:pPr>
              <w:pStyle w:val="41"/>
            </w:pPr>
            <w:r>
              <w:t>保护</w:t>
            </w:r>
          </w:p>
          <w:p w14:paraId="22913D8C">
            <w:pPr>
              <w:pStyle w:val="41"/>
            </w:pPr>
            <w:r>
              <w:t>目标</w:t>
            </w:r>
          </w:p>
        </w:tc>
        <w:tc>
          <w:tcPr>
            <w:tcW w:w="4637" w:type="pct"/>
            <w:vAlign w:val="center"/>
          </w:tcPr>
          <w:p w14:paraId="38F2F994">
            <w:pPr>
              <w:pStyle w:val="4"/>
              <w:spacing w:before="120" w:after="0" w:afterLines="0"/>
            </w:pPr>
            <w:r>
              <w:rPr>
                <w:rFonts w:hint="eastAsia"/>
              </w:rPr>
              <w:t>3.2.1</w:t>
            </w:r>
            <w:r>
              <w:t>环境保护目标</w:t>
            </w:r>
          </w:p>
          <w:p w14:paraId="5C5D74D0">
            <w:pPr>
              <w:ind w:firstLine="480"/>
            </w:pPr>
            <w:r>
              <w:t>项目环境保护目标详见表3.</w:t>
            </w:r>
            <w:r>
              <w:rPr>
                <w:rFonts w:hint="eastAsia"/>
              </w:rPr>
              <w:t>2</w:t>
            </w:r>
            <w:r>
              <w:t>-1；项目评价范围内环境保护目标见附图</w:t>
            </w:r>
            <w:r>
              <w:rPr>
                <w:rFonts w:hint="eastAsia"/>
              </w:rPr>
              <w:t>3</w:t>
            </w:r>
            <w:r>
              <w:t>。</w:t>
            </w:r>
          </w:p>
          <w:p w14:paraId="0857256F">
            <w:pPr>
              <w:pStyle w:val="32"/>
              <w:spacing w:before="120" w:beforeLines="50" w:line="240" w:lineRule="auto"/>
            </w:pPr>
            <w:r>
              <w:t>表</w:t>
            </w:r>
            <w:r>
              <w:rPr>
                <w:rFonts w:hint="eastAsia"/>
              </w:rPr>
              <w:t>3.2</w:t>
            </w:r>
            <w:r>
              <w:t>-1  项目周边环境保护目标</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203"/>
              <w:gridCol w:w="1066"/>
              <w:gridCol w:w="1349"/>
              <w:gridCol w:w="1127"/>
              <w:gridCol w:w="2339"/>
            </w:tblGrid>
            <w:tr w14:paraId="171E8E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vAlign w:val="center"/>
                </w:tcPr>
                <w:p w14:paraId="1243CCF2">
                  <w:pPr>
                    <w:pStyle w:val="41"/>
                  </w:pPr>
                  <w:r>
                    <w:t>环境要素</w:t>
                  </w:r>
                </w:p>
              </w:tc>
              <w:tc>
                <w:tcPr>
                  <w:tcW w:w="716" w:type="pct"/>
                  <w:vAlign w:val="center"/>
                </w:tcPr>
                <w:p w14:paraId="4E1A2D8A">
                  <w:pPr>
                    <w:pStyle w:val="41"/>
                  </w:pPr>
                  <w:r>
                    <w:t>环境</w:t>
                  </w:r>
                  <w:r>
                    <w:rPr>
                      <w:rFonts w:hint="eastAsia"/>
                    </w:rPr>
                    <w:t>保护</w:t>
                  </w:r>
                  <w:r>
                    <w:t>目标</w:t>
                  </w:r>
                </w:p>
              </w:tc>
              <w:tc>
                <w:tcPr>
                  <w:tcW w:w="635" w:type="pct"/>
                  <w:vAlign w:val="center"/>
                </w:tcPr>
                <w:p w14:paraId="5D51E7DD">
                  <w:pPr>
                    <w:pStyle w:val="41"/>
                  </w:pPr>
                  <w:r>
                    <w:t>与厂区相对</w:t>
                  </w:r>
                  <w:r>
                    <w:rPr>
                      <w:rFonts w:hint="eastAsia"/>
                    </w:rPr>
                    <w:t>方位</w:t>
                  </w:r>
                </w:p>
              </w:tc>
              <w:tc>
                <w:tcPr>
                  <w:tcW w:w="803" w:type="pct"/>
                  <w:vAlign w:val="center"/>
                </w:tcPr>
                <w:p w14:paraId="2A38F63C">
                  <w:pPr>
                    <w:pStyle w:val="41"/>
                  </w:pPr>
                  <w:r>
                    <w:t>与厂区最近距离</w:t>
                  </w:r>
                </w:p>
              </w:tc>
              <w:tc>
                <w:tcPr>
                  <w:tcW w:w="671" w:type="pct"/>
                  <w:vAlign w:val="center"/>
                </w:tcPr>
                <w:p w14:paraId="664B1351">
                  <w:pPr>
                    <w:pStyle w:val="41"/>
                  </w:pPr>
                  <w:r>
                    <w:rPr>
                      <w:rFonts w:hint="eastAsia"/>
                    </w:rPr>
                    <w:t>规模</w:t>
                  </w:r>
                  <w:r>
                    <w:t>（人）</w:t>
                  </w:r>
                </w:p>
              </w:tc>
              <w:tc>
                <w:tcPr>
                  <w:tcW w:w="1393" w:type="pct"/>
                  <w:vAlign w:val="center"/>
                </w:tcPr>
                <w:p w14:paraId="6930FB1E">
                  <w:pPr>
                    <w:pStyle w:val="41"/>
                  </w:pPr>
                  <w:r>
                    <w:t>保护要求</w:t>
                  </w:r>
                </w:p>
              </w:tc>
            </w:tr>
            <w:tr w14:paraId="74B57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vAlign w:val="center"/>
                </w:tcPr>
                <w:p w14:paraId="0A5E22EC">
                  <w:pPr>
                    <w:pStyle w:val="41"/>
                  </w:pPr>
                  <w:r>
                    <w:t>大气环境</w:t>
                  </w:r>
                </w:p>
              </w:tc>
              <w:tc>
                <w:tcPr>
                  <w:tcW w:w="716" w:type="pct"/>
                  <w:vAlign w:val="center"/>
                </w:tcPr>
                <w:p w14:paraId="586E5EC5">
                  <w:pPr>
                    <w:pStyle w:val="41"/>
                  </w:pPr>
                  <w:r>
                    <w:rPr>
                      <w:rFonts w:hint="eastAsia"/>
                    </w:rPr>
                    <w:t>黄厝村</w:t>
                  </w:r>
                </w:p>
              </w:tc>
              <w:tc>
                <w:tcPr>
                  <w:tcW w:w="635" w:type="pct"/>
                  <w:vAlign w:val="center"/>
                </w:tcPr>
                <w:p w14:paraId="1D369DC2">
                  <w:pPr>
                    <w:pStyle w:val="41"/>
                  </w:pPr>
                  <w:r>
                    <w:rPr>
                      <w:rFonts w:hint="eastAsia"/>
                    </w:rPr>
                    <w:t>东北</w:t>
                  </w:r>
                </w:p>
              </w:tc>
              <w:tc>
                <w:tcPr>
                  <w:tcW w:w="803" w:type="pct"/>
                  <w:vAlign w:val="center"/>
                </w:tcPr>
                <w:p w14:paraId="534EEE6C">
                  <w:pPr>
                    <w:pStyle w:val="41"/>
                  </w:pPr>
                  <w:r>
                    <w:rPr>
                      <w:rFonts w:hint="eastAsia"/>
                    </w:rPr>
                    <w:t>450米</w:t>
                  </w:r>
                </w:p>
              </w:tc>
              <w:tc>
                <w:tcPr>
                  <w:tcW w:w="671" w:type="pct"/>
                  <w:vAlign w:val="center"/>
                </w:tcPr>
                <w:p w14:paraId="161D8200">
                  <w:pPr>
                    <w:pStyle w:val="41"/>
                  </w:pPr>
                  <w:r>
                    <w:rPr>
                      <w:rFonts w:hint="eastAsia"/>
                    </w:rPr>
                    <w:t>100人</w:t>
                  </w:r>
                </w:p>
              </w:tc>
              <w:tc>
                <w:tcPr>
                  <w:tcW w:w="1393" w:type="pct"/>
                  <w:vAlign w:val="center"/>
                </w:tcPr>
                <w:p w14:paraId="0510E889">
                  <w:pPr>
                    <w:pStyle w:val="41"/>
                  </w:pPr>
                  <w:r>
                    <w:t>《环境空气质量标准》（GB3095-2012） 二级标准</w:t>
                  </w:r>
                </w:p>
              </w:tc>
            </w:tr>
            <w:tr w14:paraId="428CE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vMerge w:val="restart"/>
                  <w:vAlign w:val="center"/>
                </w:tcPr>
                <w:p w14:paraId="7150C6E0">
                  <w:pPr>
                    <w:pStyle w:val="41"/>
                  </w:pPr>
                  <w:r>
                    <w:t>水环境</w:t>
                  </w:r>
                </w:p>
              </w:tc>
              <w:tc>
                <w:tcPr>
                  <w:tcW w:w="716" w:type="pct"/>
                  <w:vAlign w:val="center"/>
                </w:tcPr>
                <w:p w14:paraId="42EA81AD">
                  <w:pPr>
                    <w:pStyle w:val="41"/>
                  </w:pPr>
                  <w:r>
                    <w:rPr>
                      <w:rFonts w:hint="eastAsia"/>
                    </w:rPr>
                    <w:t>太城溪</w:t>
                  </w:r>
                </w:p>
              </w:tc>
              <w:tc>
                <w:tcPr>
                  <w:tcW w:w="635" w:type="pct"/>
                  <w:vAlign w:val="center"/>
                </w:tcPr>
                <w:p w14:paraId="397D9EE4">
                  <w:pPr>
                    <w:pStyle w:val="41"/>
                  </w:pPr>
                  <w:r>
                    <w:rPr>
                      <w:rFonts w:hint="eastAsia"/>
                    </w:rPr>
                    <w:t>西</w:t>
                  </w:r>
                </w:p>
              </w:tc>
              <w:tc>
                <w:tcPr>
                  <w:tcW w:w="803" w:type="pct"/>
                  <w:vAlign w:val="center"/>
                </w:tcPr>
                <w:p w14:paraId="234570E3">
                  <w:pPr>
                    <w:pStyle w:val="41"/>
                  </w:pPr>
                  <w:r>
                    <w:rPr>
                      <w:rFonts w:hint="eastAsia"/>
                    </w:rPr>
                    <w:t>2100米</w:t>
                  </w:r>
                </w:p>
              </w:tc>
              <w:tc>
                <w:tcPr>
                  <w:tcW w:w="671" w:type="pct"/>
                  <w:vAlign w:val="center"/>
                </w:tcPr>
                <w:p w14:paraId="3A08890F">
                  <w:pPr>
                    <w:pStyle w:val="41"/>
                  </w:pPr>
                  <w:r>
                    <w:rPr>
                      <w:rFonts w:hint="eastAsia"/>
                    </w:rPr>
                    <w:t>/</w:t>
                  </w:r>
                </w:p>
              </w:tc>
              <w:tc>
                <w:tcPr>
                  <w:tcW w:w="1393" w:type="pct"/>
                  <w:vMerge w:val="restart"/>
                  <w:vAlign w:val="center"/>
                </w:tcPr>
                <w:p w14:paraId="747EE10F">
                  <w:pPr>
                    <w:pStyle w:val="41"/>
                  </w:pPr>
                  <w:r>
                    <w:t>《地表水环境质量标准》（GB3838-2012）Ⅲ 水质标准</w:t>
                  </w:r>
                </w:p>
              </w:tc>
            </w:tr>
            <w:tr w14:paraId="7B9EF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vMerge w:val="continue"/>
                  <w:vAlign w:val="center"/>
                </w:tcPr>
                <w:p w14:paraId="32F10502">
                  <w:pPr>
                    <w:pStyle w:val="41"/>
                  </w:pPr>
                </w:p>
              </w:tc>
              <w:tc>
                <w:tcPr>
                  <w:tcW w:w="716" w:type="pct"/>
                  <w:vAlign w:val="center"/>
                </w:tcPr>
                <w:p w14:paraId="6359DA6B">
                  <w:pPr>
                    <w:pStyle w:val="41"/>
                  </w:pPr>
                  <w:r>
                    <w:t>龙江</w:t>
                  </w:r>
                </w:p>
              </w:tc>
              <w:tc>
                <w:tcPr>
                  <w:tcW w:w="635" w:type="pct"/>
                  <w:vAlign w:val="center"/>
                </w:tcPr>
                <w:p w14:paraId="091D19A9">
                  <w:pPr>
                    <w:pStyle w:val="41"/>
                  </w:pPr>
                  <w:r>
                    <w:rPr>
                      <w:rFonts w:hint="eastAsia"/>
                    </w:rPr>
                    <w:t>南</w:t>
                  </w:r>
                </w:p>
              </w:tc>
              <w:tc>
                <w:tcPr>
                  <w:tcW w:w="803" w:type="pct"/>
                  <w:vAlign w:val="center"/>
                </w:tcPr>
                <w:p w14:paraId="3C6E1341">
                  <w:pPr>
                    <w:pStyle w:val="41"/>
                  </w:pPr>
                  <w:r>
                    <w:rPr>
                      <w:rFonts w:hint="eastAsia"/>
                    </w:rPr>
                    <w:t>4100米</w:t>
                  </w:r>
                </w:p>
              </w:tc>
              <w:tc>
                <w:tcPr>
                  <w:tcW w:w="671" w:type="pct"/>
                  <w:vAlign w:val="center"/>
                </w:tcPr>
                <w:p w14:paraId="65E57A8E">
                  <w:pPr>
                    <w:pStyle w:val="41"/>
                  </w:pPr>
                  <w:r>
                    <w:rPr>
                      <w:rFonts w:hint="eastAsia"/>
                    </w:rPr>
                    <w:t>/</w:t>
                  </w:r>
                </w:p>
              </w:tc>
              <w:tc>
                <w:tcPr>
                  <w:tcW w:w="1393" w:type="pct"/>
                  <w:vMerge w:val="continue"/>
                  <w:vAlign w:val="center"/>
                </w:tcPr>
                <w:p w14:paraId="2F9B808A">
                  <w:pPr>
                    <w:pStyle w:val="41"/>
                  </w:pPr>
                </w:p>
              </w:tc>
            </w:tr>
            <w:tr w14:paraId="6DC19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vAlign w:val="center"/>
                </w:tcPr>
                <w:p w14:paraId="1C8F0953">
                  <w:pPr>
                    <w:pStyle w:val="41"/>
                  </w:pPr>
                  <w:r>
                    <w:t>声环境</w:t>
                  </w:r>
                </w:p>
              </w:tc>
              <w:tc>
                <w:tcPr>
                  <w:tcW w:w="4218" w:type="pct"/>
                  <w:gridSpan w:val="5"/>
                  <w:vAlign w:val="center"/>
                </w:tcPr>
                <w:p w14:paraId="36657837">
                  <w:pPr>
                    <w:pStyle w:val="41"/>
                  </w:pPr>
                  <w:r>
                    <w:t>厂界周边50m范围内无声环境</w:t>
                  </w:r>
                  <w:r>
                    <w:rPr>
                      <w:rFonts w:hint="eastAsia"/>
                    </w:rPr>
                    <w:t>保护</w:t>
                  </w:r>
                  <w:r>
                    <w:t>目标</w:t>
                  </w:r>
                </w:p>
              </w:tc>
            </w:tr>
            <w:tr w14:paraId="35895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vAlign w:val="center"/>
                </w:tcPr>
                <w:p w14:paraId="3807998B">
                  <w:pPr>
                    <w:pStyle w:val="41"/>
                  </w:pPr>
                  <w:r>
                    <w:t>地下水</w:t>
                  </w:r>
                </w:p>
              </w:tc>
              <w:tc>
                <w:tcPr>
                  <w:tcW w:w="4218" w:type="pct"/>
                  <w:gridSpan w:val="5"/>
                  <w:vAlign w:val="center"/>
                </w:tcPr>
                <w:p w14:paraId="169A38FF">
                  <w:pPr>
                    <w:pStyle w:val="41"/>
                  </w:pPr>
                  <w:r>
                    <w:t>项目厂界外500m范围内无地下水集中式饮用水水源和热水、矿泉水、温泉等特殊地下水资源。</w:t>
                  </w:r>
                </w:p>
              </w:tc>
            </w:tr>
            <w:tr w14:paraId="3868C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vAlign w:val="center"/>
                </w:tcPr>
                <w:p w14:paraId="71DED47C">
                  <w:pPr>
                    <w:pStyle w:val="41"/>
                  </w:pPr>
                  <w:r>
                    <w:t>生态环境</w:t>
                  </w:r>
                </w:p>
              </w:tc>
              <w:tc>
                <w:tcPr>
                  <w:tcW w:w="4218" w:type="pct"/>
                  <w:gridSpan w:val="5"/>
                  <w:vAlign w:val="center"/>
                </w:tcPr>
                <w:p w14:paraId="0C8A804D">
                  <w:pPr>
                    <w:pStyle w:val="41"/>
                  </w:pPr>
                  <w:r>
                    <w:t>项目</w:t>
                  </w:r>
                  <w:r>
                    <w:rPr>
                      <w:rFonts w:hint="eastAsia"/>
                    </w:rPr>
                    <w:t>位于</w:t>
                  </w:r>
                  <w:r>
                    <w:t>工业园区内</w:t>
                  </w:r>
                  <w:r>
                    <w:rPr>
                      <w:rFonts w:hint="eastAsia"/>
                    </w:rPr>
                    <w:t>，</w:t>
                  </w:r>
                  <w:r>
                    <w:t>无生态环境保护目标。</w:t>
                  </w:r>
                </w:p>
              </w:tc>
            </w:tr>
          </w:tbl>
          <w:p w14:paraId="26F92247">
            <w:pPr>
              <w:pStyle w:val="41"/>
            </w:pPr>
          </w:p>
        </w:tc>
      </w:tr>
      <w:tr w14:paraId="68D30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363" w:type="pct"/>
            <w:tcMar>
              <w:left w:w="28" w:type="dxa"/>
              <w:right w:w="28" w:type="dxa"/>
            </w:tcMar>
            <w:vAlign w:val="center"/>
          </w:tcPr>
          <w:p w14:paraId="5084A67A">
            <w:pPr>
              <w:pStyle w:val="41"/>
            </w:pPr>
            <w:r>
              <w:t>污染</w:t>
            </w:r>
          </w:p>
          <w:p w14:paraId="0BF37C27">
            <w:pPr>
              <w:pStyle w:val="41"/>
            </w:pPr>
            <w:r>
              <w:t>物排</w:t>
            </w:r>
          </w:p>
          <w:p w14:paraId="16EE91E1">
            <w:pPr>
              <w:pStyle w:val="41"/>
            </w:pPr>
            <w:r>
              <w:t>放控</w:t>
            </w:r>
          </w:p>
          <w:p w14:paraId="595F1092">
            <w:pPr>
              <w:pStyle w:val="41"/>
            </w:pPr>
            <w:r>
              <w:t>制标</w:t>
            </w:r>
          </w:p>
          <w:p w14:paraId="2F0B94D8">
            <w:pPr>
              <w:pStyle w:val="41"/>
            </w:pPr>
            <w:r>
              <w:t>准</w:t>
            </w:r>
          </w:p>
        </w:tc>
        <w:tc>
          <w:tcPr>
            <w:tcW w:w="4637" w:type="pct"/>
            <w:vAlign w:val="center"/>
          </w:tcPr>
          <w:p w14:paraId="6A59FA35">
            <w:pPr>
              <w:pStyle w:val="4"/>
              <w:spacing w:before="120" w:after="0" w:afterLines="0"/>
            </w:pPr>
            <w:r>
              <w:t>3.</w:t>
            </w:r>
            <w:r>
              <w:rPr>
                <w:rFonts w:hint="eastAsia"/>
              </w:rPr>
              <w:t>3.1</w:t>
            </w:r>
            <w:r>
              <w:t>大气污染物排放标准</w:t>
            </w:r>
          </w:p>
          <w:p w14:paraId="18E0B7FF">
            <w:pPr>
              <w:ind w:firstLine="480"/>
            </w:pPr>
            <w:r>
              <w:rPr>
                <w:rFonts w:hint="eastAsia"/>
              </w:rPr>
              <w:t>参照《排污许可证申请与核发技术规范 汽车制造业》（HJ971-2018）5.2.2.1中：“汽车制造业排污单位其他生产单元污染物许可排放浓度，按照GB16297确定”；</w:t>
            </w:r>
            <w:r>
              <w:t>项目生产线产生的颗粒物</w:t>
            </w:r>
            <w:r>
              <w:rPr>
                <w:rFonts w:hint="eastAsia"/>
              </w:rPr>
              <w:t>、非甲烷总烃执行</w:t>
            </w:r>
            <w:r>
              <w:t>《大气污染物综合排放标准》（GB16297-1996）中表2排放限值</w:t>
            </w:r>
            <w:r>
              <w:rPr>
                <w:rFonts w:hint="eastAsia"/>
              </w:rPr>
              <w:t>，非甲烷总烃无组织排放同时执行《挥发性有机物无组织排放控制标准》（GB37822-2019）中附录A表A.1标准限值。</w:t>
            </w:r>
            <w:r>
              <w:t>具体排放限值详见表3.</w:t>
            </w:r>
            <w:r>
              <w:rPr>
                <w:rFonts w:hint="eastAsia"/>
              </w:rPr>
              <w:t>3</w:t>
            </w:r>
            <w:r>
              <w:t>-1。</w:t>
            </w:r>
          </w:p>
          <w:p w14:paraId="7FFF64F6">
            <w:pPr>
              <w:pStyle w:val="92"/>
              <w:spacing w:before="120"/>
              <w:rPr>
                <w:color w:val="auto"/>
              </w:rPr>
            </w:pPr>
            <w:r>
              <w:rPr>
                <w:color w:val="auto"/>
              </w:rPr>
              <w:t>表3.</w:t>
            </w:r>
            <w:r>
              <w:rPr>
                <w:rFonts w:hint="eastAsia"/>
                <w:color w:val="auto"/>
              </w:rPr>
              <w:t>3</w:t>
            </w:r>
            <w:r>
              <w:rPr>
                <w:color w:val="auto"/>
              </w:rPr>
              <w:t>-1  废气污染物排放标准限值</w:t>
            </w:r>
          </w:p>
          <w:tbl>
            <w:tblPr>
              <w:tblStyle w:val="8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979"/>
              <w:gridCol w:w="2022"/>
              <w:gridCol w:w="3077"/>
            </w:tblGrid>
            <w:tr w14:paraId="70F757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317" w:type="dxa"/>
                  <w:vAlign w:val="center"/>
                </w:tcPr>
                <w:p w14:paraId="03D11B78">
                  <w:pPr>
                    <w:pStyle w:val="41"/>
                  </w:pPr>
                  <w:r>
                    <w:t>污染因子</w:t>
                  </w:r>
                </w:p>
              </w:tc>
              <w:tc>
                <w:tcPr>
                  <w:tcW w:w="1978" w:type="dxa"/>
                  <w:vAlign w:val="center"/>
                </w:tcPr>
                <w:p w14:paraId="081785DE">
                  <w:pPr>
                    <w:pStyle w:val="41"/>
                  </w:pPr>
                  <w:r>
                    <w:t>监控点</w:t>
                  </w:r>
                </w:p>
              </w:tc>
              <w:tc>
                <w:tcPr>
                  <w:tcW w:w="2022" w:type="dxa"/>
                  <w:vAlign w:val="center"/>
                </w:tcPr>
                <w:p w14:paraId="09773CC4">
                  <w:pPr>
                    <w:pStyle w:val="41"/>
                  </w:pPr>
                  <w:r>
                    <w:t>限值（mg/m</w:t>
                  </w:r>
                  <w:r>
                    <w:rPr>
                      <w:vertAlign w:val="superscript"/>
                    </w:rPr>
                    <w:t>3</w:t>
                  </w:r>
                  <w:r>
                    <w:t>）</w:t>
                  </w:r>
                </w:p>
              </w:tc>
              <w:tc>
                <w:tcPr>
                  <w:tcW w:w="3080" w:type="dxa"/>
                  <w:vAlign w:val="center"/>
                </w:tcPr>
                <w:p w14:paraId="3E62D7A3">
                  <w:pPr>
                    <w:pStyle w:val="41"/>
                  </w:pPr>
                  <w:r>
                    <w:t>执行标准</w:t>
                  </w:r>
                </w:p>
              </w:tc>
            </w:tr>
            <w:tr w14:paraId="427BE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7" w:type="dxa"/>
                  <w:vAlign w:val="center"/>
                </w:tcPr>
                <w:p w14:paraId="5BD2F7C4">
                  <w:pPr>
                    <w:pStyle w:val="41"/>
                  </w:pPr>
                  <w:r>
                    <w:t>颗粒物</w:t>
                  </w:r>
                </w:p>
              </w:tc>
              <w:tc>
                <w:tcPr>
                  <w:tcW w:w="1978" w:type="dxa"/>
                  <w:vAlign w:val="center"/>
                </w:tcPr>
                <w:p w14:paraId="47781203">
                  <w:pPr>
                    <w:pStyle w:val="41"/>
                  </w:pPr>
                  <w:r>
                    <w:rPr>
                      <w:rFonts w:hint="eastAsia"/>
                    </w:rPr>
                    <w:t>周界外浓度最高点</w:t>
                  </w:r>
                </w:p>
              </w:tc>
              <w:tc>
                <w:tcPr>
                  <w:tcW w:w="2022" w:type="dxa"/>
                  <w:vAlign w:val="center"/>
                </w:tcPr>
                <w:p w14:paraId="6457E7F0">
                  <w:pPr>
                    <w:pStyle w:val="41"/>
                  </w:pPr>
                  <w:r>
                    <w:rPr>
                      <w:rFonts w:hint="eastAsia"/>
                    </w:rPr>
                    <w:t>1.0</w:t>
                  </w:r>
                </w:p>
              </w:tc>
              <w:tc>
                <w:tcPr>
                  <w:tcW w:w="3080" w:type="dxa"/>
                  <w:vMerge w:val="restart"/>
                  <w:vAlign w:val="center"/>
                </w:tcPr>
                <w:p w14:paraId="1B69BCC7">
                  <w:pPr>
                    <w:pStyle w:val="41"/>
                  </w:pPr>
                  <w:r>
                    <w:t>《大气污染物综合排放标准》（GB16297-1996）</w:t>
                  </w:r>
                </w:p>
              </w:tc>
            </w:tr>
            <w:tr w14:paraId="545E9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17" w:type="dxa"/>
                  <w:vMerge w:val="restart"/>
                  <w:vAlign w:val="center"/>
                </w:tcPr>
                <w:p w14:paraId="26A37C47">
                  <w:pPr>
                    <w:pStyle w:val="41"/>
                  </w:pPr>
                  <w:r>
                    <w:rPr>
                      <w:rFonts w:hint="eastAsia"/>
                    </w:rPr>
                    <w:t>非甲烷总烃</w:t>
                  </w:r>
                </w:p>
              </w:tc>
              <w:tc>
                <w:tcPr>
                  <w:tcW w:w="1978" w:type="dxa"/>
                  <w:vMerge w:val="restart"/>
                  <w:vAlign w:val="center"/>
                </w:tcPr>
                <w:p w14:paraId="68E381C3">
                  <w:pPr>
                    <w:pStyle w:val="41"/>
                  </w:pPr>
                  <w:r>
                    <w:rPr>
                      <w:rFonts w:hint="eastAsia"/>
                    </w:rPr>
                    <w:t>15m高排气筒</w:t>
                  </w:r>
                </w:p>
              </w:tc>
              <w:tc>
                <w:tcPr>
                  <w:tcW w:w="2022" w:type="dxa"/>
                  <w:vAlign w:val="center"/>
                </w:tcPr>
                <w:p w14:paraId="7AF60B19">
                  <w:pPr>
                    <w:pStyle w:val="41"/>
                  </w:pPr>
                  <w:r>
                    <w:rPr>
                      <w:rFonts w:hint="eastAsia"/>
                    </w:rPr>
                    <w:t>120</w:t>
                  </w:r>
                </w:p>
              </w:tc>
              <w:tc>
                <w:tcPr>
                  <w:tcW w:w="3080" w:type="dxa"/>
                  <w:vMerge w:val="continue"/>
                  <w:vAlign w:val="center"/>
                </w:tcPr>
                <w:p w14:paraId="4C14C88D">
                  <w:pPr>
                    <w:pStyle w:val="41"/>
                  </w:pPr>
                </w:p>
              </w:tc>
            </w:tr>
            <w:tr w14:paraId="5A7CC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17" w:type="dxa"/>
                  <w:vMerge w:val="continue"/>
                  <w:vAlign w:val="center"/>
                </w:tcPr>
                <w:p w14:paraId="4BBF8436">
                  <w:pPr>
                    <w:pStyle w:val="41"/>
                  </w:pPr>
                </w:p>
              </w:tc>
              <w:tc>
                <w:tcPr>
                  <w:tcW w:w="1978" w:type="dxa"/>
                  <w:vMerge w:val="continue"/>
                  <w:vAlign w:val="center"/>
                </w:tcPr>
                <w:p w14:paraId="0D3FE6CF">
                  <w:pPr>
                    <w:pStyle w:val="41"/>
                  </w:pPr>
                </w:p>
              </w:tc>
              <w:tc>
                <w:tcPr>
                  <w:tcW w:w="2022" w:type="dxa"/>
                  <w:vAlign w:val="center"/>
                </w:tcPr>
                <w:p w14:paraId="678648D9">
                  <w:pPr>
                    <w:pStyle w:val="41"/>
                  </w:pPr>
                  <w:r>
                    <w:rPr>
                      <w:rFonts w:hint="eastAsia"/>
                    </w:rPr>
                    <w:t>排放速率10kg/h</w:t>
                  </w:r>
                </w:p>
              </w:tc>
              <w:tc>
                <w:tcPr>
                  <w:tcW w:w="3080" w:type="dxa"/>
                  <w:vMerge w:val="continue"/>
                  <w:vAlign w:val="center"/>
                </w:tcPr>
                <w:p w14:paraId="25A588C5">
                  <w:pPr>
                    <w:pStyle w:val="41"/>
                  </w:pPr>
                </w:p>
              </w:tc>
            </w:tr>
            <w:tr w14:paraId="5409F3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7" w:type="dxa"/>
                  <w:vMerge w:val="continue"/>
                  <w:vAlign w:val="center"/>
                </w:tcPr>
                <w:p w14:paraId="7F3FDADB">
                  <w:pPr>
                    <w:pStyle w:val="41"/>
                  </w:pPr>
                </w:p>
              </w:tc>
              <w:tc>
                <w:tcPr>
                  <w:tcW w:w="1978" w:type="dxa"/>
                  <w:vAlign w:val="center"/>
                </w:tcPr>
                <w:p w14:paraId="4FBC02A3">
                  <w:pPr>
                    <w:pStyle w:val="41"/>
                  </w:pPr>
                  <w:r>
                    <w:rPr>
                      <w:rFonts w:hint="eastAsia"/>
                    </w:rPr>
                    <w:t>周界外浓度最高点</w:t>
                  </w:r>
                </w:p>
              </w:tc>
              <w:tc>
                <w:tcPr>
                  <w:tcW w:w="2022" w:type="dxa"/>
                  <w:vAlign w:val="center"/>
                </w:tcPr>
                <w:p w14:paraId="7ABE0373">
                  <w:pPr>
                    <w:pStyle w:val="41"/>
                  </w:pPr>
                  <w:r>
                    <w:rPr>
                      <w:rFonts w:hint="eastAsia"/>
                    </w:rPr>
                    <w:t>4.0</w:t>
                  </w:r>
                </w:p>
              </w:tc>
              <w:tc>
                <w:tcPr>
                  <w:tcW w:w="3080" w:type="dxa"/>
                  <w:vMerge w:val="continue"/>
                  <w:vAlign w:val="center"/>
                </w:tcPr>
                <w:p w14:paraId="6697439E">
                  <w:pPr>
                    <w:pStyle w:val="41"/>
                  </w:pPr>
                </w:p>
              </w:tc>
            </w:tr>
            <w:tr w14:paraId="02117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7" w:type="dxa"/>
                  <w:vMerge w:val="continue"/>
                  <w:vAlign w:val="center"/>
                </w:tcPr>
                <w:p w14:paraId="1CCFF71B">
                  <w:pPr>
                    <w:pStyle w:val="41"/>
                  </w:pPr>
                </w:p>
              </w:tc>
              <w:tc>
                <w:tcPr>
                  <w:tcW w:w="1978" w:type="dxa"/>
                  <w:vAlign w:val="center"/>
                </w:tcPr>
                <w:p w14:paraId="71478CB7">
                  <w:pPr>
                    <w:pStyle w:val="41"/>
                  </w:pPr>
                  <w:r>
                    <w:rPr>
                      <w:rFonts w:hint="eastAsia"/>
                    </w:rPr>
                    <w:t>厂区内监控点</w:t>
                  </w:r>
                </w:p>
                <w:p w14:paraId="60EE3460">
                  <w:pPr>
                    <w:pStyle w:val="41"/>
                  </w:pPr>
                  <w:r>
                    <w:rPr>
                      <w:rFonts w:hint="eastAsia"/>
                    </w:rPr>
                    <w:t>浓度限值</w:t>
                  </w:r>
                </w:p>
              </w:tc>
              <w:tc>
                <w:tcPr>
                  <w:tcW w:w="2022" w:type="dxa"/>
                  <w:vAlign w:val="center"/>
                </w:tcPr>
                <w:p w14:paraId="2D5C364B">
                  <w:pPr>
                    <w:pStyle w:val="41"/>
                  </w:pPr>
                  <w:r>
                    <w:rPr>
                      <w:rFonts w:hint="eastAsia"/>
                    </w:rPr>
                    <w:t>10</w:t>
                  </w:r>
                </w:p>
              </w:tc>
              <w:tc>
                <w:tcPr>
                  <w:tcW w:w="3080" w:type="dxa"/>
                  <w:vMerge w:val="restart"/>
                  <w:vAlign w:val="center"/>
                </w:tcPr>
                <w:p w14:paraId="459BB8E8">
                  <w:pPr>
                    <w:pStyle w:val="41"/>
                  </w:pPr>
                  <w:r>
                    <w:rPr>
                      <w:rFonts w:hint="eastAsia"/>
                    </w:rPr>
                    <w:t>《挥发性有机物无组织排放控制标准》（GB37822-2019）</w:t>
                  </w:r>
                </w:p>
              </w:tc>
            </w:tr>
            <w:tr w14:paraId="163B7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7" w:type="dxa"/>
                  <w:vMerge w:val="continue"/>
                  <w:vAlign w:val="center"/>
                </w:tcPr>
                <w:p w14:paraId="73381191">
                  <w:pPr>
                    <w:pStyle w:val="41"/>
                  </w:pPr>
                </w:p>
              </w:tc>
              <w:tc>
                <w:tcPr>
                  <w:tcW w:w="1978" w:type="dxa"/>
                  <w:vAlign w:val="center"/>
                </w:tcPr>
                <w:p w14:paraId="4906EF5F">
                  <w:pPr>
                    <w:pStyle w:val="41"/>
                  </w:pPr>
                  <w:r>
                    <w:rPr>
                      <w:rFonts w:hint="eastAsia"/>
                    </w:rPr>
                    <w:t>监控点处任意</w:t>
                  </w:r>
                </w:p>
                <w:p w14:paraId="2A19FE7B">
                  <w:pPr>
                    <w:pStyle w:val="41"/>
                  </w:pPr>
                  <w:r>
                    <w:rPr>
                      <w:rFonts w:hint="eastAsia"/>
                    </w:rPr>
                    <w:t>一次浓度值</w:t>
                  </w:r>
                </w:p>
              </w:tc>
              <w:tc>
                <w:tcPr>
                  <w:tcW w:w="2022" w:type="dxa"/>
                  <w:vAlign w:val="center"/>
                </w:tcPr>
                <w:p w14:paraId="42448EE6">
                  <w:pPr>
                    <w:pStyle w:val="41"/>
                  </w:pPr>
                  <w:r>
                    <w:rPr>
                      <w:rFonts w:hint="eastAsia"/>
                    </w:rPr>
                    <w:t>30</w:t>
                  </w:r>
                </w:p>
              </w:tc>
              <w:tc>
                <w:tcPr>
                  <w:tcW w:w="3080" w:type="dxa"/>
                  <w:vMerge w:val="continue"/>
                  <w:vAlign w:val="center"/>
                </w:tcPr>
                <w:p w14:paraId="5B2ADBB4">
                  <w:pPr>
                    <w:pStyle w:val="41"/>
                  </w:pPr>
                </w:p>
              </w:tc>
            </w:tr>
          </w:tbl>
          <w:p w14:paraId="01CC453C">
            <w:pPr>
              <w:pStyle w:val="4"/>
              <w:spacing w:before="120" w:after="0" w:afterLines="0"/>
            </w:pPr>
            <w:r>
              <w:rPr>
                <w:rFonts w:hint="eastAsia"/>
              </w:rPr>
              <w:t>3.3.2废水排放标准</w:t>
            </w:r>
          </w:p>
          <w:p w14:paraId="1488C8F2">
            <w:pPr>
              <w:ind w:firstLine="480"/>
            </w:pPr>
            <w:r>
              <w:rPr>
                <w:rFonts w:hint="eastAsia"/>
              </w:rPr>
              <w:t>本项目外排废水为生活污水，生活污水经化粪池处理后，pH、COD、BOD</w:t>
            </w:r>
            <w:r>
              <w:rPr>
                <w:rFonts w:hint="eastAsia"/>
                <w:vertAlign w:val="subscript"/>
              </w:rPr>
              <w:t>5</w:t>
            </w:r>
            <w:r>
              <w:rPr>
                <w:rFonts w:hint="eastAsia"/>
              </w:rPr>
              <w:t>、SS等排放浓度达《污水综合排放标准》（GB8978-1996）表4中三级标准，氨氮达《污水排入城镇下水道水质标准》（GB/T31962-2015）表1中B级标准，具体排放标准见表3.3-2。</w:t>
            </w:r>
          </w:p>
          <w:p w14:paraId="5E919D98">
            <w:pPr>
              <w:pStyle w:val="32"/>
              <w:spacing w:before="120" w:beforeLines="50" w:line="240" w:lineRule="auto"/>
            </w:pPr>
            <w:r>
              <w:t>表3</w:t>
            </w:r>
            <w:r>
              <w:rPr>
                <w:rFonts w:hint="eastAsia"/>
              </w:rPr>
              <w:t>.3-2  废水</w:t>
            </w:r>
            <w:r>
              <w:t>污染物排放标准限值</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764"/>
              <w:gridCol w:w="2393"/>
              <w:gridCol w:w="1906"/>
              <w:gridCol w:w="3335"/>
            </w:tblGrid>
            <w:tr w14:paraId="4048A8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4" w:type="dxa"/>
                  <w:vMerge w:val="restart"/>
                  <w:vAlign w:val="center"/>
                </w:tcPr>
                <w:p w14:paraId="1357AB1C">
                  <w:pPr>
                    <w:pStyle w:val="41"/>
                  </w:pPr>
                  <w:r>
                    <w:t>序号</w:t>
                  </w:r>
                </w:p>
              </w:tc>
              <w:tc>
                <w:tcPr>
                  <w:tcW w:w="1424" w:type="dxa"/>
                  <w:vMerge w:val="restart"/>
                  <w:vAlign w:val="center"/>
                </w:tcPr>
                <w:p w14:paraId="254C1150">
                  <w:pPr>
                    <w:pStyle w:val="41"/>
                  </w:pPr>
                  <w:r>
                    <w:t>污染物</w:t>
                  </w:r>
                </w:p>
              </w:tc>
              <w:tc>
                <w:tcPr>
                  <w:tcW w:w="3118" w:type="dxa"/>
                  <w:gridSpan w:val="2"/>
                  <w:vAlign w:val="center"/>
                </w:tcPr>
                <w:p w14:paraId="7240F01E">
                  <w:pPr>
                    <w:pStyle w:val="41"/>
                  </w:pPr>
                  <w:r>
                    <w:t>厂区排放口</w:t>
                  </w:r>
                </w:p>
              </w:tc>
            </w:tr>
            <w:tr w14:paraId="6236AB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4" w:type="dxa"/>
                  <w:vMerge w:val="continue"/>
                  <w:vAlign w:val="center"/>
                </w:tcPr>
                <w:p w14:paraId="3E7DF543">
                  <w:pPr>
                    <w:pStyle w:val="41"/>
                  </w:pPr>
                </w:p>
              </w:tc>
              <w:tc>
                <w:tcPr>
                  <w:tcW w:w="1424" w:type="dxa"/>
                  <w:vMerge w:val="continue"/>
                  <w:vAlign w:val="center"/>
                </w:tcPr>
                <w:p w14:paraId="0136D154">
                  <w:pPr>
                    <w:pStyle w:val="41"/>
                  </w:pPr>
                </w:p>
              </w:tc>
              <w:tc>
                <w:tcPr>
                  <w:tcW w:w="1134" w:type="dxa"/>
                  <w:vAlign w:val="center"/>
                </w:tcPr>
                <w:p w14:paraId="2F0929A8">
                  <w:pPr>
                    <w:pStyle w:val="41"/>
                  </w:pPr>
                  <w:r>
                    <w:t>三级标准</w:t>
                  </w:r>
                </w:p>
              </w:tc>
              <w:tc>
                <w:tcPr>
                  <w:tcW w:w="1984" w:type="dxa"/>
                  <w:vAlign w:val="center"/>
                </w:tcPr>
                <w:p w14:paraId="0D8FD6F8">
                  <w:pPr>
                    <w:pStyle w:val="41"/>
                  </w:pPr>
                  <w:r>
                    <w:t>标准来源</w:t>
                  </w:r>
                </w:p>
              </w:tc>
            </w:tr>
            <w:tr w14:paraId="3171AB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4" w:type="dxa"/>
                  <w:vAlign w:val="center"/>
                </w:tcPr>
                <w:p w14:paraId="6655369D">
                  <w:pPr>
                    <w:pStyle w:val="41"/>
                  </w:pPr>
                  <w:r>
                    <w:t>1</w:t>
                  </w:r>
                </w:p>
              </w:tc>
              <w:tc>
                <w:tcPr>
                  <w:tcW w:w="1424" w:type="dxa"/>
                  <w:vAlign w:val="center"/>
                </w:tcPr>
                <w:p w14:paraId="6E1D2490">
                  <w:pPr>
                    <w:pStyle w:val="41"/>
                  </w:pPr>
                  <w:r>
                    <w:t>pH</w:t>
                  </w:r>
                </w:p>
              </w:tc>
              <w:tc>
                <w:tcPr>
                  <w:tcW w:w="1134" w:type="dxa"/>
                  <w:vAlign w:val="center"/>
                </w:tcPr>
                <w:p w14:paraId="6F1087FE">
                  <w:pPr>
                    <w:pStyle w:val="41"/>
                  </w:pPr>
                  <w:r>
                    <w:rPr>
                      <w:rFonts w:hint="eastAsia"/>
                    </w:rPr>
                    <w:t>6～9</w:t>
                  </w:r>
                </w:p>
              </w:tc>
              <w:tc>
                <w:tcPr>
                  <w:tcW w:w="1984" w:type="dxa"/>
                  <w:vMerge w:val="restart"/>
                  <w:vAlign w:val="center"/>
                </w:tcPr>
                <w:p w14:paraId="683E19D3">
                  <w:pPr>
                    <w:pStyle w:val="41"/>
                  </w:pPr>
                  <w:r>
                    <w:rPr>
                      <w:rFonts w:hint="eastAsia"/>
                    </w:rPr>
                    <w:t>《污水综合排放标准》（GB8978-1996）</w:t>
                  </w:r>
                </w:p>
              </w:tc>
            </w:tr>
            <w:tr w14:paraId="717D00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4" w:type="dxa"/>
                  <w:vAlign w:val="center"/>
                </w:tcPr>
                <w:p w14:paraId="70DCF7F0">
                  <w:pPr>
                    <w:pStyle w:val="41"/>
                  </w:pPr>
                  <w:r>
                    <w:t>2</w:t>
                  </w:r>
                </w:p>
              </w:tc>
              <w:tc>
                <w:tcPr>
                  <w:tcW w:w="1424" w:type="dxa"/>
                  <w:vAlign w:val="center"/>
                </w:tcPr>
                <w:p w14:paraId="68209A69">
                  <w:pPr>
                    <w:pStyle w:val="41"/>
                  </w:pPr>
                  <w:r>
                    <w:t>COD</w:t>
                  </w:r>
                </w:p>
              </w:tc>
              <w:tc>
                <w:tcPr>
                  <w:tcW w:w="1134" w:type="dxa"/>
                  <w:vAlign w:val="center"/>
                </w:tcPr>
                <w:p w14:paraId="45D0A176">
                  <w:pPr>
                    <w:pStyle w:val="41"/>
                  </w:pPr>
                  <w:r>
                    <w:t>500</w:t>
                  </w:r>
                </w:p>
              </w:tc>
              <w:tc>
                <w:tcPr>
                  <w:tcW w:w="1984" w:type="dxa"/>
                  <w:vMerge w:val="continue"/>
                  <w:vAlign w:val="center"/>
                </w:tcPr>
                <w:p w14:paraId="6FCEF43F">
                  <w:pPr>
                    <w:pStyle w:val="41"/>
                  </w:pPr>
                </w:p>
              </w:tc>
            </w:tr>
            <w:tr w14:paraId="02C0EA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4" w:type="dxa"/>
                  <w:vAlign w:val="center"/>
                </w:tcPr>
                <w:p w14:paraId="638B4889">
                  <w:pPr>
                    <w:pStyle w:val="41"/>
                  </w:pPr>
                  <w:r>
                    <w:rPr>
                      <w:rFonts w:hint="eastAsia"/>
                    </w:rPr>
                    <w:t>3</w:t>
                  </w:r>
                </w:p>
              </w:tc>
              <w:tc>
                <w:tcPr>
                  <w:tcW w:w="1424" w:type="dxa"/>
                  <w:vAlign w:val="center"/>
                </w:tcPr>
                <w:p w14:paraId="716AA0D5">
                  <w:pPr>
                    <w:pStyle w:val="41"/>
                  </w:pPr>
                  <w:r>
                    <w:rPr>
                      <w:rFonts w:hint="eastAsia"/>
                    </w:rPr>
                    <w:t>S</w:t>
                  </w:r>
                  <w:r>
                    <w:t>S</w:t>
                  </w:r>
                </w:p>
              </w:tc>
              <w:tc>
                <w:tcPr>
                  <w:tcW w:w="1134" w:type="dxa"/>
                  <w:vAlign w:val="center"/>
                </w:tcPr>
                <w:p w14:paraId="22A90F41">
                  <w:pPr>
                    <w:pStyle w:val="41"/>
                  </w:pPr>
                  <w:r>
                    <w:t>400</w:t>
                  </w:r>
                </w:p>
              </w:tc>
              <w:tc>
                <w:tcPr>
                  <w:tcW w:w="1984" w:type="dxa"/>
                  <w:vMerge w:val="continue"/>
                  <w:vAlign w:val="center"/>
                </w:tcPr>
                <w:p w14:paraId="4ABAFE77">
                  <w:pPr>
                    <w:pStyle w:val="41"/>
                  </w:pPr>
                </w:p>
              </w:tc>
            </w:tr>
            <w:tr w14:paraId="205231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4" w:type="dxa"/>
                  <w:vAlign w:val="center"/>
                </w:tcPr>
                <w:p w14:paraId="3DF13772">
                  <w:pPr>
                    <w:pStyle w:val="41"/>
                  </w:pPr>
                  <w:r>
                    <w:rPr>
                      <w:rFonts w:hint="eastAsia"/>
                    </w:rPr>
                    <w:t>4</w:t>
                  </w:r>
                </w:p>
              </w:tc>
              <w:tc>
                <w:tcPr>
                  <w:tcW w:w="1424" w:type="dxa"/>
                  <w:vAlign w:val="center"/>
                </w:tcPr>
                <w:p w14:paraId="69E8EF6C">
                  <w:pPr>
                    <w:pStyle w:val="41"/>
                  </w:pPr>
                  <w:r>
                    <w:t>BOD</w:t>
                  </w:r>
                  <w:r>
                    <w:rPr>
                      <w:vertAlign w:val="subscript"/>
                    </w:rPr>
                    <w:t>5</w:t>
                  </w:r>
                </w:p>
              </w:tc>
              <w:tc>
                <w:tcPr>
                  <w:tcW w:w="1134" w:type="dxa"/>
                  <w:tcBorders>
                    <w:bottom w:val="single" w:color="auto" w:sz="4" w:space="0"/>
                  </w:tcBorders>
                  <w:vAlign w:val="center"/>
                </w:tcPr>
                <w:p w14:paraId="2835FF5E">
                  <w:pPr>
                    <w:pStyle w:val="41"/>
                  </w:pPr>
                  <w:r>
                    <w:rPr>
                      <w:rFonts w:hint="eastAsia"/>
                    </w:rPr>
                    <w:t>300</w:t>
                  </w:r>
                </w:p>
              </w:tc>
              <w:tc>
                <w:tcPr>
                  <w:tcW w:w="1984" w:type="dxa"/>
                  <w:vMerge w:val="continue"/>
                  <w:tcBorders>
                    <w:bottom w:val="single" w:color="auto" w:sz="4" w:space="0"/>
                  </w:tcBorders>
                  <w:vAlign w:val="center"/>
                </w:tcPr>
                <w:p w14:paraId="3A9279AA">
                  <w:pPr>
                    <w:pStyle w:val="41"/>
                  </w:pPr>
                </w:p>
              </w:tc>
            </w:tr>
            <w:tr w14:paraId="739C3E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4" w:type="dxa"/>
                  <w:vAlign w:val="center"/>
                </w:tcPr>
                <w:p w14:paraId="0C39EF7A">
                  <w:pPr>
                    <w:pStyle w:val="41"/>
                  </w:pPr>
                  <w:r>
                    <w:rPr>
                      <w:rFonts w:hint="eastAsia"/>
                    </w:rPr>
                    <w:t>5</w:t>
                  </w:r>
                </w:p>
              </w:tc>
              <w:tc>
                <w:tcPr>
                  <w:tcW w:w="1424" w:type="dxa"/>
                  <w:vAlign w:val="center"/>
                </w:tcPr>
                <w:p w14:paraId="25A4DE02">
                  <w:pPr>
                    <w:pStyle w:val="41"/>
                  </w:pPr>
                  <w:r>
                    <w:t>氨氮（以N计）</w:t>
                  </w:r>
                </w:p>
              </w:tc>
              <w:tc>
                <w:tcPr>
                  <w:tcW w:w="1134" w:type="dxa"/>
                  <w:tcBorders>
                    <w:top w:val="single" w:color="auto" w:sz="4" w:space="0"/>
                  </w:tcBorders>
                  <w:vAlign w:val="center"/>
                </w:tcPr>
                <w:p w14:paraId="40E5BF87">
                  <w:pPr>
                    <w:pStyle w:val="41"/>
                  </w:pPr>
                  <w:r>
                    <w:rPr>
                      <w:rFonts w:hint="eastAsia"/>
                    </w:rPr>
                    <w:t>45</w:t>
                  </w:r>
                </w:p>
              </w:tc>
              <w:tc>
                <w:tcPr>
                  <w:tcW w:w="1984" w:type="dxa"/>
                  <w:tcBorders>
                    <w:top w:val="single" w:color="auto" w:sz="4" w:space="0"/>
                  </w:tcBorders>
                  <w:vAlign w:val="center"/>
                </w:tcPr>
                <w:p w14:paraId="48F17EDA">
                  <w:pPr>
                    <w:pStyle w:val="41"/>
                  </w:pPr>
                  <w:r>
                    <w:rPr>
                      <w:rFonts w:hint="eastAsia"/>
                    </w:rPr>
                    <w:t>《污水排入城镇下水道水质标准》（GB/T31962-2015）</w:t>
                  </w:r>
                </w:p>
              </w:tc>
            </w:tr>
          </w:tbl>
          <w:p w14:paraId="4C1FFF27">
            <w:pPr>
              <w:spacing w:before="120" w:beforeLines="50"/>
              <w:ind w:firstLine="480"/>
              <w:rPr>
                <w:szCs w:val="20"/>
                <w14:ligatures w14:val="standardContextual"/>
              </w:rPr>
            </w:pPr>
            <w:r>
              <w:rPr>
                <w:rFonts w:hint="eastAsia"/>
                <w:szCs w:val="20"/>
                <w14:ligatures w14:val="standardContextual"/>
              </w:rPr>
              <w:t>城镇污水处理厂排放执行《城镇污水处理厂污染物排放标准》（GB18918-2002）一级 A 标准，</w:t>
            </w:r>
            <w:r>
              <w:rPr>
                <w:szCs w:val="20"/>
                <w14:ligatures w14:val="standardContextual"/>
              </w:rPr>
              <w:t>具体见表</w:t>
            </w:r>
            <w:r>
              <w:rPr>
                <w:rFonts w:hint="eastAsia"/>
                <w:szCs w:val="20"/>
                <w14:ligatures w14:val="standardContextual"/>
              </w:rPr>
              <w:t>3.3-3</w:t>
            </w:r>
            <w:r>
              <w:rPr>
                <w:szCs w:val="20"/>
                <w14:ligatures w14:val="standardContextual"/>
              </w:rPr>
              <w:t>。</w:t>
            </w:r>
          </w:p>
          <w:p w14:paraId="028C4607">
            <w:pPr>
              <w:pStyle w:val="92"/>
              <w:spacing w:before="120"/>
            </w:pPr>
            <w:bookmarkStart w:id="4" w:name="_Toc16239"/>
            <w:r>
              <w:t>表</w:t>
            </w:r>
            <w:bookmarkEnd w:id="4"/>
            <w:r>
              <w:rPr>
                <w:rFonts w:hint="eastAsia"/>
              </w:rPr>
              <w:t xml:space="preserve">3.3-3 </w:t>
            </w:r>
            <w:r>
              <w:t xml:space="preserve"> </w:t>
            </w:r>
            <w:r>
              <w:rPr>
                <w:rFonts w:hint="eastAsia"/>
              </w:rPr>
              <w:t>城镇污水处理厂</w:t>
            </w:r>
            <w:r>
              <w:t>废水排放标准（单位：mg/L，pH除外）</w:t>
            </w:r>
          </w:p>
          <w:tbl>
            <w:tblPr>
              <w:tblStyle w:val="87"/>
              <w:tblW w:w="495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4"/>
              <w:gridCol w:w="814"/>
              <w:gridCol w:w="811"/>
              <w:gridCol w:w="557"/>
              <w:gridCol w:w="694"/>
              <w:gridCol w:w="611"/>
              <w:gridCol w:w="636"/>
              <w:gridCol w:w="803"/>
              <w:gridCol w:w="2743"/>
            </w:tblGrid>
            <w:tr w14:paraId="560B2E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Align w:val="center"/>
                </w:tcPr>
                <w:p w14:paraId="5A671943">
                  <w:pPr>
                    <w:pStyle w:val="41"/>
                  </w:pPr>
                  <w:r>
                    <w:t>项目</w:t>
                  </w:r>
                </w:p>
              </w:tc>
              <w:tc>
                <w:tcPr>
                  <w:tcW w:w="489" w:type="pct"/>
                  <w:vAlign w:val="center"/>
                </w:tcPr>
                <w:p w14:paraId="40410B50">
                  <w:pPr>
                    <w:pStyle w:val="41"/>
                  </w:pPr>
                  <w:r>
                    <w:t>pH</w:t>
                  </w:r>
                </w:p>
              </w:tc>
              <w:tc>
                <w:tcPr>
                  <w:tcW w:w="487" w:type="pct"/>
                  <w:vAlign w:val="center"/>
                </w:tcPr>
                <w:p w14:paraId="1A5BE317">
                  <w:pPr>
                    <w:pStyle w:val="41"/>
                  </w:pPr>
                  <w:r>
                    <w:rPr>
                      <w:shd w:val="clear" w:fill="FFFFFF"/>
                    </w:rPr>
                    <w:t>COD</w:t>
                  </w:r>
                  <w:r>
                    <w:rPr>
                      <w:shd w:val="clear" w:fill="FFFFFF"/>
                      <w:vertAlign w:val="subscript"/>
                    </w:rPr>
                    <w:t>Cr</w:t>
                  </w:r>
                </w:p>
              </w:tc>
              <w:tc>
                <w:tcPr>
                  <w:tcW w:w="335" w:type="pct"/>
                  <w:vAlign w:val="center"/>
                </w:tcPr>
                <w:p w14:paraId="5223B9D4">
                  <w:pPr>
                    <w:pStyle w:val="41"/>
                  </w:pPr>
                  <w:r>
                    <w:t>SS</w:t>
                  </w:r>
                </w:p>
              </w:tc>
              <w:tc>
                <w:tcPr>
                  <w:tcW w:w="417" w:type="pct"/>
                  <w:vAlign w:val="center"/>
                </w:tcPr>
                <w:p w14:paraId="3F9CD701">
                  <w:pPr>
                    <w:pStyle w:val="41"/>
                  </w:pPr>
                  <w:r>
                    <w:t>氨氮</w:t>
                  </w:r>
                </w:p>
              </w:tc>
              <w:tc>
                <w:tcPr>
                  <w:tcW w:w="367" w:type="pct"/>
                  <w:vAlign w:val="center"/>
                </w:tcPr>
                <w:p w14:paraId="7EF104CC">
                  <w:pPr>
                    <w:pStyle w:val="41"/>
                  </w:pPr>
                  <w:r>
                    <w:t>总氮</w:t>
                  </w:r>
                </w:p>
              </w:tc>
              <w:tc>
                <w:tcPr>
                  <w:tcW w:w="382" w:type="pct"/>
                  <w:vAlign w:val="center"/>
                </w:tcPr>
                <w:p w14:paraId="7F51F23A">
                  <w:pPr>
                    <w:pStyle w:val="41"/>
                  </w:pPr>
                  <w:r>
                    <w:t>总磷</w:t>
                  </w:r>
                </w:p>
              </w:tc>
              <w:tc>
                <w:tcPr>
                  <w:tcW w:w="482" w:type="pct"/>
                  <w:vAlign w:val="center"/>
                </w:tcPr>
                <w:p w14:paraId="05C69F79">
                  <w:pPr>
                    <w:pStyle w:val="41"/>
                  </w:pPr>
                  <w:r>
                    <w:rPr>
                      <w:rFonts w:hint="eastAsia"/>
                    </w:rPr>
                    <w:t>石油类</w:t>
                  </w:r>
                </w:p>
              </w:tc>
              <w:tc>
                <w:tcPr>
                  <w:tcW w:w="1648" w:type="pct"/>
                  <w:vAlign w:val="center"/>
                </w:tcPr>
                <w:p w14:paraId="2FE096EF">
                  <w:pPr>
                    <w:pStyle w:val="41"/>
                  </w:pPr>
                  <w:r>
                    <w:t>标准来源</w:t>
                  </w:r>
                </w:p>
              </w:tc>
            </w:tr>
            <w:tr w14:paraId="0298C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Align w:val="center"/>
                </w:tcPr>
                <w:p w14:paraId="0606E937">
                  <w:pPr>
                    <w:pStyle w:val="41"/>
                  </w:pPr>
                  <w:r>
                    <w:t>排放标准</w:t>
                  </w:r>
                </w:p>
              </w:tc>
              <w:tc>
                <w:tcPr>
                  <w:tcW w:w="489" w:type="pct"/>
                  <w:vAlign w:val="center"/>
                </w:tcPr>
                <w:p w14:paraId="522DA9B6">
                  <w:pPr>
                    <w:pStyle w:val="41"/>
                  </w:pPr>
                  <w:r>
                    <w:t>6~9</w:t>
                  </w:r>
                </w:p>
              </w:tc>
              <w:tc>
                <w:tcPr>
                  <w:tcW w:w="487" w:type="pct"/>
                  <w:vAlign w:val="center"/>
                </w:tcPr>
                <w:p w14:paraId="3CD496F1">
                  <w:pPr>
                    <w:pStyle w:val="41"/>
                  </w:pPr>
                  <w:r>
                    <w:t>50</w:t>
                  </w:r>
                </w:p>
              </w:tc>
              <w:tc>
                <w:tcPr>
                  <w:tcW w:w="335" w:type="pct"/>
                  <w:vAlign w:val="center"/>
                </w:tcPr>
                <w:p w14:paraId="42AF5DA3">
                  <w:pPr>
                    <w:pStyle w:val="41"/>
                  </w:pPr>
                  <w:r>
                    <w:rPr>
                      <w:rFonts w:hint="eastAsia"/>
                    </w:rPr>
                    <w:t>10</w:t>
                  </w:r>
                </w:p>
              </w:tc>
              <w:tc>
                <w:tcPr>
                  <w:tcW w:w="417" w:type="pct"/>
                  <w:vAlign w:val="center"/>
                </w:tcPr>
                <w:p w14:paraId="5CA817FF">
                  <w:pPr>
                    <w:pStyle w:val="41"/>
                  </w:pPr>
                  <w:r>
                    <w:rPr>
                      <w:rFonts w:hint="eastAsia"/>
                    </w:rPr>
                    <w:t>5</w:t>
                  </w:r>
                </w:p>
              </w:tc>
              <w:tc>
                <w:tcPr>
                  <w:tcW w:w="367" w:type="pct"/>
                  <w:vAlign w:val="center"/>
                </w:tcPr>
                <w:p w14:paraId="37AD6D0D">
                  <w:pPr>
                    <w:pStyle w:val="41"/>
                  </w:pPr>
                  <w:r>
                    <w:t>15</w:t>
                  </w:r>
                </w:p>
              </w:tc>
              <w:tc>
                <w:tcPr>
                  <w:tcW w:w="382" w:type="pct"/>
                  <w:vAlign w:val="center"/>
                </w:tcPr>
                <w:p w14:paraId="133D5648">
                  <w:pPr>
                    <w:pStyle w:val="41"/>
                  </w:pPr>
                  <w:r>
                    <w:t>0.5</w:t>
                  </w:r>
                </w:p>
              </w:tc>
              <w:tc>
                <w:tcPr>
                  <w:tcW w:w="482" w:type="pct"/>
                  <w:vAlign w:val="center"/>
                </w:tcPr>
                <w:p w14:paraId="3323B15E">
                  <w:pPr>
                    <w:pStyle w:val="41"/>
                  </w:pPr>
                  <w:r>
                    <w:rPr>
                      <w:rFonts w:hint="eastAsia"/>
                    </w:rPr>
                    <w:t>1</w:t>
                  </w:r>
                </w:p>
              </w:tc>
              <w:tc>
                <w:tcPr>
                  <w:tcW w:w="1648" w:type="pct"/>
                  <w:vAlign w:val="center"/>
                </w:tcPr>
                <w:p w14:paraId="7B58393D">
                  <w:pPr>
                    <w:pStyle w:val="41"/>
                  </w:pPr>
                  <w:r>
                    <w:t>《城镇污水处理厂污染物排放标准》（GB18918-2002）</w:t>
                  </w:r>
                </w:p>
              </w:tc>
            </w:tr>
          </w:tbl>
          <w:p w14:paraId="3B2589FC">
            <w:pPr>
              <w:pStyle w:val="4"/>
              <w:spacing w:before="120" w:after="0" w:afterLines="0"/>
            </w:pPr>
            <w:r>
              <w:t>3.</w:t>
            </w:r>
            <w:r>
              <w:rPr>
                <w:rFonts w:hint="eastAsia"/>
              </w:rPr>
              <w:t>3.3</w:t>
            </w:r>
            <w:r>
              <w:t>噪声排放标准</w:t>
            </w:r>
          </w:p>
          <w:p w14:paraId="2A2B6A68">
            <w:pPr>
              <w:ind w:firstLine="480"/>
            </w:pPr>
            <w:r>
              <w:rPr>
                <w:rFonts w:hint="eastAsia"/>
                <w:bCs/>
              </w:rPr>
              <w:t>项目厂界噪声排放执行《工业企业厂界环境噪声排放标准》（GB12348-2008）中的3类标准，即昼间≤65dB（A），夜间≤55dB（A）。</w:t>
            </w:r>
          </w:p>
          <w:p w14:paraId="5E9DEACD">
            <w:pPr>
              <w:pStyle w:val="4"/>
              <w:spacing w:before="120" w:after="0" w:afterLines="0"/>
            </w:pPr>
            <w:r>
              <w:t>3.</w:t>
            </w:r>
            <w:r>
              <w:rPr>
                <w:rFonts w:hint="eastAsia"/>
              </w:rPr>
              <w:t>3.4</w:t>
            </w:r>
            <w:r>
              <w:t>固废控制标准</w:t>
            </w:r>
          </w:p>
          <w:p w14:paraId="6B459E33">
            <w:pPr>
              <w:tabs>
                <w:tab w:val="left" w:pos="1080"/>
                <w:tab w:val="left" w:pos="5400"/>
              </w:tabs>
              <w:ind w:firstLine="480"/>
            </w:pPr>
            <w:r>
              <w:t>一般工业固废</w:t>
            </w:r>
            <w:r>
              <w:rPr>
                <w:rFonts w:hint="eastAsia"/>
              </w:rPr>
              <w:t>参照</w:t>
            </w:r>
            <w:r>
              <w:t>《一般工业固体废物贮存和填埋污染控制标准》(GB18599-2020</w:t>
            </w:r>
            <w:r>
              <w:rPr>
                <w:rFonts w:hint="eastAsia"/>
              </w:rPr>
              <w:t>）</w:t>
            </w:r>
            <w:r>
              <w:t>中相关要求执行，</w:t>
            </w:r>
            <w:r>
              <w:rPr>
                <w:rFonts w:hint="eastAsia"/>
              </w:rPr>
              <w:t>危险固废</w:t>
            </w:r>
            <w:r>
              <w:t>参照</w:t>
            </w:r>
            <w:r>
              <w:rPr>
                <w:rFonts w:hint="eastAsia"/>
              </w:rPr>
              <w:t>《危险废物贮存污染控制标准》（GB18597-2023）和</w:t>
            </w:r>
            <w:r>
              <w:t>《危险废物转移管理办法》</w:t>
            </w:r>
            <w:r>
              <w:rPr>
                <w:rFonts w:hint="eastAsia"/>
              </w:rPr>
              <w:t>（部令 第23号）</w:t>
            </w:r>
            <w:r>
              <w:t>相关要求</w:t>
            </w:r>
            <w:r>
              <w:rPr>
                <w:rFonts w:hint="eastAsia"/>
              </w:rPr>
              <w:t>执行</w:t>
            </w:r>
            <w:r>
              <w:t>。</w:t>
            </w:r>
          </w:p>
        </w:tc>
      </w:tr>
      <w:tr w14:paraId="1ABCB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0" w:hRule="atLeast"/>
          <w:jc w:val="center"/>
        </w:trPr>
        <w:tc>
          <w:tcPr>
            <w:tcW w:w="363" w:type="pct"/>
            <w:vAlign w:val="center"/>
          </w:tcPr>
          <w:p w14:paraId="01F3A968">
            <w:pPr>
              <w:pStyle w:val="41"/>
            </w:pPr>
            <w:r>
              <w:t>总量</w:t>
            </w:r>
          </w:p>
          <w:p w14:paraId="7BB6BBAA">
            <w:pPr>
              <w:pStyle w:val="41"/>
            </w:pPr>
            <w:r>
              <w:t>控制</w:t>
            </w:r>
          </w:p>
          <w:p w14:paraId="2C4A7481">
            <w:pPr>
              <w:pStyle w:val="41"/>
            </w:pPr>
            <w:r>
              <w:t>指标</w:t>
            </w:r>
          </w:p>
        </w:tc>
        <w:tc>
          <w:tcPr>
            <w:tcW w:w="4637" w:type="pct"/>
            <w:vAlign w:val="center"/>
          </w:tcPr>
          <w:p w14:paraId="3F643A20">
            <w:pPr>
              <w:ind w:firstLine="480"/>
              <w:rPr>
                <w:rFonts w:eastAsiaTheme="minorEastAsia"/>
                <w:bCs/>
              </w:rPr>
            </w:pPr>
            <w:r>
              <w:rPr>
                <w:rFonts w:hint="eastAsia" w:eastAsiaTheme="minorEastAsia"/>
                <w:bCs/>
              </w:rPr>
              <w:t>本项目无生产废水排放，废气不涉及SO</w:t>
            </w:r>
            <w:r>
              <w:rPr>
                <w:rFonts w:hint="eastAsia" w:eastAsiaTheme="minorEastAsia"/>
                <w:bCs/>
                <w:vertAlign w:val="subscript"/>
              </w:rPr>
              <w:t>2</w:t>
            </w:r>
            <w:r>
              <w:rPr>
                <w:rFonts w:hint="eastAsia" w:eastAsiaTheme="minorEastAsia"/>
                <w:bCs/>
              </w:rPr>
              <w:t>、NO</w:t>
            </w:r>
            <w:r>
              <w:rPr>
                <w:rFonts w:hint="eastAsia" w:eastAsiaTheme="minorEastAsia"/>
                <w:bCs/>
                <w:vertAlign w:val="subscript"/>
              </w:rPr>
              <w:t>X</w:t>
            </w:r>
            <w:r>
              <w:rPr>
                <w:rFonts w:hint="eastAsia" w:eastAsiaTheme="minorEastAsia"/>
                <w:bCs/>
              </w:rPr>
              <w:t>排放。根据《福建省环保厅关于进一步明确排污权工作有关问题的通知》（闽环保财〔2017〕22号）规定，生活污水污染物排放不纳入建设项目主要污染物排放总量指标管理范围，无需进行排污权交易。</w:t>
            </w:r>
          </w:p>
          <w:p w14:paraId="0316BF7C">
            <w:pPr>
              <w:ind w:firstLine="480"/>
              <w:rPr>
                <w:rFonts w:eastAsiaTheme="minorEastAsia"/>
              </w:rPr>
            </w:pPr>
            <w:r>
              <w:rPr>
                <w:rFonts w:hint="eastAsia" w:eastAsiaTheme="minorEastAsia"/>
              </w:rPr>
              <w:t>本项目</w:t>
            </w:r>
            <w:r>
              <w:rPr>
                <w:rFonts w:eastAsiaTheme="minorEastAsia"/>
              </w:rPr>
              <w:t>VOCs(</w:t>
            </w:r>
            <w:r>
              <w:rPr>
                <w:rFonts w:hint="eastAsia" w:eastAsiaTheme="minorEastAsia"/>
              </w:rPr>
              <w:t>以非甲烷总烃计</w:t>
            </w:r>
            <w:r>
              <w:rPr>
                <w:rFonts w:eastAsiaTheme="minorEastAsia"/>
              </w:rPr>
              <w:t>)</w:t>
            </w:r>
            <w:r>
              <w:rPr>
                <w:rFonts w:hint="eastAsia" w:eastAsiaTheme="minorEastAsia"/>
              </w:rPr>
              <w:t>排放总量为0.262</w:t>
            </w:r>
            <w:r>
              <w:rPr>
                <w:rFonts w:eastAsiaTheme="minorEastAsia"/>
              </w:rPr>
              <w:t>t/a</w:t>
            </w:r>
            <w:r>
              <w:rPr>
                <w:rFonts w:hint="eastAsia" w:eastAsiaTheme="minorEastAsia"/>
              </w:rPr>
              <w:t>，根据《福州市</w:t>
            </w:r>
            <w:r>
              <w:rPr>
                <w:rFonts w:hint="eastAsia" w:eastAsiaTheme="minorEastAsia"/>
                <w:shd w:val="clear" w:fill="FFFFFF"/>
                <w:lang w:eastAsia="zh-CN"/>
              </w:rPr>
              <w:t>生态环境局</w:t>
            </w:r>
            <w:r>
              <w:rPr>
                <w:rFonts w:hint="eastAsia" w:eastAsiaTheme="minorEastAsia"/>
              </w:rPr>
              <w:t>关于印发福州市大气污染联防控联治工作方案的通知》榕环保综</w:t>
            </w:r>
            <w:r>
              <w:rPr>
                <w:rFonts w:eastAsiaTheme="minorEastAsia"/>
                <w:shd w:val="clear" w:fill="FFFFFF"/>
              </w:rPr>
              <w:t>[2018]386</w:t>
            </w:r>
            <w:r>
              <w:rPr>
                <w:rFonts w:hint="eastAsia" w:eastAsiaTheme="minorEastAsia"/>
                <w:shd w:val="clear" w:fill="FFFFFF"/>
              </w:rPr>
              <w:t>号</w:t>
            </w:r>
            <w:r>
              <w:rPr>
                <w:rFonts w:hint="eastAsia" w:eastAsiaTheme="minorEastAsia"/>
              </w:rPr>
              <w:t>：</w:t>
            </w:r>
            <w:r>
              <w:rPr>
                <w:rFonts w:eastAsiaTheme="minorEastAsia"/>
              </w:rPr>
              <w:t>VOCs</w:t>
            </w:r>
            <w:r>
              <w:rPr>
                <w:rFonts w:hint="eastAsia" w:eastAsiaTheme="minorEastAsia"/>
              </w:rPr>
              <w:t>排放实行区域内倍量替代。由建设单位向福州市福清生态环境局申请区域倍量替代，目前建设单位承诺在项目投产前取得</w:t>
            </w:r>
            <w:r>
              <w:rPr>
                <w:rFonts w:eastAsiaTheme="minorEastAsia"/>
              </w:rPr>
              <w:t>VOCs(</w:t>
            </w:r>
            <w:r>
              <w:rPr>
                <w:rFonts w:hint="eastAsia" w:eastAsiaTheme="minorEastAsia"/>
              </w:rPr>
              <w:t>以非甲烷总烃计</w:t>
            </w:r>
            <w:r>
              <w:rPr>
                <w:rFonts w:eastAsiaTheme="minorEastAsia"/>
              </w:rPr>
              <w:t>)</w:t>
            </w:r>
            <w:r>
              <w:rPr>
                <w:rFonts w:hint="eastAsia" w:eastAsiaTheme="minorEastAsia"/>
              </w:rPr>
              <w:t>总量的倍量替代，并依法申领排污许可证（承诺函详见附件9）。</w:t>
            </w:r>
          </w:p>
        </w:tc>
      </w:tr>
    </w:tbl>
    <w:p w14:paraId="5454B69C">
      <w:pPr>
        <w:ind w:firstLine="720"/>
        <w:jc w:val="center"/>
        <w:outlineLvl w:val="0"/>
        <w:rPr>
          <w:rStyle w:val="35"/>
        </w:rPr>
      </w:pPr>
      <w:r>
        <w:rPr>
          <w:rFonts w:eastAsia="黑体"/>
          <w:snapToGrid w:val="0"/>
          <w:sz w:val="36"/>
          <w:szCs w:val="36"/>
        </w:rPr>
        <w:br w:type="page"/>
      </w:r>
      <w:r>
        <w:rPr>
          <w:rStyle w:val="35"/>
        </w:rPr>
        <w:t>四、主要环境影响和保护措施</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54"/>
        <w:gridCol w:w="8568"/>
      </w:tblGrid>
      <w:tr w14:paraId="7391E6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902" w:hRule="atLeast"/>
          <w:jc w:val="center"/>
        </w:trPr>
        <w:tc>
          <w:tcPr>
            <w:tcW w:w="304" w:type="pct"/>
            <w:tcMar>
              <w:left w:w="28" w:type="dxa"/>
              <w:right w:w="28" w:type="dxa"/>
            </w:tcMar>
            <w:vAlign w:val="center"/>
          </w:tcPr>
          <w:p w14:paraId="50EE659F">
            <w:pPr>
              <w:pStyle w:val="41"/>
            </w:pPr>
            <w:r>
              <w:t>施工</w:t>
            </w:r>
          </w:p>
          <w:p w14:paraId="64BD74A1">
            <w:pPr>
              <w:pStyle w:val="41"/>
            </w:pPr>
            <w:r>
              <w:t>期环</w:t>
            </w:r>
          </w:p>
          <w:p w14:paraId="53302598">
            <w:pPr>
              <w:pStyle w:val="41"/>
            </w:pPr>
            <w:r>
              <w:t>境保</w:t>
            </w:r>
          </w:p>
          <w:p w14:paraId="791F21A4">
            <w:pPr>
              <w:pStyle w:val="41"/>
            </w:pPr>
            <w:r>
              <w:t>护措</w:t>
            </w:r>
          </w:p>
          <w:p w14:paraId="3A5A8039">
            <w:pPr>
              <w:pStyle w:val="41"/>
            </w:pPr>
            <w:r>
              <w:t>施</w:t>
            </w:r>
          </w:p>
        </w:tc>
        <w:tc>
          <w:tcPr>
            <w:tcW w:w="4695" w:type="pct"/>
            <w:vAlign w:val="center"/>
          </w:tcPr>
          <w:p w14:paraId="3CF5D70F">
            <w:pPr>
              <w:pStyle w:val="4"/>
              <w:spacing w:before="120" w:after="0" w:afterLines="0"/>
            </w:pPr>
            <w:bookmarkStart w:id="5" w:name="_Toc529317075"/>
            <w:bookmarkStart w:id="6" w:name="_Toc533600581"/>
            <w:r>
              <w:t>4.1.1施工期</w:t>
            </w:r>
            <w:r>
              <w:rPr>
                <w:rFonts w:hint="eastAsia"/>
              </w:rPr>
              <w:t>污染</w:t>
            </w:r>
            <w:r>
              <w:t>防治措施</w:t>
            </w:r>
            <w:bookmarkEnd w:id="5"/>
            <w:bookmarkEnd w:id="6"/>
            <w:r>
              <w:rPr>
                <w:rFonts w:hint="eastAsia"/>
              </w:rPr>
              <w:t>及影响分析</w:t>
            </w:r>
          </w:p>
          <w:p w14:paraId="3E4837CF">
            <w:pPr>
              <w:spacing w:before="120" w:beforeLines="50"/>
              <w:ind w:firstLine="480"/>
              <w:rPr>
                <w:szCs w:val="22"/>
              </w:rPr>
            </w:pPr>
            <w:r>
              <w:rPr>
                <w:rFonts w:hint="eastAsia"/>
                <w:szCs w:val="22"/>
              </w:rPr>
              <w:t>本项目利用已建</w:t>
            </w:r>
            <w:r>
              <w:rPr>
                <w:szCs w:val="22"/>
              </w:rPr>
              <w:t>厂房进行生产</w:t>
            </w:r>
            <w:r>
              <w:rPr>
                <w:rFonts w:hint="eastAsia"/>
                <w:szCs w:val="22"/>
              </w:rPr>
              <w:t>，施工期主要是新增设备的安装调试及附属设备的完善，不进行大规模土建工程，施工期时间短暂且产生的污染物较少，对周边环境影响较小且是暂时的，随着项目建设完成而终止，因此本评价不作详细评述。</w:t>
            </w:r>
          </w:p>
        </w:tc>
      </w:tr>
      <w:tr w14:paraId="50D34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808" w:hRule="atLeast"/>
          <w:jc w:val="center"/>
        </w:trPr>
        <w:tc>
          <w:tcPr>
            <w:tcW w:w="304" w:type="pct"/>
            <w:tcMar>
              <w:left w:w="28" w:type="dxa"/>
              <w:right w:w="28" w:type="dxa"/>
            </w:tcMar>
            <w:vAlign w:val="center"/>
          </w:tcPr>
          <w:p w14:paraId="3F43ADD6">
            <w:pPr>
              <w:pStyle w:val="41"/>
            </w:pPr>
            <w:r>
              <w:t>运营</w:t>
            </w:r>
          </w:p>
          <w:p w14:paraId="2270CA94">
            <w:pPr>
              <w:pStyle w:val="41"/>
            </w:pPr>
            <w:r>
              <w:t>期环</w:t>
            </w:r>
          </w:p>
          <w:p w14:paraId="5C184F74">
            <w:pPr>
              <w:pStyle w:val="41"/>
            </w:pPr>
            <w:r>
              <w:t>境影</w:t>
            </w:r>
          </w:p>
          <w:p w14:paraId="2BACFE1E">
            <w:pPr>
              <w:pStyle w:val="41"/>
            </w:pPr>
            <w:r>
              <w:t>响和</w:t>
            </w:r>
          </w:p>
          <w:p w14:paraId="269D8ABC">
            <w:pPr>
              <w:pStyle w:val="41"/>
            </w:pPr>
            <w:r>
              <w:t>保护</w:t>
            </w:r>
          </w:p>
          <w:p w14:paraId="04E00CDE">
            <w:pPr>
              <w:pStyle w:val="41"/>
            </w:pPr>
            <w:r>
              <w:t>措施</w:t>
            </w:r>
          </w:p>
        </w:tc>
        <w:tc>
          <w:tcPr>
            <w:tcW w:w="4695" w:type="pct"/>
            <w:vAlign w:val="center"/>
          </w:tcPr>
          <w:p w14:paraId="225A4777">
            <w:pPr>
              <w:pStyle w:val="4"/>
              <w:spacing w:before="120" w:after="0" w:afterLines="0"/>
            </w:pPr>
            <w:r>
              <w:t>4.2.1运营期废气</w:t>
            </w:r>
          </w:p>
          <w:p w14:paraId="7C745726">
            <w:pPr>
              <w:pStyle w:val="4"/>
              <w:spacing w:before="0" w:beforeLines="0" w:after="0" w:afterLines="0"/>
              <w:ind w:firstLine="482" w:firstLineChars="200"/>
              <w:rPr>
                <w:sz w:val="24"/>
              </w:rPr>
            </w:pPr>
            <w:r>
              <w:rPr>
                <w:rFonts w:hint="eastAsia"/>
                <w:sz w:val="24"/>
              </w:rPr>
              <w:t>1、</w:t>
            </w:r>
            <w:r>
              <w:rPr>
                <w:sz w:val="24"/>
              </w:rPr>
              <w:t>废气源强分析</w:t>
            </w:r>
          </w:p>
          <w:p w14:paraId="1640527B">
            <w:pPr>
              <w:ind w:firstLine="480"/>
            </w:pPr>
            <w:r>
              <w:rPr>
                <w:rFonts w:hint="eastAsia"/>
              </w:rPr>
              <w:t>项目运营期产生的废气主要包括焊接烟尘、打磨粉尘、涂胶工序有机废气。</w:t>
            </w:r>
          </w:p>
          <w:p w14:paraId="3CA8EDF5">
            <w:pPr>
              <w:ind w:firstLine="480"/>
            </w:pPr>
            <w:bookmarkStart w:id="7" w:name="_Hlk196230056"/>
            <w:r>
              <w:rPr>
                <w:rFonts w:hint="eastAsia"/>
              </w:rPr>
              <w:t>（1）焊接烟尘</w:t>
            </w:r>
          </w:p>
          <w:p w14:paraId="37BDAF77">
            <w:pPr>
              <w:ind w:firstLine="480"/>
            </w:pPr>
            <w:r>
              <w:rPr>
                <w:rFonts w:hint="eastAsia"/>
              </w:rPr>
              <w:t>参考</w:t>
            </w:r>
            <w:r>
              <w:t>《排放源统计调查产排污核算方法和系数手册》（生态环境部办公厅2021 年6月11日印发），机械行业系数手册中---09</w:t>
            </w:r>
            <w:r>
              <w:rPr>
                <w:rFonts w:hint="eastAsia"/>
              </w:rPr>
              <w:t>焊接，由于项目焊接工段较多包含手工电弧焊、二氧化碳保护焊、氩弧焊等</w:t>
            </w:r>
            <w:r>
              <w:rPr>
                <w:rFonts w:hint="eastAsia"/>
                <w:lang w:eastAsia="zh-CN"/>
              </w:rPr>
              <w:t>且</w:t>
            </w:r>
            <w:r>
              <w:rPr>
                <w:rFonts w:hint="eastAsia"/>
              </w:rPr>
              <w:t>不同产品间焊接方式较为多变，因此产污系数取最大值20.5kg/t-原料计算，项目铝合金焊丝、气保焊丝年用量合计14.35t/a，则颗粒物产生量为0.294t/a，焊接烟尘经焊烟处理器处理后无组织排放，收集效率取80%，处理效率取95%，则无组织排放量为0.071t/a，项目年生产6264h，则排放速率为0.011kg/h。</w:t>
            </w:r>
          </w:p>
          <w:p w14:paraId="03012B72">
            <w:pPr>
              <w:ind w:firstLine="480"/>
            </w:pPr>
            <w:r>
              <w:rPr>
                <w:rFonts w:hint="eastAsia"/>
              </w:rPr>
              <w:t>（2）铝合金电池结构件打磨粉尘</w:t>
            </w:r>
          </w:p>
          <w:p w14:paraId="5EEC6544">
            <w:pPr>
              <w:ind w:firstLine="480"/>
            </w:pPr>
            <w:r>
              <w:rPr>
                <w:rFonts w:hint="eastAsia"/>
              </w:rPr>
              <w:t>参考《排放源统计调查产排污核算方法和系数手册》（生态环境部办公厅2021年6月11日印发），机械行业系数手册中---06预处理，打磨颗粒物产生系数为2.19kg/t-原料，项目打磨主要为铝合金件，年使用量为895t，则颗粒物产生量为1.960t/a，打磨粉尘经单机脉冲布袋除尘器处理后无组织排放，收集效率取80%，处理效率取95</w:t>
            </w:r>
            <w:r>
              <w:t>%，则无组织排放量为</w:t>
            </w:r>
            <w:r>
              <w:rPr>
                <w:rFonts w:hint="eastAsia"/>
              </w:rPr>
              <w:t>0.470</w:t>
            </w:r>
            <w:r>
              <w:t>t</w:t>
            </w:r>
            <w:r>
              <w:rPr>
                <w:rFonts w:hint="eastAsia"/>
              </w:rPr>
              <w:t>/</w:t>
            </w:r>
            <w:r>
              <w:t>a，</w:t>
            </w:r>
            <w:r>
              <w:rPr>
                <w:rFonts w:hint="eastAsia"/>
              </w:rPr>
              <w:t>项目年生产6264h，则排放速率为0.075kg/h。</w:t>
            </w:r>
          </w:p>
          <w:p w14:paraId="2DF5CC08">
            <w:pPr>
              <w:ind w:firstLine="480"/>
            </w:pPr>
            <w:r>
              <w:rPr>
                <w:rFonts w:hint="eastAsia"/>
              </w:rPr>
              <w:t>（3）涂胶工序有机废气</w:t>
            </w:r>
          </w:p>
          <w:p w14:paraId="49A10FB8">
            <w:pPr>
              <w:ind w:firstLine="480"/>
            </w:pPr>
            <w:r>
              <w:rPr>
                <w:rFonts w:hint="eastAsia"/>
              </w:rPr>
              <w:t>参考《排放源统计调查产排污核算方法和系数手册》（生态环境部办公厅2021年6月11日印发），机械行业系数手册中---10粘接与14涂装，黏结工件与密封胶喷涂产污系数均为60.0kg/t-原料，项目胶水年用量为8.4t，则挥发性有机物（以非甲烷总烃计）的产生量为0.504t/a。</w:t>
            </w:r>
          </w:p>
          <w:p w14:paraId="42E4E441">
            <w:pPr>
              <w:ind w:firstLine="480"/>
            </w:pPr>
            <w:r>
              <w:rPr>
                <w:rFonts w:hint="eastAsia"/>
              </w:rPr>
              <w:t>在涂胶工段上方设置可调节式（竹节管）吸风罩，集气效率按80%计算，经收集后统一进入两级活性炭吸附装置处理，末端接2000m</w:t>
            </w:r>
            <w:r>
              <w:rPr>
                <w:rFonts w:hint="eastAsia"/>
                <w:vertAlign w:val="superscript"/>
              </w:rPr>
              <w:t>3</w:t>
            </w:r>
            <w:r>
              <w:rPr>
                <w:rFonts w:hint="eastAsia"/>
              </w:rPr>
              <w:t>/h风机，尾气由一根不低于15m高排气筒（DA001）排放。参考《上海市工业固定源挥发性有机物治理技术指引》，二级活性炭对有机废气去除率按60%计算，则有组织非甲烷总烃的排放量为0.161t/a，排放速率为0.026kg/h，排放浓度为12.9mg/m</w:t>
            </w:r>
            <w:r>
              <w:rPr>
                <w:rFonts w:hint="eastAsia"/>
                <w:vertAlign w:val="superscript"/>
              </w:rPr>
              <w:t>3</w:t>
            </w:r>
            <w:r>
              <w:rPr>
                <w:rFonts w:hint="eastAsia"/>
              </w:rPr>
              <w:t>；无组织排放量为0.101t/a，排放速率为0.016kg/h。</w:t>
            </w:r>
            <w:bookmarkEnd w:id="7"/>
          </w:p>
          <w:p w14:paraId="6215665B">
            <w:pPr>
              <w:pStyle w:val="4"/>
              <w:spacing w:before="0" w:beforeLines="0" w:after="0" w:afterLines="0"/>
              <w:ind w:firstLine="482" w:firstLineChars="200"/>
              <w:rPr>
                <w:sz w:val="24"/>
              </w:rPr>
            </w:pPr>
            <w:r>
              <w:rPr>
                <w:rFonts w:hint="eastAsia"/>
                <w:sz w:val="24"/>
              </w:rPr>
              <w:t>2、非正常工况下污染物排放情况</w:t>
            </w:r>
          </w:p>
          <w:p w14:paraId="6A049B9B">
            <w:pPr>
              <w:ind w:firstLine="480"/>
            </w:pPr>
            <w:r>
              <w:t>本项目应在主体设备开启之前运行废气收集治理设施</w:t>
            </w:r>
            <w:r>
              <w:rPr>
                <w:rFonts w:hint="eastAsia"/>
                <w:lang w:eastAsia="zh-CN"/>
              </w:rPr>
              <w:t>且</w:t>
            </w:r>
            <w:r>
              <w:t>在停车之后仍保持废气设施运转，确保设备内部的废气有效收集处理，因此，可避免开、停车状态下的非正常排放。主要分析活性炭未及时更换导致的废气非正常排放情形。</w:t>
            </w:r>
          </w:p>
          <w:p w14:paraId="4DD26E63">
            <w:pPr>
              <w:ind w:firstLine="480"/>
            </w:pPr>
            <w:r>
              <w:t>活性炭吸附箱内活性炭长时间不更换，活性炭超过设计使用寿命而失效，导致非甲烷总烃的处理效率骤降，本评价按</w:t>
            </w:r>
            <w:r>
              <w:rPr>
                <w:rFonts w:hint="eastAsia"/>
              </w:rPr>
              <w:t>10</w:t>
            </w:r>
            <w:r>
              <w:t>%的处理率进行计算</w:t>
            </w:r>
            <w:r>
              <w:rPr>
                <w:rFonts w:hint="eastAsia"/>
              </w:rPr>
              <w:t>。</w:t>
            </w:r>
          </w:p>
          <w:p w14:paraId="1CE1A715">
            <w:pPr>
              <w:pStyle w:val="99"/>
            </w:pPr>
            <w:r>
              <w:rPr>
                <w:rFonts w:hint="eastAsia"/>
              </w:rPr>
              <w:t>表4</w:t>
            </w:r>
            <w:r>
              <w:rPr>
                <w:rFonts w:hint="eastAsia" w:cs="Times New Roman"/>
              </w:rPr>
              <w:t>.2</w:t>
            </w:r>
            <w:r>
              <w:rPr>
                <w:rFonts w:cs="Times New Roman"/>
              </w:rPr>
              <w:t>-</w:t>
            </w:r>
            <w:r>
              <w:rPr>
                <w:rFonts w:hint="eastAsia" w:cs="Times New Roman"/>
              </w:rPr>
              <w:t xml:space="preserve">1 </w:t>
            </w:r>
            <w:r>
              <w:rPr>
                <w:rFonts w:hint="eastAsia"/>
              </w:rPr>
              <w:t xml:space="preserve"> 非正常工况下污染物排放情况</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0"/>
              <w:gridCol w:w="644"/>
              <w:gridCol w:w="852"/>
              <w:gridCol w:w="942"/>
              <w:gridCol w:w="996"/>
              <w:gridCol w:w="1729"/>
              <w:gridCol w:w="1020"/>
              <w:gridCol w:w="854"/>
              <w:gridCol w:w="804"/>
            </w:tblGrid>
            <w:tr w14:paraId="3BA7D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Merge w:val="restart"/>
                  <w:vAlign w:val="center"/>
                </w:tcPr>
                <w:p w14:paraId="17D37F50">
                  <w:pPr>
                    <w:pStyle w:val="41"/>
                  </w:pPr>
                  <w:r>
                    <w:rPr>
                      <w:rFonts w:hint="eastAsia"/>
                    </w:rPr>
                    <w:t>污染源名称</w:t>
                  </w:r>
                </w:p>
              </w:tc>
              <w:tc>
                <w:tcPr>
                  <w:tcW w:w="378" w:type="pct"/>
                  <w:vMerge w:val="restart"/>
                  <w:vAlign w:val="center"/>
                </w:tcPr>
                <w:p w14:paraId="27C7D9C2">
                  <w:pPr>
                    <w:pStyle w:val="41"/>
                  </w:pPr>
                  <w:r>
                    <w:rPr>
                      <w:rFonts w:hint="eastAsia"/>
                    </w:rPr>
                    <w:t>污染物名称</w:t>
                  </w:r>
                </w:p>
              </w:tc>
              <w:tc>
                <w:tcPr>
                  <w:tcW w:w="1638" w:type="pct"/>
                  <w:gridSpan w:val="3"/>
                  <w:vAlign w:val="center"/>
                </w:tcPr>
                <w:p w14:paraId="38F9BC12">
                  <w:pPr>
                    <w:pStyle w:val="41"/>
                  </w:pPr>
                  <w:r>
                    <w:rPr>
                      <w:rFonts w:hint="eastAsia"/>
                    </w:rPr>
                    <w:t>产生情况</w:t>
                  </w:r>
                </w:p>
              </w:tc>
              <w:tc>
                <w:tcPr>
                  <w:tcW w:w="1016" w:type="pct"/>
                  <w:vMerge w:val="restart"/>
                  <w:vAlign w:val="center"/>
                </w:tcPr>
                <w:p w14:paraId="5FB0DB26">
                  <w:pPr>
                    <w:pStyle w:val="41"/>
                  </w:pPr>
                  <w:r>
                    <w:rPr>
                      <w:rFonts w:hint="eastAsia"/>
                    </w:rPr>
                    <w:t>治理措施</w:t>
                  </w:r>
                </w:p>
              </w:tc>
              <w:tc>
                <w:tcPr>
                  <w:tcW w:w="599" w:type="pct"/>
                  <w:vMerge w:val="restart"/>
                  <w:vAlign w:val="center"/>
                </w:tcPr>
                <w:p w14:paraId="1ED42E21">
                  <w:pPr>
                    <w:pStyle w:val="41"/>
                  </w:pPr>
                  <w:r>
                    <w:rPr>
                      <w:rFonts w:hint="eastAsia"/>
                    </w:rPr>
                    <w:t>去除率%</w:t>
                  </w:r>
                </w:p>
              </w:tc>
              <w:tc>
                <w:tcPr>
                  <w:tcW w:w="974" w:type="pct"/>
                  <w:gridSpan w:val="2"/>
                  <w:vAlign w:val="center"/>
                </w:tcPr>
                <w:p w14:paraId="4CFA5BFD">
                  <w:pPr>
                    <w:pStyle w:val="41"/>
                  </w:pPr>
                  <w:r>
                    <w:rPr>
                      <w:rFonts w:hint="eastAsia"/>
                    </w:rPr>
                    <w:t>排放情况</w:t>
                  </w:r>
                </w:p>
              </w:tc>
            </w:tr>
            <w:tr w14:paraId="11B5C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Merge w:val="continue"/>
                  <w:vAlign w:val="center"/>
                </w:tcPr>
                <w:p w14:paraId="30A31D8B">
                  <w:pPr>
                    <w:pStyle w:val="41"/>
                  </w:pPr>
                </w:p>
              </w:tc>
              <w:tc>
                <w:tcPr>
                  <w:tcW w:w="378" w:type="pct"/>
                  <w:vMerge w:val="continue"/>
                  <w:vAlign w:val="center"/>
                </w:tcPr>
                <w:p w14:paraId="7CB12E57">
                  <w:pPr>
                    <w:pStyle w:val="41"/>
                  </w:pPr>
                </w:p>
              </w:tc>
              <w:tc>
                <w:tcPr>
                  <w:tcW w:w="500" w:type="pct"/>
                  <w:vAlign w:val="center"/>
                </w:tcPr>
                <w:p w14:paraId="344BBF6F">
                  <w:pPr>
                    <w:pStyle w:val="41"/>
                  </w:pPr>
                  <w:r>
                    <w:rPr>
                      <w:rFonts w:hint="eastAsia"/>
                    </w:rPr>
                    <w:t>产生量m</w:t>
                  </w:r>
                  <w:r>
                    <w:rPr>
                      <w:rFonts w:hint="eastAsia"/>
                      <w:vertAlign w:val="superscript"/>
                    </w:rPr>
                    <w:t>3</w:t>
                  </w:r>
                  <w:r>
                    <w:rPr>
                      <w:rFonts w:hint="eastAsia"/>
                    </w:rPr>
                    <w:t>/h</w:t>
                  </w:r>
                </w:p>
              </w:tc>
              <w:tc>
                <w:tcPr>
                  <w:tcW w:w="553" w:type="pct"/>
                  <w:vAlign w:val="center"/>
                </w:tcPr>
                <w:p w14:paraId="58FBDAAB">
                  <w:pPr>
                    <w:pStyle w:val="41"/>
                  </w:pPr>
                  <w:r>
                    <w:rPr>
                      <w:rFonts w:hint="eastAsia"/>
                    </w:rPr>
                    <w:t>浓度mg/m</w:t>
                  </w:r>
                  <w:r>
                    <w:rPr>
                      <w:rFonts w:hint="eastAsia"/>
                      <w:vertAlign w:val="superscript"/>
                    </w:rPr>
                    <w:t>3</w:t>
                  </w:r>
                </w:p>
              </w:tc>
              <w:tc>
                <w:tcPr>
                  <w:tcW w:w="585" w:type="pct"/>
                  <w:vAlign w:val="center"/>
                </w:tcPr>
                <w:p w14:paraId="5100A7B0">
                  <w:pPr>
                    <w:pStyle w:val="41"/>
                  </w:pPr>
                  <w:r>
                    <w:rPr>
                      <w:rFonts w:hint="eastAsia"/>
                    </w:rPr>
                    <w:t>速率kg/h</w:t>
                  </w:r>
                </w:p>
              </w:tc>
              <w:tc>
                <w:tcPr>
                  <w:tcW w:w="1016" w:type="pct"/>
                  <w:vMerge w:val="continue"/>
                  <w:vAlign w:val="center"/>
                </w:tcPr>
                <w:p w14:paraId="212DF56A">
                  <w:pPr>
                    <w:pStyle w:val="41"/>
                  </w:pPr>
                </w:p>
              </w:tc>
              <w:tc>
                <w:tcPr>
                  <w:tcW w:w="599" w:type="pct"/>
                  <w:vMerge w:val="continue"/>
                  <w:vAlign w:val="center"/>
                </w:tcPr>
                <w:p w14:paraId="7B2C9B40">
                  <w:pPr>
                    <w:pStyle w:val="41"/>
                  </w:pPr>
                </w:p>
              </w:tc>
              <w:tc>
                <w:tcPr>
                  <w:tcW w:w="502" w:type="pct"/>
                  <w:vAlign w:val="center"/>
                </w:tcPr>
                <w:p w14:paraId="794CEBD8">
                  <w:pPr>
                    <w:pStyle w:val="41"/>
                  </w:pPr>
                  <w:r>
                    <w:rPr>
                      <w:rFonts w:hint="eastAsia"/>
                    </w:rPr>
                    <w:t>浓度mg/m</w:t>
                  </w:r>
                  <w:r>
                    <w:rPr>
                      <w:rFonts w:hint="eastAsia"/>
                      <w:vertAlign w:val="superscript"/>
                    </w:rPr>
                    <w:t>3</w:t>
                  </w:r>
                </w:p>
              </w:tc>
              <w:tc>
                <w:tcPr>
                  <w:tcW w:w="472" w:type="pct"/>
                  <w:vAlign w:val="center"/>
                </w:tcPr>
                <w:p w14:paraId="1700B894">
                  <w:pPr>
                    <w:pStyle w:val="41"/>
                  </w:pPr>
                  <w:r>
                    <w:rPr>
                      <w:rFonts w:hint="eastAsia"/>
                    </w:rPr>
                    <w:t>速率kg/h</w:t>
                  </w:r>
                </w:p>
              </w:tc>
            </w:tr>
            <w:tr w14:paraId="3AC000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Align w:val="center"/>
                </w:tcPr>
                <w:p w14:paraId="0614343B">
                  <w:pPr>
                    <w:pStyle w:val="41"/>
                  </w:pPr>
                  <w:r>
                    <w:rPr>
                      <w:rFonts w:hint="eastAsia"/>
                    </w:rPr>
                    <w:t>涂胶工序有机废气</w:t>
                  </w:r>
                </w:p>
              </w:tc>
              <w:tc>
                <w:tcPr>
                  <w:tcW w:w="378" w:type="pct"/>
                  <w:vAlign w:val="center"/>
                </w:tcPr>
                <w:p w14:paraId="50246C10">
                  <w:pPr>
                    <w:pStyle w:val="41"/>
                  </w:pPr>
                  <w:r>
                    <w:rPr>
                      <w:rFonts w:hint="eastAsia"/>
                    </w:rPr>
                    <w:t>非甲烷总烃</w:t>
                  </w:r>
                </w:p>
              </w:tc>
              <w:tc>
                <w:tcPr>
                  <w:tcW w:w="500" w:type="pct"/>
                  <w:vAlign w:val="center"/>
                </w:tcPr>
                <w:p w14:paraId="2052773C">
                  <w:pPr>
                    <w:pStyle w:val="41"/>
                  </w:pPr>
                  <w:r>
                    <w:rPr>
                      <w:rFonts w:hint="eastAsia"/>
                    </w:rPr>
                    <w:t>2000</w:t>
                  </w:r>
                </w:p>
              </w:tc>
              <w:tc>
                <w:tcPr>
                  <w:tcW w:w="553" w:type="pct"/>
                  <w:vAlign w:val="center"/>
                </w:tcPr>
                <w:p w14:paraId="16B4EEF9">
                  <w:pPr>
                    <w:pStyle w:val="41"/>
                  </w:pPr>
                  <w:r>
                    <w:rPr>
                      <w:rFonts w:hint="eastAsia"/>
                    </w:rPr>
                    <w:t>32.2</w:t>
                  </w:r>
                </w:p>
              </w:tc>
              <w:tc>
                <w:tcPr>
                  <w:tcW w:w="585" w:type="pct"/>
                  <w:vAlign w:val="center"/>
                </w:tcPr>
                <w:p w14:paraId="36408672">
                  <w:pPr>
                    <w:pStyle w:val="41"/>
                  </w:pPr>
                  <w:r>
                    <w:rPr>
                      <w:rFonts w:hint="eastAsia"/>
                    </w:rPr>
                    <w:t>0.064</w:t>
                  </w:r>
                </w:p>
              </w:tc>
              <w:tc>
                <w:tcPr>
                  <w:tcW w:w="1016" w:type="pct"/>
                  <w:vAlign w:val="center"/>
                </w:tcPr>
                <w:p w14:paraId="6472A1E6">
                  <w:pPr>
                    <w:pStyle w:val="41"/>
                  </w:pPr>
                  <w:r>
                    <w:rPr>
                      <w:rFonts w:hint="eastAsia"/>
                    </w:rPr>
                    <w:t>两级活性炭吸附装置</w:t>
                  </w:r>
                </w:p>
              </w:tc>
              <w:tc>
                <w:tcPr>
                  <w:tcW w:w="599" w:type="pct"/>
                  <w:vAlign w:val="center"/>
                </w:tcPr>
                <w:p w14:paraId="1CB9D045">
                  <w:pPr>
                    <w:pStyle w:val="41"/>
                  </w:pPr>
                  <w:r>
                    <w:rPr>
                      <w:rFonts w:hint="eastAsia"/>
                    </w:rPr>
                    <w:t>10</w:t>
                  </w:r>
                </w:p>
              </w:tc>
              <w:tc>
                <w:tcPr>
                  <w:tcW w:w="854" w:type="dxa"/>
                  <w:vAlign w:val="center"/>
                </w:tcPr>
                <w:p w14:paraId="1F77A722">
                  <w:pPr>
                    <w:pStyle w:val="41"/>
                  </w:pPr>
                  <w:r>
                    <w:rPr>
                      <w:rFonts w:hint="eastAsia"/>
                    </w:rPr>
                    <w:t>29</w:t>
                  </w:r>
                </w:p>
              </w:tc>
              <w:tc>
                <w:tcPr>
                  <w:tcW w:w="803" w:type="dxa"/>
                  <w:vAlign w:val="center"/>
                </w:tcPr>
                <w:p w14:paraId="4C538271">
                  <w:pPr>
                    <w:pStyle w:val="41"/>
                  </w:pPr>
                  <w:r>
                    <w:rPr>
                      <w:rFonts w:hint="eastAsia"/>
                    </w:rPr>
                    <w:t>0.058</w:t>
                  </w:r>
                </w:p>
              </w:tc>
            </w:tr>
          </w:tbl>
          <w:p w14:paraId="72E57A61">
            <w:pPr>
              <w:pStyle w:val="4"/>
              <w:spacing w:before="120" w:after="0" w:afterLines="0"/>
              <w:ind w:firstLine="482" w:firstLineChars="200"/>
              <w:rPr>
                <w:sz w:val="24"/>
              </w:rPr>
            </w:pPr>
            <w:r>
              <w:rPr>
                <w:rFonts w:hint="eastAsia"/>
                <w:sz w:val="24"/>
              </w:rPr>
              <w:t>3、</w:t>
            </w:r>
            <w:r>
              <w:rPr>
                <w:sz w:val="24"/>
              </w:rPr>
              <w:t>达标排放分析</w:t>
            </w:r>
          </w:p>
          <w:p w14:paraId="6894BD2B">
            <w:pPr>
              <w:ind w:firstLine="480"/>
            </w:pPr>
            <w:r>
              <w:t>依据源强核算分析可知</w:t>
            </w:r>
            <w:r>
              <w:rPr>
                <w:rFonts w:hint="eastAsia"/>
              </w:rPr>
              <w:t>，项目各产颗粒物点经处理后均可做到达标排放，</w:t>
            </w:r>
            <w:r>
              <w:t>可以</w:t>
            </w:r>
            <w:r>
              <w:rPr>
                <w:rFonts w:hint="eastAsia"/>
              </w:rPr>
              <w:t>满足</w:t>
            </w:r>
            <w:r>
              <w:t>《大气污染物综合排放标准》（GB16297-1996）中表2</w:t>
            </w:r>
            <w:r>
              <w:rPr>
                <w:rFonts w:hint="eastAsia"/>
              </w:rPr>
              <w:t>颗粒物</w:t>
            </w:r>
            <w:r>
              <w:t>排放限值</w:t>
            </w:r>
            <w:r>
              <w:rPr>
                <w:rFonts w:hint="eastAsia"/>
              </w:rPr>
              <w:t>。涂胶工序有机废气经两级活性炭吸附装置处理后可做到达标排放，</w:t>
            </w:r>
            <w:r>
              <w:t>可以</w:t>
            </w:r>
            <w:r>
              <w:rPr>
                <w:rFonts w:hint="eastAsia"/>
              </w:rPr>
              <w:t>满足</w:t>
            </w:r>
            <w:r>
              <w:t>《大气污染物综合排放标准》（GB16297-1996）中表2</w:t>
            </w:r>
            <w:r>
              <w:rPr>
                <w:rFonts w:hint="eastAsia"/>
              </w:rPr>
              <w:t>非甲烷总烃</w:t>
            </w:r>
            <w:r>
              <w:t>排放限值</w:t>
            </w:r>
            <w:r>
              <w:rPr>
                <w:rFonts w:hint="eastAsia"/>
              </w:rPr>
              <w:t>。</w:t>
            </w:r>
          </w:p>
          <w:p w14:paraId="2D2A040C">
            <w:pPr>
              <w:ind w:firstLine="480"/>
            </w:pPr>
            <w:r>
              <w:t>因此项目运营期废气可达标排放。</w:t>
            </w:r>
          </w:p>
          <w:p w14:paraId="3FEA09A4">
            <w:pPr>
              <w:pStyle w:val="4"/>
              <w:spacing w:before="0" w:beforeLines="0" w:after="0" w:afterLines="0"/>
              <w:ind w:firstLine="482" w:firstLineChars="200"/>
              <w:rPr>
                <w:sz w:val="24"/>
              </w:rPr>
            </w:pPr>
            <w:r>
              <w:rPr>
                <w:rFonts w:hint="eastAsia"/>
                <w:sz w:val="24"/>
              </w:rPr>
              <w:t>4</w:t>
            </w:r>
            <w:r>
              <w:rPr>
                <w:sz w:val="24"/>
              </w:rPr>
              <w:t>、废气治理措施可行性分析</w:t>
            </w:r>
          </w:p>
          <w:p w14:paraId="1080A4C9">
            <w:pPr>
              <w:ind w:firstLine="480"/>
            </w:pPr>
            <w:r>
              <w:rPr>
                <w:rFonts w:hint="eastAsia"/>
              </w:rPr>
              <w:t>（1）焊接烟尘处理措施可行性分析</w:t>
            </w:r>
          </w:p>
          <w:p w14:paraId="323E5C15">
            <w:pPr>
              <w:ind w:firstLine="480"/>
            </w:pPr>
            <w:r>
              <w:rPr>
                <w:rFonts w:hint="eastAsia"/>
              </w:rPr>
              <w:t>焊接烟尘净化器是专为治理焊接作业时产生烟尘、粉尘、有毒气体而开发的一款工业环保设备，它广泛应用于各种焊接、抛光打磨、化学品生产等场所。内部高压风机在吸气臂罩口处形成负压区域，焊接烟尘在负压的作用下由吸气臂进入焊接烟尘净化器设备主体，进风口处阻火器阻留焊接火花，烟尘气体进入焊接烟尘净化器设备主体净化室，高效过滤芯将微小烟雾粉尘颗粒过滤在焊接烟尘净化器设备净化室内，洁净气体经滤芯过滤净化后进入焊接烟雾净化器设备洁净室，洁净空气又经活性炭过滤器进一步吸附净化后经出风口排出。焊接烟雾净化器就此完成了焊接烟尘净化的整个过程。</w:t>
            </w:r>
          </w:p>
          <w:p w14:paraId="1D5F59CA">
            <w:pPr>
              <w:ind w:firstLine="480"/>
              <w:rPr>
                <w:szCs w:val="21"/>
              </w:rPr>
            </w:pPr>
            <w:r>
              <w:rPr>
                <w:rFonts w:hint="eastAsia"/>
              </w:rPr>
              <w:t>移动式焊接烟尘净化器</w:t>
            </w:r>
            <w:r>
              <w:rPr>
                <w:szCs w:val="21"/>
              </w:rPr>
              <w:t>通用的除尘设施，技术成熟、运行可靠，项目产生的</w:t>
            </w:r>
            <w:r>
              <w:rPr>
                <w:rFonts w:hint="eastAsia"/>
                <w:szCs w:val="21"/>
              </w:rPr>
              <w:t>经</w:t>
            </w:r>
            <w:r>
              <w:rPr>
                <w:szCs w:val="21"/>
              </w:rPr>
              <w:t>处理后，其排放满足</w:t>
            </w:r>
            <w:r>
              <w:t>《大气污染物综合排放标准》（GB16297-1996）中表2标准</w:t>
            </w:r>
            <w:r>
              <w:rPr>
                <w:szCs w:val="21"/>
              </w:rPr>
              <w:t>。因此，粉尘治理措施可行。</w:t>
            </w:r>
          </w:p>
          <w:p w14:paraId="6E044AC9">
            <w:pPr>
              <w:ind w:firstLine="480"/>
            </w:pPr>
            <w:r>
              <w:rPr>
                <w:rFonts w:hint="eastAsia"/>
                <w:szCs w:val="21"/>
              </w:rPr>
              <w:t>（2）</w:t>
            </w:r>
            <w:r>
              <w:rPr>
                <w:rFonts w:hint="eastAsia"/>
              </w:rPr>
              <w:t>打磨粉尘处理措施可行性分析。</w:t>
            </w:r>
          </w:p>
          <w:p w14:paraId="35B5E7E6">
            <w:pPr>
              <w:pStyle w:val="108"/>
              <w:ind w:firstLine="480"/>
            </w:pPr>
            <w:r>
              <w:rPr>
                <w:rFonts w:hint="eastAsia"/>
              </w:rPr>
              <w:t>打磨粉尘由布袋脉冲除尘器处理，</w:t>
            </w:r>
            <w:r>
              <w:t>袋式除尘器也称为过滤式除尘器，是一种干式高效除尘器，它是利用纤维编织物制作的袋式过滤元件来捕集含尘气体中固体颗粒物的除尘装置。其作用原理是尘粒在绕过滤布纤维时因惯性力作用与纤维碰撞而被拦截。细微的尘粒（粒径为1微米或更小）则受气体分子冲击（布朗运动）不断改变着运动方向，由于纤维间的空隙小于气体分子布朗运动的自由路径，尘粒便与纤维碰撞接触而被分离出来。</w:t>
            </w:r>
          </w:p>
          <w:p w14:paraId="1E8E252B">
            <w:pPr>
              <w:autoSpaceDE w:val="0"/>
              <w:autoSpaceDN w:val="0"/>
              <w:adjustRightInd w:val="0"/>
              <w:snapToGrid w:val="0"/>
              <w:ind w:firstLine="480"/>
            </w:pPr>
            <w:r>
              <w:t>袋式除尘器具有以下的特点：①对细粉尘除尘效率高，一般达9</w:t>
            </w:r>
            <w:r>
              <w:rPr>
                <w:rFonts w:hint="eastAsia"/>
              </w:rPr>
              <w:t>5</w:t>
            </w:r>
            <w:r>
              <w:t>%以上，可以用在净化要求很高的场合；②适应性强，可捕集各类性质的粉尘</w:t>
            </w:r>
            <w:r>
              <w:rPr>
                <w:rFonts w:hint="eastAsia"/>
                <w:lang w:eastAsia="zh-CN"/>
              </w:rPr>
              <w:t>且</w:t>
            </w:r>
            <w:r>
              <w:t>不因粉尘的比电阻等性质而影响除尘效率，适应的烟尘浓度范围广，而且当入口浓度或烟气量变化时，也不会影响净化效率和运行阻力；③规格多样、使用灵活。处理风量可由每小时几百到几百万立方米；④便于回收物料，没有二次污染；⑤受滤料的耐温，耐腐蚀等性能的限制，使用温度不能过高，有些腐蚀性气体也不能选用；⑥在捕集</w:t>
            </w:r>
            <w:r>
              <w:rPr>
                <w:rFonts w:hint="eastAsia"/>
                <w:shd w:val="clear" w:fill="FFFFFF"/>
                <w:lang w:eastAsia="zh-CN"/>
              </w:rPr>
              <w:t>黏性</w:t>
            </w:r>
            <w:r>
              <w:t>强及吸湿性强的粉尘或处理露点很高的烟气时，容易堵塞滤袋，影响正常工作。</w:t>
            </w:r>
          </w:p>
          <w:p w14:paraId="4E34A874">
            <w:pPr>
              <w:ind w:firstLine="480"/>
            </w:pPr>
            <w:r>
              <w:rPr>
                <w:rFonts w:hint="eastAsia"/>
                <w:szCs w:val="21"/>
              </w:rPr>
              <w:t>（3）</w:t>
            </w:r>
            <w:r>
              <w:rPr>
                <w:rFonts w:hint="eastAsia"/>
              </w:rPr>
              <w:t>涂胶工序有机废气处理措施可行性分析</w:t>
            </w:r>
          </w:p>
          <w:p w14:paraId="552F4F11">
            <w:pPr>
              <w:ind w:firstLine="0" w:firstLineChars="0"/>
            </w:pPr>
            <w:r>
              <w:drawing>
                <wp:inline distT="0" distB="0" distL="114300" distR="114300">
                  <wp:extent cx="5393690" cy="2380615"/>
                  <wp:effectExtent l="0" t="0" r="16510" b="635"/>
                  <wp:docPr id="8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7"/>
                          <pic:cNvPicPr>
                            <a:picLocks noChangeAspect="1"/>
                          </pic:cNvPicPr>
                        </pic:nvPicPr>
                        <pic:blipFill>
                          <a:blip r:embed="rId34" cstate="print"/>
                          <a:srcRect t="5041"/>
                          <a:stretch>
                            <a:fillRect/>
                          </a:stretch>
                        </pic:blipFill>
                        <pic:spPr>
                          <a:xfrm>
                            <a:off x="0" y="0"/>
                            <a:ext cx="5393690" cy="2380615"/>
                          </a:xfrm>
                          <a:prstGeom prst="rect">
                            <a:avLst/>
                          </a:prstGeom>
                          <a:noFill/>
                          <a:ln>
                            <a:noFill/>
                          </a:ln>
                        </pic:spPr>
                      </pic:pic>
                    </a:graphicData>
                  </a:graphic>
                </wp:inline>
              </w:drawing>
            </w:r>
          </w:p>
          <w:p w14:paraId="12F932B8">
            <w:pPr>
              <w:ind w:firstLine="482"/>
              <w:jc w:val="center"/>
              <w:rPr>
                <w:b/>
                <w:bCs/>
              </w:rPr>
            </w:pPr>
            <w:r>
              <w:rPr>
                <w:rFonts w:hint="eastAsia"/>
                <w:b/>
                <w:bCs/>
              </w:rPr>
              <w:t>图4.2-1  有机废气治理措施示意图</w:t>
            </w:r>
          </w:p>
          <w:p w14:paraId="7D1B73C3">
            <w:pPr>
              <w:ind w:firstLine="480"/>
            </w:pPr>
            <w:r>
              <w:rPr>
                <w:rFonts w:hint="eastAsia"/>
              </w:rPr>
              <w:t>活性炭是一种非常优良的吸附剂，它是利用木炭、各种果壳和优质煤等作为原料，通过物理和化学方法对原料进行破碎、过筛、催化剂活化、漂洗、烘干和筛选等一系列工序加工制造而成。活性炭具有物理吸附和化学吸附的双重特性，可以有选择地吸附气相、液相中的各种物质，以达到脱色精制、消毒除臭和去污提纯等目的。</w:t>
            </w:r>
          </w:p>
          <w:p w14:paraId="21350584">
            <w:pPr>
              <w:ind w:firstLine="480"/>
            </w:pPr>
            <w:r>
              <w:rPr>
                <w:rFonts w:hint="eastAsia"/>
              </w:rPr>
              <w:t>综上所述，项目采取的环保措施是经济可行的。</w:t>
            </w:r>
          </w:p>
          <w:p w14:paraId="0A214E3B">
            <w:pPr>
              <w:ind w:firstLine="482"/>
              <w:rPr>
                <w:b/>
              </w:rPr>
            </w:pPr>
            <w:r>
              <w:rPr>
                <w:rFonts w:hint="eastAsia"/>
                <w:b/>
              </w:rPr>
              <w:t>5、自行监测要求</w:t>
            </w:r>
          </w:p>
          <w:p w14:paraId="3AC2E688">
            <w:pPr>
              <w:adjustRightInd w:val="0"/>
              <w:snapToGrid w:val="0"/>
              <w:ind w:firstLine="484"/>
              <w:rPr>
                <w:spacing w:val="1"/>
              </w:rPr>
            </w:pPr>
            <w:r>
              <w:rPr>
                <w:rFonts w:hint="eastAsia"/>
                <w:spacing w:val="1"/>
              </w:rPr>
              <w:t>根据《排污单位自行监测技术指南 总则》（HJ 819-2017）、</w:t>
            </w:r>
            <w:r>
              <w:rPr>
                <w:rFonts w:hint="eastAsia"/>
                <w:bCs/>
              </w:rPr>
              <w:t>《排污许可证申请与核发技术规范 汽车制造业》（HJ971-2018）表33、34及续表内容</w:t>
            </w:r>
            <w:r>
              <w:rPr>
                <w:rFonts w:hint="eastAsia"/>
                <w:spacing w:val="1"/>
              </w:rPr>
              <w:t>，本项目污染源监测计划见下表。</w:t>
            </w:r>
          </w:p>
          <w:p w14:paraId="6212B29D">
            <w:pPr>
              <w:pStyle w:val="92"/>
              <w:spacing w:before="0" w:beforeLines="0"/>
              <w:rPr>
                <w:color w:val="auto"/>
              </w:rPr>
            </w:pPr>
            <w:r>
              <w:rPr>
                <w:rFonts w:hint="eastAsia"/>
                <w:color w:val="auto"/>
              </w:rPr>
              <w:t>表4.2-2  废气监测计划</w:t>
            </w:r>
          </w:p>
          <w:tbl>
            <w:tblPr>
              <w:tblStyle w:val="87"/>
              <w:tblW w:w="498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432"/>
              <w:gridCol w:w="1183"/>
              <w:gridCol w:w="4548"/>
            </w:tblGrid>
            <w:tr w14:paraId="572EF2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2" w:type="pct"/>
                  <w:vAlign w:val="center"/>
                </w:tcPr>
                <w:p w14:paraId="025B2E9E">
                  <w:pPr>
                    <w:spacing w:line="240" w:lineRule="auto"/>
                    <w:ind w:firstLine="0" w:firstLineChars="0"/>
                    <w:jc w:val="center"/>
                    <w:rPr>
                      <w:sz w:val="21"/>
                      <w:szCs w:val="21"/>
                    </w:rPr>
                  </w:pPr>
                  <w:r>
                    <w:rPr>
                      <w:sz w:val="21"/>
                      <w:szCs w:val="21"/>
                    </w:rPr>
                    <w:t>监测点位</w:t>
                  </w:r>
                </w:p>
              </w:tc>
              <w:tc>
                <w:tcPr>
                  <w:tcW w:w="843" w:type="pct"/>
                  <w:vAlign w:val="center"/>
                </w:tcPr>
                <w:p w14:paraId="7F18275B">
                  <w:pPr>
                    <w:spacing w:line="240" w:lineRule="auto"/>
                    <w:ind w:firstLine="0" w:firstLineChars="0"/>
                    <w:jc w:val="center"/>
                    <w:rPr>
                      <w:sz w:val="21"/>
                      <w:szCs w:val="21"/>
                    </w:rPr>
                  </w:pPr>
                  <w:r>
                    <w:rPr>
                      <w:sz w:val="21"/>
                      <w:szCs w:val="21"/>
                    </w:rPr>
                    <w:t>监测因子</w:t>
                  </w:r>
                </w:p>
              </w:tc>
              <w:tc>
                <w:tcPr>
                  <w:tcW w:w="697" w:type="pct"/>
                  <w:vAlign w:val="center"/>
                </w:tcPr>
                <w:p w14:paraId="5CAAC499">
                  <w:pPr>
                    <w:spacing w:line="240" w:lineRule="auto"/>
                    <w:ind w:firstLine="0" w:firstLineChars="0"/>
                    <w:jc w:val="center"/>
                    <w:rPr>
                      <w:sz w:val="21"/>
                      <w:szCs w:val="21"/>
                    </w:rPr>
                  </w:pPr>
                  <w:r>
                    <w:rPr>
                      <w:sz w:val="21"/>
                      <w:szCs w:val="21"/>
                    </w:rPr>
                    <w:t>监测频次</w:t>
                  </w:r>
                </w:p>
              </w:tc>
              <w:tc>
                <w:tcPr>
                  <w:tcW w:w="2677" w:type="pct"/>
                  <w:vAlign w:val="center"/>
                </w:tcPr>
                <w:p w14:paraId="1E44F9C6">
                  <w:pPr>
                    <w:spacing w:line="240" w:lineRule="auto"/>
                    <w:ind w:firstLine="0" w:firstLineChars="0"/>
                    <w:jc w:val="center"/>
                    <w:rPr>
                      <w:sz w:val="21"/>
                      <w:szCs w:val="21"/>
                    </w:rPr>
                  </w:pPr>
                  <w:r>
                    <w:rPr>
                      <w:sz w:val="21"/>
                      <w:szCs w:val="21"/>
                    </w:rPr>
                    <w:t>执行排放标准</w:t>
                  </w:r>
                </w:p>
              </w:tc>
            </w:tr>
            <w:tr w14:paraId="482AD2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82" w:type="pct"/>
                  <w:vAlign w:val="center"/>
                </w:tcPr>
                <w:p w14:paraId="3F239714">
                  <w:pPr>
                    <w:spacing w:line="240" w:lineRule="auto"/>
                    <w:ind w:firstLine="0" w:firstLineChars="0"/>
                    <w:jc w:val="center"/>
                    <w:rPr>
                      <w:sz w:val="21"/>
                      <w:szCs w:val="21"/>
                    </w:rPr>
                  </w:pPr>
                  <w:r>
                    <w:rPr>
                      <w:sz w:val="21"/>
                      <w:szCs w:val="21"/>
                    </w:rPr>
                    <w:t>DA001</w:t>
                  </w:r>
                </w:p>
              </w:tc>
              <w:tc>
                <w:tcPr>
                  <w:tcW w:w="843" w:type="pct"/>
                  <w:vAlign w:val="center"/>
                </w:tcPr>
                <w:p w14:paraId="5367A03F">
                  <w:pPr>
                    <w:spacing w:line="240" w:lineRule="auto"/>
                    <w:ind w:firstLine="0" w:firstLineChars="0"/>
                    <w:jc w:val="center"/>
                    <w:rPr>
                      <w:sz w:val="21"/>
                      <w:szCs w:val="21"/>
                    </w:rPr>
                  </w:pPr>
                  <w:r>
                    <w:rPr>
                      <w:rFonts w:hint="eastAsia"/>
                      <w:sz w:val="21"/>
                      <w:szCs w:val="21"/>
                    </w:rPr>
                    <w:t>非甲烷总烃</w:t>
                  </w:r>
                </w:p>
              </w:tc>
              <w:tc>
                <w:tcPr>
                  <w:tcW w:w="697" w:type="pct"/>
                  <w:tcBorders>
                    <w:bottom w:val="single" w:color="auto" w:sz="4" w:space="0"/>
                  </w:tcBorders>
                  <w:vAlign w:val="center"/>
                </w:tcPr>
                <w:p w14:paraId="497B83C0">
                  <w:pPr>
                    <w:spacing w:line="240" w:lineRule="auto"/>
                    <w:ind w:firstLine="0" w:firstLineChars="0"/>
                    <w:jc w:val="center"/>
                    <w:rPr>
                      <w:sz w:val="21"/>
                      <w:szCs w:val="21"/>
                    </w:rPr>
                  </w:pPr>
                  <w:r>
                    <w:rPr>
                      <w:rFonts w:hint="eastAsia"/>
                      <w:sz w:val="21"/>
                      <w:szCs w:val="21"/>
                    </w:rPr>
                    <w:t>1次/季度</w:t>
                  </w:r>
                </w:p>
              </w:tc>
              <w:tc>
                <w:tcPr>
                  <w:tcW w:w="2677" w:type="pct"/>
                  <w:tcBorders>
                    <w:bottom w:val="single" w:color="auto" w:sz="4" w:space="0"/>
                  </w:tcBorders>
                  <w:vAlign w:val="center"/>
                </w:tcPr>
                <w:p w14:paraId="227A480D">
                  <w:pPr>
                    <w:spacing w:line="240" w:lineRule="auto"/>
                    <w:ind w:firstLine="0" w:firstLineChars="0"/>
                    <w:jc w:val="center"/>
                    <w:rPr>
                      <w:sz w:val="21"/>
                      <w:szCs w:val="21"/>
                    </w:rPr>
                  </w:pPr>
                  <w:r>
                    <w:rPr>
                      <w:rFonts w:hint="eastAsia"/>
                      <w:sz w:val="21"/>
                      <w:szCs w:val="21"/>
                    </w:rPr>
                    <w:t>《大气污染物综合排放标准》（GB16297-1996）中表2排放限值，非甲烷总烃</w:t>
                  </w:r>
                  <w:r>
                    <w:rPr>
                      <w:sz w:val="21"/>
                      <w:szCs w:val="21"/>
                    </w:rPr>
                    <w:t>≤</w:t>
                  </w:r>
                  <w:r>
                    <w:rPr>
                      <w:rFonts w:hint="eastAsia"/>
                      <w:sz w:val="21"/>
                      <w:szCs w:val="21"/>
                    </w:rPr>
                    <w:t>120mg/m</w:t>
                  </w:r>
                  <w:r>
                    <w:rPr>
                      <w:rFonts w:hint="eastAsia"/>
                      <w:sz w:val="21"/>
                      <w:szCs w:val="21"/>
                      <w:vertAlign w:val="superscript"/>
                    </w:rPr>
                    <w:t>3</w:t>
                  </w:r>
                  <w:r>
                    <w:rPr>
                      <w:rFonts w:hint="eastAsia"/>
                      <w:sz w:val="21"/>
                      <w:szCs w:val="21"/>
                    </w:rPr>
                    <w:t>，排放速率10kg/h</w:t>
                  </w:r>
                </w:p>
              </w:tc>
            </w:tr>
            <w:tr w14:paraId="3093A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82" w:type="pct"/>
                  <w:vMerge w:val="restart"/>
                  <w:vAlign w:val="center"/>
                </w:tcPr>
                <w:p w14:paraId="2DD644F5">
                  <w:pPr>
                    <w:spacing w:line="240" w:lineRule="auto"/>
                    <w:ind w:firstLine="0" w:firstLineChars="0"/>
                    <w:jc w:val="center"/>
                    <w:rPr>
                      <w:sz w:val="21"/>
                      <w:szCs w:val="21"/>
                    </w:rPr>
                  </w:pPr>
                  <w:r>
                    <w:rPr>
                      <w:rFonts w:hint="eastAsia"/>
                      <w:sz w:val="21"/>
                      <w:szCs w:val="21"/>
                    </w:rPr>
                    <w:t>厂界</w:t>
                  </w:r>
                </w:p>
              </w:tc>
              <w:tc>
                <w:tcPr>
                  <w:tcW w:w="843" w:type="pct"/>
                  <w:vAlign w:val="center"/>
                </w:tcPr>
                <w:p w14:paraId="102043CC">
                  <w:pPr>
                    <w:spacing w:line="240" w:lineRule="auto"/>
                    <w:ind w:firstLine="0" w:firstLineChars="0"/>
                    <w:jc w:val="center"/>
                    <w:rPr>
                      <w:sz w:val="21"/>
                      <w:szCs w:val="21"/>
                    </w:rPr>
                  </w:pPr>
                  <w:r>
                    <w:rPr>
                      <w:rFonts w:hint="eastAsia"/>
                      <w:sz w:val="21"/>
                      <w:szCs w:val="21"/>
                    </w:rPr>
                    <w:t>非甲烷总烃</w:t>
                  </w:r>
                </w:p>
              </w:tc>
              <w:tc>
                <w:tcPr>
                  <w:tcW w:w="697" w:type="pct"/>
                  <w:tcBorders>
                    <w:top w:val="single" w:color="auto" w:sz="4" w:space="0"/>
                  </w:tcBorders>
                  <w:vAlign w:val="center"/>
                </w:tcPr>
                <w:p w14:paraId="40D5A5F4">
                  <w:pPr>
                    <w:spacing w:line="240" w:lineRule="auto"/>
                    <w:ind w:firstLine="0" w:firstLineChars="0"/>
                    <w:jc w:val="center"/>
                    <w:rPr>
                      <w:sz w:val="21"/>
                      <w:szCs w:val="21"/>
                    </w:rPr>
                  </w:pPr>
                  <w:r>
                    <w:rPr>
                      <w:sz w:val="21"/>
                      <w:szCs w:val="21"/>
                    </w:rPr>
                    <w:t>1次/</w:t>
                  </w:r>
                  <w:r>
                    <w:rPr>
                      <w:rFonts w:hint="eastAsia"/>
                      <w:sz w:val="21"/>
                      <w:szCs w:val="21"/>
                    </w:rPr>
                    <w:t>半年</w:t>
                  </w:r>
                </w:p>
              </w:tc>
              <w:tc>
                <w:tcPr>
                  <w:tcW w:w="2677" w:type="pct"/>
                  <w:vMerge w:val="restart"/>
                  <w:tcBorders>
                    <w:top w:val="single" w:color="auto" w:sz="4" w:space="0"/>
                  </w:tcBorders>
                  <w:vAlign w:val="center"/>
                </w:tcPr>
                <w:p w14:paraId="5F4C47FF">
                  <w:pPr>
                    <w:spacing w:line="240" w:lineRule="auto"/>
                    <w:ind w:firstLine="420"/>
                    <w:jc w:val="center"/>
                    <w:rPr>
                      <w:sz w:val="21"/>
                      <w:szCs w:val="21"/>
                    </w:rPr>
                  </w:pPr>
                  <w:r>
                    <w:rPr>
                      <w:rFonts w:hint="eastAsia"/>
                      <w:sz w:val="21"/>
                      <w:szCs w:val="21"/>
                    </w:rPr>
                    <w:t>《大气污染物综合排放标准》（GB16297-1996）中表2排放限值，非甲烷总烃≤4.0mg/m</w:t>
                  </w:r>
                  <w:r>
                    <w:rPr>
                      <w:rFonts w:hint="eastAsia"/>
                      <w:sz w:val="21"/>
                      <w:szCs w:val="21"/>
                      <w:vertAlign w:val="superscript"/>
                    </w:rPr>
                    <w:t>3</w:t>
                  </w:r>
                </w:p>
                <w:p w14:paraId="0C72F0FC">
                  <w:pPr>
                    <w:spacing w:line="240" w:lineRule="auto"/>
                    <w:ind w:firstLine="420"/>
                    <w:jc w:val="center"/>
                    <w:rPr>
                      <w:sz w:val="21"/>
                      <w:szCs w:val="21"/>
                    </w:rPr>
                  </w:pPr>
                  <w:r>
                    <w:rPr>
                      <w:rFonts w:hint="eastAsia"/>
                      <w:sz w:val="21"/>
                      <w:szCs w:val="21"/>
                    </w:rPr>
                    <w:t>《大气污染物综合排放标准》（GB16297-1996）中表2无组织排放浓度限值，颗粒物≤1.0mg/m</w:t>
                  </w:r>
                  <w:r>
                    <w:rPr>
                      <w:rFonts w:hint="eastAsia"/>
                      <w:sz w:val="21"/>
                      <w:szCs w:val="21"/>
                      <w:vertAlign w:val="superscript"/>
                    </w:rPr>
                    <w:t>3</w:t>
                  </w:r>
                </w:p>
              </w:tc>
            </w:tr>
            <w:tr w14:paraId="700303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82" w:type="pct"/>
                  <w:vMerge w:val="continue"/>
                  <w:vAlign w:val="center"/>
                </w:tcPr>
                <w:p w14:paraId="2B02A849">
                  <w:pPr>
                    <w:spacing w:line="240" w:lineRule="auto"/>
                    <w:ind w:firstLine="0" w:firstLineChars="0"/>
                    <w:jc w:val="center"/>
                    <w:rPr>
                      <w:sz w:val="21"/>
                      <w:szCs w:val="21"/>
                    </w:rPr>
                  </w:pPr>
                </w:p>
              </w:tc>
              <w:tc>
                <w:tcPr>
                  <w:tcW w:w="843" w:type="pct"/>
                  <w:vAlign w:val="center"/>
                </w:tcPr>
                <w:p w14:paraId="1FFEBF2E">
                  <w:pPr>
                    <w:spacing w:line="240" w:lineRule="auto"/>
                    <w:ind w:firstLine="0" w:firstLineChars="0"/>
                    <w:jc w:val="center"/>
                    <w:rPr>
                      <w:sz w:val="21"/>
                      <w:szCs w:val="21"/>
                    </w:rPr>
                  </w:pPr>
                  <w:r>
                    <w:rPr>
                      <w:rFonts w:hint="eastAsia"/>
                      <w:sz w:val="21"/>
                      <w:szCs w:val="21"/>
                    </w:rPr>
                    <w:t>颗粒物</w:t>
                  </w:r>
                </w:p>
              </w:tc>
              <w:tc>
                <w:tcPr>
                  <w:tcW w:w="697" w:type="pct"/>
                  <w:vAlign w:val="center"/>
                </w:tcPr>
                <w:p w14:paraId="0AF90634">
                  <w:pPr>
                    <w:pStyle w:val="41"/>
                  </w:pPr>
                  <w:r>
                    <w:t>1次/年</w:t>
                  </w:r>
                </w:p>
              </w:tc>
              <w:tc>
                <w:tcPr>
                  <w:tcW w:w="2677" w:type="pct"/>
                  <w:vMerge w:val="continue"/>
                  <w:vAlign w:val="center"/>
                </w:tcPr>
                <w:p w14:paraId="0E6FBF1A">
                  <w:pPr>
                    <w:spacing w:line="240" w:lineRule="auto"/>
                    <w:ind w:firstLine="0" w:firstLineChars="0"/>
                    <w:jc w:val="center"/>
                    <w:rPr>
                      <w:sz w:val="21"/>
                      <w:szCs w:val="21"/>
                    </w:rPr>
                  </w:pPr>
                </w:p>
              </w:tc>
            </w:tr>
            <w:tr w14:paraId="103A0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82" w:type="pct"/>
                  <w:vAlign w:val="center"/>
                </w:tcPr>
                <w:p w14:paraId="3EA9B158">
                  <w:pPr>
                    <w:spacing w:line="240" w:lineRule="auto"/>
                    <w:ind w:firstLine="0" w:firstLineChars="0"/>
                    <w:jc w:val="center"/>
                    <w:rPr>
                      <w:sz w:val="21"/>
                      <w:szCs w:val="21"/>
                    </w:rPr>
                  </w:pPr>
                  <w:r>
                    <w:rPr>
                      <w:rFonts w:hint="eastAsia"/>
                      <w:sz w:val="21"/>
                      <w:szCs w:val="21"/>
                    </w:rPr>
                    <w:t>厂区内</w:t>
                  </w:r>
                </w:p>
                <w:p w14:paraId="0F055C35">
                  <w:pPr>
                    <w:spacing w:line="240" w:lineRule="auto"/>
                    <w:ind w:firstLine="0" w:firstLineChars="0"/>
                    <w:jc w:val="center"/>
                    <w:rPr>
                      <w:sz w:val="21"/>
                      <w:szCs w:val="21"/>
                    </w:rPr>
                  </w:pPr>
                  <w:r>
                    <w:rPr>
                      <w:rFonts w:hint="eastAsia"/>
                      <w:sz w:val="21"/>
                      <w:szCs w:val="21"/>
                    </w:rPr>
                    <w:t>监控点</w:t>
                  </w:r>
                </w:p>
              </w:tc>
              <w:tc>
                <w:tcPr>
                  <w:tcW w:w="843" w:type="pct"/>
                  <w:vAlign w:val="center"/>
                </w:tcPr>
                <w:p w14:paraId="5BAF0B8F">
                  <w:pPr>
                    <w:spacing w:line="240" w:lineRule="auto"/>
                    <w:ind w:firstLine="0" w:firstLineChars="0"/>
                    <w:jc w:val="center"/>
                    <w:rPr>
                      <w:sz w:val="21"/>
                      <w:szCs w:val="21"/>
                    </w:rPr>
                  </w:pPr>
                  <w:r>
                    <w:rPr>
                      <w:rFonts w:hint="eastAsia"/>
                      <w:sz w:val="21"/>
                      <w:szCs w:val="21"/>
                    </w:rPr>
                    <w:t>非甲烷总烃</w:t>
                  </w:r>
                </w:p>
              </w:tc>
              <w:tc>
                <w:tcPr>
                  <w:tcW w:w="697" w:type="pct"/>
                  <w:vAlign w:val="center"/>
                </w:tcPr>
                <w:p w14:paraId="655B5087">
                  <w:pPr>
                    <w:pStyle w:val="41"/>
                  </w:pPr>
                  <w:r>
                    <w:t>1次/半年</w:t>
                  </w:r>
                </w:p>
              </w:tc>
              <w:tc>
                <w:tcPr>
                  <w:tcW w:w="2677" w:type="pct"/>
                  <w:vAlign w:val="center"/>
                </w:tcPr>
                <w:p w14:paraId="7B2D343D">
                  <w:pPr>
                    <w:spacing w:line="240" w:lineRule="auto"/>
                    <w:ind w:firstLine="420"/>
                    <w:jc w:val="center"/>
                    <w:rPr>
                      <w:sz w:val="21"/>
                      <w:szCs w:val="21"/>
                    </w:rPr>
                  </w:pPr>
                  <w:r>
                    <w:rPr>
                      <w:rFonts w:hint="eastAsia"/>
                      <w:sz w:val="21"/>
                      <w:szCs w:val="21"/>
                    </w:rPr>
                    <w:t>《挥发性有机物无组织排放控制标准》（GB37822-2019）厂区内监控点非甲烷总烃浓度≤10mg/m</w:t>
                  </w:r>
                  <w:r>
                    <w:rPr>
                      <w:rFonts w:hint="eastAsia"/>
                      <w:sz w:val="21"/>
                      <w:szCs w:val="21"/>
                      <w:vertAlign w:val="superscript"/>
                    </w:rPr>
                    <w:t>3</w:t>
                  </w:r>
                  <w:r>
                    <w:rPr>
                      <w:rFonts w:hint="eastAsia"/>
                    </w:rPr>
                    <w:t>、</w:t>
                  </w:r>
                  <w:r>
                    <w:rPr>
                      <w:rFonts w:hint="eastAsia"/>
                      <w:sz w:val="21"/>
                      <w:szCs w:val="21"/>
                    </w:rPr>
                    <w:t>监控点处任意一次浓度值≤30mg/m</w:t>
                  </w:r>
                  <w:r>
                    <w:rPr>
                      <w:rFonts w:hint="eastAsia"/>
                      <w:sz w:val="21"/>
                      <w:szCs w:val="21"/>
                      <w:vertAlign w:val="superscript"/>
                    </w:rPr>
                    <w:t>3</w:t>
                  </w:r>
                </w:p>
              </w:tc>
            </w:tr>
          </w:tbl>
          <w:p w14:paraId="1D8227FC">
            <w:pPr>
              <w:ind w:firstLine="0" w:firstLineChars="0"/>
            </w:pPr>
          </w:p>
          <w:p w14:paraId="25449D74">
            <w:pPr>
              <w:adjustRightInd w:val="0"/>
              <w:snapToGrid w:val="0"/>
              <w:ind w:firstLine="486"/>
              <w:rPr>
                <w:b/>
                <w:bCs/>
                <w:spacing w:val="1"/>
              </w:rPr>
            </w:pPr>
            <w:r>
              <w:rPr>
                <w:rFonts w:hint="eastAsia"/>
                <w:b/>
                <w:bCs/>
                <w:spacing w:val="1"/>
              </w:rPr>
              <w:t>6、卫生防护距离设置</w:t>
            </w:r>
          </w:p>
          <w:p w14:paraId="545939BD">
            <w:pPr>
              <w:widowControl/>
              <w:ind w:firstLine="480"/>
              <w:rPr>
                <w:kern w:val="0"/>
                <w:lang w:bidi="zh-CN"/>
                <w14:ligatures w14:val="standardContextual"/>
              </w:rPr>
            </w:pPr>
            <w:r>
              <w:rPr>
                <w:kern w:val="0"/>
                <w:lang w:bidi="zh-CN"/>
                <w14:ligatures w14:val="standardContextual"/>
              </w:rPr>
              <w:t>本项目无组织排放污染物为</w:t>
            </w:r>
            <w:r>
              <w:rPr>
                <w:rFonts w:hint="eastAsia"/>
                <w:kern w:val="0"/>
                <w:lang w:bidi="zh-CN"/>
                <w14:ligatures w14:val="standardContextual"/>
              </w:rPr>
              <w:t>颗粒物、VOCs</w:t>
            </w:r>
            <w:r>
              <w:rPr>
                <w:kern w:val="0"/>
                <w:lang w:bidi="zh-CN"/>
                <w14:ligatures w14:val="standardContextual"/>
              </w:rPr>
              <w:t>，根据《大气有害物质无组织排放卫生防护距离推导技术导则》（GBT39499-2020）规定，卫生防护距离初值计算公式如下：</w:t>
            </w:r>
          </w:p>
          <w:p w14:paraId="7E08F640">
            <w:pPr>
              <w:widowControl/>
              <w:ind w:firstLine="0" w:firstLineChars="0"/>
              <w:jc w:val="center"/>
              <w:rPr>
                <w14:ligatures w14:val="standardContextual"/>
              </w:rPr>
            </w:pPr>
            <w:r>
              <w:rPr>
                <w14:ligatures w14:val="standardContextual"/>
              </w:rPr>
              <w:drawing>
                <wp:inline distT="0" distB="0" distL="114300" distR="114300">
                  <wp:extent cx="2447925" cy="495300"/>
                  <wp:effectExtent l="0" t="0" r="9525" b="0"/>
                  <wp:docPr id="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5"/>
                          <pic:cNvPicPr>
                            <a:picLocks noChangeAspect="1"/>
                          </pic:cNvPicPr>
                        </pic:nvPicPr>
                        <pic:blipFill>
                          <a:blip r:embed="rId35"/>
                          <a:stretch>
                            <a:fillRect/>
                          </a:stretch>
                        </pic:blipFill>
                        <pic:spPr>
                          <a:xfrm>
                            <a:off x="0" y="0"/>
                            <a:ext cx="2447925" cy="495300"/>
                          </a:xfrm>
                          <a:prstGeom prst="rect">
                            <a:avLst/>
                          </a:prstGeom>
                          <a:noFill/>
                          <a:ln>
                            <a:noFill/>
                          </a:ln>
                        </pic:spPr>
                      </pic:pic>
                    </a:graphicData>
                  </a:graphic>
                </wp:inline>
              </w:drawing>
            </w:r>
          </w:p>
          <w:p w14:paraId="38DBF959">
            <w:pPr>
              <w:widowControl/>
              <w:ind w:firstLine="480"/>
              <w:rPr>
                <w:kern w:val="0"/>
                <w:lang w:bidi="zh-CN"/>
                <w14:ligatures w14:val="standardContextual"/>
              </w:rPr>
            </w:pPr>
            <w:r>
              <w:rPr>
                <w:kern w:val="0"/>
                <w:lang w:bidi="zh-CN"/>
                <w14:ligatures w14:val="standardContextual"/>
              </w:rPr>
              <w:t>式中：Qc——大气有害物质的无组织排放量，kg/h；</w:t>
            </w:r>
          </w:p>
          <w:p w14:paraId="69F9AE29">
            <w:pPr>
              <w:widowControl/>
              <w:ind w:firstLine="480"/>
              <w:rPr>
                <w:kern w:val="0"/>
                <w:lang w:bidi="zh-CN"/>
                <w14:ligatures w14:val="standardContextual"/>
              </w:rPr>
            </w:pPr>
            <w:r>
              <w:rPr>
                <w:kern w:val="0"/>
                <w:shd w:val="clear" w:fill="FFFFFF"/>
                <w:lang w:bidi="zh-CN"/>
                <w14:ligatures w14:val="standardContextual"/>
              </w:rPr>
              <w:t>Cm</w:t>
            </w:r>
            <w:r>
              <w:rPr>
                <w:kern w:val="0"/>
                <w:lang w:bidi="zh-CN"/>
                <w14:ligatures w14:val="standardContextual"/>
              </w:rPr>
              <w:t>——大气有害物质的环境空气质量的标准限值，mg/m</w:t>
            </w:r>
            <w:r>
              <w:rPr>
                <w:kern w:val="0"/>
                <w:vertAlign w:val="superscript"/>
                <w:lang w:bidi="zh-CN"/>
                <w14:ligatures w14:val="standardContextual"/>
              </w:rPr>
              <w:t>3</w:t>
            </w:r>
            <w:r>
              <w:rPr>
                <w:kern w:val="0"/>
                <w:lang w:bidi="zh-CN"/>
                <w14:ligatures w14:val="standardContextual"/>
              </w:rPr>
              <w:t>；</w:t>
            </w:r>
          </w:p>
          <w:p w14:paraId="2A9B4B24">
            <w:pPr>
              <w:widowControl/>
              <w:ind w:firstLine="480"/>
              <w:rPr>
                <w:kern w:val="0"/>
                <w:lang w:bidi="zh-CN"/>
                <w14:ligatures w14:val="standardContextual"/>
              </w:rPr>
            </w:pPr>
            <w:r>
              <w:rPr>
                <w:kern w:val="0"/>
                <w:lang w:bidi="zh-CN"/>
                <w14:ligatures w14:val="standardContextual"/>
              </w:rPr>
              <w:t>L——大气有害物质卫生防护距离初值，m；</w:t>
            </w:r>
          </w:p>
          <w:p w14:paraId="229E5B4D">
            <w:pPr>
              <w:widowControl/>
              <w:ind w:firstLine="480"/>
              <w:rPr>
                <w:kern w:val="0"/>
                <w:lang w:bidi="zh-CN"/>
                <w14:ligatures w14:val="standardContextual"/>
              </w:rPr>
            </w:pPr>
            <w:r>
              <w:rPr>
                <w:kern w:val="0"/>
                <w:lang w:bidi="zh-CN"/>
                <w14:ligatures w14:val="standardContextual"/>
              </w:rPr>
              <w:t>r——大气有害物质无组织排放源所在生产单元的等效半径，m；</w:t>
            </w:r>
          </w:p>
          <w:p w14:paraId="30216DCB">
            <w:pPr>
              <w:widowControl/>
              <w:ind w:firstLine="480"/>
              <w:rPr>
                <w:kern w:val="0"/>
                <w:lang w:bidi="zh-CN"/>
                <w14:ligatures w14:val="standardContextual"/>
              </w:rPr>
            </w:pPr>
            <w:r>
              <w:rPr>
                <w:kern w:val="0"/>
                <w:lang w:bidi="zh-CN"/>
                <w14:ligatures w14:val="standardContextual"/>
              </w:rPr>
              <w:t>A、B、C、D——卫生防护距离初值计算系数，无因次，根据工业企业所在地区近五年平均风速及大气污染源构成类别从GB/T39499-2020表1查取。</w:t>
            </w:r>
          </w:p>
          <w:p w14:paraId="0D7DCFE7">
            <w:pPr>
              <w:widowControl/>
              <w:ind w:firstLine="480"/>
              <w:rPr>
                <w:kern w:val="0"/>
                <w:lang w:bidi="zh-CN"/>
                <w14:ligatures w14:val="standardContextual"/>
              </w:rPr>
            </w:pPr>
            <w:r>
              <w:rPr>
                <w:kern w:val="0"/>
                <w:lang w:bidi="zh-CN"/>
                <w14:ligatures w14:val="standardContextual"/>
              </w:rPr>
              <w:t>本项目近5年平均风速为</w:t>
            </w:r>
            <w:r>
              <w:rPr>
                <w:rFonts w:hint="eastAsia"/>
                <w:kern w:val="0"/>
                <w:lang w:bidi="zh-CN"/>
                <w14:ligatures w14:val="standardContextual"/>
              </w:rPr>
              <w:t>2.8</w:t>
            </w:r>
            <w:r>
              <w:rPr>
                <w:kern w:val="0"/>
                <w:lang w:bidi="zh-CN"/>
                <w14:ligatures w14:val="standardContextual"/>
              </w:rPr>
              <w:t>m/s，根据以上无组织面源参数和计算公式，建设项目全</w:t>
            </w:r>
            <w:r>
              <w:rPr>
                <w:rFonts w:hint="eastAsia"/>
                <w:kern w:val="0"/>
                <w:lang w:bidi="zh-CN"/>
                <w14:ligatures w14:val="standardContextual"/>
              </w:rPr>
              <w:t>场</w:t>
            </w:r>
            <w:r>
              <w:rPr>
                <w:kern w:val="0"/>
                <w:lang w:bidi="zh-CN"/>
                <w14:ligatures w14:val="standardContextual"/>
              </w:rPr>
              <w:t>大气污染物无组织排放情况如下：</w:t>
            </w:r>
          </w:p>
          <w:p w14:paraId="2E9D8B83">
            <w:pPr>
              <w:adjustRightInd w:val="0"/>
              <w:snapToGrid w:val="0"/>
              <w:spacing w:before="120" w:beforeLines="50" w:line="240" w:lineRule="auto"/>
              <w:ind w:firstLine="0" w:firstLineChars="0"/>
              <w:jc w:val="center"/>
              <w:rPr>
                <w14:ligatures w14:val="standardContextual"/>
              </w:rPr>
            </w:pPr>
            <w:r>
              <w:rPr>
                <w14:ligatures w14:val="standardContextual"/>
              </w:rPr>
              <w:t>表4.2-4  卫生防护距离计算系数</w:t>
            </w:r>
          </w:p>
          <w:tbl>
            <w:tblPr>
              <w:tblStyle w:val="21"/>
              <w:tblW w:w="5000"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826"/>
              <w:gridCol w:w="1165"/>
              <w:gridCol w:w="1229"/>
              <w:gridCol w:w="1049"/>
              <w:gridCol w:w="1278"/>
              <w:gridCol w:w="1200"/>
            </w:tblGrid>
            <w:tr w14:paraId="3F4BD32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66" w:type="dxa"/>
                  <w:tcBorders>
                    <w:top w:val="single" w:color="auto" w:sz="12" w:space="0"/>
                    <w:left w:val="nil"/>
                    <w:bottom w:val="single" w:color="auto" w:sz="4" w:space="0"/>
                    <w:right w:val="single" w:color="auto" w:sz="4" w:space="0"/>
                  </w:tcBorders>
                  <w:shd w:val="clear" w:color="auto" w:fill="auto"/>
                  <w:vAlign w:val="center"/>
                </w:tcPr>
                <w:p w14:paraId="6CFDFC13">
                  <w:pPr>
                    <w:spacing w:line="240" w:lineRule="auto"/>
                    <w:ind w:firstLine="0" w:firstLineChars="0"/>
                    <w:jc w:val="center"/>
                    <w:rPr>
                      <w:kern w:val="0"/>
                      <w:sz w:val="21"/>
                      <w14:ligatures w14:val="standardContextual"/>
                    </w:rPr>
                  </w:pPr>
                  <w:r>
                    <w:rPr>
                      <w:kern w:val="0"/>
                      <w:sz w:val="21"/>
                      <w14:ligatures w14:val="standardContextual"/>
                    </w:rPr>
                    <w:t>位置</w:t>
                  </w:r>
                </w:p>
              </w:tc>
              <w:tc>
                <w:tcPr>
                  <w:tcW w:w="825" w:type="dxa"/>
                  <w:tcBorders>
                    <w:top w:val="single" w:color="auto" w:sz="12" w:space="0"/>
                    <w:left w:val="single" w:color="auto" w:sz="4" w:space="0"/>
                    <w:bottom w:val="single" w:color="auto" w:sz="4" w:space="0"/>
                    <w:right w:val="single" w:color="auto" w:sz="4" w:space="0"/>
                  </w:tcBorders>
                  <w:shd w:val="clear" w:color="auto" w:fill="auto"/>
                  <w:vAlign w:val="center"/>
                </w:tcPr>
                <w:p w14:paraId="66BC5CC9">
                  <w:pPr>
                    <w:spacing w:line="240" w:lineRule="auto"/>
                    <w:ind w:firstLine="0" w:firstLineChars="0"/>
                    <w:jc w:val="center"/>
                    <w:rPr>
                      <w:kern w:val="0"/>
                      <w:sz w:val="21"/>
                      <w14:ligatures w14:val="standardContextual"/>
                    </w:rPr>
                  </w:pPr>
                  <w:r>
                    <w:rPr>
                      <w:kern w:val="0"/>
                      <w:sz w:val="21"/>
                      <w14:ligatures w14:val="standardContextual"/>
                    </w:rPr>
                    <w:t>污染物</w:t>
                  </w:r>
                </w:p>
              </w:tc>
              <w:tc>
                <w:tcPr>
                  <w:tcW w:w="1165" w:type="dxa"/>
                  <w:tcBorders>
                    <w:top w:val="single" w:color="auto" w:sz="12" w:space="0"/>
                    <w:left w:val="single" w:color="auto" w:sz="4" w:space="0"/>
                    <w:bottom w:val="single" w:color="auto" w:sz="4" w:space="0"/>
                    <w:right w:val="single" w:color="auto" w:sz="4" w:space="0"/>
                  </w:tcBorders>
                  <w:shd w:val="clear" w:color="auto" w:fill="auto"/>
                  <w:vAlign w:val="center"/>
                </w:tcPr>
                <w:p w14:paraId="63407CD5">
                  <w:pPr>
                    <w:spacing w:line="240" w:lineRule="auto"/>
                    <w:ind w:firstLine="0" w:firstLineChars="0"/>
                    <w:jc w:val="center"/>
                    <w:rPr>
                      <w:kern w:val="0"/>
                      <w:sz w:val="21"/>
                      <w14:ligatures w14:val="standardContextual"/>
                    </w:rPr>
                  </w:pPr>
                  <w:r>
                    <w:rPr>
                      <w:kern w:val="0"/>
                      <w:sz w:val="21"/>
                      <w14:ligatures w14:val="standardContextual"/>
                    </w:rPr>
                    <w:t>排放速率（kg/h）</w:t>
                  </w:r>
                </w:p>
              </w:tc>
              <w:tc>
                <w:tcPr>
                  <w:tcW w:w="1229" w:type="dxa"/>
                  <w:tcBorders>
                    <w:top w:val="single" w:color="auto" w:sz="12" w:space="0"/>
                    <w:left w:val="single" w:color="auto" w:sz="4" w:space="0"/>
                    <w:bottom w:val="single" w:color="auto" w:sz="4" w:space="0"/>
                    <w:right w:val="single" w:color="auto" w:sz="4" w:space="0"/>
                  </w:tcBorders>
                  <w:shd w:val="clear" w:color="auto" w:fill="auto"/>
                  <w:vAlign w:val="center"/>
                </w:tcPr>
                <w:p w14:paraId="3C01F436">
                  <w:pPr>
                    <w:spacing w:line="240" w:lineRule="auto"/>
                    <w:ind w:firstLine="0" w:firstLineChars="0"/>
                    <w:jc w:val="center"/>
                    <w:rPr>
                      <w:kern w:val="0"/>
                      <w:sz w:val="21"/>
                      <w14:ligatures w14:val="standardContextual"/>
                    </w:rPr>
                  </w:pPr>
                  <w:r>
                    <w:rPr>
                      <w:kern w:val="0"/>
                      <w:sz w:val="21"/>
                      <w14:ligatures w14:val="standardContextual"/>
                    </w:rPr>
                    <w:t>面积(m</w:t>
                  </w:r>
                  <w:r>
                    <w:rPr>
                      <w:kern w:val="0"/>
                      <w:sz w:val="21"/>
                      <w:vertAlign w:val="superscript"/>
                      <w14:ligatures w14:val="standardContextual"/>
                    </w:rPr>
                    <w:t>2</w:t>
                  </w:r>
                  <w:r>
                    <w:rPr>
                      <w:kern w:val="0"/>
                      <w:sz w:val="21"/>
                      <w14:ligatures w14:val="standardContextual"/>
                    </w:rPr>
                    <w:t>)</w:t>
                  </w:r>
                </w:p>
              </w:tc>
              <w:tc>
                <w:tcPr>
                  <w:tcW w:w="1048" w:type="dxa"/>
                  <w:tcBorders>
                    <w:top w:val="single" w:color="auto" w:sz="12" w:space="0"/>
                    <w:left w:val="single" w:color="auto" w:sz="4" w:space="0"/>
                    <w:bottom w:val="single" w:color="auto" w:sz="4" w:space="0"/>
                    <w:right w:val="single" w:color="auto" w:sz="4" w:space="0"/>
                  </w:tcBorders>
                  <w:shd w:val="clear" w:color="auto" w:fill="auto"/>
                  <w:vAlign w:val="center"/>
                </w:tcPr>
                <w:p w14:paraId="3202869F">
                  <w:pPr>
                    <w:spacing w:line="240" w:lineRule="auto"/>
                    <w:ind w:firstLine="0" w:firstLineChars="0"/>
                    <w:jc w:val="center"/>
                    <w:rPr>
                      <w:kern w:val="0"/>
                      <w:sz w:val="21"/>
                      <w14:ligatures w14:val="standardContextual"/>
                    </w:rPr>
                  </w:pPr>
                  <w:r>
                    <w:rPr>
                      <w:kern w:val="0"/>
                      <w:sz w:val="21"/>
                      <w14:ligatures w14:val="standardContextual"/>
                    </w:rPr>
                    <w:t>风速</w:t>
                  </w:r>
                </w:p>
                <w:p w14:paraId="25F354C9">
                  <w:pPr>
                    <w:spacing w:line="240" w:lineRule="auto"/>
                    <w:ind w:firstLine="0" w:firstLineChars="0"/>
                    <w:jc w:val="center"/>
                    <w:rPr>
                      <w:kern w:val="0"/>
                      <w:sz w:val="21"/>
                      <w14:ligatures w14:val="standardContextual"/>
                    </w:rPr>
                  </w:pPr>
                  <w:r>
                    <w:rPr>
                      <w:kern w:val="0"/>
                      <w:sz w:val="21"/>
                      <w14:ligatures w14:val="standardContextual"/>
                    </w:rPr>
                    <w:t>（m/s）</w:t>
                  </w:r>
                </w:p>
              </w:tc>
              <w:tc>
                <w:tcPr>
                  <w:tcW w:w="1278" w:type="dxa"/>
                  <w:tcBorders>
                    <w:top w:val="single" w:color="auto" w:sz="12" w:space="0"/>
                    <w:left w:val="single" w:color="auto" w:sz="4" w:space="0"/>
                    <w:bottom w:val="single" w:color="auto" w:sz="4" w:space="0"/>
                    <w:right w:val="single" w:color="auto" w:sz="4" w:space="0"/>
                  </w:tcBorders>
                  <w:shd w:val="clear" w:color="auto" w:fill="auto"/>
                  <w:vAlign w:val="center"/>
                </w:tcPr>
                <w:p w14:paraId="03086064">
                  <w:pPr>
                    <w:spacing w:line="240" w:lineRule="auto"/>
                    <w:ind w:firstLine="0" w:firstLineChars="0"/>
                    <w:jc w:val="center"/>
                    <w:rPr>
                      <w:kern w:val="0"/>
                      <w:sz w:val="21"/>
                      <w14:ligatures w14:val="standardContextual"/>
                    </w:rPr>
                  </w:pPr>
                  <w:r>
                    <w:rPr>
                      <w:kern w:val="0"/>
                      <w:sz w:val="21"/>
                      <w14:ligatures w14:val="standardContextual"/>
                    </w:rPr>
                    <w:t>标准限值（mg/m</w:t>
                  </w:r>
                  <w:r>
                    <w:rPr>
                      <w:kern w:val="0"/>
                      <w:sz w:val="21"/>
                      <w:vertAlign w:val="superscript"/>
                      <w14:ligatures w14:val="standardContextual"/>
                    </w:rPr>
                    <w:t>3</w:t>
                  </w:r>
                  <w:r>
                    <w:rPr>
                      <w:kern w:val="0"/>
                      <w:sz w:val="21"/>
                      <w14:ligatures w14:val="standardContextual"/>
                    </w:rPr>
                    <w:t>）</w:t>
                  </w:r>
                </w:p>
              </w:tc>
              <w:tc>
                <w:tcPr>
                  <w:tcW w:w="1200" w:type="dxa"/>
                  <w:tcBorders>
                    <w:top w:val="single" w:color="auto" w:sz="12" w:space="0"/>
                    <w:left w:val="single" w:color="auto" w:sz="4" w:space="0"/>
                    <w:bottom w:val="single" w:color="auto" w:sz="4" w:space="0"/>
                    <w:right w:val="nil"/>
                  </w:tcBorders>
                  <w:shd w:val="clear" w:color="auto" w:fill="auto"/>
                  <w:vAlign w:val="center"/>
                </w:tcPr>
                <w:p w14:paraId="736686BC">
                  <w:pPr>
                    <w:spacing w:line="240" w:lineRule="auto"/>
                    <w:ind w:firstLine="0" w:firstLineChars="0"/>
                    <w:jc w:val="center"/>
                    <w:rPr>
                      <w:kern w:val="0"/>
                      <w:sz w:val="21"/>
                      <w14:ligatures w14:val="standardContextual"/>
                    </w:rPr>
                  </w:pPr>
                  <w:r>
                    <w:rPr>
                      <w:kern w:val="0"/>
                      <w:sz w:val="21"/>
                      <w14:ligatures w14:val="standardContextual"/>
                    </w:rPr>
                    <w:t>计算距离(m)</w:t>
                  </w:r>
                </w:p>
              </w:tc>
            </w:tr>
            <w:tr w14:paraId="63D7962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66" w:type="dxa"/>
                  <w:vMerge w:val="restart"/>
                  <w:tcBorders>
                    <w:top w:val="single" w:color="auto" w:sz="4" w:space="0"/>
                    <w:left w:val="nil"/>
                    <w:right w:val="single" w:color="auto" w:sz="4" w:space="0"/>
                  </w:tcBorders>
                  <w:shd w:val="clear" w:color="auto" w:fill="auto"/>
                  <w:vAlign w:val="center"/>
                </w:tcPr>
                <w:p w14:paraId="5AF095D9">
                  <w:pPr>
                    <w:spacing w:line="240" w:lineRule="auto"/>
                    <w:ind w:firstLine="0" w:firstLineChars="0"/>
                    <w:jc w:val="center"/>
                    <w:rPr>
                      <w:kern w:val="0"/>
                      <w:sz w:val="21"/>
                      <w14:ligatures w14:val="standardContextual"/>
                    </w:rPr>
                  </w:pPr>
                  <w:r>
                    <w:rPr>
                      <w:rFonts w:hint="eastAsia"/>
                      <w:kern w:val="0"/>
                      <w:sz w:val="21"/>
                      <w14:ligatures w14:val="standardContextual"/>
                    </w:rPr>
                    <w:t>生产车间</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5AB18A62">
                  <w:pPr>
                    <w:spacing w:line="240" w:lineRule="auto"/>
                    <w:ind w:firstLine="0" w:firstLineChars="0"/>
                    <w:jc w:val="center"/>
                    <w:rPr>
                      <w:kern w:val="0"/>
                      <w:sz w:val="21"/>
                      <w14:ligatures w14:val="standardContextual"/>
                    </w:rPr>
                  </w:pPr>
                  <w:r>
                    <w:rPr>
                      <w:kern w:val="0"/>
                      <w:sz w:val="21"/>
                      <w14:ligatures w14:val="standardContextual"/>
                    </w:rPr>
                    <w:t>VOCs</w:t>
                  </w: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14:paraId="6816C8A9">
                  <w:pPr>
                    <w:spacing w:line="240" w:lineRule="auto"/>
                    <w:ind w:firstLine="0" w:firstLineChars="0"/>
                    <w:jc w:val="center"/>
                    <w:rPr>
                      <w:kern w:val="0"/>
                      <w:sz w:val="21"/>
                      <w14:ligatures w14:val="standardContextual"/>
                    </w:rPr>
                  </w:pPr>
                  <w:r>
                    <w:rPr>
                      <w:rFonts w:hint="eastAsia"/>
                      <w:kern w:val="0"/>
                      <w:sz w:val="21"/>
                      <w14:ligatures w14:val="standardContextual"/>
                    </w:rPr>
                    <w:t>0.016</w:t>
                  </w:r>
                </w:p>
              </w:tc>
              <w:tc>
                <w:tcPr>
                  <w:tcW w:w="1229" w:type="dxa"/>
                  <w:vMerge w:val="restart"/>
                  <w:tcBorders>
                    <w:top w:val="single" w:color="auto" w:sz="4" w:space="0"/>
                    <w:left w:val="single" w:color="auto" w:sz="4" w:space="0"/>
                    <w:right w:val="single" w:color="auto" w:sz="4" w:space="0"/>
                  </w:tcBorders>
                  <w:shd w:val="clear" w:color="auto" w:fill="auto"/>
                  <w:vAlign w:val="center"/>
                </w:tcPr>
                <w:p w14:paraId="4D1CED49">
                  <w:pPr>
                    <w:spacing w:line="240" w:lineRule="auto"/>
                    <w:ind w:firstLine="0" w:firstLineChars="0"/>
                    <w:jc w:val="center"/>
                    <w:rPr>
                      <w:kern w:val="0"/>
                      <w:sz w:val="21"/>
                      <w14:ligatures w14:val="standardContextual"/>
                    </w:rPr>
                  </w:pPr>
                  <w:r>
                    <w:rPr>
                      <w:rFonts w:hint="eastAsia"/>
                      <w:kern w:val="0"/>
                      <w:sz w:val="21"/>
                      <w14:ligatures w14:val="standardContextual"/>
                    </w:rPr>
                    <w:t>11000</w:t>
                  </w:r>
                </w:p>
              </w:tc>
              <w:tc>
                <w:tcPr>
                  <w:tcW w:w="1048" w:type="dxa"/>
                  <w:vMerge w:val="restart"/>
                  <w:tcBorders>
                    <w:top w:val="single" w:color="auto" w:sz="4" w:space="0"/>
                    <w:left w:val="single" w:color="auto" w:sz="4" w:space="0"/>
                    <w:right w:val="single" w:color="auto" w:sz="4" w:space="0"/>
                  </w:tcBorders>
                  <w:shd w:val="clear" w:color="auto" w:fill="auto"/>
                  <w:vAlign w:val="center"/>
                </w:tcPr>
                <w:p w14:paraId="69C7E6F4">
                  <w:pPr>
                    <w:spacing w:line="240" w:lineRule="auto"/>
                    <w:ind w:firstLine="0" w:firstLineChars="0"/>
                    <w:jc w:val="center"/>
                    <w:rPr>
                      <w:kern w:val="0"/>
                      <w:sz w:val="21"/>
                      <w14:ligatures w14:val="standardContextual"/>
                    </w:rPr>
                  </w:pPr>
                  <w:r>
                    <w:rPr>
                      <w:rFonts w:hint="eastAsia"/>
                      <w:kern w:val="0"/>
                      <w:sz w:val="21"/>
                      <w14:ligatures w14:val="standardContextual"/>
                    </w:rPr>
                    <w:t>2.8</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14:paraId="34F40BE3">
                  <w:pPr>
                    <w:spacing w:line="240" w:lineRule="auto"/>
                    <w:ind w:firstLine="0" w:firstLineChars="0"/>
                    <w:jc w:val="center"/>
                    <w:rPr>
                      <w:kern w:val="0"/>
                      <w:sz w:val="21"/>
                      <w14:ligatures w14:val="standardContextual"/>
                    </w:rPr>
                  </w:pPr>
                  <w:r>
                    <w:rPr>
                      <w:rFonts w:hint="eastAsia"/>
                      <w:kern w:val="0"/>
                      <w:sz w:val="21"/>
                      <w14:ligatures w14:val="standardContextual"/>
                    </w:rPr>
                    <w:t>2.0</w:t>
                  </w:r>
                </w:p>
              </w:tc>
              <w:tc>
                <w:tcPr>
                  <w:tcW w:w="1200" w:type="dxa"/>
                  <w:tcBorders>
                    <w:top w:val="single" w:color="auto" w:sz="4" w:space="0"/>
                    <w:left w:val="single" w:color="auto" w:sz="4" w:space="0"/>
                    <w:bottom w:val="single" w:color="auto" w:sz="4" w:space="0"/>
                    <w:right w:val="nil"/>
                  </w:tcBorders>
                  <w:shd w:val="clear" w:color="auto" w:fill="auto"/>
                  <w:vAlign w:val="center"/>
                </w:tcPr>
                <w:p w14:paraId="1178D6DD">
                  <w:pPr>
                    <w:spacing w:line="240" w:lineRule="auto"/>
                    <w:ind w:firstLine="0" w:firstLineChars="0"/>
                    <w:jc w:val="center"/>
                    <w:rPr>
                      <w:kern w:val="0"/>
                      <w:sz w:val="21"/>
                      <w14:ligatures w14:val="standardContextual"/>
                    </w:rPr>
                  </w:pPr>
                  <w:r>
                    <w:rPr>
                      <w:rFonts w:hint="eastAsia"/>
                      <w:kern w:val="0"/>
                      <w:sz w:val="21"/>
                      <w14:ligatures w14:val="standardContextual"/>
                    </w:rPr>
                    <w:t>0</w:t>
                  </w:r>
                </w:p>
              </w:tc>
            </w:tr>
            <w:tr w14:paraId="488C02E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66" w:type="dxa"/>
                  <w:vMerge w:val="continue"/>
                  <w:tcBorders>
                    <w:left w:val="nil"/>
                    <w:bottom w:val="single" w:color="auto" w:sz="4" w:space="0"/>
                    <w:right w:val="single" w:color="auto" w:sz="4" w:space="0"/>
                  </w:tcBorders>
                  <w:shd w:val="clear" w:color="auto" w:fill="auto"/>
                  <w:vAlign w:val="center"/>
                </w:tcPr>
                <w:p w14:paraId="60A75284">
                  <w:pPr>
                    <w:spacing w:line="240" w:lineRule="auto"/>
                    <w:ind w:firstLine="0" w:firstLineChars="0"/>
                    <w:jc w:val="center"/>
                    <w:rPr>
                      <w:kern w:val="0"/>
                      <w:sz w:val="21"/>
                      <w14:ligatures w14:val="standardContextual"/>
                    </w:rPr>
                  </w:pP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0E158CB0">
                  <w:pPr>
                    <w:spacing w:line="240" w:lineRule="auto"/>
                    <w:ind w:firstLine="0" w:firstLineChars="0"/>
                    <w:jc w:val="center"/>
                    <w:rPr>
                      <w:kern w:val="0"/>
                      <w:sz w:val="21"/>
                      <w14:ligatures w14:val="standardContextual"/>
                    </w:rPr>
                  </w:pPr>
                  <w:r>
                    <w:rPr>
                      <w:rFonts w:hint="eastAsia"/>
                      <w:kern w:val="0"/>
                      <w:sz w:val="21"/>
                      <w14:ligatures w14:val="standardContextual"/>
                    </w:rPr>
                    <w:t>颗粒物</w:t>
                  </w: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14:paraId="6BC303A4">
                  <w:pPr>
                    <w:spacing w:line="240" w:lineRule="auto"/>
                    <w:ind w:firstLine="0" w:firstLineChars="0"/>
                    <w:jc w:val="center"/>
                    <w:rPr>
                      <w:kern w:val="0"/>
                      <w:sz w:val="21"/>
                      <w14:ligatures w14:val="standardContextual"/>
                    </w:rPr>
                  </w:pPr>
                  <w:r>
                    <w:rPr>
                      <w:rFonts w:hint="eastAsia"/>
                      <w:kern w:val="0"/>
                      <w:sz w:val="21"/>
                      <w14:ligatures w14:val="standardContextual"/>
                    </w:rPr>
                    <w:t>0.086</w:t>
                  </w:r>
                </w:p>
              </w:tc>
              <w:tc>
                <w:tcPr>
                  <w:tcW w:w="1229" w:type="dxa"/>
                  <w:vMerge w:val="continue"/>
                  <w:tcBorders>
                    <w:left w:val="single" w:color="auto" w:sz="4" w:space="0"/>
                    <w:bottom w:val="single" w:color="auto" w:sz="4" w:space="0"/>
                    <w:right w:val="single" w:color="auto" w:sz="4" w:space="0"/>
                  </w:tcBorders>
                  <w:shd w:val="clear" w:color="auto" w:fill="auto"/>
                  <w:vAlign w:val="center"/>
                </w:tcPr>
                <w:p w14:paraId="336FA443">
                  <w:pPr>
                    <w:spacing w:line="240" w:lineRule="auto"/>
                    <w:ind w:firstLine="0" w:firstLineChars="0"/>
                    <w:jc w:val="center"/>
                    <w:rPr>
                      <w:kern w:val="0"/>
                      <w:sz w:val="21"/>
                      <w14:ligatures w14:val="standardContextual"/>
                    </w:rPr>
                  </w:pPr>
                </w:p>
              </w:tc>
              <w:tc>
                <w:tcPr>
                  <w:tcW w:w="1048" w:type="dxa"/>
                  <w:vMerge w:val="continue"/>
                  <w:tcBorders>
                    <w:left w:val="single" w:color="auto" w:sz="4" w:space="0"/>
                    <w:bottom w:val="single" w:color="auto" w:sz="4" w:space="0"/>
                    <w:right w:val="single" w:color="auto" w:sz="4" w:space="0"/>
                  </w:tcBorders>
                  <w:shd w:val="clear" w:color="auto" w:fill="auto"/>
                  <w:vAlign w:val="center"/>
                </w:tcPr>
                <w:p w14:paraId="5CFD7794">
                  <w:pPr>
                    <w:spacing w:line="240" w:lineRule="auto"/>
                    <w:ind w:firstLine="0" w:firstLineChars="0"/>
                    <w:jc w:val="center"/>
                    <w:rPr>
                      <w:kern w:val="0"/>
                      <w:sz w:val="21"/>
                      <w14:ligatures w14:val="standardContextual"/>
                    </w:rPr>
                  </w:pP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14:paraId="02E14F6C">
                  <w:pPr>
                    <w:spacing w:line="240" w:lineRule="auto"/>
                    <w:ind w:firstLine="0" w:firstLineChars="0"/>
                    <w:jc w:val="center"/>
                    <w:rPr>
                      <w:kern w:val="0"/>
                      <w:sz w:val="21"/>
                      <w14:ligatures w14:val="standardContextual"/>
                    </w:rPr>
                  </w:pPr>
                  <w:r>
                    <w:rPr>
                      <w:rFonts w:hint="eastAsia"/>
                      <w:kern w:val="0"/>
                      <w:sz w:val="21"/>
                      <w14:ligatures w14:val="standardContextual"/>
                    </w:rPr>
                    <w:t>0.15</w:t>
                  </w:r>
                </w:p>
              </w:tc>
              <w:tc>
                <w:tcPr>
                  <w:tcW w:w="1200" w:type="dxa"/>
                  <w:tcBorders>
                    <w:top w:val="single" w:color="auto" w:sz="4" w:space="0"/>
                    <w:left w:val="single" w:color="auto" w:sz="4" w:space="0"/>
                    <w:bottom w:val="single" w:color="auto" w:sz="4" w:space="0"/>
                    <w:right w:val="nil"/>
                  </w:tcBorders>
                  <w:shd w:val="clear" w:color="auto" w:fill="auto"/>
                  <w:vAlign w:val="center"/>
                </w:tcPr>
                <w:p w14:paraId="18B08FDE">
                  <w:pPr>
                    <w:spacing w:line="240" w:lineRule="auto"/>
                    <w:ind w:firstLine="0" w:firstLineChars="0"/>
                    <w:jc w:val="center"/>
                    <w:rPr>
                      <w:kern w:val="0"/>
                      <w:sz w:val="21"/>
                      <w14:ligatures w14:val="standardContextual"/>
                    </w:rPr>
                  </w:pPr>
                  <w:r>
                    <w:rPr>
                      <w:rFonts w:hint="eastAsia"/>
                      <w:kern w:val="0"/>
                      <w:sz w:val="21"/>
                      <w14:ligatures w14:val="standardContextual"/>
                    </w:rPr>
                    <w:t>9</w:t>
                  </w:r>
                </w:p>
              </w:tc>
            </w:tr>
          </w:tbl>
          <w:p w14:paraId="3E574A4E">
            <w:pPr>
              <w:pStyle w:val="96"/>
              <w:spacing w:before="120" w:beforeLines="50"/>
              <w:rPr>
                <w:lang w:bidi="zh-CN"/>
              </w:rPr>
            </w:pPr>
            <w:r>
              <w:rPr>
                <w:lang w:bidi="zh-CN"/>
              </w:rPr>
              <w:drawing>
                <wp:inline distT="0" distB="0" distL="0" distR="0">
                  <wp:extent cx="5404485" cy="3150235"/>
                  <wp:effectExtent l="0" t="0" r="5715" b="0"/>
                  <wp:docPr id="16624686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68616" name="图片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404485" cy="3150235"/>
                          </a:xfrm>
                          <a:prstGeom prst="rect">
                            <a:avLst/>
                          </a:prstGeom>
                          <a:noFill/>
                          <a:ln>
                            <a:noFill/>
                          </a:ln>
                        </pic:spPr>
                      </pic:pic>
                    </a:graphicData>
                  </a:graphic>
                </wp:inline>
              </w:drawing>
            </w:r>
          </w:p>
          <w:p w14:paraId="35CA60A3">
            <w:pPr>
              <w:pStyle w:val="96"/>
            </w:pPr>
            <w:r>
              <w:drawing>
                <wp:inline distT="0" distB="0" distL="0" distR="0">
                  <wp:extent cx="5404485" cy="3152140"/>
                  <wp:effectExtent l="0" t="0" r="5715" b="0"/>
                  <wp:docPr id="57685100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51007" name="图片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404485" cy="3152140"/>
                          </a:xfrm>
                          <a:prstGeom prst="rect">
                            <a:avLst/>
                          </a:prstGeom>
                          <a:noFill/>
                          <a:ln>
                            <a:noFill/>
                          </a:ln>
                        </pic:spPr>
                      </pic:pic>
                    </a:graphicData>
                  </a:graphic>
                </wp:inline>
              </w:drawing>
            </w:r>
          </w:p>
          <w:p w14:paraId="2FEA1FF0">
            <w:pPr>
              <w:widowControl/>
              <w:ind w:firstLine="480"/>
              <w:rPr>
                <w:spacing w:val="1"/>
              </w:rPr>
            </w:pPr>
            <w:r>
              <w:rPr>
                <w:rFonts w:hint="eastAsia"/>
                <w:kern w:val="0"/>
                <w:lang w:bidi="zh-CN"/>
                <w14:ligatures w14:val="standardContextual"/>
              </w:rPr>
              <w:t>根</w:t>
            </w:r>
            <w:r>
              <w:rPr>
                <w:kern w:val="0"/>
                <w:lang w:bidi="zh-CN"/>
                <w14:ligatures w14:val="standardContextual"/>
              </w:rPr>
              <w:t>据《大气有害物质无组织排放卫生防护距离推导技术导则》（GB/T-39499-2020）中“6.1.1卫生防护距离初值小于50m时，极差为50m。如计算初值小于50m，卫生防护距离终值取50m。”，根据以上计算结果，</w:t>
            </w:r>
            <w:r>
              <w:rPr>
                <w:rFonts w:hint="eastAsia"/>
                <w:kern w:val="0"/>
                <w:lang w:bidi="zh-CN"/>
                <w14:ligatures w14:val="standardContextual"/>
              </w:rPr>
              <w:t>本项目卫生防护距离为生产车间外扩50米的包络范围内（生产车间拐点坐标为：</w:t>
            </w:r>
            <w:r>
              <w:rPr>
                <w:kern w:val="0"/>
                <w:lang w:bidi="zh-CN"/>
                <w14:ligatures w14:val="standardContextual"/>
              </w:rPr>
              <w:t>119.33597</w:t>
            </w:r>
            <w:r>
              <w:rPr>
                <w:rFonts w:hint="eastAsia"/>
                <w:kern w:val="0"/>
                <w:lang w:bidi="zh-CN"/>
                <w14:ligatures w14:val="standardContextual"/>
              </w:rPr>
              <w:t>，</w:t>
            </w:r>
            <w:r>
              <w:rPr>
                <w:kern w:val="0"/>
                <w:lang w:bidi="zh-CN"/>
                <w14:ligatures w14:val="standardContextual"/>
              </w:rPr>
              <w:t>25.74077</w:t>
            </w:r>
            <w:r>
              <w:rPr>
                <w:rFonts w:hint="eastAsia"/>
                <w:kern w:val="0"/>
                <w:lang w:bidi="zh-CN"/>
                <w14:ligatures w14:val="standardContextual"/>
              </w:rPr>
              <w:t>；</w:t>
            </w:r>
            <w:r>
              <w:rPr>
                <w:kern w:val="0"/>
                <w:lang w:bidi="zh-CN"/>
                <w14:ligatures w14:val="standardContextual"/>
              </w:rPr>
              <w:t>119.33699</w:t>
            </w:r>
            <w:r>
              <w:rPr>
                <w:rFonts w:hint="eastAsia"/>
                <w:kern w:val="0"/>
                <w:lang w:bidi="zh-CN"/>
                <w14:ligatures w14:val="standardContextual"/>
              </w:rPr>
              <w:t>，</w:t>
            </w:r>
            <w:r>
              <w:rPr>
                <w:kern w:val="0"/>
                <w:lang w:bidi="zh-CN"/>
                <w14:ligatures w14:val="standardContextual"/>
              </w:rPr>
              <w:t>25.74123</w:t>
            </w:r>
            <w:r>
              <w:rPr>
                <w:rFonts w:hint="eastAsia"/>
                <w:kern w:val="0"/>
                <w:lang w:bidi="zh-CN"/>
                <w14:ligatures w14:val="standardContextual"/>
              </w:rPr>
              <w:t>；</w:t>
            </w:r>
            <w:r>
              <w:rPr>
                <w:kern w:val="0"/>
                <w:lang w:bidi="zh-CN"/>
                <w14:ligatures w14:val="standardContextual"/>
              </w:rPr>
              <w:t>119.33656</w:t>
            </w:r>
            <w:r>
              <w:rPr>
                <w:rFonts w:hint="eastAsia"/>
                <w:kern w:val="0"/>
                <w:lang w:bidi="zh-CN"/>
                <w14:ligatures w14:val="standardContextual"/>
              </w:rPr>
              <w:t>，</w:t>
            </w:r>
            <w:r>
              <w:rPr>
                <w:kern w:val="0"/>
                <w:lang w:bidi="zh-CN"/>
                <w14:ligatures w14:val="standardContextual"/>
              </w:rPr>
              <w:t>25.74202</w:t>
            </w:r>
            <w:r>
              <w:rPr>
                <w:rFonts w:hint="eastAsia"/>
                <w:kern w:val="0"/>
                <w:lang w:bidi="zh-CN"/>
                <w14:ligatures w14:val="standardContextual"/>
              </w:rPr>
              <w:t>；</w:t>
            </w:r>
            <w:r>
              <w:rPr>
                <w:kern w:val="0"/>
                <w:lang w:bidi="zh-CN"/>
                <w14:ligatures w14:val="standardContextual"/>
              </w:rPr>
              <w:t>119.33555</w:t>
            </w:r>
            <w:r>
              <w:rPr>
                <w:rFonts w:hint="eastAsia"/>
                <w:kern w:val="0"/>
                <w:lang w:bidi="zh-CN"/>
                <w14:ligatures w14:val="standardContextual"/>
              </w:rPr>
              <w:t>，</w:t>
            </w:r>
            <w:r>
              <w:rPr>
                <w:kern w:val="0"/>
                <w:lang w:bidi="zh-CN"/>
                <w14:ligatures w14:val="standardContextual"/>
              </w:rPr>
              <w:t>25.74158</w:t>
            </w:r>
            <w:r>
              <w:rPr>
                <w:rFonts w:hint="eastAsia"/>
                <w:kern w:val="0"/>
                <w:lang w:bidi="zh-CN"/>
                <w14:ligatures w14:val="standardContextual"/>
              </w:rPr>
              <w:t>）</w:t>
            </w:r>
            <w:r>
              <w:rPr>
                <w:kern w:val="0"/>
                <w:lang w:bidi="zh-CN"/>
                <w14:ligatures w14:val="standardContextual"/>
              </w:rPr>
              <w:t>。项目卫生防护距离内无大气环境保护目标，本项目满足所需卫生防护距离要求。项目运营期间，卫生防护距离内不得设置居民区、学校、医院等环境敏感点</w:t>
            </w:r>
            <w:r>
              <w:t>。</w:t>
            </w:r>
          </w:p>
          <w:p w14:paraId="43D8020B">
            <w:pPr>
              <w:ind w:firstLine="0" w:firstLineChars="0"/>
            </w:pPr>
          </w:p>
        </w:tc>
      </w:tr>
    </w:tbl>
    <w:p w14:paraId="05B5A89B">
      <w:pPr>
        <w:ind w:firstLine="480"/>
        <w:sectPr>
          <w:headerReference r:id="rId19" w:type="default"/>
          <w:footerReference r:id="rId20" w:type="default"/>
          <w:pgSz w:w="11905" w:h="16838"/>
          <w:pgMar w:top="1417" w:right="1417" w:bottom="1417" w:left="1417" w:header="851" w:footer="850" w:gutter="0"/>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20775"/>
      </w:tblGrid>
      <w:tr w14:paraId="5709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5" w:hRule="atLeast"/>
        </w:trPr>
        <w:tc>
          <w:tcPr>
            <w:tcW w:w="418" w:type="dxa"/>
            <w:vAlign w:val="center"/>
          </w:tcPr>
          <w:p w14:paraId="3744E713">
            <w:pPr>
              <w:spacing w:line="240" w:lineRule="auto"/>
              <w:ind w:firstLine="0" w:firstLineChars="0"/>
              <w:jc w:val="center"/>
            </w:pPr>
            <w:r>
              <w:rPr>
                <w:sz w:val="21"/>
                <w:szCs w:val="21"/>
              </w:rPr>
              <w:t>运营期环境影响和保护措施</w:t>
            </w:r>
          </w:p>
        </w:tc>
        <w:tc>
          <w:tcPr>
            <w:tcW w:w="20775" w:type="dxa"/>
          </w:tcPr>
          <w:p w14:paraId="696190DA">
            <w:pPr>
              <w:pStyle w:val="32"/>
              <w:spacing w:before="120" w:beforeLines="50" w:line="240" w:lineRule="auto"/>
            </w:pPr>
            <w:r>
              <w:t>表4.2-</w:t>
            </w:r>
            <w:r>
              <w:rPr>
                <w:rFonts w:hint="eastAsia"/>
              </w:rPr>
              <w:t>3</w:t>
            </w:r>
            <w:r>
              <w:t xml:space="preserve">  废气污染源源强核算结果及相关参数</w:t>
            </w:r>
          </w:p>
          <w:tbl>
            <w:tblPr>
              <w:tblStyle w:val="87"/>
              <w:tblW w:w="202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0"/>
              <w:gridCol w:w="633"/>
              <w:gridCol w:w="899"/>
              <w:gridCol w:w="977"/>
              <w:gridCol w:w="983"/>
              <w:gridCol w:w="831"/>
              <w:gridCol w:w="1078"/>
              <w:gridCol w:w="763"/>
              <w:gridCol w:w="706"/>
              <w:gridCol w:w="691"/>
              <w:gridCol w:w="661"/>
              <w:gridCol w:w="899"/>
              <w:gridCol w:w="977"/>
              <w:gridCol w:w="916"/>
              <w:gridCol w:w="835"/>
              <w:gridCol w:w="676"/>
              <w:gridCol w:w="683"/>
              <w:gridCol w:w="678"/>
              <w:gridCol w:w="867"/>
              <w:gridCol w:w="1279"/>
              <w:gridCol w:w="850"/>
              <w:gridCol w:w="709"/>
              <w:gridCol w:w="709"/>
              <w:gridCol w:w="567"/>
              <w:gridCol w:w="707"/>
            </w:tblGrid>
            <w:tr w14:paraId="631EF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restart"/>
                  <w:vAlign w:val="center"/>
                </w:tcPr>
                <w:p w14:paraId="5EFEE9F0">
                  <w:pPr>
                    <w:pStyle w:val="45"/>
                    <w:rPr>
                      <w:szCs w:val="21"/>
                    </w:rPr>
                  </w:pPr>
                  <w:r>
                    <w:rPr>
                      <w:szCs w:val="21"/>
                    </w:rPr>
                    <w:t>产污环节</w:t>
                  </w:r>
                </w:p>
              </w:tc>
              <w:tc>
                <w:tcPr>
                  <w:tcW w:w="633" w:type="dxa"/>
                  <w:vMerge w:val="restart"/>
                  <w:vAlign w:val="center"/>
                </w:tcPr>
                <w:p w14:paraId="746187DB">
                  <w:pPr>
                    <w:pStyle w:val="45"/>
                    <w:rPr>
                      <w:szCs w:val="21"/>
                    </w:rPr>
                  </w:pPr>
                  <w:r>
                    <w:rPr>
                      <w:szCs w:val="21"/>
                    </w:rPr>
                    <w:t>污染物种类</w:t>
                  </w:r>
                </w:p>
              </w:tc>
              <w:tc>
                <w:tcPr>
                  <w:tcW w:w="2859" w:type="dxa"/>
                  <w:gridSpan w:val="3"/>
                  <w:vAlign w:val="center"/>
                </w:tcPr>
                <w:p w14:paraId="5CA5DD6F">
                  <w:pPr>
                    <w:pStyle w:val="45"/>
                    <w:rPr>
                      <w:szCs w:val="21"/>
                    </w:rPr>
                  </w:pPr>
                  <w:r>
                    <w:rPr>
                      <w:szCs w:val="21"/>
                    </w:rPr>
                    <w:t>产生源强</w:t>
                  </w:r>
                </w:p>
              </w:tc>
              <w:tc>
                <w:tcPr>
                  <w:tcW w:w="831" w:type="dxa"/>
                  <w:vMerge w:val="restart"/>
                  <w:vAlign w:val="center"/>
                </w:tcPr>
                <w:p w14:paraId="622CD559">
                  <w:pPr>
                    <w:pStyle w:val="45"/>
                    <w:rPr>
                      <w:szCs w:val="21"/>
                    </w:rPr>
                  </w:pPr>
                  <w:r>
                    <w:rPr>
                      <w:szCs w:val="21"/>
                    </w:rPr>
                    <w:t>排</w:t>
                  </w:r>
                  <w:r>
                    <w:rPr>
                      <w:rFonts w:hint="eastAsia"/>
                      <w:szCs w:val="21"/>
                    </w:rPr>
                    <w:t>放</w:t>
                  </w:r>
                </w:p>
                <w:p w14:paraId="6D0191FE">
                  <w:pPr>
                    <w:pStyle w:val="45"/>
                    <w:rPr>
                      <w:szCs w:val="21"/>
                    </w:rPr>
                  </w:pPr>
                  <w:r>
                    <w:rPr>
                      <w:szCs w:val="21"/>
                    </w:rPr>
                    <w:t>形式</w:t>
                  </w:r>
                </w:p>
              </w:tc>
              <w:tc>
                <w:tcPr>
                  <w:tcW w:w="1078" w:type="dxa"/>
                  <w:vMerge w:val="restart"/>
                  <w:vAlign w:val="center"/>
                </w:tcPr>
                <w:p w14:paraId="704AB53B">
                  <w:pPr>
                    <w:pStyle w:val="45"/>
                    <w:rPr>
                      <w:szCs w:val="21"/>
                    </w:rPr>
                  </w:pPr>
                  <w:r>
                    <w:rPr>
                      <w:szCs w:val="21"/>
                    </w:rPr>
                    <w:t>治理设施</w:t>
                  </w:r>
                </w:p>
              </w:tc>
              <w:tc>
                <w:tcPr>
                  <w:tcW w:w="763" w:type="dxa"/>
                  <w:vMerge w:val="restart"/>
                  <w:vAlign w:val="center"/>
                </w:tcPr>
                <w:p w14:paraId="7D17914A">
                  <w:pPr>
                    <w:pStyle w:val="45"/>
                    <w:rPr>
                      <w:szCs w:val="21"/>
                    </w:rPr>
                  </w:pPr>
                  <w:r>
                    <w:rPr>
                      <w:szCs w:val="21"/>
                    </w:rPr>
                    <w:t>处理能力m</w:t>
                  </w:r>
                  <w:r>
                    <w:rPr>
                      <w:szCs w:val="21"/>
                      <w:vertAlign w:val="superscript"/>
                    </w:rPr>
                    <w:t>3</w:t>
                  </w:r>
                  <w:r>
                    <w:rPr>
                      <w:szCs w:val="21"/>
                    </w:rPr>
                    <w:t>/h</w:t>
                  </w:r>
                </w:p>
              </w:tc>
              <w:tc>
                <w:tcPr>
                  <w:tcW w:w="706" w:type="dxa"/>
                  <w:vMerge w:val="restart"/>
                  <w:vAlign w:val="center"/>
                </w:tcPr>
                <w:p w14:paraId="0C2DC3A4">
                  <w:pPr>
                    <w:pStyle w:val="45"/>
                    <w:rPr>
                      <w:szCs w:val="21"/>
                    </w:rPr>
                  </w:pPr>
                  <w:r>
                    <w:rPr>
                      <w:szCs w:val="21"/>
                    </w:rPr>
                    <w:t>收集效率</w:t>
                  </w:r>
                </w:p>
              </w:tc>
              <w:tc>
                <w:tcPr>
                  <w:tcW w:w="691" w:type="dxa"/>
                  <w:vMerge w:val="restart"/>
                  <w:vAlign w:val="center"/>
                </w:tcPr>
                <w:p w14:paraId="52B71284">
                  <w:pPr>
                    <w:pStyle w:val="45"/>
                    <w:rPr>
                      <w:szCs w:val="21"/>
                    </w:rPr>
                  </w:pPr>
                  <w:r>
                    <w:rPr>
                      <w:szCs w:val="21"/>
                    </w:rPr>
                    <w:t>治理工艺去除率</w:t>
                  </w:r>
                </w:p>
              </w:tc>
              <w:tc>
                <w:tcPr>
                  <w:tcW w:w="661" w:type="dxa"/>
                  <w:vMerge w:val="restart"/>
                  <w:vAlign w:val="center"/>
                </w:tcPr>
                <w:p w14:paraId="544E24AC">
                  <w:pPr>
                    <w:pStyle w:val="45"/>
                    <w:rPr>
                      <w:szCs w:val="21"/>
                    </w:rPr>
                  </w:pPr>
                  <w:r>
                    <w:rPr>
                      <w:szCs w:val="21"/>
                    </w:rPr>
                    <w:t>是否为可行技术</w:t>
                  </w:r>
                </w:p>
              </w:tc>
              <w:tc>
                <w:tcPr>
                  <w:tcW w:w="2792" w:type="dxa"/>
                  <w:gridSpan w:val="3"/>
                  <w:vAlign w:val="center"/>
                </w:tcPr>
                <w:p w14:paraId="54E1C8B4">
                  <w:pPr>
                    <w:pStyle w:val="45"/>
                    <w:rPr>
                      <w:szCs w:val="21"/>
                    </w:rPr>
                  </w:pPr>
                  <w:r>
                    <w:rPr>
                      <w:szCs w:val="21"/>
                    </w:rPr>
                    <w:t>排放源强</w:t>
                  </w:r>
                </w:p>
              </w:tc>
              <w:tc>
                <w:tcPr>
                  <w:tcW w:w="5018" w:type="dxa"/>
                  <w:gridSpan w:val="6"/>
                  <w:vAlign w:val="center"/>
                </w:tcPr>
                <w:p w14:paraId="74DD82A5">
                  <w:pPr>
                    <w:pStyle w:val="45"/>
                    <w:rPr>
                      <w:szCs w:val="21"/>
                    </w:rPr>
                  </w:pPr>
                  <w:r>
                    <w:rPr>
                      <w:szCs w:val="21"/>
                    </w:rPr>
                    <w:t>排气筒概况</w:t>
                  </w:r>
                </w:p>
              </w:tc>
              <w:tc>
                <w:tcPr>
                  <w:tcW w:w="850" w:type="dxa"/>
                  <w:vMerge w:val="restart"/>
                  <w:vAlign w:val="center"/>
                </w:tcPr>
                <w:p w14:paraId="70E9EB4D">
                  <w:pPr>
                    <w:pStyle w:val="45"/>
                    <w:rPr>
                      <w:szCs w:val="21"/>
                    </w:rPr>
                  </w:pPr>
                  <w:r>
                    <w:rPr>
                      <w:szCs w:val="21"/>
                    </w:rPr>
                    <w:t>排放</w:t>
                  </w:r>
                </w:p>
                <w:p w14:paraId="58F4D073">
                  <w:pPr>
                    <w:pStyle w:val="45"/>
                    <w:rPr>
                      <w:szCs w:val="21"/>
                    </w:rPr>
                  </w:pPr>
                  <w:r>
                    <w:rPr>
                      <w:szCs w:val="21"/>
                    </w:rPr>
                    <w:t>标准mg/m</w:t>
                  </w:r>
                  <w:r>
                    <w:rPr>
                      <w:szCs w:val="21"/>
                      <w:vertAlign w:val="superscript"/>
                    </w:rPr>
                    <w:t>3</w:t>
                  </w:r>
                </w:p>
              </w:tc>
              <w:tc>
                <w:tcPr>
                  <w:tcW w:w="709" w:type="dxa"/>
                  <w:vMerge w:val="restart"/>
                  <w:vAlign w:val="center"/>
                </w:tcPr>
                <w:p w14:paraId="42ED9FC6">
                  <w:pPr>
                    <w:pStyle w:val="45"/>
                    <w:rPr>
                      <w:szCs w:val="21"/>
                    </w:rPr>
                  </w:pPr>
                  <w:r>
                    <w:rPr>
                      <w:szCs w:val="21"/>
                    </w:rPr>
                    <w:t>是否达标</w:t>
                  </w:r>
                </w:p>
              </w:tc>
              <w:tc>
                <w:tcPr>
                  <w:tcW w:w="1983" w:type="dxa"/>
                  <w:gridSpan w:val="3"/>
                  <w:vAlign w:val="center"/>
                </w:tcPr>
                <w:p w14:paraId="31173A29">
                  <w:pPr>
                    <w:pStyle w:val="45"/>
                    <w:rPr>
                      <w:szCs w:val="21"/>
                    </w:rPr>
                  </w:pPr>
                  <w:r>
                    <w:rPr>
                      <w:szCs w:val="21"/>
                    </w:rPr>
                    <w:t>监测要求</w:t>
                  </w:r>
                </w:p>
              </w:tc>
            </w:tr>
            <w:tr w14:paraId="24603E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vAlign w:val="center"/>
                </w:tcPr>
                <w:p w14:paraId="362E77DF">
                  <w:pPr>
                    <w:pStyle w:val="45"/>
                    <w:rPr>
                      <w:szCs w:val="21"/>
                    </w:rPr>
                  </w:pPr>
                </w:p>
              </w:tc>
              <w:tc>
                <w:tcPr>
                  <w:tcW w:w="633" w:type="dxa"/>
                  <w:vMerge w:val="continue"/>
                  <w:vAlign w:val="center"/>
                </w:tcPr>
                <w:p w14:paraId="2FB977E9">
                  <w:pPr>
                    <w:pStyle w:val="45"/>
                    <w:rPr>
                      <w:szCs w:val="21"/>
                    </w:rPr>
                  </w:pPr>
                </w:p>
              </w:tc>
              <w:tc>
                <w:tcPr>
                  <w:tcW w:w="899" w:type="dxa"/>
                  <w:vAlign w:val="center"/>
                </w:tcPr>
                <w:p w14:paraId="7939ED93">
                  <w:pPr>
                    <w:pStyle w:val="45"/>
                    <w:rPr>
                      <w:szCs w:val="21"/>
                    </w:rPr>
                  </w:pPr>
                  <w:r>
                    <w:rPr>
                      <w:szCs w:val="21"/>
                      <w:shd w:val="clear" w:fill="FFFFFF"/>
                    </w:rPr>
                    <w:t>主要污染物产生量</w:t>
                  </w:r>
                  <w:r>
                    <w:rPr>
                      <w:rFonts w:hint="eastAsia"/>
                      <w:szCs w:val="21"/>
                      <w:shd w:val="clear" w:fill="FFFFFF"/>
                    </w:rPr>
                    <w:t>（</w:t>
                  </w:r>
                  <w:r>
                    <w:rPr>
                      <w:szCs w:val="21"/>
                    </w:rPr>
                    <w:t>t/a)</w:t>
                  </w:r>
                </w:p>
              </w:tc>
              <w:tc>
                <w:tcPr>
                  <w:tcW w:w="977" w:type="dxa"/>
                  <w:vAlign w:val="center"/>
                </w:tcPr>
                <w:p w14:paraId="3E5C08A1">
                  <w:pPr>
                    <w:pStyle w:val="45"/>
                    <w:rPr>
                      <w:szCs w:val="21"/>
                    </w:rPr>
                  </w:pPr>
                  <w:r>
                    <w:rPr>
                      <w:szCs w:val="21"/>
                    </w:rPr>
                    <w:t>主要污染物产生速率</w:t>
                  </w:r>
                  <w:r>
                    <w:rPr>
                      <w:rFonts w:hint="eastAsia"/>
                      <w:szCs w:val="21"/>
                      <w:shd w:val="clear" w:fill="FFFFFF"/>
                    </w:rPr>
                    <w:t>（</w:t>
                  </w:r>
                  <w:r>
                    <w:rPr>
                      <w:szCs w:val="21"/>
                    </w:rPr>
                    <w:t>kg/h)</w:t>
                  </w:r>
                </w:p>
              </w:tc>
              <w:tc>
                <w:tcPr>
                  <w:tcW w:w="983" w:type="dxa"/>
                  <w:vAlign w:val="center"/>
                </w:tcPr>
                <w:p w14:paraId="6BC3D570">
                  <w:pPr>
                    <w:pStyle w:val="45"/>
                    <w:rPr>
                      <w:szCs w:val="21"/>
                    </w:rPr>
                  </w:pPr>
                  <w:r>
                    <w:rPr>
                      <w:szCs w:val="21"/>
                    </w:rPr>
                    <w:t>污染物产生浓度</w:t>
                  </w:r>
                  <w:r>
                    <w:rPr>
                      <w:rFonts w:hint="eastAsia"/>
                      <w:szCs w:val="21"/>
                      <w:shd w:val="clear" w:fill="FFFFFF"/>
                    </w:rPr>
                    <w:t>（</w:t>
                  </w:r>
                  <w:r>
                    <w:rPr>
                      <w:szCs w:val="21"/>
                    </w:rPr>
                    <w:t>mg/m</w:t>
                  </w:r>
                  <w:r>
                    <w:rPr>
                      <w:szCs w:val="21"/>
                      <w:vertAlign w:val="superscript"/>
                    </w:rPr>
                    <w:t>3</w:t>
                  </w:r>
                  <w:r>
                    <w:rPr>
                      <w:szCs w:val="21"/>
                    </w:rPr>
                    <w:t>)</w:t>
                  </w:r>
                </w:p>
              </w:tc>
              <w:tc>
                <w:tcPr>
                  <w:tcW w:w="831" w:type="dxa"/>
                  <w:vMerge w:val="continue"/>
                  <w:vAlign w:val="center"/>
                </w:tcPr>
                <w:p w14:paraId="52E0186E">
                  <w:pPr>
                    <w:pStyle w:val="45"/>
                    <w:rPr>
                      <w:szCs w:val="21"/>
                    </w:rPr>
                  </w:pPr>
                </w:p>
              </w:tc>
              <w:tc>
                <w:tcPr>
                  <w:tcW w:w="1078" w:type="dxa"/>
                  <w:vMerge w:val="continue"/>
                  <w:vAlign w:val="center"/>
                </w:tcPr>
                <w:p w14:paraId="7A161FC8">
                  <w:pPr>
                    <w:pStyle w:val="45"/>
                    <w:rPr>
                      <w:szCs w:val="21"/>
                    </w:rPr>
                  </w:pPr>
                </w:p>
              </w:tc>
              <w:tc>
                <w:tcPr>
                  <w:tcW w:w="763" w:type="dxa"/>
                  <w:vMerge w:val="continue"/>
                  <w:vAlign w:val="center"/>
                </w:tcPr>
                <w:p w14:paraId="3DCE241B">
                  <w:pPr>
                    <w:pStyle w:val="45"/>
                    <w:rPr>
                      <w:szCs w:val="21"/>
                    </w:rPr>
                  </w:pPr>
                </w:p>
              </w:tc>
              <w:tc>
                <w:tcPr>
                  <w:tcW w:w="706" w:type="dxa"/>
                  <w:vMerge w:val="continue"/>
                  <w:vAlign w:val="center"/>
                </w:tcPr>
                <w:p w14:paraId="284C01BE">
                  <w:pPr>
                    <w:pStyle w:val="45"/>
                    <w:rPr>
                      <w:szCs w:val="21"/>
                    </w:rPr>
                  </w:pPr>
                </w:p>
              </w:tc>
              <w:tc>
                <w:tcPr>
                  <w:tcW w:w="691" w:type="dxa"/>
                  <w:vMerge w:val="continue"/>
                  <w:vAlign w:val="center"/>
                </w:tcPr>
                <w:p w14:paraId="06EB9903">
                  <w:pPr>
                    <w:pStyle w:val="45"/>
                    <w:rPr>
                      <w:szCs w:val="21"/>
                    </w:rPr>
                  </w:pPr>
                </w:p>
              </w:tc>
              <w:tc>
                <w:tcPr>
                  <w:tcW w:w="661" w:type="dxa"/>
                  <w:vMerge w:val="continue"/>
                  <w:vAlign w:val="center"/>
                </w:tcPr>
                <w:p w14:paraId="1759CA67">
                  <w:pPr>
                    <w:pStyle w:val="45"/>
                    <w:rPr>
                      <w:szCs w:val="21"/>
                    </w:rPr>
                  </w:pPr>
                </w:p>
              </w:tc>
              <w:tc>
                <w:tcPr>
                  <w:tcW w:w="899" w:type="dxa"/>
                  <w:vAlign w:val="center"/>
                </w:tcPr>
                <w:p w14:paraId="6AB6A1BD">
                  <w:pPr>
                    <w:pStyle w:val="45"/>
                    <w:rPr>
                      <w:szCs w:val="21"/>
                    </w:rPr>
                  </w:pPr>
                  <w:r>
                    <w:rPr>
                      <w:szCs w:val="21"/>
                    </w:rPr>
                    <w:t>主要污染物排放量</w:t>
                  </w:r>
                  <w:r>
                    <w:rPr>
                      <w:rFonts w:hint="eastAsia"/>
                      <w:szCs w:val="21"/>
                      <w:shd w:val="clear" w:fill="FFFFFF"/>
                    </w:rPr>
                    <w:t>（</w:t>
                  </w:r>
                  <w:r>
                    <w:rPr>
                      <w:szCs w:val="21"/>
                    </w:rPr>
                    <w:t>t/a)</w:t>
                  </w:r>
                </w:p>
              </w:tc>
              <w:tc>
                <w:tcPr>
                  <w:tcW w:w="977" w:type="dxa"/>
                  <w:vAlign w:val="center"/>
                </w:tcPr>
                <w:p w14:paraId="7B67C512">
                  <w:pPr>
                    <w:pStyle w:val="45"/>
                    <w:rPr>
                      <w:szCs w:val="21"/>
                    </w:rPr>
                  </w:pPr>
                  <w:r>
                    <w:rPr>
                      <w:szCs w:val="21"/>
                    </w:rPr>
                    <w:t>污染物排放速率</w:t>
                  </w:r>
                  <w:r>
                    <w:rPr>
                      <w:rFonts w:hint="eastAsia"/>
                      <w:szCs w:val="21"/>
                      <w:shd w:val="clear" w:fill="FFFFFF"/>
                    </w:rPr>
                    <w:t>（</w:t>
                  </w:r>
                  <w:r>
                    <w:rPr>
                      <w:szCs w:val="21"/>
                    </w:rPr>
                    <w:t>kg/h)</w:t>
                  </w:r>
                </w:p>
              </w:tc>
              <w:tc>
                <w:tcPr>
                  <w:tcW w:w="916" w:type="dxa"/>
                  <w:vAlign w:val="center"/>
                </w:tcPr>
                <w:p w14:paraId="57003594">
                  <w:pPr>
                    <w:pStyle w:val="45"/>
                    <w:rPr>
                      <w:szCs w:val="21"/>
                    </w:rPr>
                  </w:pPr>
                  <w:r>
                    <w:rPr>
                      <w:szCs w:val="21"/>
                    </w:rPr>
                    <w:t>污染物排放浓度</w:t>
                  </w:r>
                  <w:r>
                    <w:rPr>
                      <w:rFonts w:hint="eastAsia"/>
                      <w:szCs w:val="21"/>
                      <w:shd w:val="clear" w:fill="FFFFFF"/>
                    </w:rPr>
                    <w:t>（</w:t>
                  </w:r>
                  <w:r>
                    <w:rPr>
                      <w:szCs w:val="21"/>
                    </w:rPr>
                    <w:t>mg/m</w:t>
                  </w:r>
                  <w:r>
                    <w:rPr>
                      <w:szCs w:val="21"/>
                      <w:vertAlign w:val="superscript"/>
                    </w:rPr>
                    <w:t>3</w:t>
                  </w:r>
                  <w:r>
                    <w:rPr>
                      <w:szCs w:val="21"/>
                    </w:rPr>
                    <w:t>)</w:t>
                  </w:r>
                </w:p>
              </w:tc>
              <w:tc>
                <w:tcPr>
                  <w:tcW w:w="835" w:type="dxa"/>
                  <w:vAlign w:val="center"/>
                </w:tcPr>
                <w:p w14:paraId="3E145A4A">
                  <w:pPr>
                    <w:pStyle w:val="45"/>
                    <w:rPr>
                      <w:szCs w:val="21"/>
                    </w:rPr>
                  </w:pPr>
                  <w:r>
                    <w:rPr>
                      <w:szCs w:val="21"/>
                    </w:rPr>
                    <w:t>编号及名称</w:t>
                  </w:r>
                </w:p>
              </w:tc>
              <w:tc>
                <w:tcPr>
                  <w:tcW w:w="676" w:type="dxa"/>
                  <w:vAlign w:val="center"/>
                </w:tcPr>
                <w:p w14:paraId="2DD89576">
                  <w:pPr>
                    <w:pStyle w:val="45"/>
                    <w:rPr>
                      <w:szCs w:val="21"/>
                    </w:rPr>
                  </w:pPr>
                  <w:r>
                    <w:rPr>
                      <w:szCs w:val="21"/>
                    </w:rPr>
                    <w:t>高度m</w:t>
                  </w:r>
                </w:p>
              </w:tc>
              <w:tc>
                <w:tcPr>
                  <w:tcW w:w="683" w:type="dxa"/>
                  <w:vAlign w:val="center"/>
                </w:tcPr>
                <w:p w14:paraId="68EA9BC4">
                  <w:pPr>
                    <w:pStyle w:val="45"/>
                    <w:rPr>
                      <w:szCs w:val="21"/>
                    </w:rPr>
                  </w:pPr>
                  <w:r>
                    <w:rPr>
                      <w:szCs w:val="21"/>
                    </w:rPr>
                    <w:t>内径m</w:t>
                  </w:r>
                </w:p>
              </w:tc>
              <w:tc>
                <w:tcPr>
                  <w:tcW w:w="678" w:type="dxa"/>
                  <w:vAlign w:val="center"/>
                </w:tcPr>
                <w:p w14:paraId="0B66AE7C">
                  <w:pPr>
                    <w:pStyle w:val="45"/>
                    <w:rPr>
                      <w:szCs w:val="21"/>
                    </w:rPr>
                  </w:pPr>
                  <w:r>
                    <w:rPr>
                      <w:szCs w:val="21"/>
                    </w:rPr>
                    <w:t>温度</w:t>
                  </w:r>
                </w:p>
                <w:p w14:paraId="7D407D52">
                  <w:pPr>
                    <w:pStyle w:val="45"/>
                    <w:rPr>
                      <w:szCs w:val="21"/>
                    </w:rPr>
                  </w:pPr>
                  <w:r>
                    <w:rPr>
                      <w:szCs w:val="21"/>
                    </w:rPr>
                    <w:t>℃</w:t>
                  </w:r>
                </w:p>
              </w:tc>
              <w:tc>
                <w:tcPr>
                  <w:tcW w:w="867" w:type="dxa"/>
                  <w:vAlign w:val="center"/>
                </w:tcPr>
                <w:p w14:paraId="2E14AE6C">
                  <w:pPr>
                    <w:pStyle w:val="45"/>
                    <w:rPr>
                      <w:szCs w:val="21"/>
                    </w:rPr>
                  </w:pPr>
                  <w:r>
                    <w:rPr>
                      <w:szCs w:val="21"/>
                    </w:rPr>
                    <w:t>类型</w:t>
                  </w:r>
                </w:p>
              </w:tc>
              <w:tc>
                <w:tcPr>
                  <w:tcW w:w="1279" w:type="dxa"/>
                  <w:vAlign w:val="center"/>
                </w:tcPr>
                <w:p w14:paraId="6A7433FB">
                  <w:pPr>
                    <w:pStyle w:val="45"/>
                    <w:rPr>
                      <w:szCs w:val="21"/>
                    </w:rPr>
                  </w:pPr>
                  <w:r>
                    <w:rPr>
                      <w:szCs w:val="21"/>
                    </w:rPr>
                    <w:t>地理坐标</w:t>
                  </w:r>
                </w:p>
              </w:tc>
              <w:tc>
                <w:tcPr>
                  <w:tcW w:w="850" w:type="dxa"/>
                  <w:vMerge w:val="continue"/>
                  <w:vAlign w:val="center"/>
                </w:tcPr>
                <w:p w14:paraId="06FB20B8">
                  <w:pPr>
                    <w:pStyle w:val="45"/>
                    <w:rPr>
                      <w:szCs w:val="21"/>
                    </w:rPr>
                  </w:pPr>
                </w:p>
              </w:tc>
              <w:tc>
                <w:tcPr>
                  <w:tcW w:w="709" w:type="dxa"/>
                  <w:vMerge w:val="continue"/>
                  <w:vAlign w:val="center"/>
                </w:tcPr>
                <w:p w14:paraId="6B22E1F9">
                  <w:pPr>
                    <w:pStyle w:val="45"/>
                    <w:rPr>
                      <w:szCs w:val="21"/>
                    </w:rPr>
                  </w:pPr>
                </w:p>
              </w:tc>
              <w:tc>
                <w:tcPr>
                  <w:tcW w:w="709" w:type="dxa"/>
                  <w:vAlign w:val="center"/>
                </w:tcPr>
                <w:p w14:paraId="3443F0F6">
                  <w:pPr>
                    <w:pStyle w:val="45"/>
                    <w:rPr>
                      <w:szCs w:val="21"/>
                    </w:rPr>
                  </w:pPr>
                  <w:r>
                    <w:rPr>
                      <w:szCs w:val="21"/>
                    </w:rPr>
                    <w:t>监测点位</w:t>
                  </w:r>
                </w:p>
              </w:tc>
              <w:tc>
                <w:tcPr>
                  <w:tcW w:w="567" w:type="dxa"/>
                  <w:vAlign w:val="center"/>
                </w:tcPr>
                <w:p w14:paraId="2D7FEF9A">
                  <w:pPr>
                    <w:pStyle w:val="45"/>
                    <w:rPr>
                      <w:szCs w:val="21"/>
                    </w:rPr>
                  </w:pPr>
                  <w:r>
                    <w:rPr>
                      <w:szCs w:val="21"/>
                    </w:rPr>
                    <w:t>监测</w:t>
                  </w:r>
                </w:p>
                <w:p w14:paraId="20179F72">
                  <w:pPr>
                    <w:pStyle w:val="45"/>
                    <w:rPr>
                      <w:szCs w:val="21"/>
                    </w:rPr>
                  </w:pPr>
                  <w:r>
                    <w:rPr>
                      <w:szCs w:val="21"/>
                    </w:rPr>
                    <w:t>因子</w:t>
                  </w:r>
                </w:p>
              </w:tc>
              <w:tc>
                <w:tcPr>
                  <w:tcW w:w="707" w:type="dxa"/>
                  <w:vAlign w:val="center"/>
                </w:tcPr>
                <w:p w14:paraId="454C8A3E">
                  <w:pPr>
                    <w:pStyle w:val="45"/>
                    <w:rPr>
                      <w:szCs w:val="21"/>
                    </w:rPr>
                  </w:pPr>
                  <w:r>
                    <w:rPr>
                      <w:szCs w:val="21"/>
                    </w:rPr>
                    <w:t>监测频次</w:t>
                  </w:r>
                </w:p>
              </w:tc>
            </w:tr>
            <w:tr w14:paraId="0672C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Align w:val="center"/>
                </w:tcPr>
                <w:p w14:paraId="1B449D4C">
                  <w:pPr>
                    <w:pStyle w:val="45"/>
                    <w:rPr>
                      <w:szCs w:val="21"/>
                    </w:rPr>
                  </w:pPr>
                  <w:r>
                    <w:rPr>
                      <w:rFonts w:hint="eastAsia"/>
                      <w:szCs w:val="21"/>
                    </w:rPr>
                    <w:t>焊接烟尘</w:t>
                  </w:r>
                </w:p>
              </w:tc>
              <w:tc>
                <w:tcPr>
                  <w:tcW w:w="633" w:type="dxa"/>
                  <w:vAlign w:val="center"/>
                </w:tcPr>
                <w:p w14:paraId="32533298">
                  <w:pPr>
                    <w:pStyle w:val="45"/>
                    <w:rPr>
                      <w:szCs w:val="21"/>
                    </w:rPr>
                  </w:pPr>
                  <w:r>
                    <w:rPr>
                      <w:szCs w:val="21"/>
                    </w:rPr>
                    <w:t>颗粒物</w:t>
                  </w:r>
                </w:p>
              </w:tc>
              <w:tc>
                <w:tcPr>
                  <w:tcW w:w="899" w:type="dxa"/>
                  <w:vAlign w:val="center"/>
                </w:tcPr>
                <w:p w14:paraId="3CC8BDB9">
                  <w:pPr>
                    <w:pStyle w:val="45"/>
                    <w:rPr>
                      <w:szCs w:val="21"/>
                    </w:rPr>
                  </w:pPr>
                  <w:r>
                    <w:rPr>
                      <w:rFonts w:hint="eastAsia"/>
                      <w:szCs w:val="21"/>
                    </w:rPr>
                    <w:t>0.294</w:t>
                  </w:r>
                </w:p>
              </w:tc>
              <w:tc>
                <w:tcPr>
                  <w:tcW w:w="977" w:type="dxa"/>
                  <w:vAlign w:val="center"/>
                </w:tcPr>
                <w:p w14:paraId="7C232723">
                  <w:pPr>
                    <w:pStyle w:val="45"/>
                    <w:rPr>
                      <w:szCs w:val="21"/>
                    </w:rPr>
                  </w:pPr>
                  <w:r>
                    <w:rPr>
                      <w:rFonts w:hint="eastAsia"/>
                      <w:szCs w:val="21"/>
                    </w:rPr>
                    <w:t>0.047</w:t>
                  </w:r>
                </w:p>
              </w:tc>
              <w:tc>
                <w:tcPr>
                  <w:tcW w:w="983" w:type="dxa"/>
                  <w:vAlign w:val="center"/>
                </w:tcPr>
                <w:p w14:paraId="6BA16E1C">
                  <w:pPr>
                    <w:pStyle w:val="45"/>
                    <w:rPr>
                      <w:szCs w:val="21"/>
                    </w:rPr>
                  </w:pPr>
                  <w:r>
                    <w:rPr>
                      <w:rFonts w:hint="eastAsia"/>
                      <w:szCs w:val="21"/>
                    </w:rPr>
                    <w:t>/</w:t>
                  </w:r>
                </w:p>
              </w:tc>
              <w:tc>
                <w:tcPr>
                  <w:tcW w:w="831" w:type="dxa"/>
                  <w:vAlign w:val="center"/>
                </w:tcPr>
                <w:p w14:paraId="2B0A26E1">
                  <w:pPr>
                    <w:pStyle w:val="45"/>
                    <w:rPr>
                      <w:szCs w:val="21"/>
                    </w:rPr>
                  </w:pPr>
                  <w:r>
                    <w:rPr>
                      <w:rFonts w:hint="eastAsia"/>
                      <w:szCs w:val="21"/>
                    </w:rPr>
                    <w:t>无</w:t>
                  </w:r>
                  <w:r>
                    <w:rPr>
                      <w:szCs w:val="21"/>
                    </w:rPr>
                    <w:t>组织</w:t>
                  </w:r>
                </w:p>
              </w:tc>
              <w:tc>
                <w:tcPr>
                  <w:tcW w:w="1078" w:type="dxa"/>
                  <w:vAlign w:val="center"/>
                </w:tcPr>
                <w:p w14:paraId="3F823F35">
                  <w:pPr>
                    <w:pStyle w:val="45"/>
                    <w:rPr>
                      <w:szCs w:val="21"/>
                    </w:rPr>
                  </w:pPr>
                  <w:r>
                    <w:rPr>
                      <w:rFonts w:hint="eastAsia"/>
                    </w:rPr>
                    <w:t>焊烟净化器</w:t>
                  </w:r>
                </w:p>
              </w:tc>
              <w:tc>
                <w:tcPr>
                  <w:tcW w:w="763" w:type="dxa"/>
                  <w:vAlign w:val="center"/>
                </w:tcPr>
                <w:p w14:paraId="02BFBA4F">
                  <w:pPr>
                    <w:pStyle w:val="45"/>
                    <w:rPr>
                      <w:szCs w:val="21"/>
                    </w:rPr>
                  </w:pPr>
                  <w:r>
                    <w:rPr>
                      <w:rFonts w:hint="eastAsia"/>
                      <w:szCs w:val="21"/>
                    </w:rPr>
                    <w:t>/</w:t>
                  </w:r>
                </w:p>
              </w:tc>
              <w:tc>
                <w:tcPr>
                  <w:tcW w:w="706" w:type="dxa"/>
                  <w:vAlign w:val="center"/>
                </w:tcPr>
                <w:p w14:paraId="105B2B50">
                  <w:pPr>
                    <w:pStyle w:val="45"/>
                    <w:rPr>
                      <w:szCs w:val="21"/>
                    </w:rPr>
                  </w:pPr>
                  <w:r>
                    <w:rPr>
                      <w:rFonts w:hint="eastAsia"/>
                      <w:szCs w:val="21"/>
                    </w:rPr>
                    <w:t>80%</w:t>
                  </w:r>
                </w:p>
              </w:tc>
              <w:tc>
                <w:tcPr>
                  <w:tcW w:w="691" w:type="dxa"/>
                  <w:vAlign w:val="center"/>
                </w:tcPr>
                <w:p w14:paraId="149961E7">
                  <w:pPr>
                    <w:pStyle w:val="45"/>
                    <w:rPr>
                      <w:szCs w:val="21"/>
                    </w:rPr>
                  </w:pPr>
                  <w:r>
                    <w:rPr>
                      <w:rFonts w:hint="eastAsia"/>
                      <w:szCs w:val="21"/>
                    </w:rPr>
                    <w:t>95%</w:t>
                  </w:r>
                </w:p>
              </w:tc>
              <w:tc>
                <w:tcPr>
                  <w:tcW w:w="661" w:type="dxa"/>
                  <w:vAlign w:val="center"/>
                </w:tcPr>
                <w:p w14:paraId="5B4D8A1F">
                  <w:pPr>
                    <w:pStyle w:val="45"/>
                    <w:rPr>
                      <w:szCs w:val="21"/>
                    </w:rPr>
                  </w:pPr>
                  <w:r>
                    <w:rPr>
                      <w:szCs w:val="21"/>
                    </w:rPr>
                    <w:t>是</w:t>
                  </w:r>
                </w:p>
              </w:tc>
              <w:tc>
                <w:tcPr>
                  <w:tcW w:w="899" w:type="dxa"/>
                  <w:vAlign w:val="center"/>
                </w:tcPr>
                <w:p w14:paraId="48B8B1BC">
                  <w:pPr>
                    <w:pStyle w:val="45"/>
                    <w:rPr>
                      <w:szCs w:val="21"/>
                    </w:rPr>
                  </w:pPr>
                  <w:r>
                    <w:rPr>
                      <w:rFonts w:hint="eastAsia"/>
                      <w:szCs w:val="21"/>
                    </w:rPr>
                    <w:t>0.071</w:t>
                  </w:r>
                </w:p>
              </w:tc>
              <w:tc>
                <w:tcPr>
                  <w:tcW w:w="977" w:type="dxa"/>
                  <w:vAlign w:val="center"/>
                </w:tcPr>
                <w:p w14:paraId="70875767">
                  <w:pPr>
                    <w:pStyle w:val="45"/>
                    <w:rPr>
                      <w:szCs w:val="21"/>
                    </w:rPr>
                  </w:pPr>
                  <w:r>
                    <w:rPr>
                      <w:rFonts w:hint="eastAsia"/>
                      <w:szCs w:val="21"/>
                    </w:rPr>
                    <w:t>0.011</w:t>
                  </w:r>
                </w:p>
              </w:tc>
              <w:tc>
                <w:tcPr>
                  <w:tcW w:w="916" w:type="dxa"/>
                  <w:vAlign w:val="center"/>
                </w:tcPr>
                <w:p w14:paraId="13311005">
                  <w:pPr>
                    <w:pStyle w:val="45"/>
                    <w:rPr>
                      <w:szCs w:val="21"/>
                    </w:rPr>
                  </w:pPr>
                  <w:r>
                    <w:rPr>
                      <w:rFonts w:hint="eastAsia"/>
                      <w:szCs w:val="21"/>
                    </w:rPr>
                    <w:t>/</w:t>
                  </w:r>
                </w:p>
              </w:tc>
              <w:tc>
                <w:tcPr>
                  <w:tcW w:w="835" w:type="dxa"/>
                  <w:vAlign w:val="center"/>
                </w:tcPr>
                <w:p w14:paraId="5C403E32">
                  <w:pPr>
                    <w:pStyle w:val="45"/>
                    <w:rPr>
                      <w:szCs w:val="21"/>
                    </w:rPr>
                  </w:pPr>
                  <w:r>
                    <w:rPr>
                      <w:rFonts w:hint="eastAsia"/>
                      <w:szCs w:val="21"/>
                    </w:rPr>
                    <w:t>/</w:t>
                  </w:r>
                </w:p>
              </w:tc>
              <w:tc>
                <w:tcPr>
                  <w:tcW w:w="676" w:type="dxa"/>
                  <w:vAlign w:val="center"/>
                </w:tcPr>
                <w:p w14:paraId="279EEEB7">
                  <w:pPr>
                    <w:pStyle w:val="45"/>
                    <w:rPr>
                      <w:szCs w:val="21"/>
                    </w:rPr>
                  </w:pPr>
                  <w:r>
                    <w:rPr>
                      <w:rFonts w:hint="eastAsia"/>
                      <w:szCs w:val="21"/>
                    </w:rPr>
                    <w:t>/</w:t>
                  </w:r>
                </w:p>
              </w:tc>
              <w:tc>
                <w:tcPr>
                  <w:tcW w:w="683" w:type="dxa"/>
                  <w:vAlign w:val="center"/>
                </w:tcPr>
                <w:p w14:paraId="1738A133">
                  <w:pPr>
                    <w:pStyle w:val="45"/>
                    <w:rPr>
                      <w:szCs w:val="21"/>
                    </w:rPr>
                  </w:pPr>
                  <w:r>
                    <w:rPr>
                      <w:rFonts w:hint="eastAsia"/>
                      <w:szCs w:val="21"/>
                    </w:rPr>
                    <w:t>/</w:t>
                  </w:r>
                </w:p>
              </w:tc>
              <w:tc>
                <w:tcPr>
                  <w:tcW w:w="678" w:type="dxa"/>
                  <w:vAlign w:val="center"/>
                </w:tcPr>
                <w:p w14:paraId="728CD646">
                  <w:pPr>
                    <w:pStyle w:val="45"/>
                    <w:rPr>
                      <w:szCs w:val="21"/>
                    </w:rPr>
                  </w:pPr>
                  <w:r>
                    <w:rPr>
                      <w:rFonts w:hint="eastAsia"/>
                      <w:szCs w:val="21"/>
                    </w:rPr>
                    <w:t>/</w:t>
                  </w:r>
                </w:p>
              </w:tc>
              <w:tc>
                <w:tcPr>
                  <w:tcW w:w="867" w:type="dxa"/>
                  <w:vAlign w:val="center"/>
                </w:tcPr>
                <w:p w14:paraId="200536D7">
                  <w:pPr>
                    <w:pStyle w:val="45"/>
                    <w:rPr>
                      <w:szCs w:val="21"/>
                    </w:rPr>
                  </w:pPr>
                  <w:r>
                    <w:rPr>
                      <w:rFonts w:hint="eastAsia"/>
                      <w:szCs w:val="21"/>
                    </w:rPr>
                    <w:t>/</w:t>
                  </w:r>
                </w:p>
              </w:tc>
              <w:tc>
                <w:tcPr>
                  <w:tcW w:w="1279" w:type="dxa"/>
                  <w:vAlign w:val="center"/>
                </w:tcPr>
                <w:p w14:paraId="03158FE1">
                  <w:pPr>
                    <w:pStyle w:val="45"/>
                    <w:rPr>
                      <w:szCs w:val="21"/>
                    </w:rPr>
                  </w:pPr>
                  <w:r>
                    <w:rPr>
                      <w:rFonts w:hint="eastAsia"/>
                      <w:szCs w:val="21"/>
                    </w:rPr>
                    <w:t>/</w:t>
                  </w:r>
                </w:p>
              </w:tc>
              <w:tc>
                <w:tcPr>
                  <w:tcW w:w="850" w:type="dxa"/>
                  <w:vAlign w:val="center"/>
                </w:tcPr>
                <w:p w14:paraId="6D3D5FEF">
                  <w:pPr>
                    <w:pStyle w:val="45"/>
                    <w:rPr>
                      <w:szCs w:val="21"/>
                    </w:rPr>
                  </w:pPr>
                  <w:r>
                    <w:rPr>
                      <w:rFonts w:hint="eastAsia"/>
                      <w:szCs w:val="21"/>
                    </w:rPr>
                    <w:t>1</w:t>
                  </w:r>
                </w:p>
              </w:tc>
              <w:tc>
                <w:tcPr>
                  <w:tcW w:w="709" w:type="dxa"/>
                  <w:vAlign w:val="center"/>
                </w:tcPr>
                <w:p w14:paraId="669652AE">
                  <w:pPr>
                    <w:pStyle w:val="45"/>
                    <w:rPr>
                      <w:szCs w:val="21"/>
                    </w:rPr>
                  </w:pPr>
                  <w:r>
                    <w:rPr>
                      <w:szCs w:val="21"/>
                    </w:rPr>
                    <w:t>达标</w:t>
                  </w:r>
                </w:p>
              </w:tc>
              <w:tc>
                <w:tcPr>
                  <w:tcW w:w="709" w:type="dxa"/>
                  <w:vAlign w:val="center"/>
                </w:tcPr>
                <w:p w14:paraId="2FEEBB8C">
                  <w:pPr>
                    <w:pStyle w:val="45"/>
                    <w:rPr>
                      <w:szCs w:val="21"/>
                    </w:rPr>
                  </w:pPr>
                  <w:r>
                    <w:rPr>
                      <w:szCs w:val="21"/>
                    </w:rPr>
                    <w:t>厂界</w:t>
                  </w:r>
                </w:p>
              </w:tc>
              <w:tc>
                <w:tcPr>
                  <w:tcW w:w="567" w:type="dxa"/>
                  <w:vAlign w:val="center"/>
                </w:tcPr>
                <w:p w14:paraId="749DB7A2">
                  <w:pPr>
                    <w:pStyle w:val="45"/>
                    <w:rPr>
                      <w:szCs w:val="21"/>
                    </w:rPr>
                  </w:pPr>
                  <w:r>
                    <w:rPr>
                      <w:szCs w:val="21"/>
                    </w:rPr>
                    <w:t>颗粒物</w:t>
                  </w:r>
                </w:p>
              </w:tc>
              <w:tc>
                <w:tcPr>
                  <w:tcW w:w="707" w:type="dxa"/>
                  <w:vAlign w:val="center"/>
                </w:tcPr>
                <w:p w14:paraId="619AB085">
                  <w:pPr>
                    <w:pStyle w:val="45"/>
                    <w:rPr>
                      <w:szCs w:val="21"/>
                    </w:rPr>
                  </w:pPr>
                  <w:r>
                    <w:rPr>
                      <w:szCs w:val="21"/>
                    </w:rPr>
                    <w:t>1次/年</w:t>
                  </w:r>
                </w:p>
              </w:tc>
            </w:tr>
            <w:tr w14:paraId="32FCF1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Align w:val="center"/>
                </w:tcPr>
                <w:p w14:paraId="7BB35551">
                  <w:pPr>
                    <w:pStyle w:val="45"/>
                    <w:rPr>
                      <w:szCs w:val="21"/>
                    </w:rPr>
                  </w:pPr>
                  <w:r>
                    <w:rPr>
                      <w:rFonts w:hint="eastAsia"/>
                    </w:rPr>
                    <w:t>打磨粉尘</w:t>
                  </w:r>
                </w:p>
              </w:tc>
              <w:tc>
                <w:tcPr>
                  <w:tcW w:w="633" w:type="dxa"/>
                  <w:vAlign w:val="center"/>
                </w:tcPr>
                <w:p w14:paraId="29DD1052">
                  <w:pPr>
                    <w:pStyle w:val="45"/>
                    <w:rPr>
                      <w:szCs w:val="21"/>
                    </w:rPr>
                  </w:pPr>
                  <w:r>
                    <w:rPr>
                      <w:szCs w:val="21"/>
                    </w:rPr>
                    <w:t>颗粒物</w:t>
                  </w:r>
                </w:p>
              </w:tc>
              <w:tc>
                <w:tcPr>
                  <w:tcW w:w="899" w:type="dxa"/>
                  <w:vAlign w:val="center"/>
                </w:tcPr>
                <w:p w14:paraId="20C7D210">
                  <w:pPr>
                    <w:pStyle w:val="45"/>
                    <w:rPr>
                      <w:szCs w:val="21"/>
                    </w:rPr>
                  </w:pPr>
                  <w:r>
                    <w:rPr>
                      <w:rFonts w:hint="eastAsia"/>
                      <w:szCs w:val="21"/>
                    </w:rPr>
                    <w:t>1.960</w:t>
                  </w:r>
                </w:p>
              </w:tc>
              <w:tc>
                <w:tcPr>
                  <w:tcW w:w="977" w:type="dxa"/>
                  <w:vAlign w:val="center"/>
                </w:tcPr>
                <w:p w14:paraId="2CD27319">
                  <w:pPr>
                    <w:pStyle w:val="45"/>
                    <w:rPr>
                      <w:szCs w:val="21"/>
                    </w:rPr>
                  </w:pPr>
                  <w:r>
                    <w:rPr>
                      <w:rFonts w:hint="eastAsia"/>
                      <w:szCs w:val="21"/>
                    </w:rPr>
                    <w:t>0.313</w:t>
                  </w:r>
                </w:p>
              </w:tc>
              <w:tc>
                <w:tcPr>
                  <w:tcW w:w="983" w:type="dxa"/>
                  <w:vAlign w:val="center"/>
                </w:tcPr>
                <w:p w14:paraId="20966445">
                  <w:pPr>
                    <w:pStyle w:val="45"/>
                    <w:rPr>
                      <w:szCs w:val="21"/>
                    </w:rPr>
                  </w:pPr>
                  <w:r>
                    <w:rPr>
                      <w:rFonts w:hint="eastAsia"/>
                      <w:szCs w:val="21"/>
                    </w:rPr>
                    <w:t>/</w:t>
                  </w:r>
                </w:p>
              </w:tc>
              <w:tc>
                <w:tcPr>
                  <w:tcW w:w="831" w:type="dxa"/>
                  <w:vAlign w:val="center"/>
                </w:tcPr>
                <w:p w14:paraId="44916AE8">
                  <w:pPr>
                    <w:pStyle w:val="45"/>
                    <w:rPr>
                      <w:szCs w:val="21"/>
                    </w:rPr>
                  </w:pPr>
                  <w:r>
                    <w:rPr>
                      <w:rFonts w:hint="eastAsia"/>
                      <w:szCs w:val="21"/>
                    </w:rPr>
                    <w:t>无组织</w:t>
                  </w:r>
                </w:p>
              </w:tc>
              <w:tc>
                <w:tcPr>
                  <w:tcW w:w="1078" w:type="dxa"/>
                  <w:vAlign w:val="center"/>
                </w:tcPr>
                <w:p w14:paraId="19BF16D5">
                  <w:pPr>
                    <w:pStyle w:val="45"/>
                    <w:rPr>
                      <w:szCs w:val="21"/>
                    </w:rPr>
                  </w:pPr>
                  <w:r>
                    <w:rPr>
                      <w:rFonts w:hint="eastAsia"/>
                    </w:rPr>
                    <w:t>脉冲布袋除尘器</w:t>
                  </w:r>
                </w:p>
              </w:tc>
              <w:tc>
                <w:tcPr>
                  <w:tcW w:w="763" w:type="dxa"/>
                  <w:vAlign w:val="center"/>
                </w:tcPr>
                <w:p w14:paraId="52DBA6F8">
                  <w:pPr>
                    <w:pStyle w:val="45"/>
                    <w:rPr>
                      <w:szCs w:val="21"/>
                    </w:rPr>
                  </w:pPr>
                  <w:r>
                    <w:rPr>
                      <w:rFonts w:hint="eastAsia"/>
                      <w:szCs w:val="21"/>
                    </w:rPr>
                    <w:t>/</w:t>
                  </w:r>
                </w:p>
              </w:tc>
              <w:tc>
                <w:tcPr>
                  <w:tcW w:w="706" w:type="dxa"/>
                  <w:vAlign w:val="center"/>
                </w:tcPr>
                <w:p w14:paraId="4FA15DC5">
                  <w:pPr>
                    <w:pStyle w:val="45"/>
                    <w:rPr>
                      <w:szCs w:val="21"/>
                    </w:rPr>
                  </w:pPr>
                  <w:r>
                    <w:rPr>
                      <w:rFonts w:hint="eastAsia"/>
                      <w:szCs w:val="21"/>
                    </w:rPr>
                    <w:t>80%</w:t>
                  </w:r>
                </w:p>
              </w:tc>
              <w:tc>
                <w:tcPr>
                  <w:tcW w:w="691" w:type="dxa"/>
                  <w:vAlign w:val="center"/>
                </w:tcPr>
                <w:p w14:paraId="7C973B0F">
                  <w:pPr>
                    <w:pStyle w:val="45"/>
                    <w:rPr>
                      <w:szCs w:val="21"/>
                    </w:rPr>
                  </w:pPr>
                  <w:r>
                    <w:rPr>
                      <w:rFonts w:hint="eastAsia"/>
                      <w:szCs w:val="21"/>
                    </w:rPr>
                    <w:t>95%</w:t>
                  </w:r>
                </w:p>
              </w:tc>
              <w:tc>
                <w:tcPr>
                  <w:tcW w:w="661" w:type="dxa"/>
                  <w:vAlign w:val="center"/>
                </w:tcPr>
                <w:p w14:paraId="50C1AF40">
                  <w:pPr>
                    <w:pStyle w:val="45"/>
                    <w:rPr>
                      <w:szCs w:val="21"/>
                    </w:rPr>
                  </w:pPr>
                  <w:r>
                    <w:rPr>
                      <w:szCs w:val="21"/>
                    </w:rPr>
                    <w:t>是</w:t>
                  </w:r>
                </w:p>
              </w:tc>
              <w:tc>
                <w:tcPr>
                  <w:tcW w:w="899" w:type="dxa"/>
                  <w:vAlign w:val="center"/>
                </w:tcPr>
                <w:p w14:paraId="316D0D62">
                  <w:pPr>
                    <w:pStyle w:val="45"/>
                    <w:rPr>
                      <w:szCs w:val="21"/>
                    </w:rPr>
                  </w:pPr>
                  <w:r>
                    <w:rPr>
                      <w:rFonts w:hint="eastAsia"/>
                      <w:szCs w:val="21"/>
                    </w:rPr>
                    <w:t>0.470</w:t>
                  </w:r>
                </w:p>
              </w:tc>
              <w:tc>
                <w:tcPr>
                  <w:tcW w:w="977" w:type="dxa"/>
                  <w:vAlign w:val="center"/>
                </w:tcPr>
                <w:p w14:paraId="3FA727FE">
                  <w:pPr>
                    <w:pStyle w:val="45"/>
                    <w:rPr>
                      <w:szCs w:val="21"/>
                    </w:rPr>
                  </w:pPr>
                  <w:r>
                    <w:rPr>
                      <w:rFonts w:hint="eastAsia"/>
                      <w:szCs w:val="21"/>
                    </w:rPr>
                    <w:t>0.075</w:t>
                  </w:r>
                </w:p>
              </w:tc>
              <w:tc>
                <w:tcPr>
                  <w:tcW w:w="916" w:type="dxa"/>
                  <w:vAlign w:val="center"/>
                </w:tcPr>
                <w:p w14:paraId="0AB60861">
                  <w:pPr>
                    <w:pStyle w:val="45"/>
                    <w:rPr>
                      <w:szCs w:val="21"/>
                    </w:rPr>
                  </w:pPr>
                  <w:r>
                    <w:rPr>
                      <w:rFonts w:hint="eastAsia"/>
                      <w:szCs w:val="21"/>
                    </w:rPr>
                    <w:t>/</w:t>
                  </w:r>
                </w:p>
              </w:tc>
              <w:tc>
                <w:tcPr>
                  <w:tcW w:w="835" w:type="dxa"/>
                  <w:vAlign w:val="center"/>
                </w:tcPr>
                <w:p w14:paraId="046C2132">
                  <w:pPr>
                    <w:pStyle w:val="45"/>
                    <w:rPr>
                      <w:szCs w:val="21"/>
                    </w:rPr>
                  </w:pPr>
                  <w:r>
                    <w:rPr>
                      <w:rFonts w:hint="eastAsia"/>
                      <w:szCs w:val="21"/>
                    </w:rPr>
                    <w:t>/</w:t>
                  </w:r>
                </w:p>
              </w:tc>
              <w:tc>
                <w:tcPr>
                  <w:tcW w:w="676" w:type="dxa"/>
                  <w:vAlign w:val="center"/>
                </w:tcPr>
                <w:p w14:paraId="4342383B">
                  <w:pPr>
                    <w:pStyle w:val="45"/>
                    <w:rPr>
                      <w:szCs w:val="21"/>
                    </w:rPr>
                  </w:pPr>
                  <w:r>
                    <w:rPr>
                      <w:rFonts w:hint="eastAsia"/>
                      <w:szCs w:val="21"/>
                    </w:rPr>
                    <w:t>/</w:t>
                  </w:r>
                </w:p>
              </w:tc>
              <w:tc>
                <w:tcPr>
                  <w:tcW w:w="683" w:type="dxa"/>
                  <w:vAlign w:val="center"/>
                </w:tcPr>
                <w:p w14:paraId="5E740AB2">
                  <w:pPr>
                    <w:pStyle w:val="45"/>
                    <w:rPr>
                      <w:szCs w:val="21"/>
                    </w:rPr>
                  </w:pPr>
                  <w:r>
                    <w:rPr>
                      <w:rFonts w:hint="eastAsia"/>
                      <w:szCs w:val="21"/>
                    </w:rPr>
                    <w:t>/</w:t>
                  </w:r>
                </w:p>
              </w:tc>
              <w:tc>
                <w:tcPr>
                  <w:tcW w:w="678" w:type="dxa"/>
                  <w:vAlign w:val="center"/>
                </w:tcPr>
                <w:p w14:paraId="24CB31A5">
                  <w:pPr>
                    <w:pStyle w:val="45"/>
                    <w:rPr>
                      <w:szCs w:val="21"/>
                    </w:rPr>
                  </w:pPr>
                  <w:r>
                    <w:rPr>
                      <w:rFonts w:hint="eastAsia"/>
                      <w:szCs w:val="21"/>
                    </w:rPr>
                    <w:t>/</w:t>
                  </w:r>
                </w:p>
              </w:tc>
              <w:tc>
                <w:tcPr>
                  <w:tcW w:w="867" w:type="dxa"/>
                  <w:vAlign w:val="center"/>
                </w:tcPr>
                <w:p w14:paraId="223C5EC2">
                  <w:pPr>
                    <w:pStyle w:val="45"/>
                    <w:rPr>
                      <w:szCs w:val="21"/>
                    </w:rPr>
                  </w:pPr>
                  <w:r>
                    <w:rPr>
                      <w:rFonts w:hint="eastAsia"/>
                      <w:szCs w:val="21"/>
                    </w:rPr>
                    <w:t>/</w:t>
                  </w:r>
                </w:p>
              </w:tc>
              <w:tc>
                <w:tcPr>
                  <w:tcW w:w="1279" w:type="dxa"/>
                  <w:vAlign w:val="center"/>
                </w:tcPr>
                <w:p w14:paraId="010C0DD3">
                  <w:pPr>
                    <w:pStyle w:val="45"/>
                    <w:rPr>
                      <w:szCs w:val="21"/>
                    </w:rPr>
                  </w:pPr>
                  <w:r>
                    <w:rPr>
                      <w:rFonts w:hint="eastAsia"/>
                      <w:szCs w:val="21"/>
                    </w:rPr>
                    <w:t>/</w:t>
                  </w:r>
                </w:p>
              </w:tc>
              <w:tc>
                <w:tcPr>
                  <w:tcW w:w="850" w:type="dxa"/>
                  <w:vAlign w:val="center"/>
                </w:tcPr>
                <w:p w14:paraId="467B06DB">
                  <w:pPr>
                    <w:pStyle w:val="45"/>
                    <w:rPr>
                      <w:szCs w:val="21"/>
                    </w:rPr>
                  </w:pPr>
                  <w:r>
                    <w:rPr>
                      <w:rFonts w:hint="eastAsia"/>
                      <w:szCs w:val="21"/>
                    </w:rPr>
                    <w:t>1</w:t>
                  </w:r>
                </w:p>
              </w:tc>
              <w:tc>
                <w:tcPr>
                  <w:tcW w:w="709" w:type="dxa"/>
                  <w:vAlign w:val="center"/>
                </w:tcPr>
                <w:p w14:paraId="78C2EA08">
                  <w:pPr>
                    <w:pStyle w:val="45"/>
                    <w:rPr>
                      <w:szCs w:val="21"/>
                    </w:rPr>
                  </w:pPr>
                  <w:r>
                    <w:rPr>
                      <w:szCs w:val="21"/>
                    </w:rPr>
                    <w:t>达标</w:t>
                  </w:r>
                </w:p>
              </w:tc>
              <w:tc>
                <w:tcPr>
                  <w:tcW w:w="709" w:type="dxa"/>
                  <w:vAlign w:val="center"/>
                </w:tcPr>
                <w:p w14:paraId="68991E7A">
                  <w:pPr>
                    <w:pStyle w:val="45"/>
                    <w:rPr>
                      <w:szCs w:val="21"/>
                    </w:rPr>
                  </w:pPr>
                  <w:r>
                    <w:rPr>
                      <w:szCs w:val="21"/>
                    </w:rPr>
                    <w:t>厂界</w:t>
                  </w:r>
                </w:p>
              </w:tc>
              <w:tc>
                <w:tcPr>
                  <w:tcW w:w="567" w:type="dxa"/>
                  <w:vAlign w:val="center"/>
                </w:tcPr>
                <w:p w14:paraId="55332BF9">
                  <w:pPr>
                    <w:pStyle w:val="45"/>
                    <w:rPr>
                      <w:szCs w:val="21"/>
                    </w:rPr>
                  </w:pPr>
                  <w:r>
                    <w:rPr>
                      <w:szCs w:val="21"/>
                    </w:rPr>
                    <w:t>颗粒物</w:t>
                  </w:r>
                </w:p>
              </w:tc>
              <w:tc>
                <w:tcPr>
                  <w:tcW w:w="707" w:type="dxa"/>
                  <w:vAlign w:val="center"/>
                </w:tcPr>
                <w:p w14:paraId="272AE0C0">
                  <w:pPr>
                    <w:pStyle w:val="45"/>
                    <w:rPr>
                      <w:szCs w:val="21"/>
                    </w:rPr>
                  </w:pPr>
                  <w:r>
                    <w:rPr>
                      <w:szCs w:val="21"/>
                    </w:rPr>
                    <w:t>1次/年</w:t>
                  </w:r>
                </w:p>
              </w:tc>
            </w:tr>
            <w:tr w14:paraId="29CFA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Merge w:val="restart"/>
                  <w:vAlign w:val="center"/>
                </w:tcPr>
                <w:p w14:paraId="2CD52D53">
                  <w:pPr>
                    <w:pStyle w:val="45"/>
                    <w:jc w:val="both"/>
                    <w:rPr>
                      <w:szCs w:val="21"/>
                    </w:rPr>
                  </w:pPr>
                  <w:r>
                    <w:rPr>
                      <w:rFonts w:hint="eastAsia"/>
                    </w:rPr>
                    <w:t>涂胶工序有机废气</w:t>
                  </w:r>
                </w:p>
              </w:tc>
              <w:tc>
                <w:tcPr>
                  <w:tcW w:w="633" w:type="dxa"/>
                  <w:vMerge w:val="restart"/>
                  <w:vAlign w:val="center"/>
                </w:tcPr>
                <w:p w14:paraId="0938998E">
                  <w:pPr>
                    <w:pStyle w:val="45"/>
                    <w:rPr>
                      <w:szCs w:val="21"/>
                    </w:rPr>
                  </w:pPr>
                  <w:r>
                    <w:rPr>
                      <w:rFonts w:hint="eastAsia"/>
                      <w:szCs w:val="21"/>
                    </w:rPr>
                    <w:t>非甲烷总烃</w:t>
                  </w:r>
                </w:p>
              </w:tc>
              <w:tc>
                <w:tcPr>
                  <w:tcW w:w="899" w:type="dxa"/>
                  <w:vMerge w:val="restart"/>
                  <w:vAlign w:val="center"/>
                </w:tcPr>
                <w:p w14:paraId="5B678C3D">
                  <w:pPr>
                    <w:pStyle w:val="45"/>
                    <w:rPr>
                      <w:szCs w:val="21"/>
                    </w:rPr>
                  </w:pPr>
                  <w:r>
                    <w:rPr>
                      <w:rFonts w:hint="eastAsia"/>
                      <w:szCs w:val="21"/>
                    </w:rPr>
                    <w:t>0.504</w:t>
                  </w:r>
                </w:p>
              </w:tc>
              <w:tc>
                <w:tcPr>
                  <w:tcW w:w="977" w:type="dxa"/>
                  <w:vMerge w:val="restart"/>
                  <w:vAlign w:val="center"/>
                </w:tcPr>
                <w:p w14:paraId="2E7BEE15">
                  <w:pPr>
                    <w:pStyle w:val="45"/>
                    <w:rPr>
                      <w:szCs w:val="21"/>
                    </w:rPr>
                  </w:pPr>
                  <w:r>
                    <w:rPr>
                      <w:rFonts w:hint="eastAsia"/>
                      <w:szCs w:val="21"/>
                    </w:rPr>
                    <w:t>0.080</w:t>
                  </w:r>
                </w:p>
              </w:tc>
              <w:tc>
                <w:tcPr>
                  <w:tcW w:w="983" w:type="dxa"/>
                  <w:vAlign w:val="center"/>
                </w:tcPr>
                <w:p w14:paraId="63696103">
                  <w:pPr>
                    <w:pStyle w:val="45"/>
                    <w:rPr>
                      <w:szCs w:val="21"/>
                    </w:rPr>
                  </w:pPr>
                  <w:r>
                    <w:rPr>
                      <w:rFonts w:hint="eastAsia"/>
                      <w:szCs w:val="21"/>
                    </w:rPr>
                    <w:t>/</w:t>
                  </w:r>
                </w:p>
              </w:tc>
              <w:tc>
                <w:tcPr>
                  <w:tcW w:w="831" w:type="dxa"/>
                  <w:vAlign w:val="center"/>
                </w:tcPr>
                <w:p w14:paraId="5CBB9192">
                  <w:pPr>
                    <w:pStyle w:val="45"/>
                    <w:rPr>
                      <w:szCs w:val="21"/>
                    </w:rPr>
                  </w:pPr>
                  <w:r>
                    <w:rPr>
                      <w:rFonts w:hint="eastAsia"/>
                      <w:szCs w:val="21"/>
                    </w:rPr>
                    <w:t>有组织</w:t>
                  </w:r>
                </w:p>
              </w:tc>
              <w:tc>
                <w:tcPr>
                  <w:tcW w:w="1078" w:type="dxa"/>
                  <w:vAlign w:val="center"/>
                </w:tcPr>
                <w:p w14:paraId="22CC73F2">
                  <w:pPr>
                    <w:pStyle w:val="45"/>
                    <w:rPr>
                      <w:szCs w:val="21"/>
                    </w:rPr>
                  </w:pPr>
                  <w:r>
                    <w:rPr>
                      <w:rFonts w:hint="eastAsia"/>
                    </w:rPr>
                    <w:t>两级活性炭吸附装置</w:t>
                  </w:r>
                </w:p>
              </w:tc>
              <w:tc>
                <w:tcPr>
                  <w:tcW w:w="763" w:type="dxa"/>
                  <w:vAlign w:val="center"/>
                </w:tcPr>
                <w:p w14:paraId="1888BF97">
                  <w:pPr>
                    <w:pStyle w:val="45"/>
                    <w:rPr>
                      <w:szCs w:val="21"/>
                    </w:rPr>
                  </w:pPr>
                  <w:r>
                    <w:rPr>
                      <w:rFonts w:hint="eastAsia"/>
                      <w:szCs w:val="21"/>
                    </w:rPr>
                    <w:t>2000</w:t>
                  </w:r>
                </w:p>
              </w:tc>
              <w:tc>
                <w:tcPr>
                  <w:tcW w:w="706" w:type="dxa"/>
                  <w:vAlign w:val="center"/>
                </w:tcPr>
                <w:p w14:paraId="512AD1EE">
                  <w:pPr>
                    <w:pStyle w:val="45"/>
                    <w:rPr>
                      <w:szCs w:val="21"/>
                    </w:rPr>
                  </w:pPr>
                  <w:r>
                    <w:rPr>
                      <w:rFonts w:hint="eastAsia"/>
                      <w:szCs w:val="21"/>
                    </w:rPr>
                    <w:t>80%</w:t>
                  </w:r>
                </w:p>
              </w:tc>
              <w:tc>
                <w:tcPr>
                  <w:tcW w:w="691" w:type="dxa"/>
                  <w:vAlign w:val="center"/>
                </w:tcPr>
                <w:p w14:paraId="72C47BA3">
                  <w:pPr>
                    <w:pStyle w:val="45"/>
                    <w:rPr>
                      <w:szCs w:val="21"/>
                    </w:rPr>
                  </w:pPr>
                  <w:r>
                    <w:rPr>
                      <w:rFonts w:hint="eastAsia"/>
                      <w:szCs w:val="21"/>
                    </w:rPr>
                    <w:t>60%</w:t>
                  </w:r>
                </w:p>
              </w:tc>
              <w:tc>
                <w:tcPr>
                  <w:tcW w:w="661" w:type="dxa"/>
                  <w:vAlign w:val="center"/>
                </w:tcPr>
                <w:p w14:paraId="76C816CB">
                  <w:pPr>
                    <w:pStyle w:val="45"/>
                    <w:rPr>
                      <w:szCs w:val="21"/>
                    </w:rPr>
                  </w:pPr>
                  <w:r>
                    <w:rPr>
                      <w:szCs w:val="21"/>
                    </w:rPr>
                    <w:t>是</w:t>
                  </w:r>
                </w:p>
              </w:tc>
              <w:tc>
                <w:tcPr>
                  <w:tcW w:w="899" w:type="dxa"/>
                  <w:vAlign w:val="center"/>
                </w:tcPr>
                <w:p w14:paraId="751F703D">
                  <w:pPr>
                    <w:pStyle w:val="45"/>
                    <w:rPr>
                      <w:szCs w:val="21"/>
                    </w:rPr>
                  </w:pPr>
                  <w:r>
                    <w:rPr>
                      <w:color w:val="000000"/>
                    </w:rPr>
                    <w:t>0.161</w:t>
                  </w:r>
                </w:p>
              </w:tc>
              <w:tc>
                <w:tcPr>
                  <w:tcW w:w="977" w:type="dxa"/>
                  <w:vAlign w:val="center"/>
                </w:tcPr>
                <w:p w14:paraId="5221D629">
                  <w:pPr>
                    <w:pStyle w:val="45"/>
                    <w:rPr>
                      <w:szCs w:val="21"/>
                    </w:rPr>
                  </w:pPr>
                  <w:r>
                    <w:rPr>
                      <w:color w:val="000000"/>
                    </w:rPr>
                    <w:t>0.026</w:t>
                  </w:r>
                </w:p>
              </w:tc>
              <w:tc>
                <w:tcPr>
                  <w:tcW w:w="916" w:type="dxa"/>
                  <w:vAlign w:val="center"/>
                </w:tcPr>
                <w:p w14:paraId="7721C26D">
                  <w:pPr>
                    <w:pStyle w:val="45"/>
                    <w:rPr>
                      <w:szCs w:val="21"/>
                    </w:rPr>
                  </w:pPr>
                  <w:r>
                    <w:rPr>
                      <w:color w:val="000000"/>
                    </w:rPr>
                    <w:t>12.9</w:t>
                  </w:r>
                </w:p>
              </w:tc>
              <w:tc>
                <w:tcPr>
                  <w:tcW w:w="835" w:type="dxa"/>
                  <w:vAlign w:val="center"/>
                </w:tcPr>
                <w:p w14:paraId="652CC023">
                  <w:pPr>
                    <w:pStyle w:val="45"/>
                    <w:rPr>
                      <w:szCs w:val="21"/>
                    </w:rPr>
                  </w:pPr>
                  <w:r>
                    <w:rPr>
                      <w:rFonts w:hint="eastAsia"/>
                      <w:szCs w:val="21"/>
                    </w:rPr>
                    <w:t>DA001</w:t>
                  </w:r>
                </w:p>
              </w:tc>
              <w:tc>
                <w:tcPr>
                  <w:tcW w:w="676" w:type="dxa"/>
                  <w:vAlign w:val="center"/>
                </w:tcPr>
                <w:p w14:paraId="00D3F854">
                  <w:pPr>
                    <w:pStyle w:val="45"/>
                    <w:rPr>
                      <w:szCs w:val="21"/>
                    </w:rPr>
                  </w:pPr>
                  <w:r>
                    <w:rPr>
                      <w:rFonts w:hint="eastAsia"/>
                      <w:szCs w:val="21"/>
                    </w:rPr>
                    <w:t>15</w:t>
                  </w:r>
                </w:p>
              </w:tc>
              <w:tc>
                <w:tcPr>
                  <w:tcW w:w="683" w:type="dxa"/>
                  <w:vAlign w:val="center"/>
                </w:tcPr>
                <w:p w14:paraId="5EEA5A6C">
                  <w:pPr>
                    <w:pStyle w:val="45"/>
                    <w:rPr>
                      <w:szCs w:val="21"/>
                    </w:rPr>
                  </w:pPr>
                  <w:r>
                    <w:rPr>
                      <w:rFonts w:hint="eastAsia"/>
                      <w:szCs w:val="21"/>
                    </w:rPr>
                    <w:t>0.2</w:t>
                  </w:r>
                </w:p>
              </w:tc>
              <w:tc>
                <w:tcPr>
                  <w:tcW w:w="678" w:type="dxa"/>
                  <w:vAlign w:val="center"/>
                </w:tcPr>
                <w:p w14:paraId="5F9BCC02">
                  <w:pPr>
                    <w:pStyle w:val="45"/>
                    <w:rPr>
                      <w:szCs w:val="21"/>
                    </w:rPr>
                  </w:pPr>
                  <w:r>
                    <w:rPr>
                      <w:rFonts w:hint="eastAsia"/>
                      <w:szCs w:val="21"/>
                    </w:rPr>
                    <w:t>25</w:t>
                  </w:r>
                </w:p>
              </w:tc>
              <w:tc>
                <w:tcPr>
                  <w:tcW w:w="867" w:type="dxa"/>
                  <w:vAlign w:val="center"/>
                </w:tcPr>
                <w:p w14:paraId="76EE47CF">
                  <w:pPr>
                    <w:pStyle w:val="45"/>
                    <w:rPr>
                      <w:szCs w:val="21"/>
                    </w:rPr>
                  </w:pPr>
                  <w:r>
                    <w:rPr>
                      <w:rFonts w:hint="eastAsia"/>
                      <w:szCs w:val="21"/>
                    </w:rPr>
                    <w:t>一般排放口</w:t>
                  </w:r>
                </w:p>
              </w:tc>
              <w:tc>
                <w:tcPr>
                  <w:tcW w:w="1279" w:type="dxa"/>
                  <w:vAlign w:val="center"/>
                </w:tcPr>
                <w:p w14:paraId="2E45BD4C">
                  <w:pPr>
                    <w:pStyle w:val="45"/>
                    <w:rPr>
                      <w:szCs w:val="21"/>
                    </w:rPr>
                  </w:pPr>
                  <w:r>
                    <w:t>东经119.33682，北纬25.74158</w:t>
                  </w:r>
                </w:p>
              </w:tc>
              <w:tc>
                <w:tcPr>
                  <w:tcW w:w="850" w:type="dxa"/>
                  <w:vAlign w:val="center"/>
                </w:tcPr>
                <w:p w14:paraId="447BD211">
                  <w:pPr>
                    <w:pStyle w:val="45"/>
                    <w:rPr>
                      <w:szCs w:val="21"/>
                    </w:rPr>
                  </w:pPr>
                  <w:r>
                    <w:rPr>
                      <w:rFonts w:hint="eastAsia"/>
                      <w:szCs w:val="21"/>
                    </w:rPr>
                    <w:t>120</w:t>
                  </w:r>
                </w:p>
              </w:tc>
              <w:tc>
                <w:tcPr>
                  <w:tcW w:w="709" w:type="dxa"/>
                  <w:vAlign w:val="center"/>
                </w:tcPr>
                <w:p w14:paraId="5D36BEA0">
                  <w:pPr>
                    <w:pStyle w:val="45"/>
                    <w:rPr>
                      <w:szCs w:val="21"/>
                    </w:rPr>
                  </w:pPr>
                  <w:r>
                    <w:rPr>
                      <w:szCs w:val="21"/>
                    </w:rPr>
                    <w:t>达标</w:t>
                  </w:r>
                </w:p>
              </w:tc>
              <w:tc>
                <w:tcPr>
                  <w:tcW w:w="709" w:type="dxa"/>
                  <w:vAlign w:val="center"/>
                </w:tcPr>
                <w:p w14:paraId="183BE1E9">
                  <w:pPr>
                    <w:pStyle w:val="45"/>
                    <w:rPr>
                      <w:szCs w:val="21"/>
                    </w:rPr>
                  </w:pPr>
                  <w:r>
                    <w:rPr>
                      <w:rFonts w:hint="eastAsia"/>
                      <w:szCs w:val="21"/>
                    </w:rPr>
                    <w:t>DA001</w:t>
                  </w:r>
                </w:p>
              </w:tc>
              <w:tc>
                <w:tcPr>
                  <w:tcW w:w="567" w:type="dxa"/>
                  <w:vMerge w:val="restart"/>
                  <w:vAlign w:val="center"/>
                </w:tcPr>
                <w:p w14:paraId="4C565CB1">
                  <w:pPr>
                    <w:pStyle w:val="45"/>
                    <w:rPr>
                      <w:szCs w:val="21"/>
                    </w:rPr>
                  </w:pPr>
                  <w:r>
                    <w:rPr>
                      <w:rFonts w:hint="eastAsia"/>
                      <w:szCs w:val="21"/>
                    </w:rPr>
                    <w:t>非甲烷总烃</w:t>
                  </w:r>
                </w:p>
              </w:tc>
              <w:tc>
                <w:tcPr>
                  <w:tcW w:w="707" w:type="dxa"/>
                  <w:vAlign w:val="center"/>
                </w:tcPr>
                <w:p w14:paraId="282EE338">
                  <w:pPr>
                    <w:pStyle w:val="45"/>
                    <w:rPr>
                      <w:szCs w:val="21"/>
                    </w:rPr>
                  </w:pPr>
                  <w:r>
                    <w:rPr>
                      <w:szCs w:val="21"/>
                    </w:rPr>
                    <w:t>1次/</w:t>
                  </w:r>
                  <w:r>
                    <w:rPr>
                      <w:rFonts w:hint="eastAsia"/>
                      <w:szCs w:val="21"/>
                    </w:rPr>
                    <w:t>季度</w:t>
                  </w:r>
                </w:p>
              </w:tc>
            </w:tr>
            <w:tr w14:paraId="7879F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vAlign w:val="center"/>
                </w:tcPr>
                <w:p w14:paraId="1EDCCF77">
                  <w:pPr>
                    <w:pStyle w:val="45"/>
                    <w:jc w:val="both"/>
                  </w:pPr>
                </w:p>
              </w:tc>
              <w:tc>
                <w:tcPr>
                  <w:tcW w:w="633" w:type="dxa"/>
                  <w:vMerge w:val="continue"/>
                  <w:vAlign w:val="center"/>
                </w:tcPr>
                <w:p w14:paraId="180FD6C2">
                  <w:pPr>
                    <w:pStyle w:val="45"/>
                    <w:rPr>
                      <w:szCs w:val="21"/>
                    </w:rPr>
                  </w:pPr>
                </w:p>
              </w:tc>
              <w:tc>
                <w:tcPr>
                  <w:tcW w:w="899" w:type="dxa"/>
                  <w:vMerge w:val="continue"/>
                  <w:vAlign w:val="center"/>
                </w:tcPr>
                <w:p w14:paraId="32AE91BE">
                  <w:pPr>
                    <w:pStyle w:val="45"/>
                    <w:rPr>
                      <w:szCs w:val="21"/>
                    </w:rPr>
                  </w:pPr>
                </w:p>
              </w:tc>
              <w:tc>
                <w:tcPr>
                  <w:tcW w:w="977" w:type="dxa"/>
                  <w:vMerge w:val="continue"/>
                  <w:vAlign w:val="center"/>
                </w:tcPr>
                <w:p w14:paraId="6E19E184">
                  <w:pPr>
                    <w:pStyle w:val="45"/>
                    <w:rPr>
                      <w:szCs w:val="21"/>
                    </w:rPr>
                  </w:pPr>
                </w:p>
              </w:tc>
              <w:tc>
                <w:tcPr>
                  <w:tcW w:w="983" w:type="dxa"/>
                  <w:vAlign w:val="center"/>
                </w:tcPr>
                <w:p w14:paraId="71ED6755">
                  <w:pPr>
                    <w:pStyle w:val="45"/>
                    <w:rPr>
                      <w:szCs w:val="21"/>
                    </w:rPr>
                  </w:pPr>
                  <w:r>
                    <w:rPr>
                      <w:rFonts w:hint="eastAsia"/>
                      <w:szCs w:val="21"/>
                    </w:rPr>
                    <w:t>/</w:t>
                  </w:r>
                </w:p>
              </w:tc>
              <w:tc>
                <w:tcPr>
                  <w:tcW w:w="831" w:type="dxa"/>
                  <w:vAlign w:val="center"/>
                </w:tcPr>
                <w:p w14:paraId="3BA214C0">
                  <w:pPr>
                    <w:pStyle w:val="45"/>
                    <w:rPr>
                      <w:szCs w:val="21"/>
                    </w:rPr>
                  </w:pPr>
                  <w:r>
                    <w:rPr>
                      <w:rFonts w:hint="eastAsia"/>
                      <w:szCs w:val="21"/>
                    </w:rPr>
                    <w:t>无组织</w:t>
                  </w:r>
                </w:p>
              </w:tc>
              <w:tc>
                <w:tcPr>
                  <w:tcW w:w="1078" w:type="dxa"/>
                  <w:vAlign w:val="center"/>
                </w:tcPr>
                <w:p w14:paraId="5402E0BE">
                  <w:pPr>
                    <w:pStyle w:val="45"/>
                  </w:pPr>
                  <w:r>
                    <w:rPr>
                      <w:rFonts w:hint="eastAsia"/>
                    </w:rPr>
                    <w:t>/</w:t>
                  </w:r>
                </w:p>
              </w:tc>
              <w:tc>
                <w:tcPr>
                  <w:tcW w:w="763" w:type="dxa"/>
                  <w:vAlign w:val="center"/>
                </w:tcPr>
                <w:p w14:paraId="0D74AE72">
                  <w:pPr>
                    <w:pStyle w:val="45"/>
                    <w:rPr>
                      <w:szCs w:val="21"/>
                    </w:rPr>
                  </w:pPr>
                  <w:r>
                    <w:rPr>
                      <w:rFonts w:hint="eastAsia"/>
                      <w:szCs w:val="21"/>
                    </w:rPr>
                    <w:t>/</w:t>
                  </w:r>
                </w:p>
              </w:tc>
              <w:tc>
                <w:tcPr>
                  <w:tcW w:w="706" w:type="dxa"/>
                  <w:vAlign w:val="center"/>
                </w:tcPr>
                <w:p w14:paraId="50550196">
                  <w:pPr>
                    <w:pStyle w:val="45"/>
                    <w:rPr>
                      <w:szCs w:val="21"/>
                    </w:rPr>
                  </w:pPr>
                  <w:r>
                    <w:rPr>
                      <w:rFonts w:hint="eastAsia"/>
                      <w:szCs w:val="21"/>
                    </w:rPr>
                    <w:t>/</w:t>
                  </w:r>
                </w:p>
              </w:tc>
              <w:tc>
                <w:tcPr>
                  <w:tcW w:w="691" w:type="dxa"/>
                  <w:vAlign w:val="center"/>
                </w:tcPr>
                <w:p w14:paraId="682ABDD8">
                  <w:pPr>
                    <w:pStyle w:val="45"/>
                    <w:rPr>
                      <w:szCs w:val="21"/>
                    </w:rPr>
                  </w:pPr>
                  <w:r>
                    <w:rPr>
                      <w:rFonts w:hint="eastAsia"/>
                      <w:szCs w:val="21"/>
                    </w:rPr>
                    <w:t>/</w:t>
                  </w:r>
                </w:p>
              </w:tc>
              <w:tc>
                <w:tcPr>
                  <w:tcW w:w="661" w:type="dxa"/>
                  <w:vAlign w:val="center"/>
                </w:tcPr>
                <w:p w14:paraId="4AC1E5F4">
                  <w:pPr>
                    <w:pStyle w:val="45"/>
                    <w:rPr>
                      <w:szCs w:val="21"/>
                    </w:rPr>
                  </w:pPr>
                  <w:r>
                    <w:rPr>
                      <w:rFonts w:hint="eastAsia"/>
                      <w:szCs w:val="21"/>
                    </w:rPr>
                    <w:t>/</w:t>
                  </w:r>
                </w:p>
              </w:tc>
              <w:tc>
                <w:tcPr>
                  <w:tcW w:w="899" w:type="dxa"/>
                  <w:vAlign w:val="center"/>
                </w:tcPr>
                <w:p w14:paraId="0B9F9D5B">
                  <w:pPr>
                    <w:pStyle w:val="45"/>
                    <w:rPr>
                      <w:szCs w:val="21"/>
                    </w:rPr>
                  </w:pPr>
                  <w:r>
                    <w:rPr>
                      <w:color w:val="000000"/>
                    </w:rPr>
                    <w:t xml:space="preserve">0.101 </w:t>
                  </w:r>
                </w:p>
              </w:tc>
              <w:tc>
                <w:tcPr>
                  <w:tcW w:w="977" w:type="dxa"/>
                  <w:vAlign w:val="center"/>
                </w:tcPr>
                <w:p w14:paraId="05646C20">
                  <w:pPr>
                    <w:pStyle w:val="45"/>
                    <w:rPr>
                      <w:szCs w:val="21"/>
                    </w:rPr>
                  </w:pPr>
                  <w:r>
                    <w:rPr>
                      <w:color w:val="000000"/>
                    </w:rPr>
                    <w:t>0.016</w:t>
                  </w:r>
                </w:p>
              </w:tc>
              <w:tc>
                <w:tcPr>
                  <w:tcW w:w="916" w:type="dxa"/>
                  <w:vAlign w:val="center"/>
                </w:tcPr>
                <w:p w14:paraId="7894C6B6">
                  <w:pPr>
                    <w:pStyle w:val="45"/>
                    <w:rPr>
                      <w:szCs w:val="21"/>
                    </w:rPr>
                  </w:pPr>
                  <w:r>
                    <w:rPr>
                      <w:rFonts w:hint="eastAsia"/>
                      <w:szCs w:val="21"/>
                    </w:rPr>
                    <w:t>/</w:t>
                  </w:r>
                </w:p>
              </w:tc>
              <w:tc>
                <w:tcPr>
                  <w:tcW w:w="835" w:type="dxa"/>
                  <w:vAlign w:val="center"/>
                </w:tcPr>
                <w:p w14:paraId="7E983211">
                  <w:pPr>
                    <w:pStyle w:val="45"/>
                    <w:rPr>
                      <w:szCs w:val="21"/>
                    </w:rPr>
                  </w:pPr>
                  <w:r>
                    <w:rPr>
                      <w:rFonts w:hint="eastAsia"/>
                      <w:szCs w:val="21"/>
                    </w:rPr>
                    <w:t>/</w:t>
                  </w:r>
                </w:p>
              </w:tc>
              <w:tc>
                <w:tcPr>
                  <w:tcW w:w="676" w:type="dxa"/>
                  <w:vAlign w:val="center"/>
                </w:tcPr>
                <w:p w14:paraId="2FC5C36B">
                  <w:pPr>
                    <w:pStyle w:val="45"/>
                    <w:rPr>
                      <w:szCs w:val="21"/>
                    </w:rPr>
                  </w:pPr>
                  <w:r>
                    <w:rPr>
                      <w:rFonts w:hint="eastAsia"/>
                      <w:szCs w:val="21"/>
                    </w:rPr>
                    <w:t>/</w:t>
                  </w:r>
                </w:p>
              </w:tc>
              <w:tc>
                <w:tcPr>
                  <w:tcW w:w="683" w:type="dxa"/>
                  <w:vAlign w:val="center"/>
                </w:tcPr>
                <w:p w14:paraId="50E6A27B">
                  <w:pPr>
                    <w:pStyle w:val="45"/>
                    <w:rPr>
                      <w:szCs w:val="21"/>
                    </w:rPr>
                  </w:pPr>
                  <w:r>
                    <w:rPr>
                      <w:rFonts w:hint="eastAsia"/>
                      <w:szCs w:val="21"/>
                    </w:rPr>
                    <w:t>/</w:t>
                  </w:r>
                </w:p>
              </w:tc>
              <w:tc>
                <w:tcPr>
                  <w:tcW w:w="678" w:type="dxa"/>
                  <w:vAlign w:val="center"/>
                </w:tcPr>
                <w:p w14:paraId="3AF434E1">
                  <w:pPr>
                    <w:pStyle w:val="45"/>
                    <w:rPr>
                      <w:szCs w:val="21"/>
                    </w:rPr>
                  </w:pPr>
                  <w:r>
                    <w:rPr>
                      <w:rFonts w:hint="eastAsia"/>
                      <w:szCs w:val="21"/>
                    </w:rPr>
                    <w:t>/</w:t>
                  </w:r>
                </w:p>
              </w:tc>
              <w:tc>
                <w:tcPr>
                  <w:tcW w:w="867" w:type="dxa"/>
                  <w:vAlign w:val="center"/>
                </w:tcPr>
                <w:p w14:paraId="459D80AB">
                  <w:pPr>
                    <w:pStyle w:val="45"/>
                    <w:rPr>
                      <w:szCs w:val="21"/>
                    </w:rPr>
                  </w:pPr>
                  <w:r>
                    <w:rPr>
                      <w:rFonts w:hint="eastAsia"/>
                      <w:szCs w:val="21"/>
                    </w:rPr>
                    <w:t>/</w:t>
                  </w:r>
                </w:p>
              </w:tc>
              <w:tc>
                <w:tcPr>
                  <w:tcW w:w="1279" w:type="dxa"/>
                  <w:vAlign w:val="center"/>
                </w:tcPr>
                <w:p w14:paraId="465DED4C">
                  <w:pPr>
                    <w:pStyle w:val="45"/>
                    <w:rPr>
                      <w:szCs w:val="21"/>
                    </w:rPr>
                  </w:pPr>
                  <w:r>
                    <w:rPr>
                      <w:rFonts w:hint="eastAsia"/>
                      <w:szCs w:val="21"/>
                    </w:rPr>
                    <w:t>/</w:t>
                  </w:r>
                </w:p>
              </w:tc>
              <w:tc>
                <w:tcPr>
                  <w:tcW w:w="850" w:type="dxa"/>
                  <w:vAlign w:val="center"/>
                </w:tcPr>
                <w:p w14:paraId="1C6559E6">
                  <w:pPr>
                    <w:pStyle w:val="45"/>
                    <w:rPr>
                      <w:szCs w:val="21"/>
                    </w:rPr>
                  </w:pPr>
                  <w:r>
                    <w:rPr>
                      <w:rFonts w:hint="eastAsia"/>
                      <w:szCs w:val="21"/>
                    </w:rPr>
                    <w:t>4.0</w:t>
                  </w:r>
                </w:p>
              </w:tc>
              <w:tc>
                <w:tcPr>
                  <w:tcW w:w="709" w:type="dxa"/>
                  <w:vAlign w:val="center"/>
                </w:tcPr>
                <w:p w14:paraId="7736857F">
                  <w:pPr>
                    <w:pStyle w:val="45"/>
                    <w:rPr>
                      <w:szCs w:val="21"/>
                    </w:rPr>
                  </w:pPr>
                  <w:r>
                    <w:rPr>
                      <w:szCs w:val="21"/>
                    </w:rPr>
                    <w:t>达标</w:t>
                  </w:r>
                </w:p>
              </w:tc>
              <w:tc>
                <w:tcPr>
                  <w:tcW w:w="709" w:type="dxa"/>
                  <w:vAlign w:val="center"/>
                </w:tcPr>
                <w:p w14:paraId="01AC5B24">
                  <w:pPr>
                    <w:pStyle w:val="45"/>
                    <w:rPr>
                      <w:szCs w:val="21"/>
                    </w:rPr>
                  </w:pPr>
                  <w:r>
                    <w:rPr>
                      <w:szCs w:val="21"/>
                    </w:rPr>
                    <w:t>厂界</w:t>
                  </w:r>
                </w:p>
              </w:tc>
              <w:tc>
                <w:tcPr>
                  <w:tcW w:w="567" w:type="dxa"/>
                  <w:vMerge w:val="continue"/>
                  <w:vAlign w:val="center"/>
                </w:tcPr>
                <w:p w14:paraId="4C312D3F">
                  <w:pPr>
                    <w:pStyle w:val="45"/>
                    <w:rPr>
                      <w:szCs w:val="21"/>
                    </w:rPr>
                  </w:pPr>
                </w:p>
              </w:tc>
              <w:tc>
                <w:tcPr>
                  <w:tcW w:w="707" w:type="dxa"/>
                  <w:vAlign w:val="center"/>
                </w:tcPr>
                <w:p w14:paraId="15A1BA6F">
                  <w:pPr>
                    <w:pStyle w:val="45"/>
                    <w:rPr>
                      <w:szCs w:val="21"/>
                    </w:rPr>
                  </w:pPr>
                  <w:r>
                    <w:rPr>
                      <w:szCs w:val="21"/>
                    </w:rPr>
                    <w:t>1次/</w:t>
                  </w:r>
                  <w:r>
                    <w:rPr>
                      <w:rFonts w:hint="eastAsia"/>
                      <w:szCs w:val="21"/>
                    </w:rPr>
                    <w:t>半年</w:t>
                  </w:r>
                </w:p>
              </w:tc>
            </w:tr>
            <w:tr w14:paraId="6350C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Align w:val="center"/>
                </w:tcPr>
                <w:p w14:paraId="7A2E3914">
                  <w:pPr>
                    <w:pStyle w:val="45"/>
                    <w:rPr>
                      <w:szCs w:val="21"/>
                    </w:rPr>
                  </w:pPr>
                  <w:r>
                    <w:rPr>
                      <w:szCs w:val="21"/>
                    </w:rPr>
                    <w:t>合计排放量</w:t>
                  </w:r>
                </w:p>
              </w:tc>
              <w:tc>
                <w:tcPr>
                  <w:tcW w:w="19574" w:type="dxa"/>
                  <w:gridSpan w:val="24"/>
                  <w:vAlign w:val="center"/>
                </w:tcPr>
                <w:p w14:paraId="5A50A82E">
                  <w:pPr>
                    <w:pStyle w:val="45"/>
                    <w:jc w:val="both"/>
                    <w:rPr>
                      <w:szCs w:val="21"/>
                    </w:rPr>
                  </w:pPr>
                  <w:bookmarkStart w:id="8" w:name="_Hlk196231402"/>
                  <w:r>
                    <w:rPr>
                      <w:szCs w:val="21"/>
                    </w:rPr>
                    <w:t>颗粒物</w:t>
                  </w:r>
                  <w:r>
                    <w:rPr>
                      <w:rFonts w:hint="eastAsia"/>
                      <w:szCs w:val="21"/>
                    </w:rPr>
                    <w:t>0.541t/a、非甲烷总烃</w:t>
                  </w:r>
                  <w:r>
                    <w:rPr>
                      <w:rFonts w:hint="eastAsia"/>
                      <w:bCs/>
                      <w:szCs w:val="21"/>
                    </w:rPr>
                    <w:t>0.262</w:t>
                  </w:r>
                  <w:r>
                    <w:rPr>
                      <w:rFonts w:hint="eastAsia"/>
                      <w:szCs w:val="21"/>
                    </w:rPr>
                    <w:t>t/a</w:t>
                  </w:r>
                  <w:bookmarkEnd w:id="8"/>
                </w:p>
              </w:tc>
            </w:tr>
          </w:tbl>
          <w:p w14:paraId="2CDDE0E5">
            <w:pPr>
              <w:ind w:firstLine="480"/>
            </w:pPr>
          </w:p>
        </w:tc>
      </w:tr>
    </w:tbl>
    <w:p w14:paraId="277CFF02">
      <w:pPr>
        <w:ind w:firstLine="480"/>
        <w:sectPr>
          <w:pgSz w:w="23811" w:h="16838" w:orient="landscape"/>
          <w:pgMar w:top="1417" w:right="1417" w:bottom="1417" w:left="1417" w:header="851" w:footer="850" w:gutter="0"/>
          <w:cols w:space="720" w:num="1"/>
          <w:docGrid w:linePitch="312" w:charSpace="0"/>
        </w:sectPr>
      </w:pP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62"/>
        <w:gridCol w:w="8560"/>
      </w:tblGrid>
      <w:tr w14:paraId="37F810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808" w:hRule="atLeast"/>
          <w:jc w:val="center"/>
        </w:trPr>
        <w:tc>
          <w:tcPr>
            <w:tcW w:w="308" w:type="pct"/>
            <w:tcMar>
              <w:left w:w="28" w:type="dxa"/>
              <w:right w:w="28" w:type="dxa"/>
            </w:tcMar>
            <w:vAlign w:val="center"/>
          </w:tcPr>
          <w:p w14:paraId="054922D1">
            <w:pPr>
              <w:ind w:firstLine="480"/>
            </w:pPr>
          </w:p>
        </w:tc>
        <w:tc>
          <w:tcPr>
            <w:tcW w:w="4691" w:type="pct"/>
            <w:vAlign w:val="center"/>
          </w:tcPr>
          <w:p w14:paraId="61C9518A">
            <w:pPr>
              <w:pStyle w:val="4"/>
              <w:spacing w:before="120" w:after="0" w:afterLines="0"/>
            </w:pPr>
            <w:r>
              <w:t>4.2.2运营期废水</w:t>
            </w:r>
          </w:p>
          <w:p w14:paraId="0349FC05">
            <w:pPr>
              <w:pStyle w:val="4"/>
              <w:spacing w:before="0" w:beforeLines="0" w:after="0" w:afterLines="0"/>
              <w:ind w:firstLine="482" w:firstLineChars="200"/>
              <w:rPr>
                <w:sz w:val="24"/>
              </w:rPr>
            </w:pPr>
            <w:r>
              <w:rPr>
                <w:rFonts w:hint="eastAsia"/>
                <w:sz w:val="24"/>
              </w:rPr>
              <w:t>1、</w:t>
            </w:r>
            <w:r>
              <w:rPr>
                <w:sz w:val="24"/>
              </w:rPr>
              <w:t>废</w:t>
            </w:r>
            <w:r>
              <w:rPr>
                <w:rFonts w:hint="eastAsia"/>
                <w:sz w:val="24"/>
              </w:rPr>
              <w:t>水</w:t>
            </w:r>
            <w:r>
              <w:rPr>
                <w:sz w:val="24"/>
              </w:rPr>
              <w:t>源强分析</w:t>
            </w:r>
          </w:p>
          <w:p w14:paraId="4855F9F9">
            <w:pPr>
              <w:ind w:firstLine="480"/>
            </w:pPr>
            <w:r>
              <w:rPr>
                <w:rFonts w:hint="eastAsia"/>
              </w:rPr>
              <w:t>项目用水为工业冷水机用水与员工生活用水，工业冷水机</w:t>
            </w:r>
            <w:r>
              <w:rPr>
                <w:rFonts w:hint="eastAsia" w:ascii="宋体" w:hAnsi="宋体"/>
                <w:lang w:bidi="ar"/>
              </w:rPr>
              <w:t>冷却水循环使用不外排，根据第二章用水分析，仅需第一次加水</w:t>
            </w:r>
            <w:r>
              <w:rPr>
                <w:lang w:bidi="ar"/>
              </w:rPr>
              <w:t>200</w:t>
            </w:r>
            <w:r>
              <w:rPr>
                <w:rFonts w:hint="eastAsia"/>
                <w:lang w:bidi="ar"/>
              </w:rPr>
              <w:t>m</w:t>
            </w:r>
            <w:r>
              <w:rPr>
                <w:rFonts w:hint="eastAsia"/>
                <w:vertAlign w:val="superscript"/>
                <w:lang w:bidi="ar"/>
              </w:rPr>
              <w:t>3</w:t>
            </w:r>
            <w:r>
              <w:rPr>
                <w:rFonts w:hint="eastAsia"/>
                <w:lang w:bidi="ar"/>
              </w:rPr>
              <w:t>，</w:t>
            </w:r>
            <w:r>
              <w:rPr>
                <w:rFonts w:hint="eastAsia" w:ascii="宋体" w:hAnsi="宋体"/>
                <w:lang w:bidi="ar"/>
              </w:rPr>
              <w:t>后日补充</w:t>
            </w:r>
            <w:r>
              <w:rPr>
                <w:lang w:bidi="ar"/>
              </w:rPr>
              <w:t>60.48</w:t>
            </w:r>
            <w:r>
              <w:rPr>
                <w:rFonts w:hint="eastAsia"/>
                <w:lang w:bidi="ar"/>
              </w:rPr>
              <w:t>m</w:t>
            </w:r>
            <w:r>
              <w:rPr>
                <w:rFonts w:hint="eastAsia"/>
                <w:vertAlign w:val="superscript"/>
                <w:lang w:bidi="ar"/>
              </w:rPr>
              <w:t>3</w:t>
            </w:r>
            <w:r>
              <w:rPr>
                <w:rFonts w:hint="eastAsia"/>
                <w:lang w:bidi="ar"/>
              </w:rPr>
              <w:t>/h</w:t>
            </w:r>
            <w:r>
              <w:rPr>
                <w:rFonts w:hint="eastAsia"/>
              </w:rPr>
              <w:t>。</w:t>
            </w:r>
          </w:p>
          <w:p w14:paraId="25639B1B">
            <w:pPr>
              <w:ind w:firstLine="480"/>
            </w:pPr>
            <w:r>
              <w:rPr>
                <w:rFonts w:hint="eastAsia"/>
              </w:rPr>
              <w:t>（1）废水产生量分析</w:t>
            </w:r>
          </w:p>
          <w:p w14:paraId="79421686">
            <w:pPr>
              <w:ind w:firstLine="480"/>
            </w:pPr>
            <w:r>
              <w:rPr>
                <w:rFonts w:hint="eastAsia"/>
              </w:rPr>
              <w:t>生活用水：项目劳动定员为100人，均不在场内食宿，</w:t>
            </w:r>
            <w:r>
              <w:t>生活用水量为</w:t>
            </w:r>
            <w:r>
              <w:rPr>
                <w:rFonts w:hint="eastAsia"/>
              </w:rPr>
              <w:t>5</w:t>
            </w:r>
            <w:r>
              <w:t>m</w:t>
            </w:r>
            <w:r>
              <w:rPr>
                <w:vertAlign w:val="superscript"/>
              </w:rPr>
              <w:t>3</w:t>
            </w:r>
            <w:r>
              <w:t>/d（</w:t>
            </w:r>
            <w:r>
              <w:rPr>
                <w:rFonts w:hint="eastAsia"/>
              </w:rPr>
              <w:t>1305</w:t>
            </w:r>
            <w:r>
              <w:t>m</w:t>
            </w:r>
            <w:r>
              <w:rPr>
                <w:vertAlign w:val="superscript"/>
              </w:rPr>
              <w:t>3</w:t>
            </w:r>
            <w:r>
              <w:t>/a），生活污水产生量为</w:t>
            </w:r>
            <w:r>
              <w:rPr>
                <w:rFonts w:hint="eastAsia"/>
              </w:rPr>
              <w:t>4</w:t>
            </w:r>
            <w:r>
              <w:t>m</w:t>
            </w:r>
            <w:r>
              <w:rPr>
                <w:vertAlign w:val="superscript"/>
              </w:rPr>
              <w:t>3</w:t>
            </w:r>
            <w:r>
              <w:t>/d（</w:t>
            </w:r>
            <w:r>
              <w:rPr>
                <w:rFonts w:hint="eastAsia"/>
              </w:rPr>
              <w:t>1044</w:t>
            </w:r>
            <w:r>
              <w:t>m</w:t>
            </w:r>
            <w:r>
              <w:rPr>
                <w:vertAlign w:val="superscript"/>
              </w:rPr>
              <w:t>3</w:t>
            </w:r>
            <w:r>
              <w:t>/a）</w:t>
            </w:r>
            <w:r>
              <w:rPr>
                <w:rFonts w:hint="eastAsia"/>
              </w:rPr>
              <w:t>。</w:t>
            </w:r>
          </w:p>
          <w:p w14:paraId="776709F6">
            <w:pPr>
              <w:ind w:firstLine="480"/>
            </w:pPr>
            <w:r>
              <w:rPr>
                <w:rFonts w:hint="eastAsia"/>
              </w:rPr>
              <w:t>（2）废水污染物产排浓度分析</w:t>
            </w:r>
          </w:p>
          <w:p w14:paraId="46F6292A">
            <w:pPr>
              <w:widowControl/>
              <w:ind w:firstLine="480"/>
            </w:pPr>
            <w:r>
              <w:rPr>
                <w:rFonts w:hint="eastAsia"/>
              </w:rPr>
              <w:t>参考《给排水设计手册》（第五册城镇排水）典型的生活污水水质，主要污染物浓度选取COD：400mg/L、BOD</w:t>
            </w:r>
            <w:r>
              <w:rPr>
                <w:rFonts w:hint="eastAsia"/>
                <w:vertAlign w:val="subscript"/>
              </w:rPr>
              <w:t>5</w:t>
            </w:r>
            <w:r>
              <w:rPr>
                <w:rFonts w:hint="eastAsia"/>
              </w:rPr>
              <w:t>：250mg/L、SS：220mg/L、NH</w:t>
            </w:r>
            <w:r>
              <w:rPr>
                <w:rFonts w:hint="eastAsia"/>
                <w:vertAlign w:val="subscript"/>
              </w:rPr>
              <w:t>3</w:t>
            </w:r>
            <w:r>
              <w:rPr>
                <w:rFonts w:hint="eastAsia"/>
              </w:rPr>
              <w:t>-N：35mg/L，则污染物产生量分别为</w:t>
            </w:r>
            <w:r>
              <w:rPr>
                <w:rFonts w:hint="eastAsia"/>
                <w:shd w:val="clear" w:fill="FFFFFF"/>
              </w:rPr>
              <w:t>CODcr</w:t>
            </w:r>
            <w:r>
              <w:rPr>
                <w:rFonts w:hint="eastAsia"/>
              </w:rPr>
              <w:t>：0.418t/a，BOD</w:t>
            </w:r>
            <w:r>
              <w:rPr>
                <w:rFonts w:hint="eastAsia"/>
                <w:vertAlign w:val="subscript"/>
              </w:rPr>
              <w:t>5</w:t>
            </w:r>
            <w:r>
              <w:rPr>
                <w:rFonts w:hint="eastAsia"/>
              </w:rPr>
              <w:t>：0.261t/a，SS：0.230t/a，NH</w:t>
            </w:r>
            <w:r>
              <w:rPr>
                <w:rFonts w:hint="eastAsia"/>
                <w:vertAlign w:val="subscript"/>
              </w:rPr>
              <w:t>3</w:t>
            </w:r>
            <w:r>
              <w:rPr>
                <w:rFonts w:hint="eastAsia"/>
              </w:rPr>
              <w:t>-N：0.037t/a。</w:t>
            </w:r>
          </w:p>
          <w:p w14:paraId="6C960167">
            <w:pPr>
              <w:widowControl/>
              <w:ind w:firstLine="480"/>
            </w:pPr>
            <w:r>
              <w:rPr>
                <w:kern w:val="0"/>
              </w:rPr>
              <w:t>生活污水经化粪池预处理，COD、NH</w:t>
            </w:r>
            <w:r>
              <w:rPr>
                <w:kern w:val="0"/>
                <w:vertAlign w:val="subscript"/>
              </w:rPr>
              <w:t>3</w:t>
            </w:r>
            <w:r>
              <w:rPr>
                <w:kern w:val="0"/>
              </w:rPr>
              <w:t>-N的去除率参照《排放源统计调查产排污核算方法和系数手册》（2021年）（生活源产排污系数手册）中“表2-2农村生活污水污染物综合去除率”</w:t>
            </w:r>
            <w:r>
              <w:rPr>
                <w:rFonts w:hint="eastAsia"/>
                <w:kern w:val="0"/>
              </w:rPr>
              <w:t>，</w:t>
            </w:r>
            <w:r>
              <w:rPr>
                <w:kern w:val="0"/>
              </w:rPr>
              <w:t>分别为64%、53%</w:t>
            </w:r>
            <w:r>
              <w:rPr>
                <w:rFonts w:hint="eastAsia"/>
                <w:kern w:val="0"/>
              </w:rPr>
              <w:t>，</w:t>
            </w:r>
            <w:r>
              <w:rPr>
                <w:kern w:val="0"/>
              </w:rPr>
              <w:t>SS的去除率按50%计</w:t>
            </w:r>
            <w:r>
              <w:rPr>
                <w:rFonts w:hint="eastAsia"/>
                <w:kern w:val="0"/>
              </w:rPr>
              <w:t>，</w:t>
            </w:r>
            <w:r>
              <w:rPr>
                <w:kern w:val="0"/>
              </w:rPr>
              <w:t>BOD</w:t>
            </w:r>
            <w:r>
              <w:rPr>
                <w:kern w:val="0"/>
                <w:vertAlign w:val="subscript"/>
              </w:rPr>
              <w:t>5</w:t>
            </w:r>
            <w:r>
              <w:rPr>
                <w:rFonts w:hint="eastAsia"/>
                <w:kern w:val="0"/>
              </w:rPr>
              <w:t>排放浓度参考</w:t>
            </w:r>
            <w:r>
              <w:rPr>
                <w:kern w:val="0"/>
              </w:rPr>
              <w:t>《</w:t>
            </w:r>
            <w:r>
              <w:rPr>
                <w:rFonts w:hint="eastAsia"/>
                <w:kern w:val="0"/>
              </w:rPr>
              <w:t>福州市生活污水统计调查报告</w:t>
            </w:r>
            <w:r>
              <w:rPr>
                <w:kern w:val="0"/>
              </w:rPr>
              <w:t>》</w:t>
            </w:r>
            <w:r>
              <w:rPr>
                <w:rFonts w:hint="eastAsia"/>
                <w:kern w:val="0"/>
              </w:rPr>
              <w:t>中的排放浓度即1</w:t>
            </w:r>
            <w:r>
              <w:rPr>
                <w:kern w:val="0"/>
              </w:rPr>
              <w:t>00mg/L。则项目生活污水经化粪池处理后，COD、BOD</w:t>
            </w:r>
            <w:r>
              <w:rPr>
                <w:kern w:val="0"/>
                <w:vertAlign w:val="subscript"/>
              </w:rPr>
              <w:t>5</w:t>
            </w:r>
            <w:r>
              <w:rPr>
                <w:kern w:val="0"/>
              </w:rPr>
              <w:t>、SS、氨氮排放浓度分别为144mg/L、100mg/L、1</w:t>
            </w:r>
            <w:r>
              <w:rPr>
                <w:rFonts w:hint="eastAsia"/>
                <w:kern w:val="0"/>
              </w:rPr>
              <w:t>1</w:t>
            </w:r>
            <w:r>
              <w:rPr>
                <w:kern w:val="0"/>
              </w:rPr>
              <w:t>0mg/L、16.45mg/L。</w:t>
            </w:r>
            <w:r>
              <w:rPr>
                <w:rFonts w:hint="eastAsia"/>
                <w:kern w:val="0"/>
              </w:rPr>
              <w:t>主要污染物排放量为</w:t>
            </w:r>
            <w:r>
              <w:rPr>
                <w:kern w:val="0"/>
                <w:shd w:val="clear" w:fill="FFFFFF"/>
              </w:rPr>
              <w:t>CODcr</w:t>
            </w:r>
            <w:r>
              <w:rPr>
                <w:rFonts w:hint="eastAsia"/>
                <w:kern w:val="0"/>
              </w:rPr>
              <w:t>：0.150</w:t>
            </w:r>
            <w:r>
              <w:rPr>
                <w:kern w:val="0"/>
              </w:rPr>
              <w:t>t/a</w:t>
            </w:r>
            <w:r>
              <w:rPr>
                <w:rFonts w:hint="eastAsia"/>
                <w:kern w:val="0"/>
              </w:rPr>
              <w:t>，</w:t>
            </w:r>
            <w:r>
              <w:rPr>
                <w:kern w:val="0"/>
              </w:rPr>
              <w:t>BOD</w:t>
            </w:r>
            <w:r>
              <w:rPr>
                <w:kern w:val="0"/>
                <w:vertAlign w:val="subscript"/>
              </w:rPr>
              <w:t>5</w:t>
            </w:r>
            <w:r>
              <w:rPr>
                <w:rFonts w:hint="eastAsia"/>
                <w:kern w:val="0"/>
              </w:rPr>
              <w:t>：0.104</w:t>
            </w:r>
            <w:r>
              <w:rPr>
                <w:kern w:val="0"/>
              </w:rPr>
              <w:t>t/a</w:t>
            </w:r>
            <w:r>
              <w:rPr>
                <w:rFonts w:hint="eastAsia"/>
                <w:kern w:val="0"/>
              </w:rPr>
              <w:t>，</w:t>
            </w:r>
            <w:r>
              <w:rPr>
                <w:kern w:val="0"/>
              </w:rPr>
              <w:t>SS</w:t>
            </w:r>
            <w:r>
              <w:rPr>
                <w:rFonts w:hint="eastAsia"/>
                <w:kern w:val="0"/>
              </w:rPr>
              <w:t>：0.115t</w:t>
            </w:r>
            <w:r>
              <w:rPr>
                <w:kern w:val="0"/>
              </w:rPr>
              <w:t>/a</w:t>
            </w:r>
            <w:r>
              <w:rPr>
                <w:rFonts w:hint="eastAsia"/>
                <w:kern w:val="0"/>
              </w:rPr>
              <w:t>，</w:t>
            </w:r>
            <w:r>
              <w:rPr>
                <w:kern w:val="0"/>
              </w:rPr>
              <w:t>NH</w:t>
            </w:r>
            <w:r>
              <w:rPr>
                <w:kern w:val="0"/>
                <w:vertAlign w:val="subscript"/>
              </w:rPr>
              <w:t>3</w:t>
            </w:r>
            <w:r>
              <w:rPr>
                <w:kern w:val="0"/>
              </w:rPr>
              <w:t>-N</w:t>
            </w:r>
            <w:r>
              <w:rPr>
                <w:rFonts w:hint="eastAsia"/>
                <w:kern w:val="0"/>
              </w:rPr>
              <w:t>：0.017</w:t>
            </w:r>
            <w:r>
              <w:rPr>
                <w:kern w:val="0"/>
              </w:rPr>
              <w:t>t/a</w:t>
            </w:r>
            <w:r>
              <w:rPr>
                <w:rFonts w:hint="eastAsia"/>
                <w:kern w:val="0"/>
              </w:rPr>
              <w:t>。</w:t>
            </w:r>
          </w:p>
          <w:p w14:paraId="51C0C1C1">
            <w:pPr>
              <w:pStyle w:val="4"/>
              <w:spacing w:before="0" w:beforeLines="0" w:after="0" w:afterLines="0"/>
              <w:ind w:firstLine="482" w:firstLineChars="200"/>
              <w:rPr>
                <w:sz w:val="24"/>
              </w:rPr>
            </w:pPr>
            <w:r>
              <w:rPr>
                <w:rFonts w:hint="eastAsia"/>
                <w:sz w:val="24"/>
              </w:rPr>
              <w:t>2、废水处理情况和达标排放分析</w:t>
            </w:r>
          </w:p>
          <w:p w14:paraId="6AD5F455">
            <w:pPr>
              <w:ind w:firstLine="480"/>
            </w:pPr>
            <w:r>
              <w:rPr>
                <w:rFonts w:hint="eastAsia"/>
              </w:rPr>
              <w:t>项目生活污水经化粪池处理后能够满足《污水综合排放标准》（GB/T8978-1996）表4中pH、COD、BOD</w:t>
            </w:r>
            <w:r>
              <w:rPr>
                <w:rFonts w:hint="eastAsia"/>
                <w:vertAlign w:val="subscript"/>
              </w:rPr>
              <w:t>5</w:t>
            </w:r>
            <w:r>
              <w:rPr>
                <w:rFonts w:hint="eastAsia"/>
              </w:rPr>
              <w:t>、SS三级标准，《污水排入城市下水道水质标准》（GB/T31962-2015）表1中NH</w:t>
            </w:r>
            <w:r>
              <w:rPr>
                <w:rFonts w:hint="eastAsia"/>
                <w:vertAlign w:val="subscript"/>
              </w:rPr>
              <w:t>3</w:t>
            </w:r>
            <w:r>
              <w:rPr>
                <w:rFonts w:hint="eastAsia"/>
              </w:rPr>
              <w:t>-N的B级标准，即：</w:t>
            </w:r>
            <w:r>
              <w:rPr>
                <w:shd w:val="clear" w:fill="FFFFFF"/>
              </w:rPr>
              <w:t>CODcr</w:t>
            </w:r>
            <w:r>
              <w:t>≤500mg/L、BOD</w:t>
            </w:r>
            <w:r>
              <w:rPr>
                <w:vertAlign w:val="subscript"/>
              </w:rPr>
              <w:t>5</w:t>
            </w:r>
            <w:r>
              <w:t>≤300mg/L、SS≤400mg/L、NH</w:t>
            </w:r>
            <w:r>
              <w:rPr>
                <w:vertAlign w:val="subscript"/>
              </w:rPr>
              <w:t>3</w:t>
            </w:r>
            <w:r>
              <w:t>-N≤45mg/L</w:t>
            </w:r>
            <w:r>
              <w:rPr>
                <w:rFonts w:hint="eastAsia"/>
              </w:rPr>
              <w:t>的标准后排入</w:t>
            </w:r>
            <w:r>
              <w:t>福清融元污水处理厂</w:t>
            </w:r>
            <w:r>
              <w:rPr>
                <w:rFonts w:hint="eastAsia"/>
              </w:rPr>
              <w:t>处理。</w:t>
            </w:r>
          </w:p>
          <w:p w14:paraId="2D0B5E4F">
            <w:pPr>
              <w:pStyle w:val="4"/>
              <w:spacing w:before="0" w:beforeLines="0" w:after="0" w:afterLines="0"/>
              <w:ind w:firstLine="482" w:firstLineChars="200"/>
              <w:rPr>
                <w:sz w:val="24"/>
              </w:rPr>
            </w:pPr>
            <w:r>
              <w:rPr>
                <w:rFonts w:hint="eastAsia"/>
                <w:sz w:val="24"/>
              </w:rPr>
              <w:t>3、</w:t>
            </w:r>
            <w:r>
              <w:rPr>
                <w:sz w:val="24"/>
              </w:rPr>
              <w:t>废</w:t>
            </w:r>
            <w:r>
              <w:rPr>
                <w:rFonts w:hint="eastAsia"/>
                <w:sz w:val="24"/>
              </w:rPr>
              <w:t>水</w:t>
            </w:r>
            <w:r>
              <w:rPr>
                <w:sz w:val="24"/>
              </w:rPr>
              <w:t>治理措施可行性分析</w:t>
            </w:r>
          </w:p>
          <w:p w14:paraId="282DD93D">
            <w:pPr>
              <w:widowControl/>
              <w:ind w:firstLine="480"/>
              <w:jc w:val="left"/>
              <w:rPr>
                <w:kern w:val="0"/>
                <w:lang w:bidi="ar"/>
              </w:rPr>
            </w:pPr>
            <w:r>
              <w:rPr>
                <w:rFonts w:hint="eastAsia"/>
                <w:kern w:val="0"/>
                <w:lang w:bidi="ar"/>
              </w:rPr>
              <w:t>（1）生活污水三级化粪池工作原理</w:t>
            </w:r>
          </w:p>
          <w:p w14:paraId="01F3B927">
            <w:pPr>
              <w:ind w:firstLine="480"/>
              <w:rPr>
                <w:kern w:val="0"/>
                <w:lang w:bidi="ar"/>
              </w:rPr>
            </w:pPr>
            <w:r>
              <w:rPr>
                <w:rFonts w:hint="eastAsia"/>
                <w:kern w:val="0"/>
                <w:lang w:bidi="ar"/>
              </w:rPr>
              <w:t>三级化粪池由相连的三个池子组成，中间由过粪管联通，主要是利用厌氧发酵、中层过粪和寄生虫卵比重大于一般混合液比重而易于沉淀的原理，粪便在池内经过30天以上的发酵分解，中层粪液依次由1池流至3池，以达到沉淀或杀灭粪便中寄生虫卵和肠道致病菌的目的，第3池粪液成为优质化肥。新鲜粪便由进粪口进入第一池，池内粪便开始发酵分解、因比重不同粪液可自然分为三层，上层为糊状粪皮，下层为块状或颗状粪渣，中层为比较澄清的粪液。在上层粪皮和下层粪渣中含细菌和寄生虫卵最多，中层含虫卵最少，初步发酵的中层粪液经过粪管溢流至第二池，而将大部分未经充分发酵的粪皮和粪渣阻留在第一池内继续发酵。流入第二池的粪液进一步发酵分解，虫卵继续下沉，病原体逐渐死亡，粪液得到进一步无害化，产生的粪皮和粪厚度比第一池显著减少。流入第三池的粪液一般已经腐熟，其中病菌和寄生虫卵已基本杀灭。第三池功能主要起储存已基本无害化的粪液作用。</w:t>
            </w:r>
          </w:p>
          <w:p w14:paraId="7E12C549">
            <w:pPr>
              <w:ind w:firstLine="480"/>
            </w:pPr>
            <w:r>
              <w:rPr>
                <w:rFonts w:hint="eastAsia"/>
              </w:rPr>
              <w:t>（2）废水排入</w:t>
            </w:r>
            <w:r>
              <w:t>福清融元污水处理厂</w:t>
            </w:r>
            <w:r>
              <w:rPr>
                <w:rFonts w:hint="eastAsia"/>
              </w:rPr>
              <w:t>处理的可行性分析</w:t>
            </w:r>
          </w:p>
          <w:p w14:paraId="31278399">
            <w:pPr>
              <w:ind w:firstLine="480"/>
              <w:rPr>
                <w:kern w:val="0"/>
                <w:lang w:val="zh-CN" w:bidi="zh-CN"/>
                <w14:ligatures w14:val="standardContextual"/>
              </w:rPr>
            </w:pPr>
            <w:r>
              <w:rPr>
                <w:rFonts w:hint="eastAsia"/>
                <w:kern w:val="0"/>
                <w:lang w:val="zh-CN" w:bidi="zh-CN"/>
                <w14:ligatures w14:val="standardContextual"/>
              </w:rPr>
              <w:t>①与市政管网的衔接性</w:t>
            </w:r>
          </w:p>
          <w:p w14:paraId="53F05BB9">
            <w:pPr>
              <w:widowControl/>
              <w:ind w:firstLine="480"/>
              <w:rPr>
                <w:kern w:val="0"/>
                <w:lang w:val="zh-CN" w:bidi="zh-CN"/>
                <w14:ligatures w14:val="standardContextual"/>
              </w:rPr>
            </w:pPr>
            <w:r>
              <w:rPr>
                <w:rFonts w:hint="eastAsia"/>
                <w:kern w:val="0"/>
                <w:lang w:val="zh-CN" w:bidi="zh-CN"/>
                <w14:ligatures w14:val="standardContextual"/>
              </w:rPr>
              <w:t>本项目属于福清市融元污水处理厂的服务范围内，项目周边清繁大道已敷设雨水管网和污水管网，并与区域市政管网相衔接，可确保厂内污废水正常排入市政雨污管网。</w:t>
            </w:r>
          </w:p>
          <w:p w14:paraId="46FBAB90">
            <w:pPr>
              <w:widowControl/>
              <w:ind w:firstLine="480"/>
              <w:rPr>
                <w:kern w:val="0"/>
                <w:lang w:val="zh-CN" w:bidi="zh-CN"/>
                <w14:ligatures w14:val="standardContextual"/>
              </w:rPr>
            </w:pPr>
            <w:r>
              <w:rPr>
                <w:rFonts w:hint="eastAsia"/>
                <w:kern w:val="0"/>
                <w:lang w:val="zh-CN" w:bidi="zh-CN"/>
                <w14:ligatures w14:val="standardContextual"/>
              </w:rPr>
              <w:t>②项目废水排入福清市融元污水处理厂的可行性</w:t>
            </w:r>
          </w:p>
          <w:p w14:paraId="3FF1879B">
            <w:pPr>
              <w:widowControl/>
              <w:ind w:firstLine="480"/>
              <w:rPr>
                <w:kern w:val="0"/>
                <w:lang w:val="zh-CN" w:bidi="zh-CN"/>
                <w14:ligatures w14:val="standardContextual"/>
              </w:rPr>
            </w:pPr>
            <w:r>
              <w:rPr>
                <w:rFonts w:hint="eastAsia"/>
                <w:kern w:val="0"/>
                <w:lang w:val="zh-CN" w:bidi="zh-CN"/>
                <w14:ligatures w14:val="standardContextual"/>
              </w:rPr>
              <w:t>福清市融元污水处理厂为城市二级污水处理厂，厂址位于福清市龙山街道玉塘村，规划远期总规模为</w:t>
            </w:r>
            <w:r>
              <w:rPr>
                <w:kern w:val="0"/>
                <w:lang w:val="zh-CN" w:bidi="zh-CN"/>
                <w14:ligatures w14:val="standardContextual"/>
              </w:rPr>
              <w:t>18</w:t>
            </w:r>
            <w:r>
              <w:rPr>
                <w:rFonts w:hint="eastAsia"/>
                <w:kern w:val="0"/>
                <w:lang w:val="zh-CN" w:bidi="zh-CN"/>
                <w14:ligatures w14:val="standardContextual"/>
              </w:rPr>
              <w:t>万</w:t>
            </w:r>
            <w:r>
              <w:rPr>
                <w:kern w:val="0"/>
                <w:lang w:val="zh-CN" w:bidi="zh-CN"/>
                <w14:ligatures w14:val="standardContextual"/>
              </w:rPr>
              <w:t>m</w:t>
            </w:r>
            <w:r>
              <w:rPr>
                <w:rFonts w:hint="eastAsia"/>
                <w:kern w:val="0"/>
                <w:vertAlign w:val="superscript"/>
                <w:lang w:val="zh-CN" w:bidi="zh-CN"/>
                <w14:ligatures w14:val="standardContextual"/>
              </w:rPr>
              <w:t>3</w:t>
            </w:r>
            <w:r>
              <w:rPr>
                <w:kern w:val="0"/>
                <w:lang w:val="zh-CN" w:bidi="zh-CN"/>
                <w14:ligatures w14:val="standardContextual"/>
              </w:rPr>
              <w:t>/d</w:t>
            </w:r>
            <w:r>
              <w:rPr>
                <w:rFonts w:hint="eastAsia"/>
                <w:kern w:val="0"/>
                <w:lang w:val="zh-CN" w:bidi="zh-CN"/>
                <w14:ligatures w14:val="standardContextual"/>
              </w:rPr>
              <w:t>，工程分三期实施，现状</w:t>
            </w:r>
            <w:r>
              <w:rPr>
                <w:kern w:val="0"/>
                <w:lang w:val="zh-CN" w:bidi="zh-CN"/>
                <w14:ligatures w14:val="standardContextual"/>
              </w:rPr>
              <w:t>(</w:t>
            </w:r>
            <w:r>
              <w:rPr>
                <w:rFonts w:hint="eastAsia"/>
                <w:kern w:val="0"/>
                <w:lang w:val="zh-CN" w:bidi="zh-CN"/>
                <w14:ligatures w14:val="standardContextual"/>
              </w:rPr>
              <w:t>已实施的一期及二期工程</w:t>
            </w:r>
            <w:r>
              <w:rPr>
                <w:kern w:val="0"/>
                <w:lang w:val="zh-CN" w:bidi="zh-CN"/>
                <w14:ligatures w14:val="standardContextual"/>
              </w:rPr>
              <w:t>)</w:t>
            </w:r>
            <w:r>
              <w:rPr>
                <w:rFonts w:hint="eastAsia"/>
                <w:kern w:val="0"/>
                <w:lang w:val="zh-CN" w:bidi="zh-CN"/>
                <w14:ligatures w14:val="standardContextual"/>
              </w:rPr>
              <w:t>规模为</w:t>
            </w:r>
            <w:r>
              <w:rPr>
                <w:kern w:val="0"/>
                <w:lang w:val="zh-CN" w:bidi="zh-CN"/>
                <w14:ligatures w14:val="standardContextual"/>
              </w:rPr>
              <w:t>12</w:t>
            </w:r>
            <w:r>
              <w:rPr>
                <w:rFonts w:hint="eastAsia"/>
                <w:kern w:val="0"/>
                <w:lang w:val="zh-CN" w:bidi="zh-CN"/>
                <w14:ligatures w14:val="standardContextual"/>
              </w:rPr>
              <w:t>万</w:t>
            </w:r>
            <w:r>
              <w:rPr>
                <w:kern w:val="0"/>
                <w:lang w:bidi="zh-CN"/>
                <w14:ligatures w14:val="standardContextual"/>
              </w:rPr>
              <w:t>m</w:t>
            </w:r>
            <w:r>
              <w:rPr>
                <w:rFonts w:hint="eastAsia"/>
                <w:kern w:val="0"/>
                <w:vertAlign w:val="superscript"/>
                <w:lang w:bidi="zh-CN"/>
                <w14:ligatures w14:val="standardContextual"/>
              </w:rPr>
              <w:t>3</w:t>
            </w:r>
            <w:r>
              <w:rPr>
                <w:kern w:val="0"/>
                <w:lang w:bidi="zh-CN"/>
                <w14:ligatures w14:val="standardContextual"/>
              </w:rPr>
              <w:t>/d</w:t>
            </w:r>
            <w:r>
              <w:rPr>
                <w:rFonts w:hint="eastAsia"/>
                <w:kern w:val="0"/>
                <w:lang w:val="zh-CN" w:bidi="zh-CN"/>
                <w14:ligatures w14:val="standardContextual"/>
              </w:rPr>
              <w:t>，远期扩建规模为</w:t>
            </w:r>
            <w:r>
              <w:rPr>
                <w:kern w:val="0"/>
                <w:lang w:val="zh-CN" w:bidi="zh-CN"/>
                <w14:ligatures w14:val="standardContextual"/>
              </w:rPr>
              <w:t>6</w:t>
            </w:r>
            <w:r>
              <w:rPr>
                <w:rFonts w:hint="eastAsia"/>
                <w:kern w:val="0"/>
                <w:lang w:val="zh-CN" w:bidi="zh-CN"/>
                <w14:ligatures w14:val="standardContextual"/>
              </w:rPr>
              <w:t>万</w:t>
            </w:r>
            <w:r>
              <w:rPr>
                <w:kern w:val="0"/>
                <w:lang w:bidi="zh-CN"/>
                <w14:ligatures w14:val="standardContextual"/>
              </w:rPr>
              <w:t>m</w:t>
            </w:r>
            <w:r>
              <w:rPr>
                <w:rFonts w:hint="eastAsia"/>
                <w:kern w:val="0"/>
                <w:vertAlign w:val="superscript"/>
                <w:lang w:bidi="zh-CN"/>
                <w14:ligatures w14:val="standardContextual"/>
              </w:rPr>
              <w:t>3</w:t>
            </w:r>
            <w:r>
              <w:rPr>
                <w:kern w:val="0"/>
                <w:lang w:bidi="zh-CN"/>
                <w14:ligatures w14:val="standardContextual"/>
              </w:rPr>
              <w:t>/d</w:t>
            </w:r>
            <w:r>
              <w:rPr>
                <w:rFonts w:hint="eastAsia"/>
                <w:kern w:val="0"/>
                <w:lang w:val="zh-CN" w:bidi="zh-CN"/>
                <w14:ligatures w14:val="standardContextual"/>
              </w:rPr>
              <w:t>。工程的规划建设年限为：近期</w:t>
            </w:r>
            <w:r>
              <w:rPr>
                <w:kern w:val="0"/>
                <w:lang w:val="zh-CN" w:bidi="zh-CN"/>
                <w14:ligatures w14:val="standardContextual"/>
              </w:rPr>
              <w:t>2020</w:t>
            </w:r>
            <w:r>
              <w:rPr>
                <w:rFonts w:hint="eastAsia"/>
                <w:kern w:val="0"/>
                <w:lang w:val="zh-CN" w:bidi="zh-CN"/>
                <w14:ligatures w14:val="standardContextual"/>
              </w:rPr>
              <w:t>年，远期</w:t>
            </w:r>
            <w:r>
              <w:rPr>
                <w:kern w:val="0"/>
                <w:lang w:val="zh-CN" w:bidi="zh-CN"/>
                <w14:ligatures w14:val="standardContextual"/>
              </w:rPr>
              <w:t>2030</w:t>
            </w:r>
            <w:r>
              <w:rPr>
                <w:rFonts w:hint="eastAsia"/>
                <w:kern w:val="0"/>
                <w:lang w:val="zh-CN" w:bidi="zh-CN"/>
                <w14:ligatures w14:val="standardContextual"/>
              </w:rPr>
              <w:t>年。</w:t>
            </w:r>
          </w:p>
          <w:p w14:paraId="2FEC2C69">
            <w:pPr>
              <w:widowControl/>
              <w:ind w:firstLine="480"/>
              <w:rPr>
                <w:kern w:val="0"/>
                <w:lang w:val="zh-CN" w:bidi="zh-CN"/>
                <w14:ligatures w14:val="standardContextual"/>
              </w:rPr>
            </w:pPr>
            <w:r>
              <w:rPr>
                <w:rFonts w:hint="eastAsia"/>
                <w:kern w:val="0"/>
                <w:lang w:val="zh-CN" w:bidi="zh-CN"/>
                <w14:ligatures w14:val="standardContextual"/>
              </w:rPr>
              <w:t>福清市融元</w:t>
            </w:r>
            <w:r>
              <w:rPr>
                <w:rFonts w:hint="eastAsia"/>
                <w:kern w:val="0"/>
                <w:shd w:val="clear" w:fill="FFFFFF"/>
                <w:lang w:val="zh-CN" w:bidi="zh-CN"/>
                <w14:ligatures w14:val="standardContextual"/>
              </w:rPr>
              <w:t>污水处理厂</w:t>
            </w:r>
            <w:r>
              <w:rPr>
                <w:rFonts w:hint="eastAsia"/>
                <w:kern w:val="0"/>
                <w:lang w:val="zh-CN" w:bidi="zh-CN"/>
                <w14:ligatures w14:val="standardContextual"/>
              </w:rPr>
              <w:t>现有处理规模为</w:t>
            </w:r>
            <w:r>
              <w:rPr>
                <w:kern w:val="0"/>
                <w:lang w:val="zh-CN" w:bidi="zh-CN"/>
                <w14:ligatures w14:val="standardContextual"/>
              </w:rPr>
              <w:t>12</w:t>
            </w:r>
            <w:r>
              <w:rPr>
                <w:rFonts w:hint="eastAsia"/>
                <w:kern w:val="0"/>
                <w:lang w:val="zh-CN" w:bidi="zh-CN"/>
                <w14:ligatures w14:val="standardContextual"/>
              </w:rPr>
              <w:t>万</w:t>
            </w:r>
            <w:r>
              <w:rPr>
                <w:kern w:val="0"/>
                <w:lang w:bidi="zh-CN"/>
                <w14:ligatures w14:val="standardContextual"/>
              </w:rPr>
              <w:t>m</w:t>
            </w:r>
            <w:r>
              <w:rPr>
                <w:rFonts w:hint="eastAsia"/>
                <w:kern w:val="0"/>
                <w:vertAlign w:val="superscript"/>
                <w:lang w:bidi="zh-CN"/>
                <w14:ligatures w14:val="standardContextual"/>
              </w:rPr>
              <w:t>3</w:t>
            </w:r>
            <w:r>
              <w:rPr>
                <w:kern w:val="0"/>
                <w:lang w:bidi="zh-CN"/>
                <w14:ligatures w14:val="standardContextual"/>
              </w:rPr>
              <w:t>/d</w:t>
            </w:r>
            <w:r>
              <w:rPr>
                <w:rFonts w:hint="eastAsia"/>
                <w:kern w:val="0"/>
                <w:lang w:val="zh-CN" w:bidi="zh-CN"/>
                <w14:ligatures w14:val="standardContextual"/>
              </w:rPr>
              <w:t>，尾水排放口设置在猪母湾西南岸，排入龙江。一期工程于</w:t>
            </w:r>
            <w:r>
              <w:rPr>
                <w:kern w:val="0"/>
                <w:lang w:val="zh-CN" w:bidi="zh-CN"/>
                <w14:ligatures w14:val="standardContextual"/>
              </w:rPr>
              <w:t>2008</w:t>
            </w:r>
            <w:r>
              <w:rPr>
                <w:rFonts w:hint="eastAsia"/>
                <w:kern w:val="0"/>
                <w:lang w:val="zh-CN" w:bidi="zh-CN"/>
                <w14:ligatures w14:val="standardContextual"/>
              </w:rPr>
              <w:t>年</w:t>
            </w:r>
            <w:r>
              <w:rPr>
                <w:kern w:val="0"/>
                <w:lang w:val="zh-CN" w:bidi="zh-CN"/>
                <w14:ligatures w14:val="standardContextual"/>
              </w:rPr>
              <w:t>1</w:t>
            </w:r>
            <w:r>
              <w:rPr>
                <w:rFonts w:hint="eastAsia"/>
                <w:kern w:val="0"/>
                <w:lang w:val="zh-CN" w:bidi="zh-CN"/>
                <w14:ligatures w14:val="standardContextual"/>
              </w:rPr>
              <w:t>月通过了竣工环保验收；二期工程于</w:t>
            </w:r>
            <w:r>
              <w:rPr>
                <w:kern w:val="0"/>
                <w:lang w:val="zh-CN" w:bidi="zh-CN"/>
                <w14:ligatures w14:val="standardContextual"/>
              </w:rPr>
              <w:t>2014</w:t>
            </w:r>
            <w:r>
              <w:rPr>
                <w:rFonts w:hint="eastAsia"/>
                <w:kern w:val="0"/>
                <w:lang w:val="zh-CN" w:bidi="zh-CN"/>
                <w14:ligatures w14:val="standardContextual"/>
              </w:rPr>
              <w:t>年</w:t>
            </w:r>
            <w:r>
              <w:rPr>
                <w:kern w:val="0"/>
                <w:lang w:val="zh-CN" w:bidi="zh-CN"/>
                <w14:ligatures w14:val="standardContextual"/>
              </w:rPr>
              <w:t>5</w:t>
            </w:r>
            <w:r>
              <w:rPr>
                <w:rFonts w:hint="eastAsia"/>
                <w:kern w:val="0"/>
                <w:lang w:val="zh-CN" w:bidi="zh-CN"/>
                <w14:ligatures w14:val="standardContextual"/>
              </w:rPr>
              <w:t>月通过了竣工环保验收。</w:t>
            </w:r>
            <w:r>
              <w:rPr>
                <w:kern w:val="0"/>
                <w:lang w:val="zh-CN" w:bidi="zh-CN"/>
                <w14:ligatures w14:val="standardContextual"/>
              </w:rPr>
              <w:t>2014</w:t>
            </w:r>
            <w:r>
              <w:rPr>
                <w:rFonts w:hint="eastAsia"/>
                <w:kern w:val="0"/>
                <w:lang w:val="zh-CN" w:bidi="zh-CN"/>
                <w14:ligatures w14:val="standardContextual"/>
              </w:rPr>
              <w:t>年以来福清市融元污水处理厂出水水质效果好，能够满足一级</w:t>
            </w:r>
            <w:r>
              <w:rPr>
                <w:kern w:val="0"/>
                <w:lang w:val="zh-CN" w:bidi="zh-CN"/>
                <w14:ligatures w14:val="standardContextual"/>
              </w:rPr>
              <w:t>B</w:t>
            </w:r>
            <w:r>
              <w:rPr>
                <w:rFonts w:hint="eastAsia"/>
                <w:kern w:val="0"/>
                <w:lang w:val="zh-CN" w:bidi="zh-CN"/>
                <w14:ligatures w14:val="standardContextual"/>
              </w:rPr>
              <w:t>标准的排放要求。</w:t>
            </w:r>
          </w:p>
          <w:p w14:paraId="12708F97">
            <w:pPr>
              <w:widowControl/>
              <w:ind w:firstLine="480"/>
              <w:rPr>
                <w:kern w:val="0"/>
                <w:lang w:val="zh-CN" w:bidi="zh-CN"/>
                <w14:ligatures w14:val="standardContextual"/>
              </w:rPr>
            </w:pPr>
            <w:r>
              <w:rPr>
                <w:kern w:val="0"/>
                <w:lang w:val="zh-CN" w:bidi="zh-CN"/>
                <w14:ligatures w14:val="standardContextual"/>
              </w:rPr>
              <w:t>2016</w:t>
            </w:r>
            <w:r>
              <w:rPr>
                <w:rFonts w:hint="eastAsia"/>
                <w:kern w:val="0"/>
                <w:lang w:val="zh-CN" w:bidi="zh-CN"/>
                <w14:ligatures w14:val="standardContextual"/>
              </w:rPr>
              <w:t>年</w:t>
            </w:r>
            <w:r>
              <w:rPr>
                <w:kern w:val="0"/>
                <w:lang w:val="zh-CN" w:bidi="zh-CN"/>
                <w14:ligatures w14:val="standardContextual"/>
              </w:rPr>
              <w:t>10</w:t>
            </w:r>
            <w:r>
              <w:rPr>
                <w:rFonts w:hint="eastAsia"/>
                <w:kern w:val="0"/>
                <w:lang w:val="zh-CN" w:bidi="zh-CN"/>
                <w14:ligatures w14:val="standardContextual"/>
              </w:rPr>
              <w:t>月，福清黎阳水务有限公司对现状福清市融元污水处理厂厂内提标及改造，本次提标改造工程按近期规模</w:t>
            </w:r>
            <w:r>
              <w:rPr>
                <w:kern w:val="0"/>
                <w:lang w:val="zh-CN" w:bidi="zh-CN"/>
                <w14:ligatures w14:val="standardContextual"/>
              </w:rPr>
              <w:t>12.0</w:t>
            </w:r>
            <w:r>
              <w:rPr>
                <w:rFonts w:hint="eastAsia"/>
                <w:kern w:val="0"/>
                <w:lang w:val="zh-CN" w:bidi="zh-CN"/>
                <w14:ligatures w14:val="standardContextual"/>
              </w:rPr>
              <w:t>万</w:t>
            </w:r>
            <w:r>
              <w:rPr>
                <w:kern w:val="0"/>
                <w:lang w:bidi="zh-CN"/>
                <w14:ligatures w14:val="standardContextual"/>
              </w:rPr>
              <w:t>m</w:t>
            </w:r>
            <w:r>
              <w:rPr>
                <w:rFonts w:hint="eastAsia"/>
                <w:kern w:val="0"/>
                <w:vertAlign w:val="superscript"/>
                <w:lang w:bidi="zh-CN"/>
                <w14:ligatures w14:val="standardContextual"/>
              </w:rPr>
              <w:t>3</w:t>
            </w:r>
            <w:r>
              <w:rPr>
                <w:kern w:val="0"/>
                <w:lang w:bidi="zh-CN"/>
                <w14:ligatures w14:val="standardContextual"/>
              </w:rPr>
              <w:t>/d</w:t>
            </w:r>
            <w:r>
              <w:rPr>
                <w:rFonts w:hint="eastAsia"/>
                <w:kern w:val="0"/>
                <w:lang w:val="zh-CN" w:bidi="zh-CN"/>
                <w14:ligatures w14:val="standardContextual"/>
              </w:rPr>
              <w:t>设计和建设，主要技改内容：技改后一期工程降低处理负荷，污水处理规模由</w:t>
            </w:r>
            <w:r>
              <w:rPr>
                <w:kern w:val="0"/>
                <w:lang w:val="zh-CN" w:bidi="zh-CN"/>
                <w14:ligatures w14:val="standardContextual"/>
              </w:rPr>
              <w:t>6</w:t>
            </w:r>
            <w:r>
              <w:rPr>
                <w:rFonts w:hint="eastAsia"/>
                <w:kern w:val="0"/>
                <w:lang w:val="zh-CN" w:bidi="zh-CN"/>
                <w14:ligatures w14:val="standardContextual"/>
              </w:rPr>
              <w:t>万</w:t>
            </w:r>
            <w:r>
              <w:rPr>
                <w:kern w:val="0"/>
                <w:lang w:bidi="zh-CN"/>
                <w14:ligatures w14:val="standardContextual"/>
              </w:rPr>
              <w:t>m</w:t>
            </w:r>
            <w:r>
              <w:rPr>
                <w:rFonts w:hint="eastAsia"/>
                <w:kern w:val="0"/>
                <w:vertAlign w:val="superscript"/>
                <w:lang w:bidi="zh-CN"/>
                <w14:ligatures w14:val="standardContextual"/>
              </w:rPr>
              <w:t>3</w:t>
            </w:r>
            <w:r>
              <w:rPr>
                <w:kern w:val="0"/>
                <w:lang w:bidi="zh-CN"/>
                <w14:ligatures w14:val="standardContextual"/>
              </w:rPr>
              <w:t>/d</w:t>
            </w:r>
            <w:r>
              <w:rPr>
                <w:rFonts w:hint="eastAsia"/>
                <w:kern w:val="0"/>
                <w:lang w:val="zh-CN" w:bidi="zh-CN"/>
                <w14:ligatures w14:val="standardContextual"/>
              </w:rPr>
              <w:t>调整为</w:t>
            </w:r>
            <w:r>
              <w:rPr>
                <w:kern w:val="0"/>
                <w:lang w:val="zh-CN" w:bidi="zh-CN"/>
                <w14:ligatures w14:val="standardContextual"/>
              </w:rPr>
              <w:t>4</w:t>
            </w:r>
            <w:r>
              <w:rPr>
                <w:rFonts w:hint="eastAsia"/>
                <w:kern w:val="0"/>
                <w:lang w:val="zh-CN" w:bidi="zh-CN"/>
                <w14:ligatures w14:val="standardContextual"/>
              </w:rPr>
              <w:t>万</w:t>
            </w:r>
            <w:r>
              <w:rPr>
                <w:kern w:val="0"/>
                <w:lang w:bidi="zh-CN"/>
                <w14:ligatures w14:val="standardContextual"/>
              </w:rPr>
              <w:t>m</w:t>
            </w:r>
            <w:r>
              <w:rPr>
                <w:rFonts w:hint="eastAsia"/>
                <w:kern w:val="0"/>
                <w:vertAlign w:val="superscript"/>
                <w:lang w:bidi="zh-CN"/>
                <w14:ligatures w14:val="standardContextual"/>
              </w:rPr>
              <w:t>3</w:t>
            </w:r>
            <w:r>
              <w:rPr>
                <w:kern w:val="0"/>
                <w:lang w:bidi="zh-CN"/>
                <w14:ligatures w14:val="standardContextual"/>
              </w:rPr>
              <w:t>/d</w:t>
            </w:r>
            <w:r>
              <w:rPr>
                <w:rFonts w:hint="eastAsia"/>
                <w:kern w:val="0"/>
                <w:lang w:val="zh-CN" w:bidi="zh-CN"/>
                <w14:ligatures w14:val="standardContextual"/>
              </w:rPr>
              <w:t>运行并在现有一期工程生化池基础上增设化学除磷和投加碳源措施，以进一步改善出水水质。厂区原二期工程提标后污水处理规模由</w:t>
            </w:r>
            <w:r>
              <w:rPr>
                <w:kern w:val="0"/>
                <w:lang w:val="zh-CN" w:bidi="zh-CN"/>
                <w14:ligatures w14:val="standardContextual"/>
              </w:rPr>
              <w:t>6</w:t>
            </w:r>
            <w:r>
              <w:rPr>
                <w:rFonts w:hint="eastAsia"/>
                <w:kern w:val="0"/>
                <w:lang w:val="zh-CN" w:bidi="zh-CN"/>
                <w14:ligatures w14:val="standardContextual"/>
              </w:rPr>
              <w:t>万</w:t>
            </w:r>
            <w:r>
              <w:rPr>
                <w:kern w:val="0"/>
                <w:lang w:bidi="zh-CN"/>
                <w14:ligatures w14:val="standardContextual"/>
              </w:rPr>
              <w:t>m</w:t>
            </w:r>
            <w:r>
              <w:rPr>
                <w:rFonts w:hint="eastAsia"/>
                <w:kern w:val="0"/>
                <w:vertAlign w:val="superscript"/>
                <w:lang w:bidi="zh-CN"/>
                <w14:ligatures w14:val="standardContextual"/>
              </w:rPr>
              <w:t>3</w:t>
            </w:r>
            <w:r>
              <w:rPr>
                <w:kern w:val="0"/>
                <w:lang w:bidi="zh-CN"/>
                <w14:ligatures w14:val="standardContextual"/>
              </w:rPr>
              <w:t>/d</w:t>
            </w:r>
            <w:r>
              <w:rPr>
                <w:rFonts w:hint="eastAsia"/>
                <w:kern w:val="0"/>
                <w:lang w:val="zh-CN" w:bidi="zh-CN"/>
                <w14:ligatures w14:val="standardContextual"/>
              </w:rPr>
              <w:t>调整为</w:t>
            </w:r>
            <w:r>
              <w:rPr>
                <w:kern w:val="0"/>
                <w:lang w:val="zh-CN" w:bidi="zh-CN"/>
                <w14:ligatures w14:val="standardContextual"/>
              </w:rPr>
              <w:t>8</w:t>
            </w:r>
            <w:r>
              <w:rPr>
                <w:rFonts w:hint="eastAsia"/>
                <w:kern w:val="0"/>
                <w:lang w:val="zh-CN" w:bidi="zh-CN"/>
                <w14:ligatures w14:val="standardContextual"/>
              </w:rPr>
              <w:t>万</w:t>
            </w:r>
            <w:r>
              <w:rPr>
                <w:kern w:val="0"/>
                <w:lang w:bidi="zh-CN"/>
                <w14:ligatures w14:val="standardContextual"/>
              </w:rPr>
              <w:t>m</w:t>
            </w:r>
            <w:r>
              <w:rPr>
                <w:rFonts w:hint="eastAsia"/>
                <w:kern w:val="0"/>
                <w:vertAlign w:val="superscript"/>
                <w:lang w:bidi="zh-CN"/>
                <w14:ligatures w14:val="standardContextual"/>
              </w:rPr>
              <w:t>3</w:t>
            </w:r>
            <w:r>
              <w:rPr>
                <w:kern w:val="0"/>
                <w:lang w:bidi="zh-CN"/>
                <w14:ligatures w14:val="standardContextual"/>
              </w:rPr>
              <w:t>/d</w:t>
            </w:r>
            <w:r>
              <w:rPr>
                <w:rFonts w:hint="eastAsia"/>
                <w:kern w:val="0"/>
                <w:lang w:val="zh-CN" w:bidi="zh-CN"/>
                <w14:ligatures w14:val="standardContextual"/>
              </w:rPr>
              <w:t>运行旋流沉砂池出水与生化池进水管之间增设精细格栅间，在现有二期工程生化池基础上增设化学除磷和投加碳源措施、在缺氧池至厌氧池之间、好氧池与缺氧池之间改造污泥回流泵、在现有生化处理池基础上改造新增</w:t>
            </w:r>
            <w:r>
              <w:rPr>
                <w:kern w:val="0"/>
                <w:lang w:val="zh-CN" w:bidi="zh-CN"/>
                <w14:ligatures w14:val="standardContextual"/>
              </w:rPr>
              <w:t>MP-MBR</w:t>
            </w:r>
            <w:r>
              <w:rPr>
                <w:rFonts w:hint="eastAsia"/>
                <w:kern w:val="0"/>
                <w:lang w:val="zh-CN" w:bidi="zh-CN"/>
                <w14:ligatures w14:val="standardContextual"/>
              </w:rPr>
              <w:t>膜系统，改造后污水处理工艺详见图</w:t>
            </w:r>
            <w:r>
              <w:rPr>
                <w:kern w:val="0"/>
                <w:lang w:val="zh-CN" w:bidi="zh-CN"/>
                <w14:ligatures w14:val="standardContextual"/>
              </w:rPr>
              <w:t>4.2-</w:t>
            </w:r>
            <w:r>
              <w:rPr>
                <w:rFonts w:hint="eastAsia"/>
                <w:kern w:val="0"/>
                <w:lang w:val="zh-CN" w:bidi="zh-CN"/>
                <w14:ligatures w14:val="standardContextual"/>
              </w:rPr>
              <w:t>2。</w:t>
            </w:r>
          </w:p>
          <w:p w14:paraId="0341465C">
            <w:pPr>
              <w:widowControl/>
              <w:ind w:firstLine="480"/>
              <w:rPr>
                <w:kern w:val="0"/>
                <w:lang w:val="zh-CN" w:bidi="zh-CN"/>
                <w14:ligatures w14:val="standardContextual"/>
              </w:rPr>
            </w:pPr>
            <w:r>
              <w:rPr>
                <w:rFonts w:hint="eastAsia"/>
                <w:kern w:val="0"/>
                <w:lang w:val="zh-CN" w:bidi="zh-CN"/>
                <w14:ligatures w14:val="standardContextual"/>
              </w:rPr>
              <w:t>根据调查，目前福清市融元污水处理厂厂内提标及改造工程已经完成并正常使用，平均处理规模约为</w:t>
            </w:r>
            <w:r>
              <w:rPr>
                <w:kern w:val="0"/>
                <w:lang w:val="zh-CN" w:bidi="zh-CN"/>
                <w14:ligatures w14:val="standardContextual"/>
              </w:rPr>
              <w:t>11.85</w:t>
            </w:r>
            <w:r>
              <w:rPr>
                <w:rFonts w:hint="eastAsia"/>
                <w:kern w:val="0"/>
                <w:lang w:val="zh-CN" w:bidi="zh-CN"/>
                <w14:ligatures w14:val="standardContextual"/>
              </w:rPr>
              <w:t>万</w:t>
            </w:r>
            <w:r>
              <w:rPr>
                <w:kern w:val="0"/>
                <w:lang w:bidi="zh-CN"/>
                <w14:ligatures w14:val="standardContextual"/>
              </w:rPr>
              <w:t>m</w:t>
            </w:r>
            <w:r>
              <w:rPr>
                <w:rFonts w:hint="eastAsia"/>
                <w:kern w:val="0"/>
                <w:vertAlign w:val="superscript"/>
                <w:lang w:bidi="zh-CN"/>
                <w14:ligatures w14:val="standardContextual"/>
              </w:rPr>
              <w:t>3</w:t>
            </w:r>
            <w:r>
              <w:rPr>
                <w:kern w:val="0"/>
                <w:lang w:bidi="zh-CN"/>
                <w14:ligatures w14:val="standardContextual"/>
              </w:rPr>
              <w:t>/d</w:t>
            </w:r>
            <w:r>
              <w:rPr>
                <w:rFonts w:hint="eastAsia"/>
                <w:kern w:val="0"/>
                <w:lang w:val="zh-CN" w:bidi="zh-CN"/>
                <w14:ligatures w14:val="standardContextual"/>
              </w:rPr>
              <w:t>，处理后的尾水执行《城镇污水处理厂污染物排放标准》</w:t>
            </w:r>
            <w:r>
              <w:rPr>
                <w:kern w:val="0"/>
                <w:lang w:val="zh-CN" w:bidi="zh-CN"/>
                <w14:ligatures w14:val="standardContextual"/>
              </w:rPr>
              <w:t>(GB18918-2002)</w:t>
            </w:r>
            <w:r>
              <w:rPr>
                <w:rFonts w:hint="eastAsia"/>
                <w:kern w:val="0"/>
                <w:lang w:val="zh-CN" w:bidi="zh-CN"/>
                <w14:ligatures w14:val="standardContextual"/>
              </w:rPr>
              <w:t>及其修改单中的一级</w:t>
            </w:r>
            <w:r>
              <w:rPr>
                <w:kern w:val="0"/>
                <w:lang w:val="zh-CN" w:bidi="zh-CN"/>
                <w14:ligatures w14:val="standardContextual"/>
              </w:rPr>
              <w:t>A</w:t>
            </w:r>
            <w:r>
              <w:rPr>
                <w:rFonts w:hint="eastAsia"/>
                <w:kern w:val="0"/>
                <w:lang w:val="zh-CN" w:bidi="zh-CN"/>
                <w14:ligatures w14:val="standardContextual"/>
              </w:rPr>
              <w:t>标准，尾水排放龙江。</w:t>
            </w:r>
          </w:p>
          <w:p w14:paraId="7A34FB3B">
            <w:pPr>
              <w:widowControl/>
              <w:ind w:firstLine="480"/>
              <w:rPr>
                <w:kern w:val="0"/>
                <w:lang w:val="zh-CN" w:bidi="zh-CN"/>
                <w14:ligatures w14:val="standardContextual"/>
              </w:rPr>
            </w:pPr>
            <w:r>
              <w:rPr>
                <w:kern w:val="0"/>
                <w:lang w:val="zh-CN" w:bidi="zh-CN"/>
                <w14:ligatures w14:val="standardContextual"/>
              </w:rPr>
              <w:t>A</w:t>
            </w:r>
            <w:r>
              <w:rPr>
                <w:rFonts w:hint="eastAsia"/>
                <w:kern w:val="0"/>
                <w:lang w:val="zh-CN" w:bidi="zh-CN"/>
                <w14:ligatures w14:val="standardContextual"/>
              </w:rPr>
              <w:t>、废水水质的影响</w:t>
            </w:r>
          </w:p>
          <w:p w14:paraId="5D96EF09">
            <w:pPr>
              <w:widowControl/>
              <w:ind w:firstLine="480"/>
              <w:rPr>
                <w:kern w:val="0"/>
                <w:lang w:val="zh-CN" w:bidi="zh-CN"/>
                <w14:ligatures w14:val="standardContextual"/>
              </w:rPr>
            </w:pPr>
            <w:r>
              <w:rPr>
                <w:rFonts w:hint="eastAsia"/>
                <w:kern w:val="0"/>
                <w:lang w:val="zh-CN" w:bidi="zh-CN"/>
                <w14:ligatures w14:val="standardContextual"/>
              </w:rPr>
              <w:t>项目运营期外排污废水主要为生活污水，由于项目生活废水所含的污染因子浓度低，污染物成分简单，不含有腐蚀成分，污水的可生化性高，经过化粪池处理后，出水水质可满足</w:t>
            </w:r>
            <w:r>
              <w:rPr>
                <w:rFonts w:hint="eastAsia"/>
                <w:kern w:val="0"/>
                <w:lang w:bidi="zh-CN"/>
                <w14:ligatures w14:val="standardContextual"/>
              </w:rPr>
              <w:t>《污水综合排放标准》（GB8978-1996）表4中三级标准，其中氨氮浓度限值执行《污水排入城镇下水道水质标准》（GB/T 31962-2015）相关限值要求</w:t>
            </w:r>
            <w:r>
              <w:rPr>
                <w:rFonts w:hint="eastAsia"/>
                <w:kern w:val="0"/>
                <w:lang w:val="zh-CN" w:bidi="zh-CN"/>
                <w14:ligatures w14:val="standardContextual"/>
              </w:rPr>
              <w:t>，项目污水排放不会对福清市融元污水处理厂负荷和处理工艺产生影响，也不会对城市污水管道产生腐蚀影响。因此，从废水水质方面考虑，项目产生的废水经过化粪池处理后排入福清市融元污水处理厂处理是可行的。</w:t>
            </w:r>
          </w:p>
          <w:p w14:paraId="025D0CB5">
            <w:pPr>
              <w:widowControl/>
              <w:ind w:firstLine="480"/>
              <w:rPr>
                <w:kern w:val="0"/>
                <w:lang w:val="zh-CN" w:bidi="zh-CN"/>
                <w14:ligatures w14:val="standardContextual"/>
              </w:rPr>
            </w:pPr>
            <w:r>
              <w:rPr>
                <w:kern w:val="0"/>
                <w:lang w:val="zh-CN" w:bidi="zh-CN"/>
                <w14:ligatures w14:val="standardContextual"/>
              </w:rPr>
              <w:t>B</w:t>
            </w:r>
            <w:r>
              <w:rPr>
                <w:rFonts w:hint="eastAsia"/>
                <w:kern w:val="0"/>
                <w:lang w:val="zh-CN" w:bidi="zh-CN"/>
                <w14:ligatures w14:val="standardContextual"/>
              </w:rPr>
              <w:t>、废水水量的影响</w:t>
            </w:r>
          </w:p>
          <w:p w14:paraId="46BD2677">
            <w:pPr>
              <w:widowControl/>
              <w:ind w:firstLine="480"/>
              <w:rPr>
                <w:kern w:val="0"/>
                <w:lang w:val="zh-CN" w:bidi="zh-CN"/>
                <w14:ligatures w14:val="standardContextual"/>
              </w:rPr>
            </w:pPr>
            <w:r>
              <w:rPr>
                <w:rFonts w:hint="eastAsia"/>
                <w:kern w:val="0"/>
                <w:lang w:val="zh-CN" w:bidi="zh-CN"/>
                <w14:ligatures w14:val="standardContextual"/>
              </w:rPr>
              <w:t>根据调查，目前福清市融元污水处理厂厂内提标及改造工程已经完成并正常使用，平均处理规模约为</w:t>
            </w:r>
            <w:r>
              <w:rPr>
                <w:kern w:val="0"/>
                <w:lang w:val="zh-CN" w:bidi="zh-CN"/>
                <w14:ligatures w14:val="standardContextual"/>
              </w:rPr>
              <w:t>11.85</w:t>
            </w:r>
            <w:r>
              <w:rPr>
                <w:rFonts w:hint="eastAsia"/>
                <w:kern w:val="0"/>
                <w:lang w:val="zh-CN" w:bidi="zh-CN"/>
                <w14:ligatures w14:val="standardContextual"/>
              </w:rPr>
              <w:t>万</w:t>
            </w:r>
            <w:r>
              <w:rPr>
                <w:kern w:val="0"/>
                <w:lang w:bidi="zh-CN"/>
                <w14:ligatures w14:val="standardContextual"/>
              </w:rPr>
              <w:t>m</w:t>
            </w:r>
            <w:r>
              <w:rPr>
                <w:rFonts w:hint="eastAsia"/>
                <w:kern w:val="0"/>
                <w:vertAlign w:val="superscript"/>
                <w:lang w:bidi="zh-CN"/>
                <w14:ligatures w14:val="standardContextual"/>
              </w:rPr>
              <w:t>3</w:t>
            </w:r>
            <w:r>
              <w:rPr>
                <w:kern w:val="0"/>
                <w:lang w:bidi="zh-CN"/>
                <w14:ligatures w14:val="standardContextual"/>
              </w:rPr>
              <w:t>/d</w:t>
            </w:r>
            <w:r>
              <w:rPr>
                <w:rFonts w:hint="eastAsia"/>
                <w:kern w:val="0"/>
                <w:lang w:val="zh-CN" w:bidi="zh-CN"/>
                <w14:ligatures w14:val="standardContextual"/>
              </w:rPr>
              <w:t>，剩余处理能力</w:t>
            </w:r>
            <w:r>
              <w:rPr>
                <w:kern w:val="0"/>
                <w:lang w:val="zh-CN" w:bidi="zh-CN"/>
                <w14:ligatures w14:val="standardContextual"/>
              </w:rPr>
              <w:t>1500</w:t>
            </w:r>
            <w:r>
              <w:rPr>
                <w:kern w:val="0"/>
                <w:lang w:bidi="zh-CN"/>
                <w14:ligatures w14:val="standardContextual"/>
              </w:rPr>
              <w:t>m</w:t>
            </w:r>
            <w:r>
              <w:rPr>
                <w:rFonts w:hint="eastAsia"/>
                <w:kern w:val="0"/>
                <w:vertAlign w:val="superscript"/>
                <w:lang w:bidi="zh-CN"/>
                <w14:ligatures w14:val="standardContextual"/>
              </w:rPr>
              <w:t>3</w:t>
            </w:r>
            <w:r>
              <w:rPr>
                <w:kern w:val="0"/>
                <w:lang w:bidi="zh-CN"/>
                <w14:ligatures w14:val="standardContextual"/>
              </w:rPr>
              <w:t>/d</w:t>
            </w:r>
            <w:r>
              <w:rPr>
                <w:rFonts w:hint="eastAsia"/>
                <w:kern w:val="0"/>
                <w:lang w:val="zh-CN" w:bidi="zh-CN"/>
                <w14:ligatures w14:val="standardContextual"/>
              </w:rPr>
              <w:t>。本项目污水量为4</w:t>
            </w:r>
            <w:r>
              <w:rPr>
                <w:kern w:val="0"/>
                <w:lang w:bidi="zh-CN"/>
                <w14:ligatures w14:val="standardContextual"/>
              </w:rPr>
              <w:t>m</w:t>
            </w:r>
            <w:r>
              <w:rPr>
                <w:rFonts w:hint="eastAsia"/>
                <w:kern w:val="0"/>
                <w:vertAlign w:val="superscript"/>
                <w:lang w:bidi="zh-CN"/>
                <w14:ligatures w14:val="standardContextual"/>
              </w:rPr>
              <w:t>3</w:t>
            </w:r>
            <w:r>
              <w:rPr>
                <w:kern w:val="0"/>
                <w:lang w:bidi="zh-CN"/>
                <w14:ligatures w14:val="standardContextual"/>
              </w:rPr>
              <w:t>/d</w:t>
            </w:r>
            <w:r>
              <w:rPr>
                <w:rFonts w:hint="eastAsia"/>
                <w:kern w:val="0"/>
                <w:lang w:val="zh-CN" w:bidi="zh-CN"/>
                <w14:ligatures w14:val="standardContextual"/>
              </w:rPr>
              <w:t>，占剩余处理能力的0.27</w:t>
            </w:r>
            <w:r>
              <w:rPr>
                <w:kern w:val="0"/>
                <w:lang w:val="zh-CN" w:bidi="zh-CN"/>
                <w14:ligatures w14:val="standardContextual"/>
              </w:rPr>
              <w:t>%</w:t>
            </w:r>
            <w:r>
              <w:rPr>
                <w:rFonts w:hint="eastAsia"/>
                <w:kern w:val="0"/>
                <w:lang w:val="zh-CN" w:bidi="zh-CN"/>
                <w14:ligatures w14:val="standardContextual"/>
              </w:rPr>
              <w:t>，项目废水排放水量不会对</w:t>
            </w:r>
            <w:r>
              <w:rPr>
                <w:rFonts w:hint="eastAsia"/>
                <w:kern w:val="0"/>
                <w:shd w:val="clear" w:fill="FFFFFF"/>
                <w:lang w:val="zh-CN" w:bidi="zh-CN"/>
                <w14:ligatures w14:val="standardContextual"/>
              </w:rPr>
              <w:t>污水处理厂</w:t>
            </w:r>
            <w:r>
              <w:rPr>
                <w:rFonts w:hint="eastAsia"/>
                <w:kern w:val="0"/>
                <w:lang w:val="zh-CN" w:bidi="zh-CN"/>
                <w14:ligatures w14:val="standardContextual"/>
              </w:rPr>
              <w:t>造成负荷冲击，可纳入污水处理处理。</w:t>
            </w:r>
          </w:p>
          <w:p w14:paraId="61796B3D">
            <w:pPr>
              <w:pStyle w:val="96"/>
            </w:pPr>
            <w:r>
              <w:drawing>
                <wp:inline distT="0" distB="0" distL="0" distR="0">
                  <wp:extent cx="4333875" cy="2509520"/>
                  <wp:effectExtent l="0" t="0" r="0" b="5080"/>
                  <wp:docPr id="6693007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00766" name="图片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351046" cy="2519479"/>
                          </a:xfrm>
                          <a:prstGeom prst="rect">
                            <a:avLst/>
                          </a:prstGeom>
                          <a:noFill/>
                          <a:ln>
                            <a:noFill/>
                          </a:ln>
                        </pic:spPr>
                      </pic:pic>
                    </a:graphicData>
                  </a:graphic>
                </wp:inline>
              </w:drawing>
            </w:r>
          </w:p>
          <w:p w14:paraId="0A13E2FF">
            <w:pPr>
              <w:pStyle w:val="96"/>
            </w:pPr>
            <w:r>
              <w:rPr>
                <w:rFonts w:hint="eastAsia" w:ascii="宋体" w:hAnsi="宋体" w:cs="宋体"/>
              </w:rPr>
              <w:t>图</w:t>
            </w:r>
            <w:r>
              <w:t>4.2-</w:t>
            </w:r>
            <w:r>
              <w:rPr>
                <w:rFonts w:hint="eastAsia" w:eastAsiaTheme="minorEastAsia"/>
              </w:rPr>
              <w:t>2</w:t>
            </w:r>
            <w:r>
              <w:rPr>
                <w:rFonts w:hint="eastAsia"/>
              </w:rPr>
              <w:t xml:space="preserve">  福清市融元污水处理厂污水处理工艺流程图</w:t>
            </w:r>
          </w:p>
        </w:tc>
      </w:tr>
    </w:tbl>
    <w:p w14:paraId="3F785DDB">
      <w:pPr>
        <w:ind w:firstLine="480"/>
        <w:sectPr>
          <w:pgSz w:w="11905" w:h="16838"/>
          <w:pgMar w:top="1417" w:right="1417" w:bottom="1417" w:left="1417" w:header="851" w:footer="850" w:gutter="0"/>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20775"/>
      </w:tblGrid>
      <w:tr w14:paraId="542A2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5" w:hRule="atLeast"/>
        </w:trPr>
        <w:tc>
          <w:tcPr>
            <w:tcW w:w="418" w:type="dxa"/>
            <w:vAlign w:val="center"/>
          </w:tcPr>
          <w:p w14:paraId="3C119CD2">
            <w:pPr>
              <w:spacing w:line="240" w:lineRule="auto"/>
              <w:ind w:firstLine="0" w:firstLineChars="0"/>
              <w:jc w:val="center"/>
            </w:pPr>
            <w:r>
              <w:rPr>
                <w:sz w:val="21"/>
                <w:szCs w:val="21"/>
              </w:rPr>
              <w:t>运营期环境影响和保护措施</w:t>
            </w:r>
          </w:p>
        </w:tc>
        <w:tc>
          <w:tcPr>
            <w:tcW w:w="20775" w:type="dxa"/>
          </w:tcPr>
          <w:p w14:paraId="0ABA0939">
            <w:pPr>
              <w:spacing w:before="120" w:beforeLines="50" w:line="240" w:lineRule="auto"/>
              <w:ind w:firstLine="0" w:firstLineChars="0"/>
              <w:jc w:val="center"/>
              <w:rPr>
                <w:b/>
              </w:rPr>
            </w:pPr>
            <w:r>
              <w:rPr>
                <w:b/>
              </w:rPr>
              <w:t>表4.2-</w:t>
            </w:r>
            <w:r>
              <w:rPr>
                <w:rFonts w:hint="eastAsia"/>
                <w:b/>
              </w:rPr>
              <w:t>4</w:t>
            </w:r>
            <w:r>
              <w:rPr>
                <w:b/>
              </w:rPr>
              <w:t xml:space="preserve">  废水污染源源强核算结果及相关参数一览表</w:t>
            </w:r>
          </w:p>
          <w:tbl>
            <w:tblPr>
              <w:tblStyle w:val="8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9"/>
              <w:gridCol w:w="735"/>
              <w:gridCol w:w="1324"/>
              <w:gridCol w:w="1471"/>
              <w:gridCol w:w="1323"/>
              <w:gridCol w:w="1526"/>
              <w:gridCol w:w="736"/>
              <w:gridCol w:w="736"/>
              <w:gridCol w:w="980"/>
              <w:gridCol w:w="1052"/>
              <w:gridCol w:w="1348"/>
              <w:gridCol w:w="1006"/>
              <w:gridCol w:w="1725"/>
              <w:gridCol w:w="1249"/>
              <w:gridCol w:w="863"/>
              <w:gridCol w:w="718"/>
              <w:gridCol w:w="719"/>
              <w:gridCol w:w="863"/>
              <w:gridCol w:w="1236"/>
            </w:tblGrid>
            <w:tr w14:paraId="794704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9" w:type="dxa"/>
                  <w:vMerge w:val="restart"/>
                  <w:noWrap/>
                  <w:vAlign w:val="center"/>
                </w:tcPr>
                <w:p w14:paraId="1E007686">
                  <w:pPr>
                    <w:pStyle w:val="41"/>
                  </w:pPr>
                  <w:r>
                    <w:t>产污</w:t>
                  </w:r>
                </w:p>
                <w:p w14:paraId="12CFA99B">
                  <w:pPr>
                    <w:pStyle w:val="41"/>
                  </w:pPr>
                  <w:r>
                    <w:t>环节</w:t>
                  </w:r>
                </w:p>
              </w:tc>
              <w:tc>
                <w:tcPr>
                  <w:tcW w:w="735" w:type="dxa"/>
                  <w:vMerge w:val="restart"/>
                  <w:noWrap/>
                  <w:vAlign w:val="center"/>
                </w:tcPr>
                <w:p w14:paraId="43AA5841">
                  <w:pPr>
                    <w:pStyle w:val="41"/>
                  </w:pPr>
                  <w:r>
                    <w:t>类别</w:t>
                  </w:r>
                </w:p>
              </w:tc>
              <w:tc>
                <w:tcPr>
                  <w:tcW w:w="1324" w:type="dxa"/>
                  <w:vMerge w:val="restart"/>
                  <w:noWrap/>
                  <w:vAlign w:val="center"/>
                </w:tcPr>
                <w:p w14:paraId="7908913F">
                  <w:pPr>
                    <w:pStyle w:val="41"/>
                  </w:pPr>
                  <w:r>
                    <w:t>污染物种类</w:t>
                  </w:r>
                </w:p>
              </w:tc>
              <w:tc>
                <w:tcPr>
                  <w:tcW w:w="2794" w:type="dxa"/>
                  <w:gridSpan w:val="2"/>
                  <w:noWrap/>
                  <w:vAlign w:val="center"/>
                </w:tcPr>
                <w:p w14:paraId="58B923B5">
                  <w:pPr>
                    <w:pStyle w:val="41"/>
                  </w:pPr>
                  <w:r>
                    <w:t>产生源强</w:t>
                  </w:r>
                </w:p>
              </w:tc>
              <w:tc>
                <w:tcPr>
                  <w:tcW w:w="1526" w:type="dxa"/>
                  <w:vMerge w:val="restart"/>
                  <w:vAlign w:val="center"/>
                </w:tcPr>
                <w:p w14:paraId="519BC07A">
                  <w:pPr>
                    <w:pStyle w:val="41"/>
                  </w:pPr>
                  <w:r>
                    <w:t>治理工艺</w:t>
                  </w:r>
                </w:p>
              </w:tc>
              <w:tc>
                <w:tcPr>
                  <w:tcW w:w="736" w:type="dxa"/>
                  <w:vMerge w:val="restart"/>
                  <w:vAlign w:val="center"/>
                </w:tcPr>
                <w:p w14:paraId="5F33ED79">
                  <w:pPr>
                    <w:pStyle w:val="41"/>
                  </w:pPr>
                  <w:r>
                    <w:t>治理效率</w:t>
                  </w:r>
                </w:p>
              </w:tc>
              <w:tc>
                <w:tcPr>
                  <w:tcW w:w="736" w:type="dxa"/>
                  <w:vMerge w:val="restart"/>
                  <w:vAlign w:val="center"/>
                </w:tcPr>
                <w:p w14:paraId="662A1D09">
                  <w:pPr>
                    <w:pStyle w:val="41"/>
                  </w:pPr>
                  <w:r>
                    <w:t>是否为可行技术</w:t>
                  </w:r>
                </w:p>
              </w:tc>
              <w:tc>
                <w:tcPr>
                  <w:tcW w:w="3380" w:type="dxa"/>
                  <w:gridSpan w:val="3"/>
                  <w:vAlign w:val="center"/>
                </w:tcPr>
                <w:p w14:paraId="78A8D98D">
                  <w:pPr>
                    <w:pStyle w:val="41"/>
                  </w:pPr>
                  <w:r>
                    <w:t>排放源强</w:t>
                  </w:r>
                </w:p>
              </w:tc>
              <w:tc>
                <w:tcPr>
                  <w:tcW w:w="3980" w:type="dxa"/>
                  <w:gridSpan w:val="3"/>
                  <w:vAlign w:val="center"/>
                </w:tcPr>
                <w:p w14:paraId="00AEFD06">
                  <w:pPr>
                    <w:pStyle w:val="41"/>
                  </w:pPr>
                  <w:r>
                    <w:t>排放口情况</w:t>
                  </w:r>
                </w:p>
              </w:tc>
              <w:tc>
                <w:tcPr>
                  <w:tcW w:w="863" w:type="dxa"/>
                  <w:vMerge w:val="restart"/>
                  <w:vAlign w:val="center"/>
                </w:tcPr>
                <w:p w14:paraId="542D79F6">
                  <w:pPr>
                    <w:pStyle w:val="41"/>
                  </w:pPr>
                  <w:r>
                    <w:t>排放</w:t>
                  </w:r>
                </w:p>
                <w:p w14:paraId="6FACC7B4">
                  <w:pPr>
                    <w:pStyle w:val="41"/>
                  </w:pPr>
                  <w:r>
                    <w:t>标准</w:t>
                  </w:r>
                </w:p>
              </w:tc>
              <w:tc>
                <w:tcPr>
                  <w:tcW w:w="718" w:type="dxa"/>
                  <w:vMerge w:val="restart"/>
                  <w:vAlign w:val="center"/>
                </w:tcPr>
                <w:p w14:paraId="52763AED">
                  <w:pPr>
                    <w:pStyle w:val="41"/>
                  </w:pPr>
                  <w:r>
                    <w:t>是否达标</w:t>
                  </w:r>
                </w:p>
              </w:tc>
              <w:tc>
                <w:tcPr>
                  <w:tcW w:w="2818" w:type="dxa"/>
                  <w:gridSpan w:val="3"/>
                  <w:vAlign w:val="center"/>
                </w:tcPr>
                <w:p w14:paraId="1CBF7DBA">
                  <w:pPr>
                    <w:pStyle w:val="41"/>
                  </w:pPr>
                  <w:r>
                    <w:t>监测要求</w:t>
                  </w:r>
                </w:p>
              </w:tc>
            </w:tr>
            <w:tr w14:paraId="678927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9" w:type="dxa"/>
                  <w:vMerge w:val="continue"/>
                  <w:vAlign w:val="center"/>
                </w:tcPr>
                <w:p w14:paraId="3473BC32">
                  <w:pPr>
                    <w:pStyle w:val="41"/>
                  </w:pPr>
                </w:p>
              </w:tc>
              <w:tc>
                <w:tcPr>
                  <w:tcW w:w="735" w:type="dxa"/>
                  <w:vMerge w:val="continue"/>
                  <w:vAlign w:val="center"/>
                </w:tcPr>
                <w:p w14:paraId="570790AC">
                  <w:pPr>
                    <w:pStyle w:val="41"/>
                  </w:pPr>
                </w:p>
              </w:tc>
              <w:tc>
                <w:tcPr>
                  <w:tcW w:w="1324" w:type="dxa"/>
                  <w:vMerge w:val="continue"/>
                  <w:vAlign w:val="center"/>
                </w:tcPr>
                <w:p w14:paraId="5845ED66">
                  <w:pPr>
                    <w:pStyle w:val="41"/>
                  </w:pPr>
                </w:p>
              </w:tc>
              <w:tc>
                <w:tcPr>
                  <w:tcW w:w="1471" w:type="dxa"/>
                  <w:vAlign w:val="center"/>
                </w:tcPr>
                <w:p w14:paraId="0DB156DF">
                  <w:pPr>
                    <w:pStyle w:val="41"/>
                  </w:pPr>
                  <w:r>
                    <w:rPr>
                      <w:shd w:val="clear" w:fill="FFFFFF"/>
                    </w:rPr>
                    <w:t>主要污染物产生量</w:t>
                  </w:r>
                  <w:r>
                    <w:rPr>
                      <w:rFonts w:hint="eastAsia"/>
                      <w:shd w:val="clear" w:fill="FFFFFF"/>
                    </w:rPr>
                    <w:t>（</w:t>
                  </w:r>
                  <w:r>
                    <w:t>t/a)</w:t>
                  </w:r>
                </w:p>
              </w:tc>
              <w:tc>
                <w:tcPr>
                  <w:tcW w:w="1323" w:type="dxa"/>
                  <w:vAlign w:val="center"/>
                </w:tcPr>
                <w:p w14:paraId="675E634E">
                  <w:pPr>
                    <w:pStyle w:val="41"/>
                  </w:pPr>
                  <w:r>
                    <w:t>污染物产生浓度</w:t>
                  </w:r>
                  <w:r>
                    <w:rPr>
                      <w:rFonts w:hint="eastAsia"/>
                      <w:shd w:val="clear" w:fill="FFFFFF"/>
                    </w:rPr>
                    <w:t>（</w:t>
                  </w:r>
                  <w:r>
                    <w:t>mg/L)</w:t>
                  </w:r>
                </w:p>
              </w:tc>
              <w:tc>
                <w:tcPr>
                  <w:tcW w:w="1526" w:type="dxa"/>
                  <w:vMerge w:val="continue"/>
                  <w:vAlign w:val="center"/>
                </w:tcPr>
                <w:p w14:paraId="2B148D51">
                  <w:pPr>
                    <w:pStyle w:val="41"/>
                  </w:pPr>
                </w:p>
              </w:tc>
              <w:tc>
                <w:tcPr>
                  <w:tcW w:w="736" w:type="dxa"/>
                  <w:vMerge w:val="continue"/>
                  <w:vAlign w:val="center"/>
                </w:tcPr>
                <w:p w14:paraId="4E7E1811">
                  <w:pPr>
                    <w:pStyle w:val="41"/>
                  </w:pPr>
                </w:p>
              </w:tc>
              <w:tc>
                <w:tcPr>
                  <w:tcW w:w="736" w:type="dxa"/>
                  <w:vMerge w:val="continue"/>
                  <w:vAlign w:val="center"/>
                </w:tcPr>
                <w:p w14:paraId="566E347E">
                  <w:pPr>
                    <w:pStyle w:val="41"/>
                  </w:pPr>
                </w:p>
              </w:tc>
              <w:tc>
                <w:tcPr>
                  <w:tcW w:w="980" w:type="dxa"/>
                  <w:vAlign w:val="center"/>
                </w:tcPr>
                <w:p w14:paraId="5CE0AA53">
                  <w:pPr>
                    <w:pStyle w:val="41"/>
                  </w:pPr>
                  <w:r>
                    <w:t>废水排放量t/a</w:t>
                  </w:r>
                </w:p>
              </w:tc>
              <w:tc>
                <w:tcPr>
                  <w:tcW w:w="1052" w:type="dxa"/>
                  <w:vAlign w:val="center"/>
                </w:tcPr>
                <w:p w14:paraId="31F32937">
                  <w:pPr>
                    <w:pStyle w:val="41"/>
                  </w:pPr>
                  <w:r>
                    <w:t>主要污染物排放量</w:t>
                  </w:r>
                  <w:r>
                    <w:rPr>
                      <w:rFonts w:hint="eastAsia"/>
                      <w:shd w:val="clear" w:fill="FFFFFF"/>
                    </w:rPr>
                    <w:t>（</w:t>
                  </w:r>
                  <w:r>
                    <w:t>t/a)</w:t>
                  </w:r>
                </w:p>
              </w:tc>
              <w:tc>
                <w:tcPr>
                  <w:tcW w:w="1348" w:type="dxa"/>
                  <w:vAlign w:val="center"/>
                </w:tcPr>
                <w:p w14:paraId="5880EE82">
                  <w:pPr>
                    <w:pStyle w:val="41"/>
                  </w:pPr>
                  <w:r>
                    <w:t>污染物排放浓度</w:t>
                  </w:r>
                  <w:r>
                    <w:rPr>
                      <w:rFonts w:hint="eastAsia"/>
                      <w:shd w:val="clear" w:fill="FFFFFF"/>
                    </w:rPr>
                    <w:t>（</w:t>
                  </w:r>
                  <w:r>
                    <w:t>mg/L)</w:t>
                  </w:r>
                </w:p>
              </w:tc>
              <w:tc>
                <w:tcPr>
                  <w:tcW w:w="1006" w:type="dxa"/>
                  <w:vAlign w:val="center"/>
                </w:tcPr>
                <w:p w14:paraId="654ACEA9">
                  <w:pPr>
                    <w:pStyle w:val="41"/>
                  </w:pPr>
                  <w:r>
                    <w:t>编号及名称</w:t>
                  </w:r>
                </w:p>
              </w:tc>
              <w:tc>
                <w:tcPr>
                  <w:tcW w:w="1725" w:type="dxa"/>
                  <w:vAlign w:val="center"/>
                </w:tcPr>
                <w:p w14:paraId="01E716A5">
                  <w:pPr>
                    <w:pStyle w:val="41"/>
                  </w:pPr>
                  <w:r>
                    <w:t>地理坐标</w:t>
                  </w:r>
                </w:p>
              </w:tc>
              <w:tc>
                <w:tcPr>
                  <w:tcW w:w="1249" w:type="dxa"/>
                  <w:vAlign w:val="center"/>
                </w:tcPr>
                <w:p w14:paraId="195C64FA">
                  <w:pPr>
                    <w:pStyle w:val="41"/>
                  </w:pPr>
                  <w:r>
                    <w:t>去向</w:t>
                  </w:r>
                </w:p>
              </w:tc>
              <w:tc>
                <w:tcPr>
                  <w:tcW w:w="863" w:type="dxa"/>
                  <w:vMerge w:val="continue"/>
                  <w:vAlign w:val="center"/>
                </w:tcPr>
                <w:p w14:paraId="089A84AC">
                  <w:pPr>
                    <w:pStyle w:val="41"/>
                  </w:pPr>
                </w:p>
              </w:tc>
              <w:tc>
                <w:tcPr>
                  <w:tcW w:w="718" w:type="dxa"/>
                  <w:vMerge w:val="continue"/>
                  <w:vAlign w:val="center"/>
                </w:tcPr>
                <w:p w14:paraId="2AE0674B">
                  <w:pPr>
                    <w:pStyle w:val="41"/>
                  </w:pPr>
                </w:p>
              </w:tc>
              <w:tc>
                <w:tcPr>
                  <w:tcW w:w="719" w:type="dxa"/>
                  <w:vAlign w:val="center"/>
                </w:tcPr>
                <w:p w14:paraId="7DE7738C">
                  <w:pPr>
                    <w:pStyle w:val="41"/>
                  </w:pPr>
                  <w:r>
                    <w:t>监测点位</w:t>
                  </w:r>
                </w:p>
              </w:tc>
              <w:tc>
                <w:tcPr>
                  <w:tcW w:w="863" w:type="dxa"/>
                  <w:vAlign w:val="center"/>
                </w:tcPr>
                <w:p w14:paraId="3348B0C1">
                  <w:pPr>
                    <w:pStyle w:val="41"/>
                  </w:pPr>
                  <w:r>
                    <w:t>监测</w:t>
                  </w:r>
                </w:p>
                <w:p w14:paraId="06B1AF5D">
                  <w:pPr>
                    <w:pStyle w:val="41"/>
                  </w:pPr>
                  <w:r>
                    <w:t>因子</w:t>
                  </w:r>
                </w:p>
              </w:tc>
              <w:tc>
                <w:tcPr>
                  <w:tcW w:w="1236" w:type="dxa"/>
                  <w:vAlign w:val="center"/>
                </w:tcPr>
                <w:p w14:paraId="69A12EB1">
                  <w:pPr>
                    <w:pStyle w:val="41"/>
                  </w:pPr>
                  <w:r>
                    <w:t>监测频次</w:t>
                  </w:r>
                </w:p>
              </w:tc>
            </w:tr>
            <w:tr w14:paraId="70425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9" w:type="dxa"/>
                  <w:vMerge w:val="restart"/>
                  <w:vAlign w:val="center"/>
                </w:tcPr>
                <w:p w14:paraId="13ACD786">
                  <w:pPr>
                    <w:pStyle w:val="41"/>
                  </w:pPr>
                  <w:r>
                    <w:rPr>
                      <w:rFonts w:hint="eastAsia"/>
                    </w:rPr>
                    <w:t>生活</w:t>
                  </w:r>
                </w:p>
                <w:p w14:paraId="68D4FE6D">
                  <w:pPr>
                    <w:pStyle w:val="41"/>
                  </w:pPr>
                  <w:r>
                    <w:rPr>
                      <w:rFonts w:hint="eastAsia"/>
                    </w:rPr>
                    <w:t>污水</w:t>
                  </w:r>
                </w:p>
              </w:tc>
              <w:tc>
                <w:tcPr>
                  <w:tcW w:w="735" w:type="dxa"/>
                  <w:vMerge w:val="restart"/>
                  <w:vAlign w:val="center"/>
                </w:tcPr>
                <w:p w14:paraId="4E319821">
                  <w:pPr>
                    <w:pStyle w:val="41"/>
                  </w:pPr>
                  <w:r>
                    <w:t>生活污水</w:t>
                  </w:r>
                </w:p>
              </w:tc>
              <w:tc>
                <w:tcPr>
                  <w:tcW w:w="1324" w:type="dxa"/>
                  <w:noWrap/>
                  <w:vAlign w:val="center"/>
                </w:tcPr>
                <w:p w14:paraId="5FA5FF7B">
                  <w:pPr>
                    <w:pStyle w:val="41"/>
                  </w:pPr>
                  <w:r>
                    <w:t>COD</w:t>
                  </w:r>
                </w:p>
              </w:tc>
              <w:tc>
                <w:tcPr>
                  <w:tcW w:w="1471" w:type="dxa"/>
                  <w:noWrap/>
                  <w:vAlign w:val="center"/>
                </w:tcPr>
                <w:p w14:paraId="7E46F52F">
                  <w:pPr>
                    <w:pStyle w:val="41"/>
                  </w:pPr>
                  <w:r>
                    <w:t>0.418</w:t>
                  </w:r>
                </w:p>
              </w:tc>
              <w:tc>
                <w:tcPr>
                  <w:tcW w:w="1323" w:type="dxa"/>
                  <w:tcBorders>
                    <w:top w:val="single" w:color="auto" w:sz="4" w:space="0"/>
                  </w:tcBorders>
                  <w:noWrap/>
                  <w:vAlign w:val="center"/>
                </w:tcPr>
                <w:p w14:paraId="033914AC">
                  <w:pPr>
                    <w:pStyle w:val="41"/>
                  </w:pPr>
                  <w:r>
                    <w:rPr>
                      <w:rFonts w:hint="eastAsia"/>
                    </w:rPr>
                    <w:t>400</w:t>
                  </w:r>
                </w:p>
              </w:tc>
              <w:tc>
                <w:tcPr>
                  <w:tcW w:w="1526" w:type="dxa"/>
                  <w:vMerge w:val="restart"/>
                  <w:tcBorders>
                    <w:top w:val="single" w:color="auto" w:sz="4" w:space="0"/>
                  </w:tcBorders>
                  <w:vAlign w:val="center"/>
                </w:tcPr>
                <w:p w14:paraId="3FDAC30E">
                  <w:pPr>
                    <w:pStyle w:val="41"/>
                  </w:pPr>
                  <w:r>
                    <w:rPr>
                      <w:rFonts w:hint="eastAsia"/>
                    </w:rPr>
                    <w:t>化粪池</w:t>
                  </w:r>
                </w:p>
              </w:tc>
              <w:tc>
                <w:tcPr>
                  <w:tcW w:w="736" w:type="dxa"/>
                  <w:tcBorders>
                    <w:top w:val="single" w:color="auto" w:sz="4" w:space="0"/>
                  </w:tcBorders>
                  <w:noWrap/>
                  <w:vAlign w:val="center"/>
                </w:tcPr>
                <w:p w14:paraId="4679CF3F">
                  <w:pPr>
                    <w:pStyle w:val="41"/>
                  </w:pPr>
                  <w:r>
                    <w:rPr>
                      <w:rFonts w:hint="eastAsia"/>
                    </w:rPr>
                    <w:t>64</w:t>
                  </w:r>
                  <w:r>
                    <w:t>%</w:t>
                  </w:r>
                </w:p>
              </w:tc>
              <w:tc>
                <w:tcPr>
                  <w:tcW w:w="736" w:type="dxa"/>
                  <w:vMerge w:val="restart"/>
                  <w:tcBorders>
                    <w:top w:val="single" w:color="auto" w:sz="4" w:space="0"/>
                  </w:tcBorders>
                  <w:vAlign w:val="center"/>
                </w:tcPr>
                <w:p w14:paraId="4A108897">
                  <w:pPr>
                    <w:pStyle w:val="41"/>
                  </w:pPr>
                  <w:r>
                    <w:t>是</w:t>
                  </w:r>
                </w:p>
              </w:tc>
              <w:tc>
                <w:tcPr>
                  <w:tcW w:w="980" w:type="dxa"/>
                  <w:vMerge w:val="restart"/>
                  <w:tcBorders>
                    <w:top w:val="single" w:color="auto" w:sz="4" w:space="0"/>
                  </w:tcBorders>
                  <w:vAlign w:val="center"/>
                </w:tcPr>
                <w:p w14:paraId="7754E77D">
                  <w:pPr>
                    <w:pStyle w:val="41"/>
                  </w:pPr>
                  <w:r>
                    <w:rPr>
                      <w:rFonts w:hint="eastAsia"/>
                    </w:rPr>
                    <w:t>1044</w:t>
                  </w:r>
                </w:p>
              </w:tc>
              <w:tc>
                <w:tcPr>
                  <w:tcW w:w="1052" w:type="dxa"/>
                  <w:tcBorders>
                    <w:top w:val="single" w:color="auto" w:sz="4" w:space="0"/>
                  </w:tcBorders>
                  <w:vAlign w:val="center"/>
                </w:tcPr>
                <w:p w14:paraId="0F419010">
                  <w:pPr>
                    <w:pStyle w:val="41"/>
                  </w:pPr>
                  <w:r>
                    <w:rPr>
                      <w:rFonts w:hint="eastAsia"/>
                    </w:rPr>
                    <w:t>0.150</w:t>
                  </w:r>
                </w:p>
              </w:tc>
              <w:tc>
                <w:tcPr>
                  <w:tcW w:w="1348" w:type="dxa"/>
                  <w:tcBorders>
                    <w:top w:val="single" w:color="auto" w:sz="4" w:space="0"/>
                  </w:tcBorders>
                  <w:vAlign w:val="center"/>
                </w:tcPr>
                <w:p w14:paraId="61406DC8">
                  <w:pPr>
                    <w:pStyle w:val="41"/>
                  </w:pPr>
                  <w:r>
                    <w:rPr>
                      <w:rFonts w:hint="eastAsia"/>
                    </w:rPr>
                    <w:t>144</w:t>
                  </w:r>
                </w:p>
              </w:tc>
              <w:tc>
                <w:tcPr>
                  <w:tcW w:w="1006" w:type="dxa"/>
                  <w:vMerge w:val="restart"/>
                  <w:tcBorders>
                    <w:top w:val="single" w:color="auto" w:sz="4" w:space="0"/>
                  </w:tcBorders>
                  <w:vAlign w:val="center"/>
                </w:tcPr>
                <w:p w14:paraId="7FC085CB">
                  <w:pPr>
                    <w:pStyle w:val="41"/>
                  </w:pPr>
                  <w:r>
                    <w:rPr>
                      <w:rFonts w:hint="eastAsia"/>
                    </w:rPr>
                    <w:t>废水总排口DW001</w:t>
                  </w:r>
                </w:p>
              </w:tc>
              <w:tc>
                <w:tcPr>
                  <w:tcW w:w="1725" w:type="dxa"/>
                  <w:vMerge w:val="restart"/>
                  <w:tcBorders>
                    <w:top w:val="single" w:color="auto" w:sz="4" w:space="0"/>
                  </w:tcBorders>
                  <w:vAlign w:val="center"/>
                </w:tcPr>
                <w:p w14:paraId="17D9AB6B">
                  <w:pPr>
                    <w:pStyle w:val="41"/>
                  </w:pPr>
                  <w:r>
                    <w:t>东经119.33700，北纬25.74120</w:t>
                  </w:r>
                </w:p>
              </w:tc>
              <w:tc>
                <w:tcPr>
                  <w:tcW w:w="1249" w:type="dxa"/>
                  <w:vMerge w:val="restart"/>
                  <w:tcBorders>
                    <w:top w:val="single" w:color="auto" w:sz="4" w:space="0"/>
                  </w:tcBorders>
                  <w:vAlign w:val="center"/>
                </w:tcPr>
                <w:p w14:paraId="1491E64A">
                  <w:pPr>
                    <w:pStyle w:val="41"/>
                  </w:pPr>
                  <w:r>
                    <w:rPr>
                      <w:rFonts w:hint="eastAsia"/>
                      <w:bCs/>
                    </w:rPr>
                    <w:t>福清市融元污水处理厂</w:t>
                  </w:r>
                </w:p>
              </w:tc>
              <w:tc>
                <w:tcPr>
                  <w:tcW w:w="863" w:type="dxa"/>
                  <w:tcBorders>
                    <w:top w:val="single" w:color="auto" w:sz="4" w:space="0"/>
                  </w:tcBorders>
                  <w:vAlign w:val="center"/>
                </w:tcPr>
                <w:p w14:paraId="3C3C641F">
                  <w:pPr>
                    <w:pStyle w:val="41"/>
                  </w:pPr>
                  <w:r>
                    <w:rPr>
                      <w:rFonts w:hint="eastAsia"/>
                    </w:rPr>
                    <w:t>500</w:t>
                  </w:r>
                </w:p>
              </w:tc>
              <w:tc>
                <w:tcPr>
                  <w:tcW w:w="718" w:type="dxa"/>
                  <w:vAlign w:val="center"/>
                </w:tcPr>
                <w:p w14:paraId="73D9DEC9">
                  <w:pPr>
                    <w:pStyle w:val="41"/>
                  </w:pPr>
                  <w:r>
                    <w:t>达标</w:t>
                  </w:r>
                </w:p>
              </w:tc>
              <w:tc>
                <w:tcPr>
                  <w:tcW w:w="719" w:type="dxa"/>
                  <w:vMerge w:val="restart"/>
                  <w:vAlign w:val="center"/>
                </w:tcPr>
                <w:p w14:paraId="0844C9F2">
                  <w:pPr>
                    <w:pStyle w:val="41"/>
                  </w:pPr>
                  <w:r>
                    <w:rPr>
                      <w:rFonts w:hint="eastAsia"/>
                    </w:rPr>
                    <w:t>废水总排口</w:t>
                  </w:r>
                </w:p>
              </w:tc>
              <w:tc>
                <w:tcPr>
                  <w:tcW w:w="863" w:type="dxa"/>
                  <w:vMerge w:val="restart"/>
                  <w:vAlign w:val="center"/>
                </w:tcPr>
                <w:p w14:paraId="52040561">
                  <w:pPr>
                    <w:pStyle w:val="41"/>
                  </w:pPr>
                  <w:r>
                    <w:rPr>
                      <w:rFonts w:hint="eastAsia"/>
                    </w:rPr>
                    <w:t>pH</w:t>
                  </w:r>
                </w:p>
                <w:p w14:paraId="7F4F4A7A">
                  <w:pPr>
                    <w:pStyle w:val="41"/>
                  </w:pPr>
                  <w:r>
                    <w:t>COD</w:t>
                  </w:r>
                </w:p>
                <w:p w14:paraId="1FE92E45">
                  <w:pPr>
                    <w:pStyle w:val="41"/>
                  </w:pPr>
                  <w:r>
                    <w:t>BOD</w:t>
                  </w:r>
                  <w:r>
                    <w:rPr>
                      <w:vertAlign w:val="subscript"/>
                    </w:rPr>
                    <w:t>5</w:t>
                  </w:r>
                </w:p>
                <w:p w14:paraId="4FA0E1F6">
                  <w:pPr>
                    <w:pStyle w:val="41"/>
                  </w:pPr>
                  <w:r>
                    <w:t>SS</w:t>
                  </w:r>
                </w:p>
                <w:p w14:paraId="6A096C7D">
                  <w:pPr>
                    <w:pStyle w:val="41"/>
                  </w:pPr>
                  <w:r>
                    <w:t>NH</w:t>
                  </w:r>
                  <w:r>
                    <w:rPr>
                      <w:vertAlign w:val="subscript"/>
                    </w:rPr>
                    <w:t>3</w:t>
                  </w:r>
                  <w:r>
                    <w:t>-N</w:t>
                  </w:r>
                </w:p>
              </w:tc>
              <w:tc>
                <w:tcPr>
                  <w:tcW w:w="1236" w:type="dxa"/>
                  <w:vMerge w:val="restart"/>
                  <w:vAlign w:val="center"/>
                </w:tcPr>
                <w:p w14:paraId="0693D440">
                  <w:pPr>
                    <w:pStyle w:val="41"/>
                  </w:pPr>
                  <w:r>
                    <w:rPr>
                      <w:rFonts w:hint="eastAsia"/>
                    </w:rPr>
                    <w:t>无需监测</w:t>
                  </w:r>
                </w:p>
              </w:tc>
            </w:tr>
            <w:tr w14:paraId="39D91D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9" w:type="dxa"/>
                  <w:vMerge w:val="continue"/>
                  <w:vAlign w:val="center"/>
                </w:tcPr>
                <w:p w14:paraId="3B20A3C0">
                  <w:pPr>
                    <w:pStyle w:val="41"/>
                  </w:pPr>
                </w:p>
              </w:tc>
              <w:tc>
                <w:tcPr>
                  <w:tcW w:w="735" w:type="dxa"/>
                  <w:vMerge w:val="continue"/>
                  <w:vAlign w:val="center"/>
                </w:tcPr>
                <w:p w14:paraId="6E36DA09">
                  <w:pPr>
                    <w:pStyle w:val="41"/>
                  </w:pPr>
                </w:p>
              </w:tc>
              <w:tc>
                <w:tcPr>
                  <w:tcW w:w="1324" w:type="dxa"/>
                  <w:noWrap/>
                  <w:vAlign w:val="center"/>
                </w:tcPr>
                <w:p w14:paraId="49576A94">
                  <w:pPr>
                    <w:pStyle w:val="41"/>
                  </w:pPr>
                  <w:r>
                    <w:t>BOD</w:t>
                  </w:r>
                  <w:r>
                    <w:rPr>
                      <w:vertAlign w:val="subscript"/>
                    </w:rPr>
                    <w:t>5</w:t>
                  </w:r>
                </w:p>
              </w:tc>
              <w:tc>
                <w:tcPr>
                  <w:tcW w:w="1471" w:type="dxa"/>
                  <w:noWrap/>
                  <w:vAlign w:val="center"/>
                </w:tcPr>
                <w:p w14:paraId="39A08B67">
                  <w:pPr>
                    <w:pStyle w:val="41"/>
                  </w:pPr>
                  <w:r>
                    <w:t>0.261</w:t>
                  </w:r>
                </w:p>
              </w:tc>
              <w:tc>
                <w:tcPr>
                  <w:tcW w:w="1323" w:type="dxa"/>
                  <w:noWrap/>
                  <w:vAlign w:val="center"/>
                </w:tcPr>
                <w:p w14:paraId="5F10CDE0">
                  <w:pPr>
                    <w:pStyle w:val="41"/>
                  </w:pPr>
                  <w:r>
                    <w:rPr>
                      <w:rFonts w:hint="eastAsia"/>
                    </w:rPr>
                    <w:t>250</w:t>
                  </w:r>
                </w:p>
              </w:tc>
              <w:tc>
                <w:tcPr>
                  <w:tcW w:w="1526" w:type="dxa"/>
                  <w:vMerge w:val="continue"/>
                  <w:vAlign w:val="center"/>
                </w:tcPr>
                <w:p w14:paraId="22B6F3F3">
                  <w:pPr>
                    <w:pStyle w:val="41"/>
                  </w:pPr>
                </w:p>
              </w:tc>
              <w:tc>
                <w:tcPr>
                  <w:tcW w:w="736" w:type="dxa"/>
                  <w:noWrap/>
                  <w:vAlign w:val="center"/>
                </w:tcPr>
                <w:p w14:paraId="5FB9887E">
                  <w:pPr>
                    <w:pStyle w:val="41"/>
                  </w:pPr>
                  <w:r>
                    <w:rPr>
                      <w:rFonts w:hint="eastAsia"/>
                    </w:rPr>
                    <w:t>40</w:t>
                  </w:r>
                  <w:r>
                    <w:t>%</w:t>
                  </w:r>
                </w:p>
              </w:tc>
              <w:tc>
                <w:tcPr>
                  <w:tcW w:w="736" w:type="dxa"/>
                  <w:vMerge w:val="continue"/>
                  <w:vAlign w:val="center"/>
                </w:tcPr>
                <w:p w14:paraId="6BB63418">
                  <w:pPr>
                    <w:pStyle w:val="41"/>
                  </w:pPr>
                </w:p>
              </w:tc>
              <w:tc>
                <w:tcPr>
                  <w:tcW w:w="980" w:type="dxa"/>
                  <w:vMerge w:val="continue"/>
                  <w:vAlign w:val="center"/>
                </w:tcPr>
                <w:p w14:paraId="47F97341">
                  <w:pPr>
                    <w:pStyle w:val="41"/>
                  </w:pPr>
                </w:p>
              </w:tc>
              <w:tc>
                <w:tcPr>
                  <w:tcW w:w="1052" w:type="dxa"/>
                  <w:vAlign w:val="center"/>
                </w:tcPr>
                <w:p w14:paraId="47C76C3D">
                  <w:pPr>
                    <w:pStyle w:val="41"/>
                  </w:pPr>
                  <w:r>
                    <w:rPr>
                      <w:rFonts w:hint="eastAsia"/>
                    </w:rPr>
                    <w:t>0.104</w:t>
                  </w:r>
                </w:p>
              </w:tc>
              <w:tc>
                <w:tcPr>
                  <w:tcW w:w="1348" w:type="dxa"/>
                  <w:vAlign w:val="center"/>
                </w:tcPr>
                <w:p w14:paraId="48904204">
                  <w:pPr>
                    <w:pStyle w:val="41"/>
                  </w:pPr>
                  <w:r>
                    <w:rPr>
                      <w:rFonts w:hint="eastAsia"/>
                    </w:rPr>
                    <w:t>100</w:t>
                  </w:r>
                </w:p>
              </w:tc>
              <w:tc>
                <w:tcPr>
                  <w:tcW w:w="1006" w:type="dxa"/>
                  <w:vMerge w:val="continue"/>
                  <w:vAlign w:val="center"/>
                </w:tcPr>
                <w:p w14:paraId="614175D5">
                  <w:pPr>
                    <w:pStyle w:val="41"/>
                  </w:pPr>
                </w:p>
              </w:tc>
              <w:tc>
                <w:tcPr>
                  <w:tcW w:w="1725" w:type="dxa"/>
                  <w:vMerge w:val="continue"/>
                  <w:vAlign w:val="center"/>
                </w:tcPr>
                <w:p w14:paraId="2752592D">
                  <w:pPr>
                    <w:pStyle w:val="41"/>
                  </w:pPr>
                </w:p>
              </w:tc>
              <w:tc>
                <w:tcPr>
                  <w:tcW w:w="1249" w:type="dxa"/>
                  <w:vMerge w:val="continue"/>
                  <w:vAlign w:val="center"/>
                </w:tcPr>
                <w:p w14:paraId="1D33E34C">
                  <w:pPr>
                    <w:pStyle w:val="41"/>
                  </w:pPr>
                </w:p>
              </w:tc>
              <w:tc>
                <w:tcPr>
                  <w:tcW w:w="863" w:type="dxa"/>
                  <w:vAlign w:val="center"/>
                </w:tcPr>
                <w:p w14:paraId="6AA3AD2E">
                  <w:pPr>
                    <w:pStyle w:val="41"/>
                  </w:pPr>
                  <w:r>
                    <w:rPr>
                      <w:rFonts w:hint="eastAsia"/>
                    </w:rPr>
                    <w:t>300</w:t>
                  </w:r>
                </w:p>
              </w:tc>
              <w:tc>
                <w:tcPr>
                  <w:tcW w:w="718" w:type="dxa"/>
                  <w:vAlign w:val="center"/>
                </w:tcPr>
                <w:p w14:paraId="24379DFF">
                  <w:pPr>
                    <w:pStyle w:val="41"/>
                  </w:pPr>
                  <w:r>
                    <w:t>达标</w:t>
                  </w:r>
                </w:p>
              </w:tc>
              <w:tc>
                <w:tcPr>
                  <w:tcW w:w="719" w:type="dxa"/>
                  <w:vMerge w:val="continue"/>
                  <w:vAlign w:val="center"/>
                </w:tcPr>
                <w:p w14:paraId="04B502C7">
                  <w:pPr>
                    <w:pStyle w:val="41"/>
                  </w:pPr>
                </w:p>
              </w:tc>
              <w:tc>
                <w:tcPr>
                  <w:tcW w:w="863" w:type="dxa"/>
                  <w:vMerge w:val="continue"/>
                  <w:vAlign w:val="center"/>
                </w:tcPr>
                <w:p w14:paraId="2F38362E">
                  <w:pPr>
                    <w:pStyle w:val="41"/>
                  </w:pPr>
                </w:p>
              </w:tc>
              <w:tc>
                <w:tcPr>
                  <w:tcW w:w="1236" w:type="dxa"/>
                  <w:vMerge w:val="continue"/>
                  <w:vAlign w:val="center"/>
                </w:tcPr>
                <w:p w14:paraId="1A834ACB">
                  <w:pPr>
                    <w:pStyle w:val="41"/>
                  </w:pPr>
                </w:p>
              </w:tc>
            </w:tr>
            <w:tr w14:paraId="4B3E1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9" w:type="dxa"/>
                  <w:vMerge w:val="continue"/>
                  <w:vAlign w:val="center"/>
                </w:tcPr>
                <w:p w14:paraId="594F487E">
                  <w:pPr>
                    <w:pStyle w:val="41"/>
                  </w:pPr>
                </w:p>
              </w:tc>
              <w:tc>
                <w:tcPr>
                  <w:tcW w:w="735" w:type="dxa"/>
                  <w:vMerge w:val="continue"/>
                  <w:vAlign w:val="center"/>
                </w:tcPr>
                <w:p w14:paraId="519CF24C">
                  <w:pPr>
                    <w:pStyle w:val="41"/>
                  </w:pPr>
                </w:p>
              </w:tc>
              <w:tc>
                <w:tcPr>
                  <w:tcW w:w="1324" w:type="dxa"/>
                  <w:noWrap/>
                  <w:vAlign w:val="center"/>
                </w:tcPr>
                <w:p w14:paraId="0D08365D">
                  <w:pPr>
                    <w:pStyle w:val="41"/>
                  </w:pPr>
                  <w:r>
                    <w:t>SS</w:t>
                  </w:r>
                </w:p>
              </w:tc>
              <w:tc>
                <w:tcPr>
                  <w:tcW w:w="1471" w:type="dxa"/>
                  <w:noWrap/>
                  <w:vAlign w:val="center"/>
                </w:tcPr>
                <w:p w14:paraId="0F1A3EB7">
                  <w:pPr>
                    <w:pStyle w:val="41"/>
                  </w:pPr>
                  <w:r>
                    <w:t>0.230</w:t>
                  </w:r>
                </w:p>
              </w:tc>
              <w:tc>
                <w:tcPr>
                  <w:tcW w:w="1323" w:type="dxa"/>
                  <w:noWrap/>
                  <w:vAlign w:val="center"/>
                </w:tcPr>
                <w:p w14:paraId="7CE4BD68">
                  <w:pPr>
                    <w:pStyle w:val="41"/>
                  </w:pPr>
                  <w:r>
                    <w:rPr>
                      <w:rFonts w:hint="eastAsia"/>
                    </w:rPr>
                    <w:t>220</w:t>
                  </w:r>
                </w:p>
              </w:tc>
              <w:tc>
                <w:tcPr>
                  <w:tcW w:w="1526" w:type="dxa"/>
                  <w:vMerge w:val="continue"/>
                  <w:vAlign w:val="center"/>
                </w:tcPr>
                <w:p w14:paraId="6E433132">
                  <w:pPr>
                    <w:pStyle w:val="41"/>
                  </w:pPr>
                </w:p>
              </w:tc>
              <w:tc>
                <w:tcPr>
                  <w:tcW w:w="736" w:type="dxa"/>
                  <w:noWrap/>
                  <w:vAlign w:val="center"/>
                </w:tcPr>
                <w:p w14:paraId="22C33317">
                  <w:pPr>
                    <w:pStyle w:val="41"/>
                  </w:pPr>
                  <w:r>
                    <w:rPr>
                      <w:rFonts w:hint="eastAsia"/>
                    </w:rPr>
                    <w:t>50</w:t>
                  </w:r>
                  <w:r>
                    <w:t>%</w:t>
                  </w:r>
                </w:p>
              </w:tc>
              <w:tc>
                <w:tcPr>
                  <w:tcW w:w="736" w:type="dxa"/>
                  <w:vMerge w:val="continue"/>
                  <w:vAlign w:val="center"/>
                </w:tcPr>
                <w:p w14:paraId="358BD0CC">
                  <w:pPr>
                    <w:pStyle w:val="41"/>
                  </w:pPr>
                </w:p>
              </w:tc>
              <w:tc>
                <w:tcPr>
                  <w:tcW w:w="980" w:type="dxa"/>
                  <w:vMerge w:val="continue"/>
                  <w:vAlign w:val="center"/>
                </w:tcPr>
                <w:p w14:paraId="4FD5FAF9">
                  <w:pPr>
                    <w:pStyle w:val="41"/>
                  </w:pPr>
                </w:p>
              </w:tc>
              <w:tc>
                <w:tcPr>
                  <w:tcW w:w="1052" w:type="dxa"/>
                  <w:vAlign w:val="center"/>
                </w:tcPr>
                <w:p w14:paraId="5F0A0CA1">
                  <w:pPr>
                    <w:pStyle w:val="41"/>
                  </w:pPr>
                  <w:r>
                    <w:rPr>
                      <w:rFonts w:hint="eastAsia"/>
                    </w:rPr>
                    <w:t>0.115</w:t>
                  </w:r>
                </w:p>
              </w:tc>
              <w:tc>
                <w:tcPr>
                  <w:tcW w:w="1348" w:type="dxa"/>
                  <w:vAlign w:val="center"/>
                </w:tcPr>
                <w:p w14:paraId="1F936517">
                  <w:pPr>
                    <w:pStyle w:val="41"/>
                  </w:pPr>
                  <w:r>
                    <w:rPr>
                      <w:rFonts w:hint="eastAsia"/>
                    </w:rPr>
                    <w:t>110</w:t>
                  </w:r>
                </w:p>
              </w:tc>
              <w:tc>
                <w:tcPr>
                  <w:tcW w:w="1006" w:type="dxa"/>
                  <w:vMerge w:val="continue"/>
                  <w:vAlign w:val="center"/>
                </w:tcPr>
                <w:p w14:paraId="7499ECB5">
                  <w:pPr>
                    <w:pStyle w:val="41"/>
                  </w:pPr>
                </w:p>
              </w:tc>
              <w:tc>
                <w:tcPr>
                  <w:tcW w:w="1725" w:type="dxa"/>
                  <w:vMerge w:val="continue"/>
                  <w:vAlign w:val="center"/>
                </w:tcPr>
                <w:p w14:paraId="501AD549">
                  <w:pPr>
                    <w:pStyle w:val="41"/>
                  </w:pPr>
                </w:p>
              </w:tc>
              <w:tc>
                <w:tcPr>
                  <w:tcW w:w="1249" w:type="dxa"/>
                  <w:vMerge w:val="continue"/>
                  <w:vAlign w:val="center"/>
                </w:tcPr>
                <w:p w14:paraId="30754356">
                  <w:pPr>
                    <w:pStyle w:val="41"/>
                  </w:pPr>
                </w:p>
              </w:tc>
              <w:tc>
                <w:tcPr>
                  <w:tcW w:w="863" w:type="dxa"/>
                  <w:vAlign w:val="center"/>
                </w:tcPr>
                <w:p w14:paraId="1DA510B6">
                  <w:pPr>
                    <w:pStyle w:val="41"/>
                  </w:pPr>
                  <w:r>
                    <w:rPr>
                      <w:rFonts w:hint="eastAsia"/>
                    </w:rPr>
                    <w:t>400</w:t>
                  </w:r>
                </w:p>
              </w:tc>
              <w:tc>
                <w:tcPr>
                  <w:tcW w:w="718" w:type="dxa"/>
                  <w:vAlign w:val="center"/>
                </w:tcPr>
                <w:p w14:paraId="607EE11E">
                  <w:pPr>
                    <w:pStyle w:val="41"/>
                  </w:pPr>
                  <w:r>
                    <w:t>达标</w:t>
                  </w:r>
                </w:p>
              </w:tc>
              <w:tc>
                <w:tcPr>
                  <w:tcW w:w="719" w:type="dxa"/>
                  <w:vMerge w:val="continue"/>
                  <w:vAlign w:val="center"/>
                </w:tcPr>
                <w:p w14:paraId="7E8F3547">
                  <w:pPr>
                    <w:pStyle w:val="41"/>
                  </w:pPr>
                </w:p>
              </w:tc>
              <w:tc>
                <w:tcPr>
                  <w:tcW w:w="863" w:type="dxa"/>
                  <w:vMerge w:val="continue"/>
                  <w:vAlign w:val="center"/>
                </w:tcPr>
                <w:p w14:paraId="56FBEEE2">
                  <w:pPr>
                    <w:pStyle w:val="41"/>
                  </w:pPr>
                </w:p>
              </w:tc>
              <w:tc>
                <w:tcPr>
                  <w:tcW w:w="1236" w:type="dxa"/>
                  <w:vMerge w:val="continue"/>
                  <w:vAlign w:val="center"/>
                </w:tcPr>
                <w:p w14:paraId="1A084B51">
                  <w:pPr>
                    <w:pStyle w:val="41"/>
                  </w:pPr>
                </w:p>
              </w:tc>
            </w:tr>
            <w:tr w14:paraId="4A2D8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9" w:type="dxa"/>
                  <w:vMerge w:val="continue"/>
                  <w:vAlign w:val="center"/>
                </w:tcPr>
                <w:p w14:paraId="27CCB13D">
                  <w:pPr>
                    <w:pStyle w:val="41"/>
                  </w:pPr>
                </w:p>
              </w:tc>
              <w:tc>
                <w:tcPr>
                  <w:tcW w:w="735" w:type="dxa"/>
                  <w:vMerge w:val="continue"/>
                  <w:vAlign w:val="center"/>
                </w:tcPr>
                <w:p w14:paraId="72B838CA">
                  <w:pPr>
                    <w:pStyle w:val="41"/>
                  </w:pPr>
                </w:p>
              </w:tc>
              <w:tc>
                <w:tcPr>
                  <w:tcW w:w="1324" w:type="dxa"/>
                  <w:noWrap/>
                  <w:vAlign w:val="center"/>
                </w:tcPr>
                <w:p w14:paraId="2067901A">
                  <w:pPr>
                    <w:pStyle w:val="41"/>
                  </w:pPr>
                  <w:r>
                    <w:t>NH</w:t>
                  </w:r>
                  <w:r>
                    <w:rPr>
                      <w:vertAlign w:val="subscript"/>
                    </w:rPr>
                    <w:t>3</w:t>
                  </w:r>
                  <w:r>
                    <w:t>-N</w:t>
                  </w:r>
                </w:p>
              </w:tc>
              <w:tc>
                <w:tcPr>
                  <w:tcW w:w="1471" w:type="dxa"/>
                  <w:noWrap/>
                  <w:vAlign w:val="center"/>
                </w:tcPr>
                <w:p w14:paraId="400FEC85">
                  <w:pPr>
                    <w:pStyle w:val="41"/>
                  </w:pPr>
                  <w:r>
                    <w:t>0.037</w:t>
                  </w:r>
                </w:p>
              </w:tc>
              <w:tc>
                <w:tcPr>
                  <w:tcW w:w="1323" w:type="dxa"/>
                  <w:noWrap/>
                  <w:vAlign w:val="center"/>
                </w:tcPr>
                <w:p w14:paraId="3DF17133">
                  <w:pPr>
                    <w:pStyle w:val="41"/>
                  </w:pPr>
                  <w:r>
                    <w:rPr>
                      <w:rFonts w:hint="eastAsia"/>
                    </w:rPr>
                    <w:t>35</w:t>
                  </w:r>
                </w:p>
              </w:tc>
              <w:tc>
                <w:tcPr>
                  <w:tcW w:w="1526" w:type="dxa"/>
                  <w:vMerge w:val="continue"/>
                  <w:vAlign w:val="center"/>
                </w:tcPr>
                <w:p w14:paraId="729084EB">
                  <w:pPr>
                    <w:pStyle w:val="41"/>
                  </w:pPr>
                </w:p>
              </w:tc>
              <w:tc>
                <w:tcPr>
                  <w:tcW w:w="736" w:type="dxa"/>
                  <w:noWrap/>
                  <w:vAlign w:val="center"/>
                </w:tcPr>
                <w:p w14:paraId="2D4831F2">
                  <w:pPr>
                    <w:pStyle w:val="41"/>
                  </w:pPr>
                  <w:r>
                    <w:rPr>
                      <w:rFonts w:hint="eastAsia"/>
                    </w:rPr>
                    <w:t>53</w:t>
                  </w:r>
                  <w:r>
                    <w:t>%</w:t>
                  </w:r>
                </w:p>
              </w:tc>
              <w:tc>
                <w:tcPr>
                  <w:tcW w:w="736" w:type="dxa"/>
                  <w:vMerge w:val="continue"/>
                  <w:vAlign w:val="center"/>
                </w:tcPr>
                <w:p w14:paraId="45B0CD15">
                  <w:pPr>
                    <w:pStyle w:val="41"/>
                  </w:pPr>
                </w:p>
              </w:tc>
              <w:tc>
                <w:tcPr>
                  <w:tcW w:w="980" w:type="dxa"/>
                  <w:vMerge w:val="continue"/>
                  <w:vAlign w:val="center"/>
                </w:tcPr>
                <w:p w14:paraId="2AB87300">
                  <w:pPr>
                    <w:pStyle w:val="41"/>
                  </w:pPr>
                </w:p>
              </w:tc>
              <w:tc>
                <w:tcPr>
                  <w:tcW w:w="1052" w:type="dxa"/>
                  <w:vAlign w:val="center"/>
                </w:tcPr>
                <w:p w14:paraId="01208EB6">
                  <w:pPr>
                    <w:pStyle w:val="41"/>
                  </w:pPr>
                  <w:r>
                    <w:rPr>
                      <w:rFonts w:hint="eastAsia"/>
                    </w:rPr>
                    <w:t>0.017</w:t>
                  </w:r>
                </w:p>
              </w:tc>
              <w:tc>
                <w:tcPr>
                  <w:tcW w:w="1348" w:type="dxa"/>
                  <w:vAlign w:val="center"/>
                </w:tcPr>
                <w:p w14:paraId="590F8913">
                  <w:pPr>
                    <w:pStyle w:val="41"/>
                  </w:pPr>
                  <w:r>
                    <w:rPr>
                      <w:rFonts w:hint="eastAsia"/>
                    </w:rPr>
                    <w:t>16.45</w:t>
                  </w:r>
                </w:p>
              </w:tc>
              <w:tc>
                <w:tcPr>
                  <w:tcW w:w="1006" w:type="dxa"/>
                  <w:vMerge w:val="continue"/>
                  <w:vAlign w:val="center"/>
                </w:tcPr>
                <w:p w14:paraId="440A7725">
                  <w:pPr>
                    <w:pStyle w:val="41"/>
                  </w:pPr>
                </w:p>
              </w:tc>
              <w:tc>
                <w:tcPr>
                  <w:tcW w:w="1725" w:type="dxa"/>
                  <w:vMerge w:val="continue"/>
                  <w:vAlign w:val="center"/>
                </w:tcPr>
                <w:p w14:paraId="60899231">
                  <w:pPr>
                    <w:pStyle w:val="41"/>
                  </w:pPr>
                </w:p>
              </w:tc>
              <w:tc>
                <w:tcPr>
                  <w:tcW w:w="1249" w:type="dxa"/>
                  <w:vMerge w:val="continue"/>
                  <w:vAlign w:val="center"/>
                </w:tcPr>
                <w:p w14:paraId="18BA5425">
                  <w:pPr>
                    <w:pStyle w:val="41"/>
                  </w:pPr>
                </w:p>
              </w:tc>
              <w:tc>
                <w:tcPr>
                  <w:tcW w:w="863" w:type="dxa"/>
                  <w:vAlign w:val="center"/>
                </w:tcPr>
                <w:p w14:paraId="3F3AC9F6">
                  <w:pPr>
                    <w:pStyle w:val="41"/>
                  </w:pPr>
                  <w:r>
                    <w:rPr>
                      <w:rFonts w:hint="eastAsia"/>
                    </w:rPr>
                    <w:t>45</w:t>
                  </w:r>
                </w:p>
              </w:tc>
              <w:tc>
                <w:tcPr>
                  <w:tcW w:w="718" w:type="dxa"/>
                  <w:vAlign w:val="center"/>
                </w:tcPr>
                <w:p w14:paraId="4D62B6E3">
                  <w:pPr>
                    <w:pStyle w:val="41"/>
                  </w:pPr>
                  <w:r>
                    <w:t>达标</w:t>
                  </w:r>
                </w:p>
              </w:tc>
              <w:tc>
                <w:tcPr>
                  <w:tcW w:w="719" w:type="dxa"/>
                  <w:vMerge w:val="continue"/>
                  <w:vAlign w:val="center"/>
                </w:tcPr>
                <w:p w14:paraId="5F0EF81B">
                  <w:pPr>
                    <w:pStyle w:val="41"/>
                  </w:pPr>
                </w:p>
              </w:tc>
              <w:tc>
                <w:tcPr>
                  <w:tcW w:w="863" w:type="dxa"/>
                  <w:vMerge w:val="continue"/>
                  <w:vAlign w:val="center"/>
                </w:tcPr>
                <w:p w14:paraId="5C511540">
                  <w:pPr>
                    <w:pStyle w:val="41"/>
                  </w:pPr>
                </w:p>
              </w:tc>
              <w:tc>
                <w:tcPr>
                  <w:tcW w:w="1236" w:type="dxa"/>
                  <w:vMerge w:val="continue"/>
                  <w:vAlign w:val="center"/>
                </w:tcPr>
                <w:p w14:paraId="2DA9123E">
                  <w:pPr>
                    <w:pStyle w:val="41"/>
                  </w:pPr>
                </w:p>
              </w:tc>
            </w:tr>
          </w:tbl>
          <w:p w14:paraId="50A48FB7">
            <w:pPr>
              <w:ind w:firstLine="480"/>
            </w:pPr>
          </w:p>
        </w:tc>
      </w:tr>
    </w:tbl>
    <w:p w14:paraId="6475E89F">
      <w:pPr>
        <w:ind w:firstLine="480"/>
        <w:sectPr>
          <w:pgSz w:w="23811" w:h="16838" w:orient="landscape"/>
          <w:pgMar w:top="1417" w:right="1417" w:bottom="1417" w:left="1417" w:header="851" w:footer="850" w:gutter="0"/>
          <w:cols w:space="720" w:num="1"/>
          <w:docGrid w:linePitch="312" w:charSpace="0"/>
        </w:sectPr>
      </w:pP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62"/>
        <w:gridCol w:w="8560"/>
      </w:tblGrid>
      <w:tr w14:paraId="47B73C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8" w:hRule="atLeast"/>
          <w:jc w:val="center"/>
        </w:trPr>
        <w:tc>
          <w:tcPr>
            <w:tcW w:w="308" w:type="pct"/>
            <w:tcMar>
              <w:left w:w="28" w:type="dxa"/>
              <w:right w:w="28" w:type="dxa"/>
            </w:tcMar>
            <w:vAlign w:val="center"/>
          </w:tcPr>
          <w:p w14:paraId="7F991E1B">
            <w:pPr>
              <w:ind w:firstLine="480"/>
            </w:pPr>
          </w:p>
        </w:tc>
        <w:tc>
          <w:tcPr>
            <w:tcW w:w="4692" w:type="pct"/>
            <w:vAlign w:val="center"/>
          </w:tcPr>
          <w:p w14:paraId="3024FCCD">
            <w:pPr>
              <w:pStyle w:val="4"/>
              <w:spacing w:before="120" w:after="120"/>
            </w:pPr>
            <w:r>
              <w:t>4.2.3运营期噪声</w:t>
            </w:r>
          </w:p>
          <w:p w14:paraId="16031C37">
            <w:pPr>
              <w:keepNext/>
              <w:keepLines/>
              <w:ind w:firstLine="482"/>
              <w:outlineLvl w:val="1"/>
              <w:rPr>
                <w:b/>
                <w:bCs/>
              </w:rPr>
            </w:pPr>
            <w:r>
              <w:rPr>
                <w:rFonts w:hint="eastAsia"/>
                <w:b/>
                <w:bCs/>
              </w:rPr>
              <w:t>1、噪声源强</w:t>
            </w:r>
          </w:p>
          <w:p w14:paraId="105E385C">
            <w:pPr>
              <w:ind w:firstLine="480"/>
            </w:pPr>
            <w:r>
              <w:rPr>
                <w:rFonts w:hint="eastAsia"/>
              </w:rPr>
              <w:t>本项目新增设备为保险杠生产线的焊接工作站、电焊机、工业冷水机等，</w:t>
            </w:r>
            <w:r>
              <w:t>铝合金电池结构件</w:t>
            </w:r>
            <w:r>
              <w:rPr>
                <w:rFonts w:hint="eastAsia"/>
              </w:rPr>
              <w:t>生产线的CMT焊接工作站、压缩空气干燥机、FDS工作站等运行时产生的噪声，噪声源强调查清单</w:t>
            </w:r>
            <w:r>
              <w:t>见表</w:t>
            </w:r>
            <w:r>
              <w:rPr>
                <w:rFonts w:hint="eastAsia"/>
              </w:rPr>
              <w:t>4.2-5</w:t>
            </w:r>
            <w:r>
              <w:t>。</w:t>
            </w:r>
          </w:p>
          <w:p w14:paraId="09A4D4C0">
            <w:pPr>
              <w:pStyle w:val="32"/>
              <w:spacing w:before="120" w:beforeLines="50" w:line="240" w:lineRule="auto"/>
            </w:pPr>
            <w:r>
              <w:t>表4.2-</w:t>
            </w:r>
            <w:r>
              <w:rPr>
                <w:rFonts w:hint="eastAsia"/>
              </w:rPr>
              <w:t>5</w:t>
            </w:r>
            <w:r>
              <w:t xml:space="preserve">  </w:t>
            </w:r>
            <w:r>
              <w:rPr>
                <w:rFonts w:hint="eastAsia"/>
              </w:rPr>
              <w:t>工业企业噪声源强调查清单（室内声源）</w:t>
            </w:r>
          </w:p>
          <w:p w14:paraId="6B422673">
            <w:pPr>
              <w:spacing w:before="120" w:beforeLines="50"/>
              <w:ind w:firstLine="482"/>
              <w:rPr>
                <w:b/>
                <w:bCs/>
              </w:rPr>
            </w:pPr>
            <w:r>
              <w:rPr>
                <w:rFonts w:hint="eastAsia"/>
                <w:b/>
                <w:bCs/>
              </w:rPr>
              <w:t>2、噪声预测</w:t>
            </w:r>
          </w:p>
          <w:p w14:paraId="63C9EFFA">
            <w:pPr>
              <w:ind w:firstLine="480"/>
            </w:pPr>
            <w:r>
              <w:rPr>
                <w:rFonts w:hint="eastAsia"/>
              </w:rPr>
              <w:t>本次环评采用《环境影响评价技术导则声环境》（HJ2.4-2021）“附录A户外声传播的衰减”及“附录B典型行业噪声预测模型”对本项目噪声影响进行预测。</w:t>
            </w:r>
          </w:p>
          <w:p w14:paraId="550840BB">
            <w:pPr>
              <w:ind w:firstLine="480"/>
            </w:pPr>
            <w:r>
              <w:rPr>
                <w:rFonts w:hint="eastAsia"/>
              </w:rPr>
              <w:t>①户外声传播的衰减</w:t>
            </w:r>
          </w:p>
          <w:p w14:paraId="38A829E4">
            <w:pPr>
              <w:ind w:firstLine="480"/>
            </w:pPr>
            <w:r>
              <w:rPr>
                <w:rFonts w:hint="eastAsia"/>
              </w:rPr>
              <w:t>户外声传播衰减包括几何发散（</w:t>
            </w:r>
            <w:r>
              <w:rPr>
                <w:rFonts w:hint="eastAsia"/>
                <w:shd w:val="clear" w:fill="FFFFFF"/>
              </w:rPr>
              <w:t>Adiv</w:t>
            </w:r>
            <w:r>
              <w:rPr>
                <w:rFonts w:hint="eastAsia"/>
              </w:rPr>
              <w:t>）、大气吸收（</w:t>
            </w:r>
            <w:r>
              <w:rPr>
                <w:rFonts w:hint="eastAsia"/>
                <w:shd w:val="clear" w:fill="FFFFFF"/>
              </w:rPr>
              <w:t>Aatm</w:t>
            </w:r>
            <w:r>
              <w:rPr>
                <w:rFonts w:hint="eastAsia"/>
              </w:rPr>
              <w:t>）、地面效应（Agr）、障碍物屏蔽（</w:t>
            </w:r>
            <w:r>
              <w:rPr>
                <w:rFonts w:hint="eastAsia"/>
                <w:shd w:val="clear" w:fill="FFFFFF"/>
              </w:rPr>
              <w:t>Abar</w:t>
            </w:r>
            <w:r>
              <w:rPr>
                <w:rFonts w:hint="eastAsia"/>
              </w:rPr>
              <w:t>）、其他多方面效应（</w:t>
            </w:r>
            <w:r>
              <w:rPr>
                <w:rFonts w:hint="eastAsia"/>
                <w:shd w:val="clear" w:fill="FFFFFF"/>
              </w:rPr>
              <w:t>Amisc</w:t>
            </w:r>
            <w:r>
              <w:rPr>
                <w:rFonts w:hint="eastAsia"/>
              </w:rPr>
              <w:t>）引起的衰减。</w:t>
            </w:r>
          </w:p>
          <w:p w14:paraId="265BCF25">
            <w:pPr>
              <w:ind w:firstLine="480"/>
            </w:pPr>
            <w:r>
              <w:rPr>
                <w:rFonts w:hint="eastAsia"/>
              </w:rPr>
              <w:t>在环境影响评价中，应根据声源声功率级或参考位置处的声压级、户外声传播衰减，计算预测点的声级，分别按式（A.1）或式（A.2）计算。</w:t>
            </w:r>
          </w:p>
          <w:p w14:paraId="2B268493">
            <w:pPr>
              <w:ind w:firstLine="480"/>
            </w:pPr>
            <w:r>
              <w:rPr>
                <w:rFonts w:hint="eastAsia"/>
              </w:rPr>
              <w:t>Lp（r）＝Lw+DC－（</w:t>
            </w:r>
            <w:r>
              <w:rPr>
                <w:rFonts w:hint="eastAsia"/>
                <w:shd w:val="clear" w:fill="FFFFFF"/>
              </w:rPr>
              <w:t>Adiv</w:t>
            </w:r>
            <w:r>
              <w:rPr>
                <w:rFonts w:hint="eastAsia"/>
              </w:rPr>
              <w:t>＋</w:t>
            </w:r>
            <w:r>
              <w:rPr>
                <w:rFonts w:hint="eastAsia"/>
                <w:shd w:val="clear" w:fill="FFFFFF"/>
              </w:rPr>
              <w:t>Aatm</w:t>
            </w:r>
            <w:r>
              <w:rPr>
                <w:rFonts w:hint="eastAsia"/>
              </w:rPr>
              <w:t>＋Agr＋</w:t>
            </w:r>
            <w:r>
              <w:rPr>
                <w:rFonts w:hint="eastAsia"/>
                <w:shd w:val="clear" w:fill="FFFFFF"/>
              </w:rPr>
              <w:t>Abar</w:t>
            </w:r>
            <w:r>
              <w:rPr>
                <w:rFonts w:hint="eastAsia"/>
              </w:rPr>
              <w:t>＋</w:t>
            </w:r>
            <w:r>
              <w:rPr>
                <w:rFonts w:hint="eastAsia"/>
                <w:shd w:val="clear" w:fill="FFFFFF"/>
              </w:rPr>
              <w:t>Amisc</w:t>
            </w:r>
            <w:r>
              <w:rPr>
                <w:rFonts w:hint="eastAsia"/>
              </w:rPr>
              <w:t>）</w:t>
            </w:r>
          </w:p>
          <w:p w14:paraId="7FB8D5D6">
            <w:pPr>
              <w:ind w:firstLine="480"/>
            </w:pPr>
            <w:r>
              <w:rPr>
                <w:rFonts w:hint="eastAsia"/>
              </w:rPr>
              <w:t>式中：Lp（r）——预测点处声压级，dB；</w:t>
            </w:r>
          </w:p>
          <w:p w14:paraId="70F07C28">
            <w:pPr>
              <w:ind w:firstLine="480"/>
            </w:pPr>
            <w:r>
              <w:rPr>
                <w:rFonts w:hint="eastAsia"/>
              </w:rPr>
              <w:t>Lw——由点声源产生的声功率级（A计权或倍频带），dB；</w:t>
            </w:r>
          </w:p>
          <w:p w14:paraId="54D80FD4">
            <w:pPr>
              <w:ind w:firstLine="480"/>
            </w:pPr>
            <w:r>
              <w:rPr>
                <w:rFonts w:hint="eastAsia"/>
              </w:rPr>
              <w:t>DC——指向性校正，它描述点声源的等效连续声压级与产生声功率级Lw的全向点声源在规定方向的声级的偏差程度，dB；</w:t>
            </w:r>
          </w:p>
          <w:p w14:paraId="7FE4173F">
            <w:pPr>
              <w:ind w:firstLine="480"/>
            </w:pPr>
            <w:r>
              <w:rPr>
                <w:rFonts w:hint="eastAsia"/>
                <w:shd w:val="clear" w:fill="FFFFFF"/>
              </w:rPr>
              <w:t>Adiv</w:t>
            </w:r>
            <w:r>
              <w:rPr>
                <w:rFonts w:hint="eastAsia"/>
              </w:rPr>
              <w:t>——几何发散引起的衰减，dB；</w:t>
            </w:r>
          </w:p>
          <w:p w14:paraId="6C5CC6EB">
            <w:pPr>
              <w:ind w:firstLine="480"/>
            </w:pPr>
            <w:r>
              <w:rPr>
                <w:rFonts w:hint="eastAsia"/>
                <w:shd w:val="clear" w:fill="FFFFFF"/>
              </w:rPr>
              <w:t>Aatm</w:t>
            </w:r>
            <w:r>
              <w:rPr>
                <w:rFonts w:hint="eastAsia"/>
              </w:rPr>
              <w:t>——大气吸收引起的衰减，dB；</w:t>
            </w:r>
          </w:p>
          <w:p w14:paraId="3E48091A">
            <w:pPr>
              <w:ind w:firstLine="480"/>
            </w:pPr>
            <w:r>
              <w:rPr>
                <w:rFonts w:hint="eastAsia"/>
              </w:rPr>
              <w:t>Agr——地面效应引起的衰减，dB；</w:t>
            </w:r>
          </w:p>
          <w:p w14:paraId="6C91FB4A">
            <w:pPr>
              <w:ind w:firstLine="480"/>
            </w:pPr>
            <w:r>
              <w:rPr>
                <w:rFonts w:hint="eastAsia"/>
                <w:shd w:val="clear" w:fill="FFFFFF"/>
              </w:rPr>
              <w:t>Abar</w:t>
            </w:r>
            <w:r>
              <w:rPr>
                <w:rFonts w:hint="eastAsia"/>
              </w:rPr>
              <w:t>——障碍物屏蔽引起的衰减，dB；</w:t>
            </w:r>
          </w:p>
          <w:p w14:paraId="376245B6">
            <w:pPr>
              <w:ind w:firstLine="480"/>
            </w:pPr>
            <w:r>
              <w:rPr>
                <w:rFonts w:hint="eastAsia"/>
                <w:shd w:val="clear" w:fill="FFFFFF"/>
              </w:rPr>
              <w:t>Amisc</w:t>
            </w:r>
            <w:r>
              <w:rPr>
                <w:rFonts w:hint="eastAsia"/>
              </w:rPr>
              <w:t>——其他多方面效应引起的衰减，dB。</w:t>
            </w:r>
          </w:p>
          <w:p w14:paraId="50192C76">
            <w:pPr>
              <w:ind w:firstLine="480"/>
            </w:pPr>
            <w:r>
              <w:rPr>
                <w:rFonts w:hint="eastAsia"/>
              </w:rPr>
              <w:t>②点声源的几何发散衰减</w:t>
            </w:r>
          </w:p>
          <w:p w14:paraId="70CB806F">
            <w:pPr>
              <w:ind w:firstLine="480"/>
            </w:pPr>
            <w:r>
              <w:rPr>
                <w:rFonts w:hint="eastAsia"/>
              </w:rPr>
              <w:t>a）无指向性点声源几何发散衰减</w:t>
            </w:r>
          </w:p>
          <w:p w14:paraId="4A0B0CCC">
            <w:pPr>
              <w:ind w:firstLine="480"/>
            </w:pPr>
            <w:r>
              <w:rPr>
                <w:rFonts w:hint="eastAsia"/>
              </w:rPr>
              <w:t>无指向性点声源几何发散衰减的基本公式是：</w:t>
            </w:r>
          </w:p>
          <w:p w14:paraId="24F6CC4C">
            <w:pPr>
              <w:ind w:firstLine="480"/>
              <w:jc w:val="center"/>
            </w:pPr>
            <w:r>
              <w:rPr>
                <w:rFonts w:hint="eastAsia"/>
              </w:rPr>
              <w:t>Lp（r）=Lp（r</w:t>
            </w:r>
            <w:r>
              <w:rPr>
                <w:rFonts w:hint="eastAsia"/>
                <w:vertAlign w:val="subscript"/>
              </w:rPr>
              <w:t>0</w:t>
            </w:r>
            <w:r>
              <w:rPr>
                <w:rFonts w:hint="eastAsia"/>
              </w:rPr>
              <w:t>）-20lg（r/r</w:t>
            </w:r>
            <w:r>
              <w:rPr>
                <w:rFonts w:hint="eastAsia"/>
                <w:vertAlign w:val="subscript"/>
              </w:rPr>
              <w:t>0</w:t>
            </w:r>
            <w:r>
              <w:rPr>
                <w:rFonts w:hint="eastAsia"/>
              </w:rPr>
              <w:t>）</w:t>
            </w:r>
          </w:p>
          <w:p w14:paraId="2B083F73">
            <w:pPr>
              <w:ind w:firstLine="480"/>
            </w:pPr>
            <w:r>
              <w:t>式中：Lp（r）—预测点处声压级，dB；</w:t>
            </w:r>
          </w:p>
          <w:p w14:paraId="7676EF52">
            <w:pPr>
              <w:ind w:firstLine="480"/>
            </w:pPr>
            <w:r>
              <w:t>Lp（r0）—参考位置r0处的声压级，dB；</w:t>
            </w:r>
          </w:p>
          <w:p w14:paraId="4BC8271B">
            <w:pPr>
              <w:ind w:firstLine="480"/>
            </w:pPr>
            <w:r>
              <w:t>r—预测点距声源的距离；</w:t>
            </w:r>
          </w:p>
          <w:p w14:paraId="58911CA3">
            <w:pPr>
              <w:ind w:firstLine="480"/>
            </w:pPr>
            <w:r>
              <w:t>r0—参考位置距声源的距离。</w:t>
            </w:r>
          </w:p>
          <w:p w14:paraId="52046D49">
            <w:pPr>
              <w:ind w:firstLine="480"/>
            </w:pPr>
            <w:r>
              <w:t>如果已知点声源的倍频带声功率级或A计权声功率级（LAw）</w:t>
            </w:r>
            <w:r>
              <w:rPr>
                <w:rFonts w:hint="eastAsia"/>
                <w:lang w:eastAsia="zh-CN"/>
              </w:rPr>
              <w:t>且</w:t>
            </w:r>
            <w:r>
              <w:t>声源处于自由声场：</w:t>
            </w:r>
          </w:p>
          <w:p w14:paraId="0EE15BB8">
            <w:pPr>
              <w:ind w:firstLine="480"/>
              <w:jc w:val="center"/>
            </w:pPr>
            <w:r>
              <w:rPr>
                <w:rFonts w:hint="eastAsia"/>
              </w:rPr>
              <w:t>Lp（r）=Lw-20</w:t>
            </w:r>
            <w:r>
              <w:rPr>
                <w:rFonts w:hint="eastAsia"/>
                <w:shd w:val="clear" w:fill="FFFFFF"/>
              </w:rPr>
              <w:t>lgr</w:t>
            </w:r>
            <w:r>
              <w:rPr>
                <w:rFonts w:hint="eastAsia"/>
              </w:rPr>
              <w:t>-11</w:t>
            </w:r>
          </w:p>
          <w:p w14:paraId="76885F48">
            <w:pPr>
              <w:ind w:firstLine="480"/>
              <w:jc w:val="left"/>
            </w:pPr>
            <w:r>
              <w:t>式中：Lp（r）—预测点处声压级，dB；</w:t>
            </w:r>
          </w:p>
          <w:p w14:paraId="68BC4B42">
            <w:pPr>
              <w:ind w:firstLine="480"/>
              <w:jc w:val="left"/>
            </w:pPr>
            <w:r>
              <w:t>Lw—由点声源产生的倍频带声功率级，dB；</w:t>
            </w:r>
          </w:p>
          <w:p w14:paraId="1AA017CB">
            <w:pPr>
              <w:ind w:firstLine="480"/>
              <w:jc w:val="left"/>
            </w:pPr>
            <w:r>
              <w:t>r—预测点距声源的距离</w:t>
            </w:r>
            <w:r>
              <w:rPr>
                <w:rFonts w:hint="eastAsia"/>
              </w:rPr>
              <w:t>。</w:t>
            </w:r>
          </w:p>
          <w:p w14:paraId="0ABD810B">
            <w:pPr>
              <w:ind w:firstLine="480"/>
              <w:jc w:val="center"/>
            </w:pPr>
            <w:r>
              <w:rPr>
                <w:rFonts w:hint="eastAsia"/>
              </w:rPr>
              <w:t>Lp（r）=LAw-20</w:t>
            </w:r>
            <w:r>
              <w:rPr>
                <w:rFonts w:hint="eastAsia"/>
                <w:shd w:val="clear" w:fill="FFFFFF"/>
              </w:rPr>
              <w:t>lgr</w:t>
            </w:r>
            <w:r>
              <w:rPr>
                <w:rFonts w:hint="eastAsia"/>
              </w:rPr>
              <w:t>-11</w:t>
            </w:r>
          </w:p>
          <w:p w14:paraId="230C429D">
            <w:pPr>
              <w:ind w:firstLine="480"/>
              <w:jc w:val="left"/>
            </w:pPr>
            <w:r>
              <w:t>式中：LA（r）—距声源r处的A声级，dB（A）；</w:t>
            </w:r>
          </w:p>
          <w:p w14:paraId="28643CAE">
            <w:pPr>
              <w:ind w:firstLine="480"/>
              <w:jc w:val="left"/>
            </w:pPr>
            <w:r>
              <w:t>LAw—点声源A计权声功率级，dB；</w:t>
            </w:r>
          </w:p>
          <w:p w14:paraId="2878A92B">
            <w:pPr>
              <w:ind w:firstLine="480"/>
              <w:jc w:val="left"/>
            </w:pPr>
            <w:r>
              <w:t>r—预测点距声源的距离。</w:t>
            </w:r>
          </w:p>
          <w:p w14:paraId="37FE94D0">
            <w:pPr>
              <w:ind w:firstLine="480"/>
              <w:jc w:val="left"/>
            </w:pPr>
            <w:r>
              <w:t>如果声源处于半自由声场：</w:t>
            </w:r>
          </w:p>
          <w:p w14:paraId="3C9FC043">
            <w:pPr>
              <w:ind w:firstLine="480"/>
              <w:jc w:val="center"/>
            </w:pPr>
            <w:r>
              <w:rPr>
                <w:rFonts w:hint="eastAsia"/>
              </w:rPr>
              <w:t>Lp（r）=Lw-20</w:t>
            </w:r>
            <w:r>
              <w:rPr>
                <w:rFonts w:hint="eastAsia"/>
                <w:shd w:val="clear" w:fill="FFFFFF"/>
              </w:rPr>
              <w:t>lgr</w:t>
            </w:r>
            <w:r>
              <w:rPr>
                <w:rFonts w:hint="eastAsia"/>
              </w:rPr>
              <w:t>-8</w:t>
            </w:r>
          </w:p>
          <w:p w14:paraId="579F95DE">
            <w:pPr>
              <w:ind w:firstLine="480"/>
              <w:jc w:val="left"/>
            </w:pPr>
            <w:r>
              <w:t>式中：Lp（r）—预测点处声压级，dB；</w:t>
            </w:r>
          </w:p>
          <w:p w14:paraId="20454316">
            <w:pPr>
              <w:ind w:firstLine="480"/>
              <w:jc w:val="left"/>
            </w:pPr>
            <w:r>
              <w:t>Lw—由点声源产生的倍频带声功率级，dB；</w:t>
            </w:r>
          </w:p>
          <w:p w14:paraId="1C2B69E0">
            <w:pPr>
              <w:ind w:firstLine="480"/>
              <w:jc w:val="left"/>
            </w:pPr>
            <w:r>
              <w:t>r—预测点距声源的距离。</w:t>
            </w:r>
          </w:p>
          <w:p w14:paraId="488989C5">
            <w:pPr>
              <w:ind w:firstLine="480"/>
              <w:jc w:val="center"/>
            </w:pPr>
            <w:r>
              <w:rPr>
                <w:rFonts w:hint="eastAsia"/>
              </w:rPr>
              <w:t>Lp（r）=LAw-20</w:t>
            </w:r>
            <w:r>
              <w:rPr>
                <w:rFonts w:hint="eastAsia"/>
                <w:shd w:val="clear" w:fill="FFFFFF"/>
              </w:rPr>
              <w:t>lgr</w:t>
            </w:r>
            <w:r>
              <w:rPr>
                <w:rFonts w:hint="eastAsia"/>
              </w:rPr>
              <w:t>-8</w:t>
            </w:r>
          </w:p>
          <w:p w14:paraId="5F772AC6">
            <w:pPr>
              <w:ind w:firstLine="480"/>
              <w:jc w:val="left"/>
            </w:pPr>
            <w:r>
              <w:t>式中：LA（r）—距声源r处的A声级，dB（A）</w:t>
            </w:r>
          </w:p>
          <w:p w14:paraId="79B0D075">
            <w:pPr>
              <w:ind w:firstLine="480"/>
              <w:jc w:val="left"/>
            </w:pPr>
            <w:r>
              <w:t>LAw—点声源A计权声功率级，dB；</w:t>
            </w:r>
          </w:p>
          <w:p w14:paraId="0F3A133D">
            <w:pPr>
              <w:ind w:firstLine="480"/>
              <w:jc w:val="left"/>
            </w:pPr>
            <w:r>
              <w:t>r—预测点距声源的距离。</w:t>
            </w:r>
          </w:p>
          <w:p w14:paraId="4200D304">
            <w:pPr>
              <w:ind w:firstLine="480"/>
              <w:jc w:val="left"/>
            </w:pPr>
            <w:r>
              <w:t>③室内声源等效室外声源声功率级计算方法</w:t>
            </w:r>
          </w:p>
          <w:p w14:paraId="34AC21B6">
            <w:pPr>
              <w:ind w:firstLine="480"/>
              <w:jc w:val="left"/>
            </w:pPr>
            <w:r>
              <w:t>如图B.1所示，声源位于室内，室内声源可采用等效室外声源声功率级法进行计算。设靠近开口处（或窗户）室内、室外某倍频带的声压级或A声级分别为Lp1和Lp2。若声源所在室内声场为近似扩散声场，则室外的倍频带声压级可按式（B.1）近似求出：</w:t>
            </w:r>
          </w:p>
          <w:p w14:paraId="4A96141D">
            <w:pPr>
              <w:ind w:firstLine="480"/>
              <w:jc w:val="center"/>
            </w:pPr>
            <w:r>
              <w:rPr>
                <w:rFonts w:hint="eastAsia"/>
              </w:rPr>
              <w:t>Lp2=Lp1-（TL+6）</w:t>
            </w:r>
          </w:p>
          <w:p w14:paraId="7A8E83EF">
            <w:pPr>
              <w:ind w:firstLine="480"/>
              <w:jc w:val="left"/>
            </w:pPr>
            <w:r>
              <w:t>式中：Lp1—靠近开口处（或窗户）室内某倍频带的声压级或A声级，dB；</w:t>
            </w:r>
          </w:p>
          <w:p w14:paraId="48685B24">
            <w:pPr>
              <w:ind w:firstLine="480"/>
              <w:jc w:val="left"/>
            </w:pPr>
            <w:r>
              <w:t>Lp2—靠近开口处（或窗户）室外某倍频带的声压级或A声级，dB；</w:t>
            </w:r>
          </w:p>
          <w:p w14:paraId="667D3C88">
            <w:pPr>
              <w:ind w:firstLine="480"/>
              <w:jc w:val="left"/>
            </w:pPr>
            <w:r>
              <w:t>TL—隔墙（或窗户）倍频带或A声级的隔声量，dB。</w:t>
            </w:r>
          </w:p>
          <w:p w14:paraId="6D88200B">
            <w:pPr>
              <w:ind w:firstLine="480"/>
              <w:jc w:val="center"/>
            </w:pPr>
            <w:r>
              <w:drawing>
                <wp:inline distT="0" distB="0" distL="114300" distR="114300">
                  <wp:extent cx="3429000" cy="1790700"/>
                  <wp:effectExtent l="0" t="0" r="0" b="0"/>
                  <wp:docPr id="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
                          <pic:cNvPicPr>
                            <a:picLocks noChangeAspect="1"/>
                          </pic:cNvPicPr>
                        </pic:nvPicPr>
                        <pic:blipFill>
                          <a:blip r:embed="rId39"/>
                          <a:stretch>
                            <a:fillRect/>
                          </a:stretch>
                        </pic:blipFill>
                        <pic:spPr>
                          <a:xfrm>
                            <a:off x="0" y="0"/>
                            <a:ext cx="3429000" cy="1790700"/>
                          </a:xfrm>
                          <a:prstGeom prst="rect">
                            <a:avLst/>
                          </a:prstGeom>
                          <a:noFill/>
                          <a:ln>
                            <a:noFill/>
                          </a:ln>
                        </pic:spPr>
                      </pic:pic>
                    </a:graphicData>
                  </a:graphic>
                </wp:inline>
              </w:drawing>
            </w:r>
          </w:p>
          <w:p w14:paraId="1A4242C1">
            <w:pPr>
              <w:ind w:firstLine="482"/>
              <w:jc w:val="center"/>
            </w:pPr>
            <w:r>
              <w:rPr>
                <w:b/>
                <w:bCs/>
              </w:rPr>
              <w:t>图4.3-1</w:t>
            </w:r>
            <w:r>
              <w:rPr>
                <w:rFonts w:hint="eastAsia"/>
                <w:b/>
                <w:bCs/>
              </w:rPr>
              <w:t xml:space="preserve"> </w:t>
            </w:r>
            <w:r>
              <w:rPr>
                <w:b/>
                <w:bCs/>
              </w:rPr>
              <w:t>室内声源等效为室外声源图例</w:t>
            </w:r>
          </w:p>
          <w:p w14:paraId="7B07AA38">
            <w:pPr>
              <w:ind w:firstLine="480"/>
              <w:jc w:val="left"/>
            </w:pPr>
            <w:r>
              <w:t>③工业企业噪声计算</w:t>
            </w:r>
          </w:p>
          <w:p w14:paraId="701A2AD0">
            <w:pPr>
              <w:ind w:firstLine="480"/>
              <w:jc w:val="left"/>
            </w:pPr>
            <w:r>
              <w:t>设第i个室外声源在预测点产生的A声级为LAi，在T时间内该声源工作时间为ti；第j个等效室外声源在预测点产生的A声级为</w:t>
            </w:r>
            <w:r>
              <w:rPr>
                <w:shd w:val="clear" w:fill="FFFFFF"/>
              </w:rPr>
              <w:t>LAj</w:t>
            </w:r>
            <w:r>
              <w:t>，在T时间内该声源工作时间为tj，则拟建工程声源对预测点产生的贡献值（</w:t>
            </w:r>
            <w:r>
              <w:rPr>
                <w:shd w:val="clear" w:fill="FFFFFF"/>
              </w:rPr>
              <w:t>Leqg</w:t>
            </w:r>
            <w:r>
              <w:t>）为：</w:t>
            </w:r>
          </w:p>
          <w:p w14:paraId="36E97329">
            <w:pPr>
              <w:ind w:firstLine="480"/>
              <w:jc w:val="center"/>
            </w:pPr>
            <w:r>
              <w:drawing>
                <wp:inline distT="0" distB="0" distL="114300" distR="114300">
                  <wp:extent cx="3695700" cy="800100"/>
                  <wp:effectExtent l="0" t="0" r="0" b="0"/>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40"/>
                          <a:stretch>
                            <a:fillRect/>
                          </a:stretch>
                        </pic:blipFill>
                        <pic:spPr>
                          <a:xfrm>
                            <a:off x="0" y="0"/>
                            <a:ext cx="3695700" cy="800100"/>
                          </a:xfrm>
                          <a:prstGeom prst="rect">
                            <a:avLst/>
                          </a:prstGeom>
                          <a:noFill/>
                          <a:ln>
                            <a:noFill/>
                          </a:ln>
                        </pic:spPr>
                      </pic:pic>
                    </a:graphicData>
                  </a:graphic>
                </wp:inline>
              </w:drawing>
            </w:r>
          </w:p>
          <w:p w14:paraId="34F3C0A4">
            <w:pPr>
              <w:ind w:firstLine="480"/>
              <w:jc w:val="left"/>
            </w:pPr>
            <w:r>
              <w:t>式中：</w:t>
            </w:r>
            <w:r>
              <w:rPr>
                <w:shd w:val="clear" w:fill="FFFFFF"/>
              </w:rPr>
              <w:t>Leqg</w:t>
            </w:r>
            <w:r>
              <w:t>——建设项目声源在预测点产生的噪声贡献值，dB；</w:t>
            </w:r>
          </w:p>
          <w:p w14:paraId="063217C4">
            <w:pPr>
              <w:ind w:firstLine="480"/>
              <w:jc w:val="left"/>
            </w:pPr>
            <w:r>
              <w:t>T——用于计算等效声级的时间，s；</w:t>
            </w:r>
          </w:p>
          <w:p w14:paraId="4AC678EB">
            <w:pPr>
              <w:ind w:firstLine="480"/>
              <w:jc w:val="left"/>
            </w:pPr>
            <w:r>
              <w:t>N——室外声源个数；</w:t>
            </w:r>
          </w:p>
          <w:p w14:paraId="3B19AA7C">
            <w:pPr>
              <w:ind w:firstLine="480"/>
              <w:jc w:val="left"/>
            </w:pPr>
            <w:r>
              <w:t>ti——在T时间内i声源工作时间，s；</w:t>
            </w:r>
          </w:p>
          <w:p w14:paraId="62AE2C17">
            <w:pPr>
              <w:ind w:firstLine="480"/>
              <w:jc w:val="left"/>
            </w:pPr>
            <w:r>
              <w:t>M——等效室外声源个数；</w:t>
            </w:r>
          </w:p>
          <w:p w14:paraId="4EDE4E6A">
            <w:pPr>
              <w:ind w:firstLine="480"/>
              <w:jc w:val="left"/>
            </w:pPr>
            <w:r>
              <w:t>tj——在T时间内j声源工作时间，s。</w:t>
            </w:r>
          </w:p>
          <w:p w14:paraId="41730D1A">
            <w:pPr>
              <w:ind w:firstLine="480"/>
              <w:jc w:val="left"/>
            </w:pPr>
            <w:r>
              <w:t>根据平面布置可知，本项目噪声主要来自生产设备</w:t>
            </w:r>
            <w:r>
              <w:rPr>
                <w:rFonts w:hint="eastAsia"/>
              </w:rPr>
              <w:t>、</w:t>
            </w:r>
            <w:r>
              <w:t>配套风机</w:t>
            </w:r>
            <w:r>
              <w:rPr>
                <w:rFonts w:hint="eastAsia"/>
              </w:rPr>
              <w:t>、水冷机</w:t>
            </w:r>
            <w:r>
              <w:t>。根据《环境影响评价技术导则声环境》（HJ2.4-2021）：“8.5.2预测和评价建设项目在施工期和运营期厂界（厂界、边界）噪声贡献值，评价其超标和达标情况”。厂界噪声排放预测结果见表</w:t>
            </w:r>
            <w:r>
              <w:rPr>
                <w:rFonts w:hint="eastAsia"/>
              </w:rPr>
              <w:t>4.2-6。</w:t>
            </w:r>
          </w:p>
          <w:p w14:paraId="75CA7B0E">
            <w:pPr>
              <w:pStyle w:val="92"/>
              <w:spacing w:before="120"/>
              <w:rPr>
                <w:bCs/>
                <w:color w:val="auto"/>
              </w:rPr>
            </w:pPr>
            <w:r>
              <w:rPr>
                <w:rFonts w:hint="eastAsia"/>
                <w:color w:val="auto"/>
              </w:rPr>
              <w:t xml:space="preserve">表4.2-6  </w:t>
            </w:r>
            <w:r>
              <w:rPr>
                <w:color w:val="auto"/>
              </w:rPr>
              <w:t>项目厂界噪声排放预测结果</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39"/>
              <w:gridCol w:w="1390"/>
              <w:gridCol w:w="1961"/>
              <w:gridCol w:w="1962"/>
              <w:gridCol w:w="1653"/>
            </w:tblGrid>
            <w:tr w14:paraId="2C2E04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8" w:type="dxa"/>
                  <w:vAlign w:val="center"/>
                </w:tcPr>
                <w:p w14:paraId="73DFB567">
                  <w:pPr>
                    <w:pStyle w:val="41"/>
                  </w:pPr>
                  <w:r>
                    <w:t>方位</w:t>
                  </w:r>
                </w:p>
              </w:tc>
              <w:tc>
                <w:tcPr>
                  <w:tcW w:w="1390" w:type="dxa"/>
                  <w:vAlign w:val="center"/>
                </w:tcPr>
                <w:p w14:paraId="683F3138">
                  <w:pPr>
                    <w:pStyle w:val="41"/>
                  </w:pPr>
                  <w:r>
                    <w:t>时段</w:t>
                  </w:r>
                </w:p>
              </w:tc>
              <w:tc>
                <w:tcPr>
                  <w:tcW w:w="1961" w:type="dxa"/>
                  <w:vAlign w:val="center"/>
                </w:tcPr>
                <w:p w14:paraId="5B501479">
                  <w:pPr>
                    <w:pStyle w:val="41"/>
                  </w:pPr>
                  <w:r>
                    <w:rPr>
                      <w:rFonts w:hint="eastAsia"/>
                    </w:rPr>
                    <w:t>贡献值</w:t>
                  </w:r>
                  <w:r>
                    <w:rPr>
                      <w:shd w:val="clear" w:fill="FFFFFF"/>
                    </w:rPr>
                    <w:t>（</w:t>
                  </w:r>
                  <w:r>
                    <w:t>dB</w:t>
                  </w:r>
                  <w:r>
                    <w:rPr>
                      <w:shd w:val="clear" w:fill="FFFFFF"/>
                    </w:rPr>
                    <w:t>(</w:t>
                  </w:r>
                  <w:r>
                    <w:t>A</w:t>
                  </w:r>
                  <w:r>
                    <w:rPr>
                      <w:shd w:val="clear" w:fill="FFFFFF"/>
                    </w:rPr>
                    <w:t>)</w:t>
                  </w:r>
                  <w:r>
                    <w:t>）</w:t>
                  </w:r>
                </w:p>
              </w:tc>
              <w:tc>
                <w:tcPr>
                  <w:tcW w:w="1962" w:type="dxa"/>
                  <w:vAlign w:val="center"/>
                </w:tcPr>
                <w:p w14:paraId="2A2E4BB6">
                  <w:pPr>
                    <w:pStyle w:val="41"/>
                  </w:pPr>
                  <w:r>
                    <w:t>标准限值</w:t>
                  </w:r>
                  <w:r>
                    <w:rPr>
                      <w:shd w:val="clear" w:fill="FFFFFF"/>
                    </w:rPr>
                    <w:t>（</w:t>
                  </w:r>
                  <w:r>
                    <w:t>dB</w:t>
                  </w:r>
                  <w:r>
                    <w:rPr>
                      <w:shd w:val="clear" w:fill="FFFFFF"/>
                    </w:rPr>
                    <w:t>(</w:t>
                  </w:r>
                  <w:r>
                    <w:t>A</w:t>
                  </w:r>
                  <w:r>
                    <w:rPr>
                      <w:shd w:val="clear" w:fill="FFFFFF"/>
                    </w:rPr>
                    <w:t>)</w:t>
                  </w:r>
                  <w:r>
                    <w:t>）</w:t>
                  </w:r>
                </w:p>
              </w:tc>
              <w:tc>
                <w:tcPr>
                  <w:tcW w:w="1653" w:type="dxa"/>
                  <w:vAlign w:val="center"/>
                </w:tcPr>
                <w:p w14:paraId="4D1B5238">
                  <w:pPr>
                    <w:pStyle w:val="41"/>
                  </w:pPr>
                  <w:r>
                    <w:t>达标情况</w:t>
                  </w:r>
                </w:p>
              </w:tc>
            </w:tr>
            <w:tr w14:paraId="052C69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8" w:type="dxa"/>
                  <w:vMerge w:val="restart"/>
                  <w:vAlign w:val="center"/>
                </w:tcPr>
                <w:p w14:paraId="7C75AAD2">
                  <w:pPr>
                    <w:pStyle w:val="41"/>
                  </w:pPr>
                  <w:r>
                    <w:t>东侧</w:t>
                  </w:r>
                </w:p>
              </w:tc>
              <w:tc>
                <w:tcPr>
                  <w:tcW w:w="1390" w:type="dxa"/>
                  <w:tcBorders>
                    <w:bottom w:val="single" w:color="auto" w:sz="4" w:space="0"/>
                  </w:tcBorders>
                  <w:vAlign w:val="center"/>
                </w:tcPr>
                <w:p w14:paraId="49273BEA">
                  <w:pPr>
                    <w:pStyle w:val="41"/>
                  </w:pPr>
                  <w:r>
                    <w:t>昼间</w:t>
                  </w:r>
                </w:p>
              </w:tc>
              <w:tc>
                <w:tcPr>
                  <w:tcW w:w="1961" w:type="dxa"/>
                  <w:tcBorders>
                    <w:bottom w:val="single" w:color="auto" w:sz="4" w:space="0"/>
                  </w:tcBorders>
                  <w:vAlign w:val="center"/>
                </w:tcPr>
                <w:p w14:paraId="01326324">
                  <w:pPr>
                    <w:pStyle w:val="41"/>
                  </w:pPr>
                  <w:r>
                    <w:rPr>
                      <w:rFonts w:hint="eastAsia"/>
                    </w:rPr>
                    <w:t>49.5</w:t>
                  </w:r>
                </w:p>
              </w:tc>
              <w:tc>
                <w:tcPr>
                  <w:tcW w:w="1962" w:type="dxa"/>
                  <w:tcBorders>
                    <w:bottom w:val="single" w:color="auto" w:sz="4" w:space="0"/>
                  </w:tcBorders>
                  <w:vAlign w:val="center"/>
                </w:tcPr>
                <w:p w14:paraId="05121B79">
                  <w:pPr>
                    <w:pStyle w:val="41"/>
                  </w:pPr>
                  <w:r>
                    <w:rPr>
                      <w:rFonts w:hint="eastAsia"/>
                    </w:rPr>
                    <w:t>65</w:t>
                  </w:r>
                </w:p>
              </w:tc>
              <w:tc>
                <w:tcPr>
                  <w:tcW w:w="1653" w:type="dxa"/>
                  <w:tcBorders>
                    <w:bottom w:val="single" w:color="auto" w:sz="4" w:space="0"/>
                  </w:tcBorders>
                  <w:vAlign w:val="center"/>
                </w:tcPr>
                <w:p w14:paraId="22B497B3">
                  <w:pPr>
                    <w:pStyle w:val="41"/>
                  </w:pPr>
                  <w:r>
                    <w:t>达标</w:t>
                  </w:r>
                </w:p>
              </w:tc>
            </w:tr>
            <w:tr w14:paraId="76670A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8" w:type="dxa"/>
                  <w:vMerge w:val="continue"/>
                  <w:vAlign w:val="center"/>
                </w:tcPr>
                <w:p w14:paraId="13D757C2">
                  <w:pPr>
                    <w:pStyle w:val="41"/>
                  </w:pPr>
                </w:p>
              </w:tc>
              <w:tc>
                <w:tcPr>
                  <w:tcW w:w="1390" w:type="dxa"/>
                  <w:tcBorders>
                    <w:top w:val="single" w:color="auto" w:sz="4" w:space="0"/>
                  </w:tcBorders>
                  <w:vAlign w:val="center"/>
                </w:tcPr>
                <w:p w14:paraId="474E74EC">
                  <w:pPr>
                    <w:pStyle w:val="41"/>
                  </w:pPr>
                  <w:r>
                    <w:rPr>
                      <w:rFonts w:hint="eastAsia"/>
                    </w:rPr>
                    <w:t>夜间</w:t>
                  </w:r>
                </w:p>
              </w:tc>
              <w:tc>
                <w:tcPr>
                  <w:tcW w:w="1961" w:type="dxa"/>
                  <w:tcBorders>
                    <w:top w:val="single" w:color="auto" w:sz="4" w:space="0"/>
                  </w:tcBorders>
                  <w:vAlign w:val="center"/>
                </w:tcPr>
                <w:p w14:paraId="27E84FD9">
                  <w:pPr>
                    <w:pStyle w:val="41"/>
                  </w:pPr>
                  <w:r>
                    <w:rPr>
                      <w:rFonts w:hint="eastAsia"/>
                    </w:rPr>
                    <w:t>49.5</w:t>
                  </w:r>
                </w:p>
              </w:tc>
              <w:tc>
                <w:tcPr>
                  <w:tcW w:w="1962" w:type="dxa"/>
                  <w:tcBorders>
                    <w:top w:val="single" w:color="auto" w:sz="4" w:space="0"/>
                  </w:tcBorders>
                  <w:vAlign w:val="center"/>
                </w:tcPr>
                <w:p w14:paraId="164C0C5B">
                  <w:pPr>
                    <w:pStyle w:val="41"/>
                  </w:pPr>
                  <w:r>
                    <w:rPr>
                      <w:rFonts w:hint="eastAsia"/>
                    </w:rPr>
                    <w:t>55</w:t>
                  </w:r>
                </w:p>
              </w:tc>
              <w:tc>
                <w:tcPr>
                  <w:tcW w:w="1653" w:type="dxa"/>
                  <w:tcBorders>
                    <w:top w:val="single" w:color="auto" w:sz="4" w:space="0"/>
                  </w:tcBorders>
                  <w:vAlign w:val="center"/>
                </w:tcPr>
                <w:p w14:paraId="7E82AE56">
                  <w:pPr>
                    <w:pStyle w:val="41"/>
                  </w:pPr>
                  <w:r>
                    <w:t>达标</w:t>
                  </w:r>
                </w:p>
              </w:tc>
            </w:tr>
            <w:tr w14:paraId="7140A3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8" w:type="dxa"/>
                  <w:vMerge w:val="restart"/>
                  <w:vAlign w:val="center"/>
                </w:tcPr>
                <w:p w14:paraId="6A11B5B6">
                  <w:pPr>
                    <w:pStyle w:val="41"/>
                  </w:pPr>
                  <w:r>
                    <w:t>南侧</w:t>
                  </w:r>
                </w:p>
              </w:tc>
              <w:tc>
                <w:tcPr>
                  <w:tcW w:w="1390" w:type="dxa"/>
                  <w:tcBorders>
                    <w:bottom w:val="single" w:color="auto" w:sz="4" w:space="0"/>
                  </w:tcBorders>
                  <w:vAlign w:val="center"/>
                </w:tcPr>
                <w:p w14:paraId="4474F4BD">
                  <w:pPr>
                    <w:pStyle w:val="41"/>
                  </w:pPr>
                  <w:r>
                    <w:t>昼间</w:t>
                  </w:r>
                </w:p>
              </w:tc>
              <w:tc>
                <w:tcPr>
                  <w:tcW w:w="1961" w:type="dxa"/>
                  <w:tcBorders>
                    <w:bottom w:val="single" w:color="auto" w:sz="4" w:space="0"/>
                  </w:tcBorders>
                  <w:vAlign w:val="center"/>
                </w:tcPr>
                <w:p w14:paraId="55DDC688">
                  <w:pPr>
                    <w:pStyle w:val="41"/>
                  </w:pPr>
                  <w:r>
                    <w:rPr>
                      <w:rFonts w:hint="eastAsia"/>
                    </w:rPr>
                    <w:t>48.8</w:t>
                  </w:r>
                </w:p>
              </w:tc>
              <w:tc>
                <w:tcPr>
                  <w:tcW w:w="1962" w:type="dxa"/>
                  <w:tcBorders>
                    <w:bottom w:val="single" w:color="auto" w:sz="4" w:space="0"/>
                  </w:tcBorders>
                  <w:vAlign w:val="center"/>
                </w:tcPr>
                <w:p w14:paraId="3816415F">
                  <w:pPr>
                    <w:pStyle w:val="41"/>
                  </w:pPr>
                  <w:r>
                    <w:rPr>
                      <w:rFonts w:hint="eastAsia"/>
                    </w:rPr>
                    <w:t>65</w:t>
                  </w:r>
                </w:p>
              </w:tc>
              <w:tc>
                <w:tcPr>
                  <w:tcW w:w="1653" w:type="dxa"/>
                  <w:tcBorders>
                    <w:bottom w:val="single" w:color="auto" w:sz="4" w:space="0"/>
                  </w:tcBorders>
                  <w:vAlign w:val="center"/>
                </w:tcPr>
                <w:p w14:paraId="48D6BDEA">
                  <w:pPr>
                    <w:pStyle w:val="41"/>
                  </w:pPr>
                  <w:r>
                    <w:t>达标</w:t>
                  </w:r>
                </w:p>
              </w:tc>
            </w:tr>
            <w:tr w14:paraId="10C996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8" w:type="dxa"/>
                  <w:vMerge w:val="continue"/>
                  <w:vAlign w:val="center"/>
                </w:tcPr>
                <w:p w14:paraId="57BF231F">
                  <w:pPr>
                    <w:pStyle w:val="41"/>
                  </w:pPr>
                </w:p>
              </w:tc>
              <w:tc>
                <w:tcPr>
                  <w:tcW w:w="1390" w:type="dxa"/>
                  <w:tcBorders>
                    <w:top w:val="single" w:color="auto" w:sz="4" w:space="0"/>
                  </w:tcBorders>
                  <w:vAlign w:val="center"/>
                </w:tcPr>
                <w:p w14:paraId="5AB33919">
                  <w:pPr>
                    <w:pStyle w:val="41"/>
                  </w:pPr>
                  <w:r>
                    <w:rPr>
                      <w:rFonts w:hint="eastAsia"/>
                    </w:rPr>
                    <w:t>夜间</w:t>
                  </w:r>
                </w:p>
              </w:tc>
              <w:tc>
                <w:tcPr>
                  <w:tcW w:w="1961" w:type="dxa"/>
                  <w:tcBorders>
                    <w:top w:val="single" w:color="auto" w:sz="4" w:space="0"/>
                  </w:tcBorders>
                  <w:vAlign w:val="center"/>
                </w:tcPr>
                <w:p w14:paraId="28A24FF2">
                  <w:pPr>
                    <w:pStyle w:val="41"/>
                  </w:pPr>
                  <w:r>
                    <w:rPr>
                      <w:rFonts w:hint="eastAsia"/>
                    </w:rPr>
                    <w:t>48.8</w:t>
                  </w:r>
                </w:p>
              </w:tc>
              <w:tc>
                <w:tcPr>
                  <w:tcW w:w="1962" w:type="dxa"/>
                  <w:tcBorders>
                    <w:top w:val="single" w:color="auto" w:sz="4" w:space="0"/>
                  </w:tcBorders>
                  <w:vAlign w:val="center"/>
                </w:tcPr>
                <w:p w14:paraId="75E1C4E9">
                  <w:pPr>
                    <w:pStyle w:val="41"/>
                  </w:pPr>
                  <w:r>
                    <w:rPr>
                      <w:rFonts w:hint="eastAsia"/>
                    </w:rPr>
                    <w:t>55</w:t>
                  </w:r>
                </w:p>
              </w:tc>
              <w:tc>
                <w:tcPr>
                  <w:tcW w:w="1653" w:type="dxa"/>
                  <w:tcBorders>
                    <w:top w:val="single" w:color="auto" w:sz="4" w:space="0"/>
                  </w:tcBorders>
                  <w:vAlign w:val="center"/>
                </w:tcPr>
                <w:p w14:paraId="714C2237">
                  <w:pPr>
                    <w:pStyle w:val="41"/>
                  </w:pPr>
                  <w:r>
                    <w:t>达标</w:t>
                  </w:r>
                </w:p>
              </w:tc>
            </w:tr>
            <w:tr w14:paraId="4A5B54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8" w:type="dxa"/>
                  <w:vMerge w:val="restart"/>
                  <w:vAlign w:val="center"/>
                </w:tcPr>
                <w:p w14:paraId="20A69769">
                  <w:pPr>
                    <w:pStyle w:val="41"/>
                  </w:pPr>
                  <w:r>
                    <w:t>西侧</w:t>
                  </w:r>
                </w:p>
              </w:tc>
              <w:tc>
                <w:tcPr>
                  <w:tcW w:w="1390" w:type="dxa"/>
                  <w:tcBorders>
                    <w:bottom w:val="single" w:color="auto" w:sz="4" w:space="0"/>
                  </w:tcBorders>
                  <w:vAlign w:val="center"/>
                </w:tcPr>
                <w:p w14:paraId="320B56D6">
                  <w:pPr>
                    <w:pStyle w:val="41"/>
                  </w:pPr>
                  <w:r>
                    <w:t>昼间</w:t>
                  </w:r>
                </w:p>
              </w:tc>
              <w:tc>
                <w:tcPr>
                  <w:tcW w:w="1961" w:type="dxa"/>
                  <w:tcBorders>
                    <w:bottom w:val="single" w:color="auto" w:sz="4" w:space="0"/>
                  </w:tcBorders>
                  <w:vAlign w:val="center"/>
                </w:tcPr>
                <w:p w14:paraId="780F125A">
                  <w:pPr>
                    <w:pStyle w:val="41"/>
                  </w:pPr>
                  <w:r>
                    <w:rPr>
                      <w:rFonts w:hint="eastAsia"/>
                    </w:rPr>
                    <w:t>53.2</w:t>
                  </w:r>
                </w:p>
              </w:tc>
              <w:tc>
                <w:tcPr>
                  <w:tcW w:w="1962" w:type="dxa"/>
                  <w:tcBorders>
                    <w:bottom w:val="single" w:color="auto" w:sz="4" w:space="0"/>
                  </w:tcBorders>
                  <w:vAlign w:val="center"/>
                </w:tcPr>
                <w:p w14:paraId="753FF2E4">
                  <w:pPr>
                    <w:pStyle w:val="41"/>
                  </w:pPr>
                  <w:r>
                    <w:rPr>
                      <w:rFonts w:hint="eastAsia"/>
                    </w:rPr>
                    <w:t>65</w:t>
                  </w:r>
                </w:p>
              </w:tc>
              <w:tc>
                <w:tcPr>
                  <w:tcW w:w="1653" w:type="dxa"/>
                  <w:tcBorders>
                    <w:bottom w:val="single" w:color="auto" w:sz="4" w:space="0"/>
                  </w:tcBorders>
                  <w:vAlign w:val="center"/>
                </w:tcPr>
                <w:p w14:paraId="3155F9C2">
                  <w:pPr>
                    <w:pStyle w:val="41"/>
                  </w:pPr>
                  <w:r>
                    <w:t>达标</w:t>
                  </w:r>
                </w:p>
              </w:tc>
            </w:tr>
            <w:tr w14:paraId="05014D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8" w:type="dxa"/>
                  <w:vMerge w:val="continue"/>
                  <w:vAlign w:val="center"/>
                </w:tcPr>
                <w:p w14:paraId="2CCE47D3">
                  <w:pPr>
                    <w:pStyle w:val="41"/>
                  </w:pPr>
                </w:p>
              </w:tc>
              <w:tc>
                <w:tcPr>
                  <w:tcW w:w="1390" w:type="dxa"/>
                  <w:tcBorders>
                    <w:top w:val="single" w:color="auto" w:sz="4" w:space="0"/>
                  </w:tcBorders>
                  <w:vAlign w:val="center"/>
                </w:tcPr>
                <w:p w14:paraId="00A644D8">
                  <w:pPr>
                    <w:pStyle w:val="41"/>
                  </w:pPr>
                  <w:r>
                    <w:rPr>
                      <w:rFonts w:hint="eastAsia"/>
                    </w:rPr>
                    <w:t>夜间</w:t>
                  </w:r>
                </w:p>
              </w:tc>
              <w:tc>
                <w:tcPr>
                  <w:tcW w:w="1961" w:type="dxa"/>
                  <w:tcBorders>
                    <w:top w:val="single" w:color="auto" w:sz="4" w:space="0"/>
                  </w:tcBorders>
                  <w:vAlign w:val="center"/>
                </w:tcPr>
                <w:p w14:paraId="05ABC81F">
                  <w:pPr>
                    <w:pStyle w:val="41"/>
                  </w:pPr>
                  <w:r>
                    <w:rPr>
                      <w:rFonts w:hint="eastAsia"/>
                    </w:rPr>
                    <w:t>53.2</w:t>
                  </w:r>
                </w:p>
              </w:tc>
              <w:tc>
                <w:tcPr>
                  <w:tcW w:w="1962" w:type="dxa"/>
                  <w:tcBorders>
                    <w:top w:val="single" w:color="auto" w:sz="4" w:space="0"/>
                  </w:tcBorders>
                  <w:vAlign w:val="center"/>
                </w:tcPr>
                <w:p w14:paraId="2A2902D7">
                  <w:pPr>
                    <w:pStyle w:val="41"/>
                  </w:pPr>
                  <w:r>
                    <w:rPr>
                      <w:rFonts w:hint="eastAsia"/>
                    </w:rPr>
                    <w:t>55</w:t>
                  </w:r>
                </w:p>
              </w:tc>
              <w:tc>
                <w:tcPr>
                  <w:tcW w:w="1653" w:type="dxa"/>
                  <w:tcBorders>
                    <w:top w:val="single" w:color="auto" w:sz="4" w:space="0"/>
                  </w:tcBorders>
                  <w:vAlign w:val="center"/>
                </w:tcPr>
                <w:p w14:paraId="025EAC36">
                  <w:pPr>
                    <w:pStyle w:val="41"/>
                  </w:pPr>
                  <w:r>
                    <w:t>达标</w:t>
                  </w:r>
                </w:p>
              </w:tc>
            </w:tr>
            <w:tr w14:paraId="49EADB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8" w:type="dxa"/>
                  <w:vMerge w:val="restart"/>
                  <w:vAlign w:val="center"/>
                </w:tcPr>
                <w:p w14:paraId="1E013A99">
                  <w:pPr>
                    <w:pStyle w:val="41"/>
                  </w:pPr>
                  <w:r>
                    <w:t>北侧</w:t>
                  </w:r>
                </w:p>
              </w:tc>
              <w:tc>
                <w:tcPr>
                  <w:tcW w:w="1390" w:type="dxa"/>
                  <w:tcBorders>
                    <w:bottom w:val="single" w:color="auto" w:sz="4" w:space="0"/>
                  </w:tcBorders>
                  <w:vAlign w:val="center"/>
                </w:tcPr>
                <w:p w14:paraId="3031B795">
                  <w:pPr>
                    <w:pStyle w:val="41"/>
                  </w:pPr>
                  <w:r>
                    <w:t>昼间</w:t>
                  </w:r>
                </w:p>
              </w:tc>
              <w:tc>
                <w:tcPr>
                  <w:tcW w:w="1961" w:type="dxa"/>
                  <w:tcBorders>
                    <w:bottom w:val="single" w:color="auto" w:sz="4" w:space="0"/>
                  </w:tcBorders>
                  <w:vAlign w:val="center"/>
                </w:tcPr>
                <w:p w14:paraId="7E5CA452">
                  <w:pPr>
                    <w:pStyle w:val="41"/>
                  </w:pPr>
                  <w:r>
                    <w:rPr>
                      <w:rFonts w:hint="eastAsia"/>
                    </w:rPr>
                    <w:t>52.3</w:t>
                  </w:r>
                </w:p>
              </w:tc>
              <w:tc>
                <w:tcPr>
                  <w:tcW w:w="1962" w:type="dxa"/>
                  <w:tcBorders>
                    <w:bottom w:val="single" w:color="auto" w:sz="4" w:space="0"/>
                  </w:tcBorders>
                  <w:vAlign w:val="center"/>
                </w:tcPr>
                <w:p w14:paraId="4318CBC9">
                  <w:pPr>
                    <w:pStyle w:val="41"/>
                  </w:pPr>
                  <w:r>
                    <w:rPr>
                      <w:rFonts w:hint="eastAsia"/>
                    </w:rPr>
                    <w:t>65</w:t>
                  </w:r>
                </w:p>
              </w:tc>
              <w:tc>
                <w:tcPr>
                  <w:tcW w:w="1653" w:type="dxa"/>
                  <w:tcBorders>
                    <w:bottom w:val="single" w:color="auto" w:sz="4" w:space="0"/>
                  </w:tcBorders>
                  <w:vAlign w:val="center"/>
                </w:tcPr>
                <w:p w14:paraId="294EAA60">
                  <w:pPr>
                    <w:pStyle w:val="41"/>
                  </w:pPr>
                  <w:r>
                    <w:t>达标</w:t>
                  </w:r>
                </w:p>
              </w:tc>
            </w:tr>
            <w:tr w14:paraId="6B1C90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8" w:type="dxa"/>
                  <w:vMerge w:val="continue"/>
                  <w:vAlign w:val="center"/>
                </w:tcPr>
                <w:p w14:paraId="5201E04A">
                  <w:pPr>
                    <w:pStyle w:val="41"/>
                  </w:pPr>
                </w:p>
              </w:tc>
              <w:tc>
                <w:tcPr>
                  <w:tcW w:w="1390" w:type="dxa"/>
                  <w:tcBorders>
                    <w:top w:val="single" w:color="auto" w:sz="4" w:space="0"/>
                  </w:tcBorders>
                  <w:vAlign w:val="center"/>
                </w:tcPr>
                <w:p w14:paraId="2D064E67">
                  <w:pPr>
                    <w:pStyle w:val="41"/>
                  </w:pPr>
                  <w:r>
                    <w:rPr>
                      <w:rFonts w:hint="eastAsia"/>
                    </w:rPr>
                    <w:t>夜间</w:t>
                  </w:r>
                </w:p>
              </w:tc>
              <w:tc>
                <w:tcPr>
                  <w:tcW w:w="1961" w:type="dxa"/>
                  <w:tcBorders>
                    <w:top w:val="single" w:color="auto" w:sz="4" w:space="0"/>
                  </w:tcBorders>
                  <w:vAlign w:val="center"/>
                </w:tcPr>
                <w:p w14:paraId="65FA7EE3">
                  <w:pPr>
                    <w:pStyle w:val="41"/>
                  </w:pPr>
                  <w:r>
                    <w:rPr>
                      <w:rFonts w:hint="eastAsia"/>
                    </w:rPr>
                    <w:t>52.3</w:t>
                  </w:r>
                </w:p>
              </w:tc>
              <w:tc>
                <w:tcPr>
                  <w:tcW w:w="1962" w:type="dxa"/>
                  <w:tcBorders>
                    <w:top w:val="single" w:color="auto" w:sz="4" w:space="0"/>
                  </w:tcBorders>
                  <w:vAlign w:val="center"/>
                </w:tcPr>
                <w:p w14:paraId="55E2B084">
                  <w:pPr>
                    <w:pStyle w:val="41"/>
                  </w:pPr>
                  <w:r>
                    <w:rPr>
                      <w:rFonts w:hint="eastAsia"/>
                    </w:rPr>
                    <w:t>55</w:t>
                  </w:r>
                </w:p>
              </w:tc>
              <w:tc>
                <w:tcPr>
                  <w:tcW w:w="1653" w:type="dxa"/>
                  <w:tcBorders>
                    <w:top w:val="single" w:color="auto" w:sz="4" w:space="0"/>
                  </w:tcBorders>
                  <w:vAlign w:val="center"/>
                </w:tcPr>
                <w:p w14:paraId="749AA0ED">
                  <w:pPr>
                    <w:pStyle w:val="41"/>
                  </w:pPr>
                  <w:r>
                    <w:t>达标</w:t>
                  </w:r>
                </w:p>
              </w:tc>
            </w:tr>
          </w:tbl>
          <w:p w14:paraId="41D8722D">
            <w:pPr>
              <w:spacing w:before="120" w:beforeLines="50"/>
              <w:ind w:firstLine="482"/>
              <w:rPr>
                <w:b/>
                <w:bCs/>
              </w:rPr>
            </w:pPr>
            <w:r>
              <w:rPr>
                <w:rFonts w:hint="eastAsia"/>
                <w:b/>
                <w:bCs/>
              </w:rPr>
              <w:t>3、噪声影响分析</w:t>
            </w:r>
          </w:p>
          <w:p w14:paraId="27A0F59A">
            <w:pPr>
              <w:ind w:firstLine="480"/>
            </w:pPr>
            <w:r>
              <w:rPr>
                <w:rFonts w:hint="eastAsia"/>
              </w:rPr>
              <w:t>由预测结果可知：项目投产后，厂区生产设备产生的噪声经车间墙体隔声和距离衰减后，项目各</w:t>
            </w:r>
            <w:r>
              <w:rPr>
                <w:rFonts w:hint="eastAsia"/>
                <w:shd w:val="clear" w:fill="FFFFFF"/>
              </w:rPr>
              <w:t>侧厂</w:t>
            </w:r>
            <w:r>
              <w:rPr>
                <w:rFonts w:hint="eastAsia"/>
              </w:rPr>
              <w:t>界噪声预测结果均可达到《工业企业厂界环境噪声排放标准》（GB12348-2008）中的3类标准中的标准</w:t>
            </w:r>
            <w:r>
              <w:rPr>
                <w:rFonts w:hint="eastAsia"/>
                <w:lang w:eastAsia="zh-CN"/>
              </w:rPr>
              <w:t>且</w:t>
            </w:r>
            <w:r>
              <w:rPr>
                <w:rFonts w:hint="eastAsia"/>
              </w:rPr>
              <w:t>项目厂界外50m范围内无声环境敏感点，故本项目生产噪声对周边环境的影响在可接受范围内。</w:t>
            </w:r>
          </w:p>
          <w:p w14:paraId="64FAD2D6">
            <w:pPr>
              <w:ind w:firstLine="480"/>
            </w:pPr>
            <w:r>
              <w:rPr>
                <w:rFonts w:hint="eastAsia"/>
              </w:rPr>
              <w:t>为确保整个企业在日常生产过程中设备噪声不对周边环境产生不良影响，同时给车间操作人员创造良好的工作环境，本评价提出以下噪声防治措施：</w:t>
            </w:r>
          </w:p>
          <w:p w14:paraId="057736EF">
            <w:pPr>
              <w:ind w:firstLine="480"/>
            </w:pPr>
            <w:r>
              <w:rPr>
                <w:rFonts w:hint="eastAsia"/>
              </w:rPr>
              <w:t>①从声源上控制，尽量选择低噪声和符合国家噪声标准的设备。</w:t>
            </w:r>
          </w:p>
          <w:p w14:paraId="49832479">
            <w:pPr>
              <w:ind w:firstLine="480"/>
            </w:pPr>
            <w:r>
              <w:rPr>
                <w:rFonts w:hint="eastAsia"/>
              </w:rPr>
              <w:t>②合理布置设备位置，将高</w:t>
            </w:r>
            <w:r>
              <w:rPr>
                <w:rFonts w:hint="eastAsia"/>
                <w:shd w:val="clear" w:fill="FFFFFF"/>
              </w:rPr>
              <w:t>噪音</w:t>
            </w:r>
            <w:r>
              <w:rPr>
                <w:rFonts w:hint="eastAsia"/>
              </w:rPr>
              <w:t>设备尽量布置在车间中间。</w:t>
            </w:r>
          </w:p>
          <w:p w14:paraId="471B11E5">
            <w:pPr>
              <w:ind w:firstLine="480"/>
            </w:pPr>
            <w:r>
              <w:rPr>
                <w:rFonts w:hint="eastAsia"/>
              </w:rPr>
              <w:t>③建设单位应加强设备日常检修和维护，以保证各设备正常运转，以免由于设备故障原因产生较大噪声。</w:t>
            </w:r>
          </w:p>
          <w:p w14:paraId="748A5328">
            <w:pPr>
              <w:spacing w:before="120" w:beforeLines="50"/>
              <w:ind w:firstLine="482"/>
              <w:rPr>
                <w:b/>
                <w:bCs/>
              </w:rPr>
            </w:pPr>
            <w:r>
              <w:rPr>
                <w:rFonts w:hint="eastAsia"/>
                <w:b/>
                <w:bCs/>
              </w:rPr>
              <w:t>4、噪声污染源监测计划</w:t>
            </w:r>
          </w:p>
          <w:p w14:paraId="79A524FB">
            <w:pPr>
              <w:ind w:firstLine="480"/>
            </w:pPr>
            <w:r>
              <w:rPr>
                <w:rFonts w:hint="eastAsia"/>
              </w:rPr>
              <w:t>为切实控制本次工程环保设施的有效运行和污染物达标排放，建设单位要按照《排污单位自行监测技术指南 总则》（HJ819-2017）的要求制定环境监测计划，包括监测点位、监测指标、监测频次等，当发生污染事故时，应增加监测频次，按照应急监测要求进行监测。</w:t>
            </w:r>
          </w:p>
          <w:p w14:paraId="4F88B056">
            <w:pPr>
              <w:pStyle w:val="92"/>
              <w:spacing w:before="120"/>
              <w:rPr>
                <w:color w:val="auto"/>
              </w:rPr>
            </w:pPr>
            <w:r>
              <w:rPr>
                <w:rFonts w:hint="eastAsia"/>
                <w:color w:val="auto"/>
              </w:rPr>
              <w:t>表4.2-7  噪声污染源监测计划一览表</w:t>
            </w:r>
          </w:p>
          <w:tbl>
            <w:tblPr>
              <w:tblStyle w:val="87"/>
              <w:tblW w:w="498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431"/>
              <w:gridCol w:w="1182"/>
              <w:gridCol w:w="4544"/>
            </w:tblGrid>
            <w:tr w14:paraId="2682F0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2" w:type="pct"/>
                  <w:vAlign w:val="center"/>
                </w:tcPr>
                <w:p w14:paraId="49E1B686">
                  <w:pPr>
                    <w:spacing w:line="240" w:lineRule="auto"/>
                    <w:ind w:firstLine="0" w:firstLineChars="0"/>
                    <w:jc w:val="center"/>
                    <w:rPr>
                      <w:sz w:val="21"/>
                      <w:szCs w:val="21"/>
                    </w:rPr>
                  </w:pPr>
                  <w:r>
                    <w:rPr>
                      <w:sz w:val="21"/>
                      <w:szCs w:val="21"/>
                    </w:rPr>
                    <w:t>监测点位</w:t>
                  </w:r>
                </w:p>
              </w:tc>
              <w:tc>
                <w:tcPr>
                  <w:tcW w:w="843" w:type="pct"/>
                  <w:vAlign w:val="center"/>
                </w:tcPr>
                <w:p w14:paraId="73240001">
                  <w:pPr>
                    <w:spacing w:line="240" w:lineRule="auto"/>
                    <w:ind w:firstLine="0" w:firstLineChars="0"/>
                    <w:jc w:val="center"/>
                    <w:rPr>
                      <w:sz w:val="21"/>
                      <w:szCs w:val="21"/>
                    </w:rPr>
                  </w:pPr>
                  <w:r>
                    <w:rPr>
                      <w:sz w:val="21"/>
                      <w:szCs w:val="21"/>
                    </w:rPr>
                    <w:t>监测因子</w:t>
                  </w:r>
                </w:p>
              </w:tc>
              <w:tc>
                <w:tcPr>
                  <w:tcW w:w="697" w:type="pct"/>
                  <w:vAlign w:val="center"/>
                </w:tcPr>
                <w:p w14:paraId="47211196">
                  <w:pPr>
                    <w:spacing w:line="240" w:lineRule="auto"/>
                    <w:ind w:firstLine="0" w:firstLineChars="0"/>
                    <w:jc w:val="center"/>
                    <w:rPr>
                      <w:sz w:val="21"/>
                      <w:szCs w:val="21"/>
                    </w:rPr>
                  </w:pPr>
                  <w:r>
                    <w:rPr>
                      <w:sz w:val="21"/>
                      <w:szCs w:val="21"/>
                    </w:rPr>
                    <w:t>监测频次</w:t>
                  </w:r>
                </w:p>
              </w:tc>
              <w:tc>
                <w:tcPr>
                  <w:tcW w:w="2677" w:type="pct"/>
                  <w:vAlign w:val="center"/>
                </w:tcPr>
                <w:p w14:paraId="5AAC7EA2">
                  <w:pPr>
                    <w:spacing w:line="240" w:lineRule="auto"/>
                    <w:ind w:firstLine="0" w:firstLineChars="0"/>
                    <w:jc w:val="center"/>
                    <w:rPr>
                      <w:sz w:val="21"/>
                      <w:szCs w:val="21"/>
                    </w:rPr>
                  </w:pPr>
                  <w:r>
                    <w:rPr>
                      <w:sz w:val="21"/>
                      <w:szCs w:val="21"/>
                    </w:rPr>
                    <w:t>执行排放标准</w:t>
                  </w:r>
                </w:p>
              </w:tc>
            </w:tr>
            <w:tr w14:paraId="4E019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82" w:type="pct"/>
                  <w:vAlign w:val="center"/>
                </w:tcPr>
                <w:p w14:paraId="0845F58D">
                  <w:pPr>
                    <w:spacing w:line="240" w:lineRule="auto"/>
                    <w:ind w:firstLine="0" w:firstLineChars="0"/>
                    <w:jc w:val="center"/>
                    <w:rPr>
                      <w:sz w:val="21"/>
                      <w:szCs w:val="21"/>
                    </w:rPr>
                  </w:pPr>
                  <w:r>
                    <w:rPr>
                      <w:rFonts w:hint="eastAsia"/>
                      <w:sz w:val="21"/>
                      <w:szCs w:val="21"/>
                    </w:rPr>
                    <w:t>厂界四周</w:t>
                  </w:r>
                </w:p>
              </w:tc>
              <w:tc>
                <w:tcPr>
                  <w:tcW w:w="843" w:type="pct"/>
                  <w:vAlign w:val="center"/>
                </w:tcPr>
                <w:p w14:paraId="7EE9E2F5">
                  <w:pPr>
                    <w:spacing w:line="240" w:lineRule="auto"/>
                    <w:ind w:firstLine="0" w:firstLineChars="0"/>
                    <w:jc w:val="center"/>
                    <w:rPr>
                      <w:sz w:val="21"/>
                      <w:szCs w:val="21"/>
                    </w:rPr>
                  </w:pPr>
                  <w:r>
                    <w:rPr>
                      <w:rFonts w:hint="eastAsia"/>
                      <w:sz w:val="21"/>
                      <w:szCs w:val="21"/>
                    </w:rPr>
                    <w:t>噪声</w:t>
                  </w:r>
                </w:p>
              </w:tc>
              <w:tc>
                <w:tcPr>
                  <w:tcW w:w="697" w:type="pct"/>
                  <w:vAlign w:val="center"/>
                </w:tcPr>
                <w:p w14:paraId="6DB4CECE">
                  <w:pPr>
                    <w:spacing w:line="240" w:lineRule="auto"/>
                    <w:ind w:firstLine="0" w:firstLineChars="0"/>
                    <w:jc w:val="center"/>
                    <w:rPr>
                      <w:sz w:val="21"/>
                      <w:szCs w:val="21"/>
                    </w:rPr>
                  </w:pPr>
                  <w:r>
                    <w:rPr>
                      <w:rFonts w:hint="eastAsia"/>
                      <w:sz w:val="21"/>
                      <w:szCs w:val="21"/>
                    </w:rPr>
                    <w:t>1次/季度</w:t>
                  </w:r>
                </w:p>
              </w:tc>
              <w:tc>
                <w:tcPr>
                  <w:tcW w:w="2677" w:type="pct"/>
                  <w:vAlign w:val="center"/>
                </w:tcPr>
                <w:p w14:paraId="4C6EB424">
                  <w:pPr>
                    <w:spacing w:line="240" w:lineRule="auto"/>
                    <w:ind w:firstLine="0" w:firstLineChars="0"/>
                    <w:jc w:val="center"/>
                    <w:rPr>
                      <w:sz w:val="21"/>
                      <w:szCs w:val="21"/>
                    </w:rPr>
                  </w:pPr>
                  <w:r>
                    <w:rPr>
                      <w:rFonts w:hint="eastAsia"/>
                      <w:sz w:val="21"/>
                      <w:szCs w:val="21"/>
                    </w:rPr>
                    <w:t>《工业企业厂界环境噪声排放标准》（</w:t>
                  </w:r>
                  <w:r>
                    <w:rPr>
                      <w:rFonts w:hint="eastAsia"/>
                      <w:sz w:val="21"/>
                      <w:szCs w:val="21"/>
                      <w:shd w:val="clear" w:fill="FFFFFF"/>
                    </w:rPr>
                    <w:t>GBl</w:t>
                  </w:r>
                  <w:r>
                    <w:rPr>
                      <w:rFonts w:hint="eastAsia"/>
                      <w:sz w:val="21"/>
                      <w:szCs w:val="21"/>
                    </w:rPr>
                    <w:t>2348-2008）3类标准（昼间≤65dB</w:t>
                  </w:r>
                  <w:r>
                    <w:rPr>
                      <w:rFonts w:hint="eastAsia"/>
                      <w:sz w:val="21"/>
                      <w:szCs w:val="21"/>
                      <w:shd w:val="clear" w:fill="FFFFFF"/>
                    </w:rPr>
                    <w:t>（</w:t>
                  </w:r>
                  <w:r>
                    <w:rPr>
                      <w:rFonts w:hint="eastAsia"/>
                      <w:sz w:val="21"/>
                      <w:szCs w:val="21"/>
                    </w:rPr>
                    <w:t>A）、夜间≤55dB</w:t>
                  </w:r>
                  <w:r>
                    <w:rPr>
                      <w:rFonts w:hint="eastAsia"/>
                      <w:sz w:val="21"/>
                      <w:szCs w:val="21"/>
                      <w:shd w:val="clear" w:fill="FFFFFF"/>
                    </w:rPr>
                    <w:t>（</w:t>
                  </w:r>
                  <w:r>
                    <w:rPr>
                      <w:rFonts w:hint="eastAsia"/>
                      <w:sz w:val="21"/>
                      <w:szCs w:val="21"/>
                    </w:rPr>
                    <w:t>A））</w:t>
                  </w:r>
                </w:p>
              </w:tc>
            </w:tr>
          </w:tbl>
          <w:p w14:paraId="2D94FCE9">
            <w:pPr>
              <w:ind w:firstLine="480"/>
            </w:pPr>
          </w:p>
        </w:tc>
      </w:tr>
    </w:tbl>
    <w:p w14:paraId="053D194A">
      <w:pPr>
        <w:ind w:firstLine="480"/>
        <w:sectPr>
          <w:pgSz w:w="11905" w:h="16838"/>
          <w:pgMar w:top="1417" w:right="1417" w:bottom="1417" w:left="1417" w:header="851" w:footer="850" w:gutter="0"/>
          <w:cols w:space="720" w:num="1"/>
          <w:docGrid w:linePitch="312" w:charSpace="0"/>
        </w:sectPr>
      </w:pP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62"/>
        <w:gridCol w:w="8560"/>
      </w:tblGrid>
      <w:tr w14:paraId="3FB82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4007" w:hRule="atLeast"/>
          <w:jc w:val="center"/>
        </w:trPr>
        <w:tc>
          <w:tcPr>
            <w:tcW w:w="308" w:type="pct"/>
            <w:tcMar>
              <w:left w:w="28" w:type="dxa"/>
              <w:right w:w="28" w:type="dxa"/>
            </w:tcMar>
            <w:vAlign w:val="center"/>
          </w:tcPr>
          <w:p w14:paraId="256E9BC2">
            <w:pPr>
              <w:ind w:firstLine="480"/>
            </w:pPr>
          </w:p>
        </w:tc>
        <w:tc>
          <w:tcPr>
            <w:tcW w:w="4692" w:type="pct"/>
            <w:vAlign w:val="center"/>
          </w:tcPr>
          <w:p w14:paraId="1F5A1747">
            <w:pPr>
              <w:pStyle w:val="4"/>
              <w:spacing w:before="120" w:after="120"/>
            </w:pPr>
            <w:r>
              <w:t>4.2.4运营期固废</w:t>
            </w:r>
          </w:p>
          <w:p w14:paraId="5E3BC24D">
            <w:pPr>
              <w:ind w:firstLine="482"/>
              <w:rPr>
                <w:b/>
              </w:rPr>
            </w:pPr>
            <w:bookmarkStart w:id="9" w:name="_Hlk196234038"/>
            <w:r>
              <w:rPr>
                <w:rFonts w:hint="eastAsia"/>
                <w:b/>
              </w:rPr>
              <w:t>1、固体废物产生及处置情况</w:t>
            </w:r>
          </w:p>
          <w:p w14:paraId="3599F710">
            <w:pPr>
              <w:ind w:firstLine="480"/>
            </w:pPr>
            <w:r>
              <w:rPr>
                <w:rFonts w:hint="eastAsia"/>
              </w:rPr>
              <w:t>（1）一般固废</w:t>
            </w:r>
          </w:p>
          <w:p w14:paraId="6EA7FAA6">
            <w:pPr>
              <w:ind w:firstLine="480"/>
            </w:pPr>
            <w:r>
              <w:rPr>
                <w:rFonts w:hint="eastAsia"/>
              </w:rPr>
              <w:t>①打磨粉尘：根据第四章废气源强分析，打磨粉尘产生量为1.49t/a，主要成分为铝合金颗粒，集中收集后外售给物资回收单位。</w:t>
            </w:r>
          </w:p>
          <w:p w14:paraId="3D47AA57">
            <w:pPr>
              <w:ind w:firstLine="480"/>
            </w:pPr>
            <w:r>
              <w:rPr>
                <w:rFonts w:hint="eastAsia" w:ascii="宋体" w:hAnsi="宋体" w:cs="宋体"/>
              </w:rPr>
              <w:t>②</w:t>
            </w:r>
            <w:r>
              <w:rPr>
                <w:rFonts w:hint="eastAsia"/>
              </w:rPr>
              <w:t>废烟尘过滤棉及废除尘布袋：项目焊接烟尘净化器定期更换过滤棉，过滤的烟尘为一般固废。根据烟尘净化除尘器使用说明，过滤棉的使用量约为烟尘量的0.03倍，根据第四章源强分析，烟尘产生量为0.294t/a，则废过滤棉产生量约为0.009t/a；使用的布袋除尘器需定期更换布袋，产生量约为0.001ta，集中收集后外售给物资回收单位。</w:t>
            </w:r>
          </w:p>
          <w:p w14:paraId="015EA526">
            <w:pPr>
              <w:ind w:firstLine="480"/>
            </w:pPr>
            <w:r>
              <w:rPr>
                <w:rFonts w:hint="eastAsia"/>
              </w:rPr>
              <w:t>③废焊接材料：根据《机加工行业环境影响评价中常见污染物源强估算及污染治理》（许海萍等）“2.4固体废物估算及处理措施”章节中提供的方法计算，本项目焊丝用量为14.35t/a，则焊渣=焊丝使用量×（1/11+4%）=1.879t/a，集中收集后外售给物资回收单位。</w:t>
            </w:r>
          </w:p>
          <w:p w14:paraId="26F2589B">
            <w:pPr>
              <w:ind w:firstLine="480"/>
            </w:pPr>
            <w:r>
              <w:rPr>
                <w:rFonts w:hint="eastAsia"/>
              </w:rPr>
              <w:t>④边角料：根据建设单位提供资料，机加工过程金属边角料产生量占原料的3%，铝合金年用量895t，则边角料产生量为26.85t/a，集中收集后外售给物资回收单位。</w:t>
            </w:r>
          </w:p>
          <w:p w14:paraId="3A3DF5D2">
            <w:pPr>
              <w:ind w:firstLine="480"/>
            </w:pPr>
            <w:r>
              <w:rPr>
                <w:rFonts w:hint="eastAsia"/>
              </w:rPr>
              <w:t>⑤不合格产品：根据建设单位提供资料，不合格产品产生量占原料的0.3%，钢材年用量</w:t>
            </w:r>
            <w:r>
              <w:t>8653.4</w:t>
            </w:r>
            <w:r>
              <w:rPr>
                <w:rFonts w:hint="eastAsia"/>
              </w:rPr>
              <w:t>t，铝材年用量895t，则不合格产品产生量为28.645t/a，集中收集后外售给物资回收单位。</w:t>
            </w:r>
          </w:p>
          <w:p w14:paraId="760C5184">
            <w:pPr>
              <w:ind w:firstLine="480"/>
            </w:pPr>
            <w:r>
              <w:rPr>
                <w:rFonts w:hint="eastAsia"/>
              </w:rPr>
              <w:t>⑥生活垃圾</w:t>
            </w:r>
          </w:p>
          <w:p w14:paraId="51A01D67">
            <w:pPr>
              <w:ind w:firstLine="480"/>
            </w:pPr>
            <w:r>
              <w:rPr>
                <w:rFonts w:hint="eastAsia"/>
              </w:rPr>
              <w:t>项目</w:t>
            </w:r>
            <w:r>
              <w:t>定员</w:t>
            </w:r>
            <w:r>
              <w:rPr>
                <w:rFonts w:hint="eastAsia"/>
              </w:rPr>
              <w:t>100</w:t>
            </w:r>
            <w:r>
              <w:t>人，生活垃圾以每人每天0.5kg计，年产生活垃圾约</w:t>
            </w:r>
            <w:r>
              <w:rPr>
                <w:rFonts w:hint="eastAsia"/>
              </w:rPr>
              <w:t>13.05</w:t>
            </w:r>
            <w:r>
              <w:t>t</w:t>
            </w:r>
            <w:r>
              <w:rPr>
                <w:rFonts w:hint="eastAsia"/>
              </w:rPr>
              <w:t>，</w:t>
            </w:r>
            <w:r>
              <w:t>统一收集后由环卫部门定期清运</w:t>
            </w:r>
            <w:r>
              <w:rPr>
                <w:rFonts w:hint="eastAsia"/>
              </w:rPr>
              <w:t>。</w:t>
            </w:r>
          </w:p>
          <w:p w14:paraId="0694DA5A">
            <w:pPr>
              <w:snapToGrid w:val="0"/>
              <w:ind w:firstLine="480"/>
            </w:pPr>
            <w:r>
              <w:t>（</w:t>
            </w:r>
            <w:r>
              <w:rPr>
                <w:rFonts w:hint="eastAsia"/>
              </w:rPr>
              <w:t>2</w:t>
            </w:r>
            <w:r>
              <w:t>）危险废物</w:t>
            </w:r>
          </w:p>
          <w:p w14:paraId="178971AF">
            <w:pPr>
              <w:pStyle w:val="105"/>
              <w:snapToGrid w:val="0"/>
              <w:ind w:firstLine="480" w:firstLineChars="200"/>
            </w:pPr>
            <w:r>
              <w:rPr>
                <w:rFonts w:hint="eastAsia" w:ascii="宋体" w:hAnsi="宋体" w:cs="宋体"/>
              </w:rPr>
              <w:t>①</w:t>
            </w:r>
            <w:r>
              <w:rPr>
                <w:rFonts w:hint="eastAsia"/>
              </w:rPr>
              <w:t>废润滑油</w:t>
            </w:r>
          </w:p>
          <w:p w14:paraId="0EDB08E4">
            <w:pPr>
              <w:pStyle w:val="105"/>
              <w:snapToGrid w:val="0"/>
              <w:ind w:firstLine="480" w:firstLineChars="200"/>
            </w:pPr>
            <w:r>
              <w:rPr>
                <w:rFonts w:hint="eastAsia"/>
              </w:rPr>
              <w:t>项目机械设备生产过程中产生的废润滑油大部分可回用，部分做危废处置，经对照《国家危险废物名录（2025年版）》，其危废类别为HW08废矿物油与含矿物油废物，废物代码900-217-08。根据建设单位提供资料，其产生量约0.08t/a，收集后存放于危废暂存库，委托有危废处置资质的单位处理。</w:t>
            </w:r>
          </w:p>
          <w:p w14:paraId="03F0BCCB">
            <w:pPr>
              <w:pStyle w:val="105"/>
              <w:snapToGrid w:val="0"/>
              <w:ind w:firstLine="480" w:firstLineChars="200"/>
            </w:pPr>
            <w:r>
              <w:rPr>
                <w:rFonts w:hint="eastAsia"/>
              </w:rPr>
              <w:t>②废润滑油桶</w:t>
            </w:r>
          </w:p>
          <w:p w14:paraId="4587606F">
            <w:pPr>
              <w:pStyle w:val="105"/>
              <w:snapToGrid w:val="0"/>
              <w:ind w:firstLine="480" w:firstLineChars="200"/>
            </w:pPr>
            <w:r>
              <w:rPr>
                <w:rFonts w:hint="eastAsia"/>
              </w:rPr>
              <w:t>项目润滑油使用后会产生废润滑油桶，经对照《国家危险废物名录（2025年版）》其危废类别为HW49其他废物（危废代码900-041-49），产生量约为0.07t/a，收集后存放于危废暂存间，委托有危废处置资质的单位处理。</w:t>
            </w:r>
          </w:p>
          <w:p w14:paraId="758B4E00">
            <w:pPr>
              <w:pStyle w:val="105"/>
              <w:snapToGrid w:val="0"/>
              <w:ind w:firstLine="480" w:firstLineChars="200"/>
            </w:pPr>
            <w:r>
              <w:rPr>
                <w:rFonts w:hint="eastAsia"/>
              </w:rPr>
              <w:t>③废胶桶</w:t>
            </w:r>
          </w:p>
          <w:p w14:paraId="7C3C415E">
            <w:pPr>
              <w:pStyle w:val="105"/>
              <w:snapToGrid w:val="0"/>
              <w:ind w:firstLine="480" w:firstLineChars="200"/>
            </w:pPr>
            <w:r>
              <w:rPr>
                <w:rFonts w:hint="eastAsia"/>
              </w:rPr>
              <w:t>项目粘胶剂使用后会产生废胶桶，经对照《国家危险废物名录（2025年版）》其危废类别为HW49其他废物（危废代码900-041-49），产生量约为0.1t/a，</w:t>
            </w:r>
            <w:r>
              <w:t>收集后存放于危废暂存间，委托有危</w:t>
            </w:r>
            <w:r>
              <w:rPr>
                <w:rFonts w:hint="eastAsia" w:ascii="宋体" w:hAnsi="宋体" w:cs="宋体"/>
              </w:rPr>
              <w:t>废处置资质的单位处理。</w:t>
            </w:r>
          </w:p>
          <w:p w14:paraId="2EA4BE97">
            <w:pPr>
              <w:pStyle w:val="105"/>
              <w:snapToGrid w:val="0"/>
              <w:ind w:firstLine="480" w:firstLineChars="200"/>
              <w:rPr>
                <w:rFonts w:hint="eastAsia" w:ascii="宋体" w:hAnsi="宋体" w:cs="宋体"/>
              </w:rPr>
            </w:pPr>
            <w:r>
              <w:rPr>
                <w:rFonts w:hint="eastAsia" w:ascii="宋体" w:hAnsi="宋体" w:cs="宋体"/>
              </w:rPr>
              <w:t>④废胶</w:t>
            </w:r>
          </w:p>
          <w:p w14:paraId="0130820C">
            <w:pPr>
              <w:pStyle w:val="105"/>
              <w:snapToGrid w:val="0"/>
              <w:ind w:firstLine="480" w:firstLineChars="200"/>
              <w:rPr>
                <w:rFonts w:hint="eastAsia" w:ascii="宋体" w:hAnsi="宋体" w:cs="宋体"/>
              </w:rPr>
            </w:pPr>
            <w:r>
              <w:rPr>
                <w:rFonts w:hint="eastAsia"/>
              </w:rPr>
              <w:t>项目粘胶剂使用后会产生废胶，经对照《国家危险废物名录（2025年版）》其危废类别为HW13有机树脂类废物（危废代码</w:t>
            </w:r>
            <w:r>
              <w:t>900-014-13</w:t>
            </w:r>
            <w:r>
              <w:rPr>
                <w:rFonts w:hint="eastAsia"/>
              </w:rPr>
              <w:t>），产生量约为0.3t/a，</w:t>
            </w:r>
            <w:r>
              <w:t>收集后存放于危废暂存间，委托有危</w:t>
            </w:r>
            <w:r>
              <w:rPr>
                <w:rFonts w:hint="eastAsia" w:ascii="宋体" w:hAnsi="宋体" w:cs="宋体"/>
              </w:rPr>
              <w:t>废处置资质的单位处理。</w:t>
            </w:r>
          </w:p>
          <w:p w14:paraId="3CF9BC02">
            <w:pPr>
              <w:ind w:firstLine="480"/>
            </w:pPr>
            <w:r>
              <w:rPr>
                <w:rFonts w:hint="eastAsia" w:ascii="宋体" w:hAnsi="宋体" w:cs="宋体"/>
              </w:rPr>
              <w:t>⑤</w:t>
            </w:r>
            <w:r>
              <w:t>废活性炭</w:t>
            </w:r>
          </w:p>
          <w:p w14:paraId="53AE74AA">
            <w:pPr>
              <w:ind w:firstLine="480"/>
            </w:pPr>
            <w:r>
              <w:t>根据杨芬刘品华《活性炭纤维在挥发性有机废气处理中应用》的试验结果表明，每公斤活性炭可吸附0.3</w:t>
            </w:r>
            <w:r>
              <w:rPr>
                <w:rFonts w:hint="eastAsia"/>
              </w:rPr>
              <w:t>—</w:t>
            </w:r>
            <w:r>
              <w:t>0.4kg的有机废气（本次环评取每公斤活性炭吸附量为0.3kg/kg）。根据上述工程分析可知，拟建项目有机废气去除量为</w:t>
            </w:r>
            <w:r>
              <w:rPr>
                <w:rFonts w:hint="eastAsia"/>
              </w:rPr>
              <w:t>0.242</w:t>
            </w:r>
            <w:r>
              <w:t>t/a，经计算共需活性炭</w:t>
            </w:r>
            <w:r>
              <w:rPr>
                <w:rFonts w:hint="eastAsia"/>
              </w:rPr>
              <w:t>0.807</w:t>
            </w:r>
            <w:r>
              <w:t>t/a。</w:t>
            </w:r>
            <w:r>
              <w:rPr>
                <w:rFonts w:hint="eastAsia"/>
              </w:rPr>
              <w:t>为保证废气去除效率，活性炭需定期更换。</w:t>
            </w:r>
            <w:r>
              <w:t>据企业提供资料，</w:t>
            </w:r>
            <w:r>
              <w:rPr>
                <w:rFonts w:hint="eastAsia"/>
              </w:rPr>
              <w:t>2级</w:t>
            </w:r>
            <w:r>
              <w:t>活性炭吸附装置活性炭</w:t>
            </w:r>
            <w:r>
              <w:rPr>
                <w:rFonts w:hint="eastAsia"/>
              </w:rPr>
              <w:t>充填</w:t>
            </w:r>
            <w:r>
              <w:t>量</w:t>
            </w:r>
            <w:r>
              <w:rPr>
                <w:rFonts w:hint="eastAsia"/>
              </w:rPr>
              <w:t>共</w:t>
            </w:r>
            <w:r>
              <w:t>为</w:t>
            </w:r>
            <w:r>
              <w:rPr>
                <w:rFonts w:hint="eastAsia"/>
              </w:rPr>
              <w:t>400</w:t>
            </w:r>
            <w:r>
              <w:t>kg</w:t>
            </w:r>
            <w:r>
              <w:rPr>
                <w:rFonts w:hint="eastAsia"/>
              </w:rPr>
              <w:t>，则更换频次为3次/年</w:t>
            </w:r>
            <w:r>
              <w:t>，则废活性炭产生量为</w:t>
            </w:r>
            <w:r>
              <w:rPr>
                <w:rFonts w:hint="eastAsia"/>
              </w:rPr>
              <w:t>1.442</w:t>
            </w:r>
            <w:r>
              <w:t>t/a。</w:t>
            </w:r>
            <w:r>
              <w:rPr>
                <w:rFonts w:hint="eastAsia"/>
              </w:rPr>
              <w:t>活性炭装填及吸附更换频次满足</w:t>
            </w:r>
            <w:r>
              <w:t>《</w:t>
            </w:r>
            <w:r>
              <w:rPr>
                <w:rFonts w:hint="eastAsia"/>
              </w:rPr>
              <w:t>吸附法工业有机废气治理工程技术规范</w:t>
            </w:r>
            <w:r>
              <w:rPr>
                <w:rFonts w:hint="eastAsia"/>
                <w:shd w:val="clear" w:fill="FFFFFF"/>
              </w:rPr>
              <w:t>（</w:t>
            </w:r>
            <w:r>
              <w:rPr>
                <w:rFonts w:hint="eastAsia"/>
              </w:rPr>
              <w:t>HJ2026-2013)</w:t>
            </w:r>
            <w:r>
              <w:t>》</w:t>
            </w:r>
            <w:r>
              <w:rPr>
                <w:rFonts w:hint="eastAsia"/>
              </w:rPr>
              <w:t>要求。</w:t>
            </w:r>
            <w:r>
              <w:t>项目废活性炭属于危险废物，废物类别为HW</w:t>
            </w:r>
            <w:r>
              <w:rPr>
                <w:rFonts w:hint="eastAsia"/>
              </w:rPr>
              <w:t>49</w:t>
            </w:r>
            <w:r>
              <w:t>，废物代码为900-0</w:t>
            </w:r>
            <w:r>
              <w:rPr>
                <w:rFonts w:hint="eastAsia"/>
              </w:rPr>
              <w:t>39</w:t>
            </w:r>
            <w:r>
              <w:t>-49，暂存于危废</w:t>
            </w:r>
            <w:r>
              <w:rPr>
                <w:rFonts w:hint="eastAsia"/>
              </w:rPr>
              <w:t>库</w:t>
            </w:r>
            <w:r>
              <w:t>，委托有危废处置资质的单位处置。</w:t>
            </w:r>
          </w:p>
          <w:bookmarkEnd w:id="9"/>
          <w:p w14:paraId="66BE7E30">
            <w:pPr>
              <w:pStyle w:val="92"/>
              <w:spacing w:before="120"/>
              <w:rPr>
                <w:color w:val="auto"/>
              </w:rPr>
            </w:pPr>
            <w:r>
              <w:rPr>
                <w:rFonts w:hint="eastAsia"/>
                <w:color w:val="auto"/>
              </w:rPr>
              <w:t>表4.2-8  项目一般固废贮存场所（设施）基本情况一览表</w:t>
            </w:r>
          </w:p>
          <w:tbl>
            <w:tblPr>
              <w:tblStyle w:val="87"/>
              <w:tblW w:w="498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7"/>
              <w:gridCol w:w="1908"/>
              <w:gridCol w:w="1333"/>
              <w:gridCol w:w="1091"/>
              <w:gridCol w:w="1212"/>
              <w:gridCol w:w="1212"/>
              <w:gridCol w:w="1212"/>
            </w:tblGrid>
            <w:tr w14:paraId="6973D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04" w:type="pct"/>
                  <w:vAlign w:val="center"/>
                </w:tcPr>
                <w:p w14:paraId="34FBEEE0">
                  <w:pPr>
                    <w:spacing w:line="240" w:lineRule="auto"/>
                    <w:ind w:firstLine="0" w:firstLineChars="0"/>
                    <w:jc w:val="center"/>
                    <w:rPr>
                      <w:sz w:val="21"/>
                      <w:szCs w:val="21"/>
                    </w:rPr>
                  </w:pPr>
                  <w:r>
                    <w:rPr>
                      <w:rFonts w:hint="eastAsia"/>
                      <w:sz w:val="21"/>
                      <w:szCs w:val="21"/>
                    </w:rPr>
                    <w:t>序号</w:t>
                  </w:r>
                </w:p>
              </w:tc>
              <w:tc>
                <w:tcPr>
                  <w:tcW w:w="1124" w:type="pct"/>
                  <w:vAlign w:val="center"/>
                </w:tcPr>
                <w:p w14:paraId="4007CF62">
                  <w:pPr>
                    <w:spacing w:line="240" w:lineRule="auto"/>
                    <w:ind w:firstLine="0" w:firstLineChars="0"/>
                    <w:jc w:val="center"/>
                    <w:rPr>
                      <w:sz w:val="21"/>
                      <w:szCs w:val="21"/>
                    </w:rPr>
                  </w:pPr>
                  <w:r>
                    <w:rPr>
                      <w:rFonts w:hint="eastAsia"/>
                      <w:sz w:val="21"/>
                      <w:szCs w:val="21"/>
                    </w:rPr>
                    <w:t>一般固废贮存场所</w:t>
                  </w:r>
                </w:p>
                <w:p w14:paraId="06ABAB70">
                  <w:pPr>
                    <w:spacing w:line="240" w:lineRule="auto"/>
                    <w:ind w:firstLine="0" w:firstLineChars="0"/>
                    <w:jc w:val="center"/>
                    <w:rPr>
                      <w:sz w:val="21"/>
                      <w:szCs w:val="21"/>
                    </w:rPr>
                  </w:pPr>
                  <w:r>
                    <w:rPr>
                      <w:rFonts w:hint="eastAsia"/>
                      <w:sz w:val="21"/>
                      <w:szCs w:val="21"/>
                    </w:rPr>
                    <w:t>（设施）名称</w:t>
                  </w:r>
                </w:p>
              </w:tc>
              <w:tc>
                <w:tcPr>
                  <w:tcW w:w="785" w:type="pct"/>
                  <w:vAlign w:val="center"/>
                </w:tcPr>
                <w:p w14:paraId="02DC8A15">
                  <w:pPr>
                    <w:spacing w:line="240" w:lineRule="auto"/>
                    <w:ind w:firstLine="0" w:firstLineChars="0"/>
                    <w:jc w:val="center"/>
                    <w:rPr>
                      <w:sz w:val="21"/>
                      <w:szCs w:val="21"/>
                    </w:rPr>
                  </w:pPr>
                  <w:r>
                    <w:rPr>
                      <w:rFonts w:hint="eastAsia"/>
                      <w:sz w:val="21"/>
                      <w:szCs w:val="21"/>
                    </w:rPr>
                    <w:t>位置</w:t>
                  </w:r>
                </w:p>
              </w:tc>
              <w:tc>
                <w:tcPr>
                  <w:tcW w:w="643" w:type="pct"/>
                  <w:vAlign w:val="center"/>
                </w:tcPr>
                <w:p w14:paraId="61AA096A">
                  <w:pPr>
                    <w:spacing w:line="240" w:lineRule="auto"/>
                    <w:ind w:firstLine="0" w:firstLineChars="0"/>
                    <w:jc w:val="center"/>
                    <w:rPr>
                      <w:sz w:val="21"/>
                      <w:szCs w:val="21"/>
                    </w:rPr>
                  </w:pPr>
                  <w:r>
                    <w:rPr>
                      <w:rFonts w:hint="eastAsia"/>
                      <w:sz w:val="21"/>
                      <w:szCs w:val="21"/>
                    </w:rPr>
                    <w:t>占地面积</w:t>
                  </w:r>
                </w:p>
              </w:tc>
              <w:tc>
                <w:tcPr>
                  <w:tcW w:w="714" w:type="pct"/>
                  <w:vAlign w:val="center"/>
                </w:tcPr>
                <w:p w14:paraId="533813C8">
                  <w:pPr>
                    <w:spacing w:line="240" w:lineRule="auto"/>
                    <w:ind w:firstLine="0" w:firstLineChars="0"/>
                    <w:jc w:val="center"/>
                    <w:rPr>
                      <w:sz w:val="21"/>
                      <w:szCs w:val="21"/>
                    </w:rPr>
                  </w:pPr>
                  <w:r>
                    <w:rPr>
                      <w:rFonts w:hint="eastAsia"/>
                      <w:sz w:val="21"/>
                      <w:szCs w:val="21"/>
                    </w:rPr>
                    <w:t>贮存方式</w:t>
                  </w:r>
                </w:p>
              </w:tc>
              <w:tc>
                <w:tcPr>
                  <w:tcW w:w="714" w:type="pct"/>
                  <w:vAlign w:val="center"/>
                </w:tcPr>
                <w:p w14:paraId="295BBC32">
                  <w:pPr>
                    <w:spacing w:line="240" w:lineRule="auto"/>
                    <w:ind w:firstLine="0" w:firstLineChars="0"/>
                    <w:jc w:val="center"/>
                    <w:rPr>
                      <w:sz w:val="21"/>
                      <w:szCs w:val="21"/>
                    </w:rPr>
                  </w:pPr>
                  <w:r>
                    <w:rPr>
                      <w:rFonts w:hint="eastAsia"/>
                      <w:sz w:val="21"/>
                      <w:szCs w:val="21"/>
                    </w:rPr>
                    <w:t>贮存容积</w:t>
                  </w:r>
                </w:p>
              </w:tc>
              <w:tc>
                <w:tcPr>
                  <w:tcW w:w="714" w:type="pct"/>
                  <w:vAlign w:val="center"/>
                </w:tcPr>
                <w:p w14:paraId="3F4F8A27">
                  <w:pPr>
                    <w:spacing w:line="240" w:lineRule="auto"/>
                    <w:ind w:firstLine="0" w:firstLineChars="0"/>
                    <w:jc w:val="center"/>
                    <w:rPr>
                      <w:sz w:val="21"/>
                      <w:szCs w:val="21"/>
                    </w:rPr>
                  </w:pPr>
                  <w:r>
                    <w:rPr>
                      <w:rFonts w:hint="eastAsia"/>
                      <w:sz w:val="21"/>
                      <w:szCs w:val="21"/>
                    </w:rPr>
                    <w:t>贮存周期</w:t>
                  </w:r>
                </w:p>
              </w:tc>
            </w:tr>
            <w:tr w14:paraId="53F67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04" w:type="pct"/>
                  <w:vAlign w:val="center"/>
                </w:tcPr>
                <w:p w14:paraId="1C4B5A62">
                  <w:pPr>
                    <w:spacing w:line="240" w:lineRule="auto"/>
                    <w:ind w:firstLine="0" w:firstLineChars="0"/>
                    <w:jc w:val="center"/>
                    <w:rPr>
                      <w:sz w:val="21"/>
                      <w:szCs w:val="21"/>
                    </w:rPr>
                  </w:pPr>
                  <w:r>
                    <w:rPr>
                      <w:rFonts w:hint="eastAsia"/>
                      <w:sz w:val="21"/>
                      <w:szCs w:val="21"/>
                    </w:rPr>
                    <w:t>1</w:t>
                  </w:r>
                </w:p>
              </w:tc>
              <w:tc>
                <w:tcPr>
                  <w:tcW w:w="1124" w:type="pct"/>
                  <w:vAlign w:val="center"/>
                </w:tcPr>
                <w:p w14:paraId="11D721AB">
                  <w:pPr>
                    <w:spacing w:line="240" w:lineRule="auto"/>
                    <w:ind w:firstLine="0" w:firstLineChars="0"/>
                    <w:jc w:val="center"/>
                    <w:rPr>
                      <w:sz w:val="21"/>
                      <w:szCs w:val="21"/>
                    </w:rPr>
                  </w:pPr>
                  <w:r>
                    <w:rPr>
                      <w:rFonts w:hint="eastAsia"/>
                      <w:sz w:val="21"/>
                      <w:szCs w:val="21"/>
                    </w:rPr>
                    <w:t>一般固废暂存区</w:t>
                  </w:r>
                </w:p>
              </w:tc>
              <w:tc>
                <w:tcPr>
                  <w:tcW w:w="785" w:type="pct"/>
                  <w:vAlign w:val="center"/>
                </w:tcPr>
                <w:p w14:paraId="05335C37">
                  <w:pPr>
                    <w:spacing w:line="240" w:lineRule="auto"/>
                    <w:ind w:firstLine="0" w:firstLineChars="0"/>
                    <w:jc w:val="center"/>
                    <w:rPr>
                      <w:sz w:val="21"/>
                      <w:szCs w:val="21"/>
                    </w:rPr>
                  </w:pPr>
                  <w:r>
                    <w:rPr>
                      <w:rFonts w:hint="eastAsia"/>
                      <w:sz w:val="21"/>
                      <w:szCs w:val="21"/>
                    </w:rPr>
                    <w:t>生产车间内</w:t>
                  </w:r>
                </w:p>
              </w:tc>
              <w:tc>
                <w:tcPr>
                  <w:tcW w:w="643" w:type="pct"/>
                  <w:vAlign w:val="center"/>
                </w:tcPr>
                <w:p w14:paraId="1E655B36">
                  <w:pPr>
                    <w:spacing w:line="240" w:lineRule="auto"/>
                    <w:ind w:firstLine="0" w:firstLineChars="0"/>
                    <w:jc w:val="center"/>
                    <w:rPr>
                      <w:sz w:val="21"/>
                      <w:szCs w:val="21"/>
                    </w:rPr>
                  </w:pPr>
                  <w:r>
                    <w:rPr>
                      <w:rFonts w:hint="eastAsia"/>
                      <w:sz w:val="21"/>
                      <w:szCs w:val="21"/>
                    </w:rPr>
                    <w:t>20m</w:t>
                  </w:r>
                  <w:r>
                    <w:rPr>
                      <w:rFonts w:hint="eastAsia"/>
                      <w:sz w:val="21"/>
                      <w:szCs w:val="21"/>
                      <w:vertAlign w:val="superscript"/>
                    </w:rPr>
                    <w:t>2</w:t>
                  </w:r>
                </w:p>
              </w:tc>
              <w:tc>
                <w:tcPr>
                  <w:tcW w:w="714" w:type="pct"/>
                  <w:vAlign w:val="center"/>
                </w:tcPr>
                <w:p w14:paraId="3168E70F">
                  <w:pPr>
                    <w:spacing w:line="240" w:lineRule="auto"/>
                    <w:ind w:firstLine="0" w:firstLineChars="0"/>
                    <w:jc w:val="center"/>
                    <w:rPr>
                      <w:sz w:val="21"/>
                      <w:szCs w:val="21"/>
                    </w:rPr>
                  </w:pPr>
                  <w:r>
                    <w:rPr>
                      <w:rFonts w:hint="eastAsia"/>
                      <w:sz w:val="21"/>
                      <w:szCs w:val="21"/>
                    </w:rPr>
                    <w:t>分类贮存</w:t>
                  </w:r>
                </w:p>
              </w:tc>
              <w:tc>
                <w:tcPr>
                  <w:tcW w:w="714" w:type="pct"/>
                  <w:vAlign w:val="center"/>
                </w:tcPr>
                <w:p w14:paraId="2074E605">
                  <w:pPr>
                    <w:spacing w:line="240" w:lineRule="auto"/>
                    <w:ind w:firstLine="0" w:firstLineChars="0"/>
                    <w:jc w:val="center"/>
                    <w:rPr>
                      <w:sz w:val="21"/>
                      <w:szCs w:val="21"/>
                    </w:rPr>
                  </w:pPr>
                  <w:r>
                    <w:rPr>
                      <w:rFonts w:hint="eastAsia"/>
                      <w:sz w:val="21"/>
                      <w:szCs w:val="21"/>
                    </w:rPr>
                    <w:t>10t</w:t>
                  </w:r>
                </w:p>
              </w:tc>
              <w:tc>
                <w:tcPr>
                  <w:tcW w:w="714" w:type="pct"/>
                  <w:vAlign w:val="center"/>
                </w:tcPr>
                <w:p w14:paraId="3FA910CD">
                  <w:pPr>
                    <w:spacing w:line="240" w:lineRule="auto"/>
                    <w:ind w:firstLine="0" w:firstLineChars="0"/>
                    <w:jc w:val="center"/>
                    <w:rPr>
                      <w:sz w:val="21"/>
                      <w:szCs w:val="21"/>
                    </w:rPr>
                  </w:pPr>
                  <w:r>
                    <w:rPr>
                      <w:rFonts w:hint="eastAsia"/>
                      <w:sz w:val="21"/>
                      <w:szCs w:val="21"/>
                    </w:rPr>
                    <w:t>一月</w:t>
                  </w:r>
                </w:p>
              </w:tc>
            </w:tr>
          </w:tbl>
          <w:p w14:paraId="305F8F21">
            <w:pPr>
              <w:pStyle w:val="92"/>
              <w:spacing w:before="120"/>
              <w:rPr>
                <w:color w:val="auto"/>
              </w:rPr>
            </w:pPr>
            <w:r>
              <w:rPr>
                <w:rFonts w:hint="eastAsia"/>
                <w:color w:val="auto"/>
              </w:rPr>
              <w:t>表4.2-9  项目危险废物贮存场所（设施）基本情况一览表</w:t>
            </w:r>
          </w:p>
          <w:tbl>
            <w:tblPr>
              <w:tblStyle w:val="8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5"/>
              <w:gridCol w:w="832"/>
              <w:gridCol w:w="1298"/>
              <w:gridCol w:w="1147"/>
              <w:gridCol w:w="1402"/>
              <w:gridCol w:w="565"/>
              <w:gridCol w:w="1008"/>
              <w:gridCol w:w="640"/>
              <w:gridCol w:w="917"/>
            </w:tblGrid>
            <w:tr w14:paraId="2A9DE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Align w:val="center"/>
                </w:tcPr>
                <w:p w14:paraId="5D02B409">
                  <w:pPr>
                    <w:spacing w:line="240" w:lineRule="auto"/>
                    <w:ind w:firstLine="0" w:firstLineChars="0"/>
                    <w:jc w:val="center"/>
                    <w:rPr>
                      <w:sz w:val="21"/>
                      <w:szCs w:val="21"/>
                    </w:rPr>
                  </w:pPr>
                  <w:r>
                    <w:rPr>
                      <w:sz w:val="21"/>
                      <w:szCs w:val="21"/>
                    </w:rPr>
                    <w:t>序号</w:t>
                  </w:r>
                </w:p>
              </w:tc>
              <w:tc>
                <w:tcPr>
                  <w:tcW w:w="831" w:type="dxa"/>
                  <w:vAlign w:val="center"/>
                </w:tcPr>
                <w:p w14:paraId="4BC1AF4F">
                  <w:pPr>
                    <w:spacing w:line="240" w:lineRule="auto"/>
                    <w:ind w:firstLine="0" w:firstLineChars="0"/>
                    <w:jc w:val="center"/>
                    <w:rPr>
                      <w:sz w:val="21"/>
                      <w:szCs w:val="21"/>
                    </w:rPr>
                  </w:pPr>
                  <w:r>
                    <w:rPr>
                      <w:sz w:val="21"/>
                      <w:szCs w:val="21"/>
                    </w:rPr>
                    <w:t>贮存</w:t>
                  </w:r>
                </w:p>
                <w:p w14:paraId="606F5512">
                  <w:pPr>
                    <w:spacing w:line="240" w:lineRule="auto"/>
                    <w:ind w:firstLine="0" w:firstLineChars="0"/>
                    <w:jc w:val="center"/>
                    <w:rPr>
                      <w:sz w:val="21"/>
                      <w:szCs w:val="21"/>
                    </w:rPr>
                  </w:pPr>
                  <w:r>
                    <w:rPr>
                      <w:sz w:val="21"/>
                      <w:szCs w:val="21"/>
                    </w:rPr>
                    <w:t>场所</w:t>
                  </w:r>
                </w:p>
              </w:tc>
              <w:tc>
                <w:tcPr>
                  <w:tcW w:w="1300" w:type="dxa"/>
                  <w:vAlign w:val="center"/>
                </w:tcPr>
                <w:p w14:paraId="2A1F788B">
                  <w:pPr>
                    <w:spacing w:line="240" w:lineRule="auto"/>
                    <w:ind w:firstLine="0" w:firstLineChars="0"/>
                    <w:jc w:val="center"/>
                    <w:rPr>
                      <w:sz w:val="21"/>
                      <w:szCs w:val="21"/>
                    </w:rPr>
                  </w:pPr>
                  <w:r>
                    <w:rPr>
                      <w:sz w:val="21"/>
                      <w:szCs w:val="21"/>
                    </w:rPr>
                    <w:t>危险废物</w:t>
                  </w:r>
                </w:p>
                <w:p w14:paraId="146040A5">
                  <w:pPr>
                    <w:spacing w:line="240" w:lineRule="auto"/>
                    <w:ind w:firstLine="0" w:firstLineChars="0"/>
                    <w:jc w:val="center"/>
                    <w:rPr>
                      <w:sz w:val="21"/>
                      <w:szCs w:val="21"/>
                    </w:rPr>
                  </w:pPr>
                  <w:r>
                    <w:rPr>
                      <w:sz w:val="21"/>
                      <w:szCs w:val="21"/>
                    </w:rPr>
                    <w:t>名称</w:t>
                  </w:r>
                </w:p>
              </w:tc>
              <w:tc>
                <w:tcPr>
                  <w:tcW w:w="1148" w:type="dxa"/>
                  <w:vAlign w:val="center"/>
                </w:tcPr>
                <w:p w14:paraId="4B9CACBE">
                  <w:pPr>
                    <w:spacing w:line="240" w:lineRule="auto"/>
                    <w:ind w:firstLine="0" w:firstLineChars="0"/>
                    <w:jc w:val="center"/>
                    <w:rPr>
                      <w:sz w:val="21"/>
                      <w:szCs w:val="21"/>
                    </w:rPr>
                  </w:pPr>
                  <w:r>
                    <w:rPr>
                      <w:sz w:val="21"/>
                      <w:szCs w:val="21"/>
                    </w:rPr>
                    <w:t>危险</w:t>
                  </w:r>
                </w:p>
                <w:p w14:paraId="549BD4B5">
                  <w:pPr>
                    <w:spacing w:line="240" w:lineRule="auto"/>
                    <w:ind w:firstLine="0" w:firstLineChars="0"/>
                    <w:jc w:val="center"/>
                    <w:rPr>
                      <w:sz w:val="21"/>
                      <w:szCs w:val="21"/>
                    </w:rPr>
                  </w:pPr>
                  <w:r>
                    <w:rPr>
                      <w:sz w:val="21"/>
                      <w:szCs w:val="21"/>
                    </w:rPr>
                    <w:t>废物类别</w:t>
                  </w:r>
                </w:p>
              </w:tc>
              <w:tc>
                <w:tcPr>
                  <w:tcW w:w="1404" w:type="dxa"/>
                  <w:vAlign w:val="center"/>
                </w:tcPr>
                <w:p w14:paraId="793BFBDE">
                  <w:pPr>
                    <w:spacing w:line="240" w:lineRule="auto"/>
                    <w:ind w:firstLine="0" w:firstLineChars="0"/>
                    <w:jc w:val="center"/>
                    <w:rPr>
                      <w:sz w:val="21"/>
                      <w:szCs w:val="21"/>
                    </w:rPr>
                  </w:pPr>
                  <w:r>
                    <w:rPr>
                      <w:sz w:val="21"/>
                      <w:szCs w:val="21"/>
                    </w:rPr>
                    <w:t>危险废物</w:t>
                  </w:r>
                </w:p>
                <w:p w14:paraId="0D3A64DE">
                  <w:pPr>
                    <w:spacing w:line="240" w:lineRule="auto"/>
                    <w:ind w:firstLine="0" w:firstLineChars="0"/>
                    <w:jc w:val="center"/>
                    <w:rPr>
                      <w:sz w:val="21"/>
                      <w:szCs w:val="21"/>
                    </w:rPr>
                  </w:pPr>
                  <w:r>
                    <w:rPr>
                      <w:sz w:val="21"/>
                      <w:szCs w:val="21"/>
                    </w:rPr>
                    <w:t>代码</w:t>
                  </w:r>
                </w:p>
              </w:tc>
              <w:tc>
                <w:tcPr>
                  <w:tcW w:w="564" w:type="dxa"/>
                  <w:vAlign w:val="center"/>
                </w:tcPr>
                <w:p w14:paraId="143C5DCF">
                  <w:pPr>
                    <w:spacing w:line="240" w:lineRule="auto"/>
                    <w:ind w:firstLine="0" w:firstLineChars="0"/>
                    <w:jc w:val="center"/>
                    <w:rPr>
                      <w:sz w:val="21"/>
                      <w:szCs w:val="21"/>
                    </w:rPr>
                  </w:pPr>
                  <w:r>
                    <w:rPr>
                      <w:sz w:val="21"/>
                      <w:szCs w:val="21"/>
                    </w:rPr>
                    <w:t>位置</w:t>
                  </w:r>
                </w:p>
              </w:tc>
              <w:tc>
                <w:tcPr>
                  <w:tcW w:w="1008" w:type="dxa"/>
                  <w:vAlign w:val="center"/>
                </w:tcPr>
                <w:p w14:paraId="6AE79AC6">
                  <w:pPr>
                    <w:spacing w:line="240" w:lineRule="auto"/>
                    <w:ind w:firstLine="0" w:firstLineChars="0"/>
                    <w:jc w:val="center"/>
                    <w:rPr>
                      <w:sz w:val="21"/>
                      <w:szCs w:val="21"/>
                    </w:rPr>
                  </w:pPr>
                  <w:r>
                    <w:rPr>
                      <w:sz w:val="21"/>
                      <w:szCs w:val="21"/>
                    </w:rPr>
                    <w:t>占地面积</w:t>
                  </w:r>
                </w:p>
              </w:tc>
              <w:tc>
                <w:tcPr>
                  <w:tcW w:w="639" w:type="dxa"/>
                  <w:vAlign w:val="center"/>
                </w:tcPr>
                <w:p w14:paraId="52299032">
                  <w:pPr>
                    <w:spacing w:line="240" w:lineRule="auto"/>
                    <w:ind w:firstLine="0" w:firstLineChars="0"/>
                    <w:jc w:val="center"/>
                    <w:rPr>
                      <w:sz w:val="21"/>
                      <w:szCs w:val="21"/>
                    </w:rPr>
                  </w:pPr>
                  <w:r>
                    <w:rPr>
                      <w:sz w:val="21"/>
                      <w:szCs w:val="21"/>
                    </w:rPr>
                    <w:t>贮存</w:t>
                  </w:r>
                </w:p>
                <w:p w14:paraId="1F8DA828">
                  <w:pPr>
                    <w:spacing w:line="240" w:lineRule="auto"/>
                    <w:ind w:firstLine="0" w:firstLineChars="0"/>
                    <w:jc w:val="center"/>
                    <w:rPr>
                      <w:sz w:val="21"/>
                      <w:szCs w:val="21"/>
                    </w:rPr>
                  </w:pPr>
                  <w:r>
                    <w:rPr>
                      <w:sz w:val="21"/>
                      <w:szCs w:val="21"/>
                    </w:rPr>
                    <w:t>能力</w:t>
                  </w:r>
                </w:p>
              </w:tc>
              <w:tc>
                <w:tcPr>
                  <w:tcW w:w="917" w:type="dxa"/>
                  <w:vAlign w:val="center"/>
                </w:tcPr>
                <w:p w14:paraId="1878BFC7">
                  <w:pPr>
                    <w:spacing w:line="240" w:lineRule="auto"/>
                    <w:ind w:firstLine="0" w:firstLineChars="0"/>
                    <w:jc w:val="center"/>
                    <w:rPr>
                      <w:sz w:val="21"/>
                      <w:szCs w:val="21"/>
                    </w:rPr>
                  </w:pPr>
                  <w:r>
                    <w:rPr>
                      <w:sz w:val="21"/>
                      <w:szCs w:val="21"/>
                    </w:rPr>
                    <w:t>贮存</w:t>
                  </w:r>
                </w:p>
                <w:p w14:paraId="6B620670">
                  <w:pPr>
                    <w:spacing w:line="240" w:lineRule="auto"/>
                    <w:ind w:firstLine="0" w:firstLineChars="0"/>
                    <w:jc w:val="center"/>
                    <w:rPr>
                      <w:sz w:val="21"/>
                      <w:szCs w:val="21"/>
                    </w:rPr>
                  </w:pPr>
                  <w:r>
                    <w:rPr>
                      <w:sz w:val="21"/>
                      <w:szCs w:val="21"/>
                    </w:rPr>
                    <w:t>周期</w:t>
                  </w:r>
                </w:p>
              </w:tc>
            </w:tr>
            <w:tr w14:paraId="52F7E2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Align w:val="center"/>
                </w:tcPr>
                <w:p w14:paraId="07748D68">
                  <w:pPr>
                    <w:autoSpaceDE w:val="0"/>
                    <w:autoSpaceDN w:val="0"/>
                    <w:adjustRightInd w:val="0"/>
                    <w:snapToGrid w:val="0"/>
                    <w:spacing w:line="240" w:lineRule="auto"/>
                    <w:ind w:firstLine="0" w:firstLineChars="0"/>
                    <w:jc w:val="center"/>
                    <w:rPr>
                      <w:kern w:val="0"/>
                      <w:sz w:val="21"/>
                      <w:szCs w:val="21"/>
                    </w:rPr>
                  </w:pPr>
                  <w:r>
                    <w:rPr>
                      <w:kern w:val="0"/>
                      <w:sz w:val="21"/>
                      <w:szCs w:val="21"/>
                    </w:rPr>
                    <w:t>1</w:t>
                  </w:r>
                </w:p>
              </w:tc>
              <w:tc>
                <w:tcPr>
                  <w:tcW w:w="831" w:type="dxa"/>
                  <w:vMerge w:val="restart"/>
                  <w:vAlign w:val="center"/>
                </w:tcPr>
                <w:p w14:paraId="1D617F7D">
                  <w:pPr>
                    <w:autoSpaceDE w:val="0"/>
                    <w:autoSpaceDN w:val="0"/>
                    <w:adjustRightInd w:val="0"/>
                    <w:snapToGrid w:val="0"/>
                    <w:spacing w:line="240" w:lineRule="auto"/>
                    <w:ind w:firstLine="0" w:firstLineChars="0"/>
                    <w:jc w:val="center"/>
                    <w:rPr>
                      <w:kern w:val="0"/>
                      <w:sz w:val="21"/>
                      <w:szCs w:val="21"/>
                    </w:rPr>
                  </w:pPr>
                  <w:r>
                    <w:rPr>
                      <w:rFonts w:ascii="宋体" w:hAnsi="宋体"/>
                      <w:kern w:val="0"/>
                      <w:sz w:val="21"/>
                      <w:szCs w:val="21"/>
                    </w:rPr>
                    <w:t>危险废物暂存区</w:t>
                  </w:r>
                </w:p>
              </w:tc>
              <w:tc>
                <w:tcPr>
                  <w:tcW w:w="1300" w:type="dxa"/>
                  <w:vAlign w:val="center"/>
                </w:tcPr>
                <w:p w14:paraId="4064946F">
                  <w:pPr>
                    <w:pStyle w:val="41"/>
                  </w:pPr>
                  <w:r>
                    <w:rPr>
                      <w:rFonts w:hint="eastAsia"/>
                    </w:rPr>
                    <w:t>废活性炭</w:t>
                  </w:r>
                </w:p>
              </w:tc>
              <w:tc>
                <w:tcPr>
                  <w:tcW w:w="1148" w:type="dxa"/>
                  <w:vAlign w:val="center"/>
                </w:tcPr>
                <w:p w14:paraId="6D9F3EBD">
                  <w:pPr>
                    <w:pStyle w:val="41"/>
                  </w:pPr>
                  <w:r>
                    <w:t>HW49</w:t>
                  </w:r>
                </w:p>
              </w:tc>
              <w:tc>
                <w:tcPr>
                  <w:tcW w:w="1404" w:type="dxa"/>
                  <w:vAlign w:val="center"/>
                </w:tcPr>
                <w:p w14:paraId="1136BF64">
                  <w:pPr>
                    <w:pStyle w:val="41"/>
                  </w:pPr>
                  <w:r>
                    <w:t>900-0</w:t>
                  </w:r>
                  <w:r>
                    <w:rPr>
                      <w:rFonts w:hint="eastAsia"/>
                    </w:rPr>
                    <w:t>39</w:t>
                  </w:r>
                  <w:r>
                    <w:t>-49</w:t>
                  </w:r>
                </w:p>
              </w:tc>
              <w:tc>
                <w:tcPr>
                  <w:tcW w:w="564" w:type="dxa"/>
                  <w:vMerge w:val="restart"/>
                  <w:vAlign w:val="center"/>
                </w:tcPr>
                <w:p w14:paraId="7C591400">
                  <w:pPr>
                    <w:autoSpaceDE w:val="0"/>
                    <w:autoSpaceDN w:val="0"/>
                    <w:adjustRightInd w:val="0"/>
                    <w:snapToGrid w:val="0"/>
                    <w:spacing w:line="240" w:lineRule="auto"/>
                    <w:ind w:firstLine="0" w:firstLineChars="0"/>
                    <w:jc w:val="center"/>
                    <w:rPr>
                      <w:kern w:val="0"/>
                      <w:sz w:val="21"/>
                      <w:szCs w:val="21"/>
                    </w:rPr>
                  </w:pPr>
                  <w:r>
                    <w:rPr>
                      <w:rFonts w:ascii="宋体" w:hAnsi="宋体"/>
                      <w:kern w:val="0"/>
                      <w:sz w:val="21"/>
                      <w:szCs w:val="21"/>
                    </w:rPr>
                    <w:t>生产车间</w:t>
                  </w:r>
                </w:p>
              </w:tc>
              <w:tc>
                <w:tcPr>
                  <w:tcW w:w="1008" w:type="dxa"/>
                  <w:vMerge w:val="restart"/>
                  <w:vAlign w:val="center"/>
                </w:tcPr>
                <w:p w14:paraId="00613871">
                  <w:pPr>
                    <w:autoSpaceDE w:val="0"/>
                    <w:autoSpaceDN w:val="0"/>
                    <w:adjustRightInd w:val="0"/>
                    <w:snapToGrid w:val="0"/>
                    <w:spacing w:line="240" w:lineRule="auto"/>
                    <w:ind w:firstLine="0" w:firstLineChars="0"/>
                    <w:jc w:val="center"/>
                    <w:rPr>
                      <w:kern w:val="0"/>
                      <w:sz w:val="21"/>
                      <w:szCs w:val="21"/>
                    </w:rPr>
                  </w:pPr>
                  <w:r>
                    <w:rPr>
                      <w:rFonts w:hint="eastAsia"/>
                      <w:kern w:val="0"/>
                      <w:sz w:val="21"/>
                      <w:szCs w:val="21"/>
                    </w:rPr>
                    <w:t>10</w:t>
                  </w:r>
                  <w:r>
                    <w:rPr>
                      <w:kern w:val="0"/>
                      <w:sz w:val="21"/>
                      <w:szCs w:val="21"/>
                    </w:rPr>
                    <w:t>m</w:t>
                  </w:r>
                  <w:r>
                    <w:rPr>
                      <w:rFonts w:hint="eastAsia"/>
                      <w:kern w:val="0"/>
                      <w:sz w:val="21"/>
                      <w:szCs w:val="21"/>
                      <w:vertAlign w:val="superscript"/>
                    </w:rPr>
                    <w:t>2</w:t>
                  </w:r>
                </w:p>
              </w:tc>
              <w:tc>
                <w:tcPr>
                  <w:tcW w:w="639" w:type="dxa"/>
                  <w:vMerge w:val="restart"/>
                  <w:vAlign w:val="center"/>
                </w:tcPr>
                <w:p w14:paraId="2CBF0505">
                  <w:pPr>
                    <w:autoSpaceDE w:val="0"/>
                    <w:autoSpaceDN w:val="0"/>
                    <w:adjustRightInd w:val="0"/>
                    <w:snapToGrid w:val="0"/>
                    <w:spacing w:line="240" w:lineRule="auto"/>
                    <w:ind w:firstLine="0" w:firstLineChars="0"/>
                    <w:jc w:val="center"/>
                    <w:rPr>
                      <w:kern w:val="0"/>
                      <w:sz w:val="21"/>
                      <w:szCs w:val="21"/>
                    </w:rPr>
                  </w:pPr>
                  <w:r>
                    <w:rPr>
                      <w:rFonts w:hint="eastAsia"/>
                      <w:kern w:val="0"/>
                      <w:sz w:val="21"/>
                      <w:szCs w:val="21"/>
                    </w:rPr>
                    <w:t>10t</w:t>
                  </w:r>
                </w:p>
              </w:tc>
              <w:tc>
                <w:tcPr>
                  <w:tcW w:w="917" w:type="dxa"/>
                  <w:vAlign w:val="center"/>
                </w:tcPr>
                <w:p w14:paraId="37304C9D">
                  <w:pPr>
                    <w:autoSpaceDE w:val="0"/>
                    <w:adjustRightInd w:val="0"/>
                    <w:snapToGrid w:val="0"/>
                    <w:spacing w:before="100" w:beforeAutospacing="1" w:after="100" w:afterAutospacing="1" w:line="240" w:lineRule="exact"/>
                    <w:ind w:firstLine="0" w:firstLineChars="0"/>
                    <w:jc w:val="center"/>
                    <w:rPr>
                      <w:b/>
                      <w:sz w:val="21"/>
                      <w:szCs w:val="21"/>
                    </w:rPr>
                  </w:pPr>
                  <w:r>
                    <w:rPr>
                      <w:rFonts w:hint="eastAsia" w:ascii="宋体" w:hAnsi="宋体"/>
                      <w:bCs/>
                      <w:sz w:val="21"/>
                      <w:szCs w:val="21"/>
                    </w:rPr>
                    <w:t>半年</w:t>
                  </w:r>
                </w:p>
              </w:tc>
            </w:tr>
            <w:tr w14:paraId="12FC5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Align w:val="center"/>
                </w:tcPr>
                <w:p w14:paraId="0ACA5BCC">
                  <w:pPr>
                    <w:autoSpaceDE w:val="0"/>
                    <w:autoSpaceDN w:val="0"/>
                    <w:adjustRightInd w:val="0"/>
                    <w:snapToGrid w:val="0"/>
                    <w:spacing w:line="240" w:lineRule="auto"/>
                    <w:ind w:firstLine="0" w:firstLineChars="0"/>
                    <w:jc w:val="center"/>
                    <w:rPr>
                      <w:kern w:val="0"/>
                      <w:sz w:val="21"/>
                      <w:szCs w:val="21"/>
                    </w:rPr>
                  </w:pPr>
                  <w:r>
                    <w:rPr>
                      <w:rFonts w:hint="eastAsia"/>
                      <w:kern w:val="0"/>
                      <w:sz w:val="21"/>
                      <w:szCs w:val="21"/>
                    </w:rPr>
                    <w:t>2</w:t>
                  </w:r>
                </w:p>
              </w:tc>
              <w:tc>
                <w:tcPr>
                  <w:tcW w:w="831" w:type="dxa"/>
                  <w:vMerge w:val="continue"/>
                  <w:vAlign w:val="center"/>
                </w:tcPr>
                <w:p w14:paraId="10305A95">
                  <w:pPr>
                    <w:autoSpaceDE w:val="0"/>
                    <w:autoSpaceDN w:val="0"/>
                    <w:adjustRightInd w:val="0"/>
                    <w:snapToGrid w:val="0"/>
                    <w:spacing w:line="240" w:lineRule="auto"/>
                    <w:ind w:firstLine="0" w:firstLineChars="0"/>
                    <w:jc w:val="center"/>
                    <w:rPr>
                      <w:rFonts w:hint="eastAsia" w:ascii="宋体" w:hAnsi="宋体"/>
                      <w:kern w:val="0"/>
                      <w:sz w:val="21"/>
                      <w:szCs w:val="21"/>
                    </w:rPr>
                  </w:pPr>
                </w:p>
              </w:tc>
              <w:tc>
                <w:tcPr>
                  <w:tcW w:w="1300" w:type="dxa"/>
                  <w:vAlign w:val="center"/>
                </w:tcPr>
                <w:p w14:paraId="2A0FC5D2">
                  <w:pPr>
                    <w:pStyle w:val="41"/>
                  </w:pPr>
                  <w:r>
                    <w:rPr>
                      <w:rFonts w:hint="eastAsia"/>
                    </w:rPr>
                    <w:t>废润滑油</w:t>
                  </w:r>
                </w:p>
              </w:tc>
              <w:tc>
                <w:tcPr>
                  <w:tcW w:w="1148" w:type="dxa"/>
                  <w:vAlign w:val="center"/>
                </w:tcPr>
                <w:p w14:paraId="3A24CBE7">
                  <w:pPr>
                    <w:pStyle w:val="41"/>
                  </w:pPr>
                  <w:r>
                    <w:rPr>
                      <w:rFonts w:hint="eastAsia"/>
                    </w:rPr>
                    <w:t>HW08</w:t>
                  </w:r>
                </w:p>
              </w:tc>
              <w:tc>
                <w:tcPr>
                  <w:tcW w:w="1404" w:type="dxa"/>
                  <w:vAlign w:val="center"/>
                </w:tcPr>
                <w:p w14:paraId="30AF22C1">
                  <w:pPr>
                    <w:pStyle w:val="41"/>
                  </w:pPr>
                  <w:r>
                    <w:rPr>
                      <w:rFonts w:hint="eastAsia"/>
                    </w:rPr>
                    <w:t>900-217-08</w:t>
                  </w:r>
                </w:p>
              </w:tc>
              <w:tc>
                <w:tcPr>
                  <w:tcW w:w="564" w:type="dxa"/>
                  <w:vMerge w:val="continue"/>
                  <w:vAlign w:val="center"/>
                </w:tcPr>
                <w:p w14:paraId="49D504AE">
                  <w:pPr>
                    <w:autoSpaceDE w:val="0"/>
                    <w:autoSpaceDN w:val="0"/>
                    <w:adjustRightInd w:val="0"/>
                    <w:snapToGrid w:val="0"/>
                    <w:spacing w:line="240" w:lineRule="auto"/>
                    <w:ind w:firstLine="0" w:firstLineChars="0"/>
                    <w:jc w:val="center"/>
                    <w:rPr>
                      <w:rFonts w:hint="eastAsia" w:ascii="宋体" w:hAnsi="宋体"/>
                      <w:kern w:val="0"/>
                      <w:sz w:val="21"/>
                      <w:szCs w:val="21"/>
                    </w:rPr>
                  </w:pPr>
                </w:p>
              </w:tc>
              <w:tc>
                <w:tcPr>
                  <w:tcW w:w="1008" w:type="dxa"/>
                  <w:vMerge w:val="continue"/>
                  <w:vAlign w:val="center"/>
                </w:tcPr>
                <w:p w14:paraId="0C215464">
                  <w:pPr>
                    <w:autoSpaceDE w:val="0"/>
                    <w:autoSpaceDN w:val="0"/>
                    <w:adjustRightInd w:val="0"/>
                    <w:snapToGrid w:val="0"/>
                    <w:spacing w:line="240" w:lineRule="auto"/>
                    <w:ind w:firstLine="0" w:firstLineChars="0"/>
                    <w:jc w:val="center"/>
                    <w:rPr>
                      <w:kern w:val="0"/>
                      <w:sz w:val="21"/>
                      <w:szCs w:val="21"/>
                    </w:rPr>
                  </w:pPr>
                </w:p>
              </w:tc>
              <w:tc>
                <w:tcPr>
                  <w:tcW w:w="639" w:type="dxa"/>
                  <w:vMerge w:val="continue"/>
                  <w:vAlign w:val="center"/>
                </w:tcPr>
                <w:p w14:paraId="75AF373F">
                  <w:pPr>
                    <w:autoSpaceDE w:val="0"/>
                    <w:autoSpaceDN w:val="0"/>
                    <w:adjustRightInd w:val="0"/>
                    <w:snapToGrid w:val="0"/>
                    <w:spacing w:line="240" w:lineRule="auto"/>
                    <w:ind w:firstLine="0" w:firstLineChars="0"/>
                    <w:jc w:val="center"/>
                    <w:rPr>
                      <w:kern w:val="0"/>
                      <w:sz w:val="21"/>
                      <w:szCs w:val="21"/>
                    </w:rPr>
                  </w:pPr>
                </w:p>
              </w:tc>
              <w:tc>
                <w:tcPr>
                  <w:tcW w:w="917" w:type="dxa"/>
                  <w:vAlign w:val="center"/>
                </w:tcPr>
                <w:p w14:paraId="5DE7718F">
                  <w:pPr>
                    <w:autoSpaceDE w:val="0"/>
                    <w:adjustRightInd w:val="0"/>
                    <w:snapToGrid w:val="0"/>
                    <w:spacing w:before="100" w:beforeAutospacing="1" w:after="100" w:afterAutospacing="1" w:line="240" w:lineRule="exact"/>
                    <w:ind w:firstLine="0" w:firstLineChars="0"/>
                    <w:jc w:val="center"/>
                    <w:rPr>
                      <w:rFonts w:hint="eastAsia" w:ascii="宋体" w:hAnsi="宋体"/>
                      <w:bCs/>
                      <w:sz w:val="21"/>
                      <w:szCs w:val="21"/>
                    </w:rPr>
                  </w:pPr>
                  <w:r>
                    <w:rPr>
                      <w:rFonts w:hint="eastAsia" w:ascii="宋体" w:hAnsi="宋体"/>
                      <w:bCs/>
                      <w:sz w:val="21"/>
                      <w:szCs w:val="21"/>
                    </w:rPr>
                    <w:t>半年</w:t>
                  </w:r>
                </w:p>
              </w:tc>
            </w:tr>
            <w:tr w14:paraId="1838C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Align w:val="center"/>
                </w:tcPr>
                <w:p w14:paraId="759297F3">
                  <w:pPr>
                    <w:autoSpaceDE w:val="0"/>
                    <w:autoSpaceDN w:val="0"/>
                    <w:adjustRightInd w:val="0"/>
                    <w:snapToGrid w:val="0"/>
                    <w:spacing w:line="240" w:lineRule="auto"/>
                    <w:ind w:firstLine="0" w:firstLineChars="0"/>
                    <w:jc w:val="center"/>
                    <w:rPr>
                      <w:kern w:val="0"/>
                      <w:sz w:val="21"/>
                      <w:szCs w:val="21"/>
                    </w:rPr>
                  </w:pPr>
                  <w:r>
                    <w:rPr>
                      <w:rFonts w:hint="eastAsia"/>
                      <w:kern w:val="0"/>
                      <w:sz w:val="21"/>
                      <w:szCs w:val="21"/>
                    </w:rPr>
                    <w:t>3</w:t>
                  </w:r>
                </w:p>
              </w:tc>
              <w:tc>
                <w:tcPr>
                  <w:tcW w:w="831" w:type="dxa"/>
                  <w:vMerge w:val="continue"/>
                  <w:vAlign w:val="center"/>
                </w:tcPr>
                <w:p w14:paraId="13DC2EDB">
                  <w:pPr>
                    <w:autoSpaceDE w:val="0"/>
                    <w:autoSpaceDN w:val="0"/>
                    <w:adjustRightInd w:val="0"/>
                    <w:snapToGrid w:val="0"/>
                    <w:spacing w:line="240" w:lineRule="auto"/>
                    <w:ind w:firstLine="0" w:firstLineChars="0"/>
                    <w:jc w:val="center"/>
                    <w:rPr>
                      <w:rFonts w:hint="eastAsia" w:ascii="宋体" w:hAnsi="宋体"/>
                      <w:kern w:val="0"/>
                      <w:sz w:val="21"/>
                      <w:szCs w:val="21"/>
                    </w:rPr>
                  </w:pPr>
                </w:p>
              </w:tc>
              <w:tc>
                <w:tcPr>
                  <w:tcW w:w="1300" w:type="dxa"/>
                  <w:vAlign w:val="center"/>
                </w:tcPr>
                <w:p w14:paraId="00FE387E">
                  <w:pPr>
                    <w:pStyle w:val="41"/>
                  </w:pPr>
                  <w:r>
                    <w:rPr>
                      <w:rFonts w:hint="eastAsia"/>
                    </w:rPr>
                    <w:t>废润滑油桶</w:t>
                  </w:r>
                </w:p>
              </w:tc>
              <w:tc>
                <w:tcPr>
                  <w:tcW w:w="1148" w:type="dxa"/>
                  <w:vAlign w:val="center"/>
                </w:tcPr>
                <w:p w14:paraId="33C9DE57">
                  <w:pPr>
                    <w:pStyle w:val="41"/>
                  </w:pPr>
                  <w:r>
                    <w:rPr>
                      <w:rFonts w:hint="eastAsia"/>
                    </w:rPr>
                    <w:t>HW49</w:t>
                  </w:r>
                </w:p>
              </w:tc>
              <w:tc>
                <w:tcPr>
                  <w:tcW w:w="1404" w:type="dxa"/>
                  <w:vAlign w:val="center"/>
                </w:tcPr>
                <w:p w14:paraId="62637BA8">
                  <w:pPr>
                    <w:pStyle w:val="41"/>
                  </w:pPr>
                  <w:r>
                    <w:rPr>
                      <w:rFonts w:hint="eastAsia"/>
                    </w:rPr>
                    <w:t>900-041-49</w:t>
                  </w:r>
                </w:p>
              </w:tc>
              <w:tc>
                <w:tcPr>
                  <w:tcW w:w="564" w:type="dxa"/>
                  <w:vMerge w:val="continue"/>
                  <w:vAlign w:val="center"/>
                </w:tcPr>
                <w:p w14:paraId="1D8BCF63">
                  <w:pPr>
                    <w:autoSpaceDE w:val="0"/>
                    <w:autoSpaceDN w:val="0"/>
                    <w:adjustRightInd w:val="0"/>
                    <w:snapToGrid w:val="0"/>
                    <w:spacing w:line="240" w:lineRule="auto"/>
                    <w:ind w:firstLine="0" w:firstLineChars="0"/>
                    <w:jc w:val="center"/>
                    <w:rPr>
                      <w:rFonts w:hint="eastAsia" w:ascii="宋体" w:hAnsi="宋体"/>
                      <w:kern w:val="0"/>
                      <w:sz w:val="21"/>
                      <w:szCs w:val="21"/>
                    </w:rPr>
                  </w:pPr>
                </w:p>
              </w:tc>
              <w:tc>
                <w:tcPr>
                  <w:tcW w:w="1008" w:type="dxa"/>
                  <w:vMerge w:val="continue"/>
                  <w:vAlign w:val="center"/>
                </w:tcPr>
                <w:p w14:paraId="179FC19D">
                  <w:pPr>
                    <w:autoSpaceDE w:val="0"/>
                    <w:autoSpaceDN w:val="0"/>
                    <w:adjustRightInd w:val="0"/>
                    <w:snapToGrid w:val="0"/>
                    <w:spacing w:line="240" w:lineRule="auto"/>
                    <w:ind w:firstLine="0" w:firstLineChars="0"/>
                    <w:jc w:val="center"/>
                    <w:rPr>
                      <w:kern w:val="0"/>
                      <w:sz w:val="21"/>
                      <w:szCs w:val="21"/>
                    </w:rPr>
                  </w:pPr>
                </w:p>
              </w:tc>
              <w:tc>
                <w:tcPr>
                  <w:tcW w:w="639" w:type="dxa"/>
                  <w:vMerge w:val="continue"/>
                  <w:vAlign w:val="center"/>
                </w:tcPr>
                <w:p w14:paraId="66D363CC">
                  <w:pPr>
                    <w:autoSpaceDE w:val="0"/>
                    <w:autoSpaceDN w:val="0"/>
                    <w:adjustRightInd w:val="0"/>
                    <w:snapToGrid w:val="0"/>
                    <w:spacing w:line="240" w:lineRule="auto"/>
                    <w:ind w:firstLine="0" w:firstLineChars="0"/>
                    <w:jc w:val="center"/>
                    <w:rPr>
                      <w:kern w:val="0"/>
                      <w:sz w:val="21"/>
                      <w:szCs w:val="21"/>
                    </w:rPr>
                  </w:pPr>
                </w:p>
              </w:tc>
              <w:tc>
                <w:tcPr>
                  <w:tcW w:w="917" w:type="dxa"/>
                  <w:vAlign w:val="center"/>
                </w:tcPr>
                <w:p w14:paraId="56A8790D">
                  <w:pPr>
                    <w:autoSpaceDE w:val="0"/>
                    <w:adjustRightInd w:val="0"/>
                    <w:snapToGrid w:val="0"/>
                    <w:spacing w:before="100" w:beforeAutospacing="1" w:after="100" w:afterAutospacing="1" w:line="240" w:lineRule="exact"/>
                    <w:ind w:firstLine="0" w:firstLineChars="0"/>
                    <w:jc w:val="center"/>
                    <w:rPr>
                      <w:rFonts w:hint="eastAsia" w:ascii="宋体" w:hAnsi="宋体"/>
                      <w:bCs/>
                      <w:sz w:val="21"/>
                      <w:szCs w:val="21"/>
                    </w:rPr>
                  </w:pPr>
                  <w:r>
                    <w:rPr>
                      <w:rFonts w:hint="eastAsia" w:ascii="宋体" w:hAnsi="宋体"/>
                      <w:bCs/>
                      <w:sz w:val="21"/>
                      <w:szCs w:val="21"/>
                    </w:rPr>
                    <w:t>半年</w:t>
                  </w:r>
                </w:p>
              </w:tc>
            </w:tr>
            <w:tr w14:paraId="21426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Align w:val="center"/>
                </w:tcPr>
                <w:p w14:paraId="5688AA69">
                  <w:pPr>
                    <w:autoSpaceDE w:val="0"/>
                    <w:autoSpaceDN w:val="0"/>
                    <w:adjustRightInd w:val="0"/>
                    <w:snapToGrid w:val="0"/>
                    <w:spacing w:line="240" w:lineRule="auto"/>
                    <w:ind w:firstLine="0" w:firstLineChars="0"/>
                    <w:jc w:val="center"/>
                    <w:rPr>
                      <w:kern w:val="0"/>
                      <w:sz w:val="21"/>
                      <w:szCs w:val="21"/>
                    </w:rPr>
                  </w:pPr>
                  <w:r>
                    <w:rPr>
                      <w:rFonts w:hint="eastAsia"/>
                      <w:kern w:val="0"/>
                      <w:sz w:val="21"/>
                      <w:szCs w:val="21"/>
                    </w:rPr>
                    <w:t>4</w:t>
                  </w:r>
                </w:p>
              </w:tc>
              <w:tc>
                <w:tcPr>
                  <w:tcW w:w="831" w:type="dxa"/>
                  <w:vMerge w:val="continue"/>
                  <w:vAlign w:val="center"/>
                </w:tcPr>
                <w:p w14:paraId="53FE6E29">
                  <w:pPr>
                    <w:widowControl/>
                    <w:spacing w:line="240" w:lineRule="auto"/>
                    <w:ind w:firstLine="0" w:firstLineChars="0"/>
                    <w:jc w:val="center"/>
                    <w:rPr>
                      <w:kern w:val="0"/>
                      <w:sz w:val="21"/>
                      <w:szCs w:val="21"/>
                    </w:rPr>
                  </w:pPr>
                </w:p>
              </w:tc>
              <w:tc>
                <w:tcPr>
                  <w:tcW w:w="1300" w:type="dxa"/>
                  <w:vAlign w:val="center"/>
                </w:tcPr>
                <w:p w14:paraId="62D509F0">
                  <w:pPr>
                    <w:pStyle w:val="41"/>
                    <w:rPr>
                      <w:rFonts w:hint="eastAsia" w:ascii="宋体" w:hAnsi="宋体" w:cs="宋体"/>
                    </w:rPr>
                  </w:pPr>
                  <w:r>
                    <w:rPr>
                      <w:rFonts w:hint="eastAsia"/>
                    </w:rPr>
                    <w:t>废胶桶</w:t>
                  </w:r>
                </w:p>
              </w:tc>
              <w:tc>
                <w:tcPr>
                  <w:tcW w:w="1148" w:type="dxa"/>
                  <w:vAlign w:val="center"/>
                </w:tcPr>
                <w:p w14:paraId="21EB1D5F">
                  <w:pPr>
                    <w:pStyle w:val="41"/>
                  </w:pPr>
                  <w:r>
                    <w:rPr>
                      <w:rFonts w:hint="eastAsia"/>
                    </w:rPr>
                    <w:t>HW49</w:t>
                  </w:r>
                </w:p>
              </w:tc>
              <w:tc>
                <w:tcPr>
                  <w:tcW w:w="1404" w:type="dxa"/>
                  <w:vAlign w:val="center"/>
                </w:tcPr>
                <w:p w14:paraId="53D28F8A">
                  <w:pPr>
                    <w:pStyle w:val="41"/>
                  </w:pPr>
                  <w:r>
                    <w:rPr>
                      <w:rFonts w:hint="eastAsia"/>
                    </w:rPr>
                    <w:t>900-041-49</w:t>
                  </w:r>
                </w:p>
              </w:tc>
              <w:tc>
                <w:tcPr>
                  <w:tcW w:w="564" w:type="dxa"/>
                  <w:vMerge w:val="continue"/>
                  <w:vAlign w:val="center"/>
                </w:tcPr>
                <w:p w14:paraId="4FD98CA7">
                  <w:pPr>
                    <w:widowControl/>
                    <w:spacing w:line="240" w:lineRule="auto"/>
                    <w:ind w:firstLine="0" w:firstLineChars="0"/>
                    <w:jc w:val="center"/>
                    <w:rPr>
                      <w:kern w:val="0"/>
                      <w:sz w:val="21"/>
                      <w:szCs w:val="21"/>
                    </w:rPr>
                  </w:pPr>
                </w:p>
              </w:tc>
              <w:tc>
                <w:tcPr>
                  <w:tcW w:w="1008" w:type="dxa"/>
                  <w:vMerge w:val="continue"/>
                  <w:vAlign w:val="center"/>
                </w:tcPr>
                <w:p w14:paraId="67F5D59B">
                  <w:pPr>
                    <w:widowControl/>
                    <w:spacing w:line="240" w:lineRule="auto"/>
                    <w:ind w:firstLine="0" w:firstLineChars="0"/>
                    <w:jc w:val="center"/>
                    <w:rPr>
                      <w:kern w:val="0"/>
                      <w:sz w:val="21"/>
                      <w:szCs w:val="21"/>
                    </w:rPr>
                  </w:pPr>
                </w:p>
              </w:tc>
              <w:tc>
                <w:tcPr>
                  <w:tcW w:w="639" w:type="dxa"/>
                  <w:vMerge w:val="continue"/>
                  <w:vAlign w:val="center"/>
                </w:tcPr>
                <w:p w14:paraId="5D108D93">
                  <w:pPr>
                    <w:widowControl/>
                    <w:spacing w:line="240" w:lineRule="auto"/>
                    <w:ind w:firstLine="0" w:firstLineChars="0"/>
                    <w:jc w:val="center"/>
                    <w:rPr>
                      <w:kern w:val="0"/>
                      <w:sz w:val="21"/>
                      <w:szCs w:val="21"/>
                    </w:rPr>
                  </w:pPr>
                </w:p>
              </w:tc>
              <w:tc>
                <w:tcPr>
                  <w:tcW w:w="917" w:type="dxa"/>
                  <w:vAlign w:val="center"/>
                </w:tcPr>
                <w:p w14:paraId="5F141A51">
                  <w:pPr>
                    <w:autoSpaceDE w:val="0"/>
                    <w:adjustRightInd w:val="0"/>
                    <w:snapToGrid w:val="0"/>
                    <w:spacing w:before="100" w:beforeAutospacing="1" w:after="100" w:afterAutospacing="1" w:line="240" w:lineRule="exact"/>
                    <w:ind w:firstLine="0" w:firstLineChars="0"/>
                    <w:jc w:val="center"/>
                    <w:rPr>
                      <w:b/>
                      <w:sz w:val="21"/>
                      <w:szCs w:val="21"/>
                    </w:rPr>
                  </w:pPr>
                  <w:r>
                    <w:rPr>
                      <w:rFonts w:hint="eastAsia" w:ascii="宋体" w:hAnsi="宋体"/>
                      <w:bCs/>
                      <w:sz w:val="21"/>
                      <w:szCs w:val="21"/>
                    </w:rPr>
                    <w:t>半年</w:t>
                  </w:r>
                </w:p>
              </w:tc>
            </w:tr>
            <w:tr w14:paraId="3E2F1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Align w:val="center"/>
                </w:tcPr>
                <w:p w14:paraId="0C855773">
                  <w:pPr>
                    <w:autoSpaceDE w:val="0"/>
                    <w:autoSpaceDN w:val="0"/>
                    <w:adjustRightInd w:val="0"/>
                    <w:snapToGrid w:val="0"/>
                    <w:spacing w:line="240" w:lineRule="auto"/>
                    <w:ind w:firstLine="0" w:firstLineChars="0"/>
                    <w:jc w:val="center"/>
                    <w:rPr>
                      <w:kern w:val="0"/>
                      <w:sz w:val="21"/>
                      <w:szCs w:val="21"/>
                    </w:rPr>
                  </w:pPr>
                  <w:r>
                    <w:rPr>
                      <w:rFonts w:hint="eastAsia"/>
                      <w:kern w:val="0"/>
                      <w:sz w:val="21"/>
                      <w:szCs w:val="21"/>
                    </w:rPr>
                    <w:t>5</w:t>
                  </w:r>
                </w:p>
              </w:tc>
              <w:tc>
                <w:tcPr>
                  <w:tcW w:w="831" w:type="dxa"/>
                  <w:vMerge w:val="continue"/>
                  <w:vAlign w:val="center"/>
                </w:tcPr>
                <w:p w14:paraId="72787F03">
                  <w:pPr>
                    <w:widowControl/>
                    <w:spacing w:line="240" w:lineRule="auto"/>
                    <w:ind w:firstLine="0" w:firstLineChars="0"/>
                    <w:jc w:val="center"/>
                    <w:rPr>
                      <w:kern w:val="0"/>
                      <w:sz w:val="21"/>
                      <w:szCs w:val="21"/>
                    </w:rPr>
                  </w:pPr>
                </w:p>
              </w:tc>
              <w:tc>
                <w:tcPr>
                  <w:tcW w:w="1300" w:type="dxa"/>
                  <w:vAlign w:val="center"/>
                </w:tcPr>
                <w:p w14:paraId="13AD84B0">
                  <w:pPr>
                    <w:pStyle w:val="41"/>
                  </w:pPr>
                  <w:r>
                    <w:rPr>
                      <w:rFonts w:hint="eastAsia"/>
                    </w:rPr>
                    <w:t>废胶</w:t>
                  </w:r>
                </w:p>
              </w:tc>
              <w:tc>
                <w:tcPr>
                  <w:tcW w:w="1148" w:type="dxa"/>
                  <w:vAlign w:val="center"/>
                </w:tcPr>
                <w:p w14:paraId="02C80B50">
                  <w:pPr>
                    <w:pStyle w:val="41"/>
                  </w:pPr>
                  <w:r>
                    <w:rPr>
                      <w:rFonts w:hint="eastAsia"/>
                    </w:rPr>
                    <w:t>HW13</w:t>
                  </w:r>
                </w:p>
              </w:tc>
              <w:tc>
                <w:tcPr>
                  <w:tcW w:w="1404" w:type="dxa"/>
                  <w:vAlign w:val="center"/>
                </w:tcPr>
                <w:p w14:paraId="4F66B874">
                  <w:pPr>
                    <w:pStyle w:val="41"/>
                  </w:pPr>
                  <w:r>
                    <w:t>900-014-13</w:t>
                  </w:r>
                </w:p>
              </w:tc>
              <w:tc>
                <w:tcPr>
                  <w:tcW w:w="564" w:type="dxa"/>
                  <w:vMerge w:val="continue"/>
                  <w:vAlign w:val="center"/>
                </w:tcPr>
                <w:p w14:paraId="32BF236B">
                  <w:pPr>
                    <w:widowControl/>
                    <w:spacing w:line="240" w:lineRule="auto"/>
                    <w:ind w:firstLine="0" w:firstLineChars="0"/>
                    <w:jc w:val="center"/>
                    <w:rPr>
                      <w:kern w:val="0"/>
                      <w:sz w:val="21"/>
                      <w:szCs w:val="21"/>
                    </w:rPr>
                  </w:pPr>
                </w:p>
              </w:tc>
              <w:tc>
                <w:tcPr>
                  <w:tcW w:w="1008" w:type="dxa"/>
                  <w:vMerge w:val="continue"/>
                  <w:vAlign w:val="center"/>
                </w:tcPr>
                <w:p w14:paraId="69BE9237">
                  <w:pPr>
                    <w:widowControl/>
                    <w:spacing w:line="240" w:lineRule="auto"/>
                    <w:ind w:firstLine="0" w:firstLineChars="0"/>
                    <w:jc w:val="center"/>
                    <w:rPr>
                      <w:kern w:val="0"/>
                      <w:sz w:val="21"/>
                      <w:szCs w:val="21"/>
                    </w:rPr>
                  </w:pPr>
                </w:p>
              </w:tc>
              <w:tc>
                <w:tcPr>
                  <w:tcW w:w="639" w:type="dxa"/>
                  <w:vMerge w:val="continue"/>
                  <w:vAlign w:val="center"/>
                </w:tcPr>
                <w:p w14:paraId="4EFC39B9">
                  <w:pPr>
                    <w:widowControl/>
                    <w:spacing w:line="240" w:lineRule="auto"/>
                    <w:ind w:firstLine="0" w:firstLineChars="0"/>
                    <w:jc w:val="center"/>
                    <w:rPr>
                      <w:kern w:val="0"/>
                      <w:sz w:val="21"/>
                      <w:szCs w:val="21"/>
                    </w:rPr>
                  </w:pPr>
                </w:p>
              </w:tc>
              <w:tc>
                <w:tcPr>
                  <w:tcW w:w="917" w:type="dxa"/>
                  <w:vAlign w:val="center"/>
                </w:tcPr>
                <w:p w14:paraId="3D3F3DB5">
                  <w:pPr>
                    <w:autoSpaceDE w:val="0"/>
                    <w:adjustRightInd w:val="0"/>
                    <w:snapToGrid w:val="0"/>
                    <w:spacing w:before="100" w:beforeAutospacing="1" w:after="100" w:afterAutospacing="1" w:line="240" w:lineRule="exact"/>
                    <w:ind w:firstLine="0" w:firstLineChars="0"/>
                    <w:jc w:val="center"/>
                    <w:rPr>
                      <w:b/>
                      <w:sz w:val="21"/>
                      <w:szCs w:val="21"/>
                    </w:rPr>
                  </w:pPr>
                  <w:r>
                    <w:rPr>
                      <w:rFonts w:hint="eastAsia"/>
                      <w:bCs/>
                      <w:sz w:val="21"/>
                      <w:szCs w:val="21"/>
                    </w:rPr>
                    <w:t>半年</w:t>
                  </w:r>
                </w:p>
              </w:tc>
            </w:tr>
          </w:tbl>
          <w:p w14:paraId="2FB3E563">
            <w:pPr>
              <w:ind w:firstLine="480"/>
            </w:pPr>
            <w:r>
              <w:rPr>
                <w:rFonts w:hint="eastAsia"/>
              </w:rPr>
              <w:t>项目产生的固体废物均得以合理处置，对周围环境产生的影响较小。详细内容见表4.2-10固体污染源源强核算结果及相关参数一览表。</w:t>
            </w:r>
          </w:p>
          <w:p w14:paraId="2373C7DB">
            <w:pPr>
              <w:ind w:firstLine="482"/>
              <w:rPr>
                <w:b/>
              </w:rPr>
            </w:pPr>
            <w:r>
              <w:rPr>
                <w:rFonts w:hint="eastAsia"/>
                <w:b/>
              </w:rPr>
              <w:t>3、一般工业固体废物处理处置要求</w:t>
            </w:r>
          </w:p>
          <w:p w14:paraId="2BC6DB93">
            <w:pPr>
              <w:ind w:firstLine="480"/>
              <w:jc w:val="left"/>
              <w:rPr>
                <w:rFonts w:cs="宋体"/>
                <w:kern w:val="0"/>
                <w:lang w:val="zh-CN"/>
              </w:rPr>
            </w:pPr>
            <w:r>
              <w:rPr>
                <w:rFonts w:hint="eastAsia" w:cs="宋体"/>
                <w:kern w:val="0"/>
                <w:lang w:val="zh-CN"/>
              </w:rPr>
              <w:t>（1）贮存要求</w:t>
            </w:r>
          </w:p>
          <w:p w14:paraId="06E26707">
            <w:pPr>
              <w:ind w:firstLine="480"/>
              <w:jc w:val="left"/>
            </w:pPr>
            <w:r>
              <w:rPr>
                <w:rFonts w:hint="eastAsia" w:cs="宋体"/>
                <w:kern w:val="0"/>
                <w:lang w:val="zh-CN"/>
              </w:rPr>
              <w:t>为了防止一般固废在贮存、处置过程中对环境产生影响，项目</w:t>
            </w:r>
            <w:r>
              <w:rPr>
                <w:rFonts w:hint="eastAsia" w:cs="宋体"/>
                <w:kern w:val="0"/>
              </w:rPr>
              <w:t>新建</w:t>
            </w:r>
            <w:r>
              <w:rPr>
                <w:rFonts w:hint="eastAsia" w:cs="宋体"/>
                <w:kern w:val="0"/>
                <w:lang w:val="zh-CN"/>
              </w:rPr>
              <w:t>一般固废暂存间，其建设需满足《一般工业固体废物贮存和填埋污染控制标准》（GB18599-2020）相关规定，具体规定如下：</w:t>
            </w:r>
          </w:p>
          <w:p w14:paraId="36973C1A">
            <w:pPr>
              <w:snapToGrid w:val="0"/>
              <w:ind w:firstLine="480"/>
            </w:pPr>
            <w:r>
              <w:rPr>
                <w:rFonts w:hint="eastAsia" w:ascii="宋体" w:hAnsi="宋体" w:cs="宋体"/>
              </w:rPr>
              <w:t>①</w:t>
            </w:r>
            <w:r>
              <w:t>应选在满足承载力要求的地基上，以避免地基下沉的影响，特别是不均匀或局部下沉的影响。</w:t>
            </w:r>
          </w:p>
          <w:p w14:paraId="62E99300">
            <w:pPr>
              <w:snapToGrid w:val="0"/>
              <w:ind w:firstLine="480"/>
            </w:pPr>
            <w:r>
              <w:rPr>
                <w:rFonts w:hint="eastAsia" w:ascii="宋体" w:hAnsi="宋体" w:cs="宋体"/>
              </w:rPr>
              <w:t>②</w:t>
            </w:r>
            <w:r>
              <w:t>暂存场所应采取防雨措施，设置钢制防雨棚或混凝土防雨屋顶，并设置给排水系统。</w:t>
            </w:r>
          </w:p>
          <w:p w14:paraId="35B953DF">
            <w:pPr>
              <w:ind w:firstLine="480"/>
              <w:jc w:val="left"/>
              <w:outlineLvl w:val="1"/>
            </w:pPr>
            <w:r>
              <w:rPr>
                <w:rFonts w:hint="eastAsia" w:ascii="宋体" w:hAnsi="宋体" w:cs="宋体"/>
              </w:rPr>
              <w:t>③</w:t>
            </w:r>
            <w:r>
              <w:t>暂存场所应采取防雨、防渗措施，应在贮存场所地表建设建筑物，将贮存场所建成室内贮存区域，同时采用防渗、防腐蚀（耐碱）的材料作地面。</w:t>
            </w:r>
          </w:p>
          <w:p w14:paraId="21D368EE">
            <w:pPr>
              <w:ind w:firstLine="480"/>
              <w:jc w:val="left"/>
              <w:outlineLvl w:val="1"/>
            </w:pPr>
            <w:r>
              <w:rPr>
                <w:rFonts w:hint="eastAsia"/>
              </w:rPr>
              <w:t>（2）管理要求</w:t>
            </w:r>
          </w:p>
          <w:p w14:paraId="466D40E9">
            <w:pPr>
              <w:ind w:firstLine="480"/>
              <w:jc w:val="left"/>
              <w:outlineLvl w:val="1"/>
            </w:pPr>
            <w:r>
              <w:rPr>
                <w:rFonts w:hint="eastAsia"/>
              </w:rPr>
              <w:t>根据《中华人民共和国固体废物污染环境防治法》《一般工业固体废物管理台账制定指南（试行）》，建设单位需采取措施，减少固体废物的产生量，促进固体废物的综合利用，降低固体废物的危害性。</w:t>
            </w:r>
          </w:p>
          <w:p w14:paraId="68600B4D">
            <w:pPr>
              <w:ind w:firstLine="480"/>
              <w:jc w:val="left"/>
              <w:outlineLvl w:val="1"/>
              <w:rPr>
                <w:bCs/>
              </w:rPr>
            </w:pPr>
            <w:r>
              <w:rPr>
                <w:rFonts w:hint="eastAsia"/>
                <w:bCs/>
              </w:rPr>
              <w:t>①监督管理</w:t>
            </w:r>
          </w:p>
          <w:p w14:paraId="479E6EF3">
            <w:pPr>
              <w:ind w:firstLine="480"/>
              <w:jc w:val="left"/>
              <w:outlineLvl w:val="1"/>
            </w:pPr>
            <w:r>
              <w:rPr>
                <w:rFonts w:hint="eastAsia"/>
              </w:rPr>
              <w:t>加强对相关设施、设备和场所的管理和维护，保证其正常运行和使用。采取防扬散、防流失、防渗漏或者其他防止污染环境的措施，不得擅自倾倒、堆放、丢弃、遗撒固体废物。禁止向江河、湖泊、运河、渠道、水库及其最高水位线以下的滩地和岸坡以及法律法规规定的其他地点倾倒、堆放、贮存固体废物。依法及时公开固体废物污染环境防治信息，主动接受社会监督。</w:t>
            </w:r>
          </w:p>
          <w:p w14:paraId="24134249">
            <w:pPr>
              <w:ind w:firstLine="480"/>
              <w:jc w:val="left"/>
              <w:outlineLvl w:val="1"/>
              <w:rPr>
                <w:bCs/>
              </w:rPr>
            </w:pPr>
            <w:r>
              <w:rPr>
                <w:rFonts w:hint="eastAsia"/>
                <w:bCs/>
              </w:rPr>
              <w:t>②工业固体废物</w:t>
            </w:r>
          </w:p>
          <w:p w14:paraId="11E2B47A">
            <w:pPr>
              <w:ind w:firstLine="480"/>
              <w:jc w:val="left"/>
              <w:outlineLvl w:val="1"/>
            </w:pPr>
            <w:r>
              <w:rPr>
                <w:rFonts w:hint="eastAsia"/>
              </w:rPr>
              <w:t>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向生活垃圾收集设施中投放工业固体废物。委托他人运输、利用、处置工业固体废物的，应当对受托方的主体资格和技术能力进行核实，依法签订书面合同，在合同中约定污染防治要求。依法实施清洁生产审核，合理选择和利用原材料、能源和其他资源，采用先进的生产工艺和设备，减少工业固体废物的产生量，降低工业固体废物的危害性。依法取得排污许可证。根据经济、技术条件对工业固体废物加以利用；对暂时不利用或者不能利用的，需按照国务院生态环境等主管部门的规定建设贮存设施、场所，安全分类存放，或者采取无害化处置措施。</w:t>
            </w:r>
          </w:p>
          <w:p w14:paraId="41326A83">
            <w:pPr>
              <w:ind w:firstLine="480"/>
              <w:jc w:val="left"/>
              <w:outlineLvl w:val="1"/>
              <w:rPr>
                <w:bCs/>
              </w:rPr>
            </w:pPr>
            <w:r>
              <w:rPr>
                <w:rFonts w:hint="eastAsia"/>
                <w:bCs/>
              </w:rPr>
              <w:t>③生活垃圾</w:t>
            </w:r>
          </w:p>
          <w:p w14:paraId="462CF44A">
            <w:pPr>
              <w:ind w:firstLine="480"/>
              <w:jc w:val="left"/>
              <w:outlineLvl w:val="1"/>
            </w:pPr>
            <w:r>
              <w:rPr>
                <w:rFonts w:hint="eastAsia"/>
              </w:rPr>
              <w:t>依法履行生活垃圾源头减量和分类投放义务，承担生活垃圾产生者责任。依法在指定的地点分类投放生活垃圾。禁止随意倾倒、抛撒、堆放或者焚烧生活垃圾。</w:t>
            </w:r>
          </w:p>
          <w:p w14:paraId="45A48669">
            <w:pPr>
              <w:ind w:firstLine="480"/>
              <w:jc w:val="left"/>
              <w:outlineLvl w:val="1"/>
              <w:rPr>
                <w:bCs/>
              </w:rPr>
            </w:pPr>
            <w:r>
              <w:rPr>
                <w:rFonts w:hint="eastAsia"/>
                <w:bCs/>
              </w:rPr>
              <w:t>④环境管理要求</w:t>
            </w:r>
          </w:p>
          <w:p w14:paraId="53C54794">
            <w:pPr>
              <w:ind w:firstLine="480"/>
              <w:rPr>
                <w:bCs/>
              </w:rPr>
            </w:pPr>
            <w:r>
              <w:rPr>
                <w:rFonts w:hint="eastAsia"/>
                <w:bCs/>
              </w:rPr>
              <w:t>对项目一般工业固体废物的收集、贮存、处置情况进行登记，并对其产生、收集、贮存和处置情况进行台账记录，台账保存期限不得少于5年。</w:t>
            </w:r>
          </w:p>
          <w:p w14:paraId="5257E603">
            <w:pPr>
              <w:ind w:firstLine="482"/>
              <w:rPr>
                <w:b/>
              </w:rPr>
            </w:pPr>
            <w:r>
              <w:rPr>
                <w:rFonts w:hint="eastAsia"/>
                <w:b/>
              </w:rPr>
              <w:t>4、危险废物处理处置要求</w:t>
            </w:r>
          </w:p>
          <w:p w14:paraId="111FD47D">
            <w:pPr>
              <w:ind w:firstLine="482"/>
              <w:rPr>
                <w:b/>
              </w:rPr>
            </w:pPr>
            <w:r>
              <w:rPr>
                <w:rFonts w:hint="eastAsia"/>
                <w:b/>
              </w:rPr>
              <w:t>（1）收集要求</w:t>
            </w:r>
          </w:p>
          <w:p w14:paraId="0D277942">
            <w:pPr>
              <w:ind w:firstLine="480"/>
            </w:pPr>
            <w:r>
              <w:rPr>
                <w:rFonts w:hint="eastAsia"/>
              </w:rPr>
              <w:t>项目危险废物的收集包括两个方面：一是在危险废物产生节点将危险废物集中到适当的包装容器中或车辆上的活动；二是将已包装或装到运输车辆上的危险废物集中到危险废物暂存仓库的内部转运。</w:t>
            </w:r>
          </w:p>
          <w:p w14:paraId="3E639525">
            <w:pPr>
              <w:ind w:firstLine="480"/>
            </w:pPr>
            <w:r>
              <w:rPr>
                <w:rFonts w:hint="eastAsia"/>
              </w:rPr>
              <w:t>项目危险废物的收集须严格按照《危险废物收集 贮存 运输技术规范》（HJ2025-2012）的要求：</w:t>
            </w:r>
          </w:p>
          <w:p w14:paraId="0D5D80D0">
            <w:pPr>
              <w:ind w:firstLine="480"/>
            </w:pPr>
            <w:r>
              <w:rPr>
                <w:rFonts w:hint="eastAsia"/>
              </w:rPr>
              <w:t>①根据危险废物产生的工艺特征、排放周期、特性、管理计划等因素制定详细的收集计划。收集计划包括收集任务概述、收集目标及原则、危险废物特性评估、危险废物收集量估算、收集作业范围和方法、收集设备与包装容器、安全生产与个人防护、工程防护与事故应急、进度安排与组织管理等。</w:t>
            </w:r>
          </w:p>
          <w:p w14:paraId="57237345">
            <w:pPr>
              <w:ind w:firstLine="480"/>
            </w:pPr>
            <w:r>
              <w:rPr>
                <w:rFonts w:hint="eastAsia"/>
              </w:rPr>
              <w:t>②制定危险废物收集操作规程，内容包括适用范围、操作程序和方法、专用设备和工具、转移和交接、安全保障和应急防护等。</w:t>
            </w:r>
          </w:p>
          <w:p w14:paraId="0609F164">
            <w:pPr>
              <w:ind w:firstLine="480"/>
            </w:pPr>
            <w:r>
              <w:rPr>
                <w:rFonts w:hint="eastAsia"/>
              </w:rPr>
              <w:t>③危险废物收集和转运作业人员根据工作需要配备必要的个人防护装备，如手套、防护镜、防护服、防毒面具或口罩等。</w:t>
            </w:r>
          </w:p>
          <w:p w14:paraId="467E3C34">
            <w:pPr>
              <w:ind w:firstLine="480"/>
            </w:pPr>
            <w:r>
              <w:rPr>
                <w:rFonts w:hint="eastAsia"/>
              </w:rPr>
              <w:t>④在危险废物收集和转运过程中，采取相应的安全防护和污染防治措施，包括防爆、防火、防泄漏、防飞扬、防雨或其他防治污染环境的措施。</w:t>
            </w:r>
          </w:p>
          <w:p w14:paraId="73D87D8A">
            <w:pPr>
              <w:ind w:firstLine="480"/>
            </w:pPr>
            <w:r>
              <w:rPr>
                <w:rFonts w:hint="eastAsia"/>
              </w:rPr>
              <w:t>⑤危险废物收集时应根据危险废物的种类、数量、危险特性、物理形态、运输要求等因素选择合适的包装形式。</w:t>
            </w:r>
          </w:p>
          <w:p w14:paraId="5355117D">
            <w:pPr>
              <w:ind w:firstLine="482"/>
              <w:rPr>
                <w:b/>
              </w:rPr>
            </w:pPr>
            <w:r>
              <w:rPr>
                <w:rFonts w:hint="eastAsia"/>
                <w:b/>
              </w:rPr>
              <w:t>（2）贮存设施选址要求</w:t>
            </w:r>
          </w:p>
          <w:p w14:paraId="018CDA15">
            <w:pPr>
              <w:ind w:firstLine="480"/>
            </w:pPr>
            <w:r>
              <w:rPr>
                <w:rFonts w:hint="eastAsia"/>
              </w:rPr>
              <w:t>项目新建危险废物暂存</w:t>
            </w:r>
            <w:r>
              <w:t>库</w:t>
            </w:r>
            <w:r>
              <w:rPr>
                <w:rFonts w:hint="eastAsia"/>
              </w:rPr>
              <w:t>，根据《危险废物贮存污染控制标准》(GB18597-2023）的相关要求，危险废物暂存库采取如下措施：</w:t>
            </w:r>
          </w:p>
          <w:p w14:paraId="1396F9CD">
            <w:pPr>
              <w:ind w:firstLine="480"/>
            </w:pPr>
            <w:r>
              <w:rPr>
                <w:rFonts w:hint="eastAsia"/>
              </w:rPr>
              <w:t>①贮存设施选址应满足生态环境保护法律法规、规划和“三线一单”生态环境分区管控的要求。</w:t>
            </w:r>
          </w:p>
          <w:p w14:paraId="21F9DA5C">
            <w:pPr>
              <w:ind w:firstLine="480"/>
            </w:pPr>
            <w:r>
              <w:rPr>
                <w:rFonts w:hint="eastAsia"/>
              </w:rPr>
              <w:t>②集中贮存设施不应选在生态保护红线区域、永久基本农田和其他需要特别保护的区域内，不应建在溶洞区或易遭受洪水、滑坡、泥石流、潮汐等严重自然灾害影响的地区。</w:t>
            </w:r>
          </w:p>
          <w:p w14:paraId="093AB2D6">
            <w:pPr>
              <w:ind w:firstLine="480"/>
            </w:pPr>
            <w:r>
              <w:rPr>
                <w:rFonts w:hint="eastAsia"/>
              </w:rPr>
              <w:t>③贮存设施不应选在江河、湖泊、运河、渠道、水库及其最高水位线以下的滩地和岸坡，以及法律法规规定禁止贮存危险废物的其他地点。</w:t>
            </w:r>
          </w:p>
          <w:p w14:paraId="2BEB6870">
            <w:pPr>
              <w:ind w:firstLine="482"/>
              <w:rPr>
                <w:b/>
              </w:rPr>
            </w:pPr>
            <w:r>
              <w:rPr>
                <w:rFonts w:hint="eastAsia"/>
                <w:b/>
              </w:rPr>
              <w:t>（3）贮存设施污染控制要求</w:t>
            </w:r>
          </w:p>
          <w:p w14:paraId="011264B9">
            <w:pPr>
              <w:ind w:firstLine="480"/>
            </w:pPr>
            <w:r>
              <w:rPr>
                <w:rFonts w:hint="eastAsia"/>
              </w:rPr>
              <w:t>①贮存设施应根据危险废物的形态、物理化学性质、包装形式和污染物迁移途径，采取必要的防风、防晒、防雨、防漏、防渗、防腐以及其他环境污染防治措施，不应露天堆放危险废物。</w:t>
            </w:r>
          </w:p>
          <w:p w14:paraId="39AEC8BD">
            <w:pPr>
              <w:ind w:firstLine="480"/>
            </w:pPr>
            <w:r>
              <w:rPr>
                <w:rFonts w:hint="eastAsia"/>
              </w:rPr>
              <w:t>②贮存设施应根据危险废物的类别、数量、形态、物理化学性质和污染防治等要求设置必要的贮存分区，避免不相容的危险废物接触、混合。</w:t>
            </w:r>
          </w:p>
          <w:p w14:paraId="0157CD59">
            <w:pPr>
              <w:ind w:firstLine="480"/>
            </w:pPr>
            <w:r>
              <w:rPr>
                <w:rFonts w:hint="eastAsia"/>
              </w:rPr>
              <w:t>③贮存设施或贮存分区内地面、墙面裙脚、堵截泄漏的围堰、接触危险废物的隔板和墙体等应采用坚固的材料建造，表面无裂缝。</w:t>
            </w:r>
          </w:p>
          <w:p w14:paraId="206D8C07">
            <w:pPr>
              <w:ind w:firstLine="480"/>
            </w:pPr>
            <w:r>
              <w:rPr>
                <w:rFonts w:hint="eastAsia"/>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shd w:val="clear" w:fill="FFFFFF"/>
                <w:vertAlign w:val="superscript"/>
              </w:rPr>
              <w:t>-</w:t>
            </w:r>
            <w:r>
              <w:rPr>
                <w:rFonts w:hint="eastAsia"/>
                <w:vertAlign w:val="superscript"/>
              </w:rPr>
              <w:t>7</w:t>
            </w:r>
            <w:r>
              <w:rPr>
                <w:rFonts w:hint="eastAsia"/>
              </w:rPr>
              <w:t>cm/s），或至少2 mm 厚高密度聚乙烯膜等人工防渗材料（渗透系数不大于10</w:t>
            </w:r>
            <w:r>
              <w:rPr>
                <w:rFonts w:hint="eastAsia"/>
                <w:vertAlign w:val="superscript"/>
              </w:rPr>
              <w:t>-10</w:t>
            </w:r>
            <w:r>
              <w:rPr>
                <w:rFonts w:hint="eastAsia"/>
              </w:rPr>
              <w:t xml:space="preserve"> cm/s），或其他防渗性能等效的材料。</w:t>
            </w:r>
          </w:p>
          <w:p w14:paraId="25A1A0F8">
            <w:pPr>
              <w:ind w:firstLine="480"/>
            </w:pPr>
            <w:r>
              <w:rPr>
                <w:rFonts w:hint="eastAsia"/>
              </w:rPr>
              <w:t>⑤同一贮存设施宜采用相同的防渗、防腐工艺（包括防渗、防腐结构或材料），防渗、防腐材料应覆盖所有可能与废物及其渗滤液、渗漏液等接触的构筑物表面；采用不同防渗、防腐工艺应分别建设贮存分区。</w:t>
            </w:r>
          </w:p>
          <w:p w14:paraId="44A90074">
            <w:pPr>
              <w:ind w:firstLine="480"/>
            </w:pPr>
            <w:r>
              <w:rPr>
                <w:rFonts w:hint="eastAsia"/>
              </w:rPr>
              <w:t>⑥贮存设施应采取技术和管理措施防止无关人员进入。</w:t>
            </w:r>
          </w:p>
          <w:p w14:paraId="228346BC">
            <w:pPr>
              <w:ind w:firstLine="480"/>
            </w:pPr>
            <w:r>
              <w:rPr>
                <w:rFonts w:hint="eastAsia"/>
              </w:rPr>
              <w:t>⑦贮存库内不同贮存分区之间应采取隔离措施。隔离措施可根据危险废物特性采用过道、隔板或隔墙等方式。</w:t>
            </w:r>
          </w:p>
          <w:p w14:paraId="213D5B56">
            <w:pPr>
              <w:ind w:firstLine="480"/>
            </w:pPr>
            <w:r>
              <w:rPr>
                <w:rFonts w:hint="eastAsia"/>
              </w:rPr>
              <w:t>⑧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49E5BF31">
            <w:pPr>
              <w:ind w:firstLine="482"/>
              <w:rPr>
                <w:b/>
              </w:rPr>
            </w:pPr>
            <w:r>
              <w:rPr>
                <w:rFonts w:hint="eastAsia"/>
                <w:b/>
              </w:rPr>
              <w:t>（4）容器和包装物污染控制要求</w:t>
            </w:r>
          </w:p>
          <w:p w14:paraId="0DE4A98C">
            <w:pPr>
              <w:ind w:firstLine="480"/>
            </w:pPr>
            <w:r>
              <w:rPr>
                <w:rFonts w:hint="eastAsia"/>
              </w:rPr>
              <w:t>①容器和包装物材质、内衬应与盛装的危险废物相容。</w:t>
            </w:r>
          </w:p>
          <w:p w14:paraId="1849252C">
            <w:pPr>
              <w:ind w:firstLine="480"/>
            </w:pPr>
            <w:r>
              <w:rPr>
                <w:rFonts w:hint="eastAsia"/>
              </w:rPr>
              <w:t>②针对不同类别、形态、物理化学性质的危险废物，其容器和包装物应满足相应的防渗、防漏、防腐和强度等要求。</w:t>
            </w:r>
          </w:p>
          <w:p w14:paraId="4923BD22">
            <w:pPr>
              <w:ind w:firstLine="480"/>
            </w:pPr>
            <w:r>
              <w:rPr>
                <w:rFonts w:hint="eastAsia"/>
              </w:rPr>
              <w:t>③硬质容器和包装物及其支护结构堆叠码放时不应有明显变形，无破损泄漏。</w:t>
            </w:r>
          </w:p>
          <w:p w14:paraId="7B1BAB5F">
            <w:pPr>
              <w:ind w:firstLine="480"/>
            </w:pPr>
            <w:r>
              <w:rPr>
                <w:rFonts w:hint="eastAsia"/>
              </w:rPr>
              <w:t>④柔性容器和包装物堆叠码放时应封口严密，无破损泄漏。</w:t>
            </w:r>
          </w:p>
          <w:p w14:paraId="6F8A5C89">
            <w:pPr>
              <w:ind w:firstLine="480"/>
            </w:pPr>
            <w:r>
              <w:rPr>
                <w:rFonts w:hint="eastAsia"/>
              </w:rPr>
              <w:t>⑤使用容器盛装液态、半固态危险废物时，容器内部应留有适当的空间，以适应因温度变化等可能引发的收缩和膨胀，防止其导致容器渗漏或永久变形。</w:t>
            </w:r>
          </w:p>
          <w:p w14:paraId="2A0CEBE2">
            <w:pPr>
              <w:ind w:firstLine="480"/>
            </w:pPr>
            <w:r>
              <w:rPr>
                <w:rFonts w:hint="eastAsia"/>
              </w:rPr>
              <w:t>⑥容器和包装物外表面应保持清洁。</w:t>
            </w:r>
          </w:p>
          <w:p w14:paraId="4CC1F72C">
            <w:pPr>
              <w:adjustRightInd w:val="0"/>
              <w:snapToGrid w:val="0"/>
              <w:ind w:firstLine="482"/>
              <w:rPr>
                <w:b/>
                <w:kern w:val="0"/>
              </w:rPr>
            </w:pPr>
            <w:r>
              <w:rPr>
                <w:rFonts w:hint="eastAsia"/>
                <w:b/>
                <w:kern w:val="0"/>
              </w:rPr>
              <w:t>（5）危险废物运输和转移</w:t>
            </w:r>
          </w:p>
          <w:p w14:paraId="4834240E">
            <w:pPr>
              <w:adjustRightInd w:val="0"/>
              <w:snapToGrid w:val="0"/>
              <w:ind w:firstLine="480"/>
              <w:rPr>
                <w:kern w:val="0"/>
              </w:rPr>
            </w:pPr>
            <w:r>
              <w:rPr>
                <w:rFonts w:hint="eastAsia"/>
                <w:kern w:val="0"/>
              </w:rPr>
              <w:t>企业应严格按照</w:t>
            </w:r>
            <w:r>
              <w:rPr>
                <w:kern w:val="0"/>
              </w:rPr>
              <w:t>《</w:t>
            </w:r>
            <w:r>
              <w:rPr>
                <w:rFonts w:hint="eastAsia"/>
                <w:kern w:val="0"/>
              </w:rPr>
              <w:t>危</w:t>
            </w:r>
            <w:r>
              <w:rPr>
                <w:kern w:val="0"/>
              </w:rPr>
              <w:t>险废物转移管理办法》相关要求</w:t>
            </w:r>
            <w:r>
              <w:rPr>
                <w:rFonts w:hint="eastAsia"/>
                <w:kern w:val="0"/>
              </w:rPr>
              <w:t>加强对危险废物转移活动的管理，危险废物运输和转移过程需注意：</w:t>
            </w:r>
          </w:p>
          <w:p w14:paraId="13581B75">
            <w:pPr>
              <w:adjustRightInd w:val="0"/>
              <w:snapToGrid w:val="0"/>
              <w:ind w:firstLine="480"/>
              <w:rPr>
                <w:kern w:val="0"/>
              </w:rPr>
            </w:pPr>
            <w:r>
              <w:rPr>
                <w:rFonts w:hint="eastAsia"/>
                <w:kern w:val="0"/>
              </w:rPr>
              <w:t>①危险废物转移应当遵循就近原则；</w:t>
            </w:r>
          </w:p>
          <w:p w14:paraId="36222056">
            <w:pPr>
              <w:adjustRightInd w:val="0"/>
              <w:snapToGrid w:val="0"/>
              <w:ind w:firstLine="480"/>
              <w:rPr>
                <w:kern w:val="0"/>
              </w:rPr>
            </w:pPr>
            <w:r>
              <w:rPr>
                <w:rFonts w:hint="eastAsia"/>
                <w:kern w:val="0"/>
              </w:rPr>
              <w:t>②转移危险废物的，应当执行危险废物转移联单制度，应当通过国家危险废物信息管理系统（以下简称信息系统）填写、运行危险废物电子转移联单，并依照国家有关规定公开危险废物转移相关污染环境防治信息；</w:t>
            </w:r>
          </w:p>
          <w:p w14:paraId="563F4BFF">
            <w:pPr>
              <w:adjustRightInd w:val="0"/>
              <w:snapToGrid w:val="0"/>
              <w:ind w:firstLine="480"/>
              <w:rPr>
                <w:kern w:val="0"/>
              </w:rPr>
            </w:pPr>
            <w:r>
              <w:rPr>
                <w:rFonts w:hint="eastAsia"/>
                <w:kern w:val="0"/>
              </w:rPr>
              <w:t>③危险废物移出人在危险废物转移过程中应当采取防扬散、防流失、防渗漏或者其他防止污染环境的措施，不得擅自倾倒、堆放、丢弃、遗撒危险废物。</w:t>
            </w:r>
          </w:p>
          <w:p w14:paraId="55535DC9">
            <w:pPr>
              <w:adjustRightInd w:val="0"/>
              <w:snapToGrid w:val="0"/>
              <w:ind w:firstLine="480"/>
              <w:rPr>
                <w:kern w:val="0"/>
              </w:rPr>
            </w:pPr>
            <w:r>
              <w:rPr>
                <w:rFonts w:hint="eastAsia"/>
                <w:kern w:val="0"/>
              </w:rPr>
              <w:t>④移出人应当履行以下义务：</w:t>
            </w:r>
          </w:p>
          <w:p w14:paraId="7A41D44A">
            <w:pPr>
              <w:adjustRightInd w:val="0"/>
              <w:snapToGrid w:val="0"/>
              <w:ind w:firstLine="480"/>
              <w:rPr>
                <w:kern w:val="0"/>
              </w:rPr>
            </w:pPr>
            <w:r>
              <w:rPr>
                <w:rFonts w:hint="eastAsia"/>
                <w:kern w:val="0"/>
              </w:rPr>
              <w:t>a.对承运人或者接受人的主体资格和技术能力进行核实，依法签订书面合同，并在合同中约定运输、贮存、利用、处置危险废物的污染防治要求及相关责任；</w:t>
            </w:r>
          </w:p>
          <w:p w14:paraId="4A7A06C7">
            <w:pPr>
              <w:adjustRightInd w:val="0"/>
              <w:snapToGrid w:val="0"/>
              <w:ind w:firstLine="480"/>
              <w:rPr>
                <w:kern w:val="0"/>
              </w:rPr>
            </w:pPr>
            <w:r>
              <w:rPr>
                <w:rFonts w:hint="eastAsia"/>
                <w:kern w:val="0"/>
              </w:rPr>
              <w:t>b.制定危险废物管理计划，明确拟转移危险废物的种类、重量（数量）和流向等信息；</w:t>
            </w:r>
          </w:p>
          <w:p w14:paraId="4662EFB6">
            <w:pPr>
              <w:adjustRightInd w:val="0"/>
              <w:snapToGrid w:val="0"/>
              <w:ind w:firstLine="480"/>
              <w:rPr>
                <w:kern w:val="0"/>
              </w:rPr>
            </w:pPr>
            <w:r>
              <w:rPr>
                <w:rFonts w:hint="eastAsia"/>
                <w:kern w:val="0"/>
              </w:rPr>
              <w:t>c.建立危险废物管理台账，对转移的危险废物进行计量称重，如实记录、妥善保管转移危险废物的种类、重量（数量）和接收人等相关信息；</w:t>
            </w:r>
          </w:p>
          <w:p w14:paraId="5C92F6C7">
            <w:pPr>
              <w:adjustRightInd w:val="0"/>
              <w:snapToGrid w:val="0"/>
              <w:ind w:firstLine="480"/>
              <w:rPr>
                <w:kern w:val="0"/>
              </w:rPr>
            </w:pPr>
            <w:r>
              <w:rPr>
                <w:rFonts w:hint="eastAsia"/>
                <w:kern w:val="0"/>
              </w:rPr>
              <w:t>d.填写、运行危险废物转移联单，在危险废物转移联单中如实填写移出人、承运人、接收人信息，转移危险废物的种类、重量（数量）、危险特性等信息，以及突发环境事件的防范措施等；</w:t>
            </w:r>
          </w:p>
          <w:p w14:paraId="0D120C15">
            <w:pPr>
              <w:adjustRightInd w:val="0"/>
              <w:snapToGrid w:val="0"/>
              <w:ind w:firstLine="480"/>
              <w:rPr>
                <w:kern w:val="0"/>
              </w:rPr>
            </w:pPr>
            <w:r>
              <w:rPr>
                <w:rFonts w:hint="eastAsia"/>
                <w:kern w:val="0"/>
              </w:rPr>
              <w:t>e.及时核实接收人贮存、利用或者处置相关危险废物情况；</w:t>
            </w:r>
          </w:p>
          <w:p w14:paraId="086648AA">
            <w:pPr>
              <w:adjustRightInd w:val="0"/>
              <w:snapToGrid w:val="0"/>
              <w:ind w:firstLine="480"/>
              <w:rPr>
                <w:kern w:val="0"/>
              </w:rPr>
            </w:pPr>
            <w:r>
              <w:rPr>
                <w:rFonts w:hint="eastAsia"/>
                <w:kern w:val="0"/>
              </w:rPr>
              <w:t>f.法律法规规定的其他义务。</w:t>
            </w:r>
          </w:p>
          <w:p w14:paraId="56FE5CBA">
            <w:pPr>
              <w:adjustRightInd w:val="0"/>
              <w:snapToGrid w:val="0"/>
              <w:ind w:firstLine="480"/>
              <w:rPr>
                <w:kern w:val="0"/>
              </w:rPr>
            </w:pPr>
            <w:r>
              <w:rPr>
                <w:rFonts w:hint="eastAsia"/>
                <w:kern w:val="0"/>
              </w:rPr>
              <w:t>移出人应当按照国家有关要求开展危险废物鉴别。禁止将危险废物以副产品等名义提供或者委托给无危险废物经营许可证的单位或者其他生产经营者从事收集、贮存、利用、处置活动。</w:t>
            </w:r>
          </w:p>
          <w:p w14:paraId="77382388">
            <w:pPr>
              <w:ind w:firstLine="480"/>
            </w:pPr>
          </w:p>
        </w:tc>
      </w:tr>
    </w:tbl>
    <w:p w14:paraId="43F1854B">
      <w:pPr>
        <w:adjustRightInd w:val="0"/>
        <w:snapToGrid w:val="0"/>
        <w:ind w:firstLine="562"/>
        <w:rPr>
          <w:b/>
          <w:kern w:val="0"/>
          <w:sz w:val="28"/>
          <w:szCs w:val="28"/>
        </w:rPr>
        <w:sectPr>
          <w:pgSz w:w="11905" w:h="16838"/>
          <w:pgMar w:top="1417" w:right="1417" w:bottom="1417" w:left="1417" w:header="851" w:footer="850" w:gutter="0"/>
          <w:cols w:space="720" w:num="1"/>
          <w:docGrid w:linePitch="312" w:charSpace="0"/>
        </w:sectPr>
      </w:pP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3"/>
        <w:gridCol w:w="20246"/>
      </w:tblGrid>
      <w:tr w14:paraId="7E437B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13" w:hRule="atLeast"/>
        </w:trPr>
        <w:tc>
          <w:tcPr>
            <w:tcW w:w="593" w:type="dxa"/>
            <w:vAlign w:val="center"/>
          </w:tcPr>
          <w:p w14:paraId="769A0973">
            <w:pPr>
              <w:spacing w:line="240" w:lineRule="auto"/>
              <w:ind w:firstLine="0" w:firstLineChars="0"/>
              <w:jc w:val="center"/>
              <w:rPr>
                <w:rFonts w:eastAsia="等线"/>
                <w:snapToGrid w:val="0"/>
              </w:rPr>
            </w:pPr>
            <w:r>
              <w:rPr>
                <w:sz w:val="21"/>
                <w:szCs w:val="21"/>
              </w:rPr>
              <w:t>运营期环境影响和保护措施</w:t>
            </w:r>
          </w:p>
        </w:tc>
        <w:tc>
          <w:tcPr>
            <w:tcW w:w="20246" w:type="dxa"/>
          </w:tcPr>
          <w:p w14:paraId="0E697A17">
            <w:pPr>
              <w:pStyle w:val="32"/>
              <w:spacing w:before="120" w:beforeLines="50" w:line="240" w:lineRule="auto"/>
            </w:pPr>
            <w:r>
              <w:t>表4.2-</w:t>
            </w:r>
            <w:r>
              <w:rPr>
                <w:rFonts w:hint="eastAsia"/>
              </w:rPr>
              <w:t>10</w:t>
            </w:r>
            <w:r>
              <w:t xml:space="preserve">  固体污染源源强核算结果及相关参数一览表</w:t>
            </w:r>
          </w:p>
          <w:tbl>
            <w:tblPr>
              <w:tblStyle w:val="2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1769"/>
              <w:gridCol w:w="1526"/>
              <w:gridCol w:w="1649"/>
              <w:gridCol w:w="1648"/>
              <w:gridCol w:w="1648"/>
              <w:gridCol w:w="1896"/>
              <w:gridCol w:w="1338"/>
              <w:gridCol w:w="1780"/>
              <w:gridCol w:w="1600"/>
              <w:gridCol w:w="1729"/>
              <w:gridCol w:w="1796"/>
            </w:tblGrid>
            <w:tr w14:paraId="246C3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7" w:type="dxa"/>
                  <w:vAlign w:val="center"/>
                </w:tcPr>
                <w:p w14:paraId="7F7D7AD3">
                  <w:pPr>
                    <w:pStyle w:val="41"/>
                  </w:pPr>
                  <w:r>
                    <w:t>产生环节</w:t>
                  </w:r>
                </w:p>
              </w:tc>
              <w:tc>
                <w:tcPr>
                  <w:tcW w:w="1769" w:type="dxa"/>
                  <w:vAlign w:val="center"/>
                </w:tcPr>
                <w:p w14:paraId="0BDDF2E2">
                  <w:pPr>
                    <w:pStyle w:val="41"/>
                  </w:pPr>
                  <w:r>
                    <w:t>名称</w:t>
                  </w:r>
                </w:p>
              </w:tc>
              <w:tc>
                <w:tcPr>
                  <w:tcW w:w="1526" w:type="dxa"/>
                  <w:vAlign w:val="center"/>
                </w:tcPr>
                <w:p w14:paraId="5CBB6FE3">
                  <w:pPr>
                    <w:pStyle w:val="41"/>
                  </w:pPr>
                  <w:r>
                    <w:t>属性</w:t>
                  </w:r>
                </w:p>
              </w:tc>
              <w:tc>
                <w:tcPr>
                  <w:tcW w:w="1649" w:type="dxa"/>
                  <w:vAlign w:val="center"/>
                </w:tcPr>
                <w:p w14:paraId="1DC0429D">
                  <w:pPr>
                    <w:pStyle w:val="41"/>
                  </w:pPr>
                  <w:r>
                    <w:t>主要有毒有害物质名称</w:t>
                  </w:r>
                </w:p>
              </w:tc>
              <w:tc>
                <w:tcPr>
                  <w:tcW w:w="1648" w:type="dxa"/>
                  <w:vAlign w:val="center"/>
                </w:tcPr>
                <w:p w14:paraId="73C85121">
                  <w:pPr>
                    <w:pStyle w:val="41"/>
                  </w:pPr>
                  <w:r>
                    <w:t>物理性状</w:t>
                  </w:r>
                </w:p>
              </w:tc>
              <w:tc>
                <w:tcPr>
                  <w:tcW w:w="1648" w:type="dxa"/>
                  <w:vAlign w:val="center"/>
                </w:tcPr>
                <w:p w14:paraId="66DD65DB">
                  <w:pPr>
                    <w:pStyle w:val="41"/>
                  </w:pPr>
                  <w:r>
                    <w:t>环境危险特征</w:t>
                  </w:r>
                </w:p>
              </w:tc>
              <w:tc>
                <w:tcPr>
                  <w:tcW w:w="1896" w:type="dxa"/>
                  <w:vAlign w:val="center"/>
                </w:tcPr>
                <w:p w14:paraId="569980F6">
                  <w:pPr>
                    <w:pStyle w:val="41"/>
                  </w:pPr>
                  <w:r>
                    <w:t>废物代码</w:t>
                  </w:r>
                </w:p>
              </w:tc>
              <w:tc>
                <w:tcPr>
                  <w:tcW w:w="1338" w:type="dxa"/>
                  <w:vAlign w:val="center"/>
                </w:tcPr>
                <w:p w14:paraId="59F5479D">
                  <w:pPr>
                    <w:pStyle w:val="41"/>
                  </w:pPr>
                  <w:r>
                    <w:t>年度产生量t/a</w:t>
                  </w:r>
                </w:p>
              </w:tc>
              <w:tc>
                <w:tcPr>
                  <w:tcW w:w="1780" w:type="dxa"/>
                  <w:vAlign w:val="center"/>
                </w:tcPr>
                <w:p w14:paraId="31C9419B">
                  <w:pPr>
                    <w:pStyle w:val="41"/>
                  </w:pPr>
                  <w:r>
                    <w:t>贮存方式</w:t>
                  </w:r>
                </w:p>
              </w:tc>
              <w:tc>
                <w:tcPr>
                  <w:tcW w:w="1600" w:type="dxa"/>
                  <w:vAlign w:val="center"/>
                </w:tcPr>
                <w:p w14:paraId="10E69C8C">
                  <w:pPr>
                    <w:pStyle w:val="41"/>
                  </w:pPr>
                  <w:r>
                    <w:t>利用处置方式和去向</w:t>
                  </w:r>
                </w:p>
              </w:tc>
              <w:tc>
                <w:tcPr>
                  <w:tcW w:w="1729" w:type="dxa"/>
                  <w:vAlign w:val="center"/>
                </w:tcPr>
                <w:p w14:paraId="7A10540A">
                  <w:pPr>
                    <w:pStyle w:val="41"/>
                  </w:pPr>
                  <w:r>
                    <w:t>利用或者处置量t/a</w:t>
                  </w:r>
                </w:p>
              </w:tc>
              <w:tc>
                <w:tcPr>
                  <w:tcW w:w="1796" w:type="dxa"/>
                  <w:vAlign w:val="center"/>
                </w:tcPr>
                <w:p w14:paraId="5F74F1C7">
                  <w:pPr>
                    <w:pStyle w:val="41"/>
                  </w:pPr>
                  <w:r>
                    <w:t>环境管理要求</w:t>
                  </w:r>
                </w:p>
              </w:tc>
            </w:tr>
            <w:tr w14:paraId="17BF7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7" w:type="dxa"/>
                  <w:vAlign w:val="center"/>
                </w:tcPr>
                <w:p w14:paraId="66EF9DFD">
                  <w:pPr>
                    <w:pStyle w:val="41"/>
                  </w:pPr>
                  <w:r>
                    <w:rPr>
                      <w:rFonts w:hint="eastAsia"/>
                    </w:rPr>
                    <w:t>打磨</w:t>
                  </w:r>
                </w:p>
              </w:tc>
              <w:tc>
                <w:tcPr>
                  <w:tcW w:w="1769" w:type="dxa"/>
                  <w:vAlign w:val="center"/>
                </w:tcPr>
                <w:p w14:paraId="118CD1B3">
                  <w:pPr>
                    <w:pStyle w:val="41"/>
                  </w:pPr>
                  <w:r>
                    <w:rPr>
                      <w:rFonts w:hint="eastAsia"/>
                    </w:rPr>
                    <w:t>打磨粉尘</w:t>
                  </w:r>
                </w:p>
              </w:tc>
              <w:tc>
                <w:tcPr>
                  <w:tcW w:w="1526" w:type="dxa"/>
                  <w:vAlign w:val="center"/>
                </w:tcPr>
                <w:p w14:paraId="62556AE2">
                  <w:pPr>
                    <w:pStyle w:val="41"/>
                  </w:pPr>
                  <w:r>
                    <w:t>一般固废</w:t>
                  </w:r>
                </w:p>
              </w:tc>
              <w:tc>
                <w:tcPr>
                  <w:tcW w:w="1649" w:type="dxa"/>
                  <w:vAlign w:val="center"/>
                </w:tcPr>
                <w:p w14:paraId="01F25C69">
                  <w:pPr>
                    <w:pStyle w:val="41"/>
                  </w:pPr>
                  <w:r>
                    <w:t>/</w:t>
                  </w:r>
                </w:p>
              </w:tc>
              <w:tc>
                <w:tcPr>
                  <w:tcW w:w="1648" w:type="dxa"/>
                  <w:vAlign w:val="center"/>
                </w:tcPr>
                <w:p w14:paraId="49CFE8BC">
                  <w:pPr>
                    <w:pStyle w:val="41"/>
                  </w:pPr>
                  <w:r>
                    <w:t>固体</w:t>
                  </w:r>
                </w:p>
              </w:tc>
              <w:tc>
                <w:tcPr>
                  <w:tcW w:w="1648" w:type="dxa"/>
                  <w:vAlign w:val="center"/>
                </w:tcPr>
                <w:p w14:paraId="48203DCE">
                  <w:pPr>
                    <w:pStyle w:val="41"/>
                  </w:pPr>
                  <w:r>
                    <w:t>/</w:t>
                  </w:r>
                </w:p>
              </w:tc>
              <w:tc>
                <w:tcPr>
                  <w:tcW w:w="1896" w:type="dxa"/>
                  <w:vAlign w:val="center"/>
                </w:tcPr>
                <w:p w14:paraId="17EFD996">
                  <w:pPr>
                    <w:pStyle w:val="41"/>
                  </w:pPr>
                  <w:r>
                    <w:t>900-002-S17</w:t>
                  </w:r>
                </w:p>
              </w:tc>
              <w:tc>
                <w:tcPr>
                  <w:tcW w:w="1338" w:type="dxa"/>
                  <w:tcBorders>
                    <w:bottom w:val="single" w:color="auto" w:sz="4" w:space="0"/>
                  </w:tcBorders>
                  <w:vAlign w:val="center"/>
                </w:tcPr>
                <w:p w14:paraId="677B097C">
                  <w:pPr>
                    <w:pStyle w:val="41"/>
                  </w:pPr>
                  <w:r>
                    <w:rPr>
                      <w:rFonts w:hint="eastAsia"/>
                    </w:rPr>
                    <w:t>1.49</w:t>
                  </w:r>
                </w:p>
              </w:tc>
              <w:tc>
                <w:tcPr>
                  <w:tcW w:w="1780" w:type="dxa"/>
                  <w:tcBorders>
                    <w:bottom w:val="single" w:color="auto" w:sz="4" w:space="0"/>
                  </w:tcBorders>
                  <w:vAlign w:val="center"/>
                </w:tcPr>
                <w:p w14:paraId="7627CA83">
                  <w:pPr>
                    <w:pStyle w:val="41"/>
                  </w:pPr>
                  <w:r>
                    <w:rPr>
                      <w:rFonts w:hint="eastAsia"/>
                    </w:rPr>
                    <w:t>一般</w:t>
                  </w:r>
                  <w:r>
                    <w:t>固废暂存区</w:t>
                  </w:r>
                </w:p>
              </w:tc>
              <w:tc>
                <w:tcPr>
                  <w:tcW w:w="1600" w:type="dxa"/>
                  <w:tcBorders>
                    <w:bottom w:val="single" w:color="auto" w:sz="4" w:space="0"/>
                  </w:tcBorders>
                  <w:vAlign w:val="center"/>
                </w:tcPr>
                <w:p w14:paraId="6F90F614">
                  <w:pPr>
                    <w:pStyle w:val="41"/>
                  </w:pPr>
                  <w:r>
                    <w:rPr>
                      <w:rFonts w:hint="eastAsia"/>
                    </w:rPr>
                    <w:t>作为可回收资源出售</w:t>
                  </w:r>
                </w:p>
              </w:tc>
              <w:tc>
                <w:tcPr>
                  <w:tcW w:w="1729" w:type="dxa"/>
                  <w:vAlign w:val="center"/>
                </w:tcPr>
                <w:p w14:paraId="273D4C16">
                  <w:pPr>
                    <w:pStyle w:val="41"/>
                  </w:pPr>
                  <w:r>
                    <w:rPr>
                      <w:rFonts w:hint="eastAsia"/>
                    </w:rPr>
                    <w:t>1.49</w:t>
                  </w:r>
                </w:p>
              </w:tc>
              <w:tc>
                <w:tcPr>
                  <w:tcW w:w="1796" w:type="dxa"/>
                  <w:vAlign w:val="center"/>
                </w:tcPr>
                <w:p w14:paraId="759CB457">
                  <w:pPr>
                    <w:pStyle w:val="41"/>
                  </w:pPr>
                  <w:r>
                    <w:t>分类收集存放</w:t>
                  </w:r>
                </w:p>
              </w:tc>
            </w:tr>
            <w:tr w14:paraId="407996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7" w:type="dxa"/>
                  <w:vMerge w:val="restart"/>
                  <w:vAlign w:val="center"/>
                </w:tcPr>
                <w:p w14:paraId="266B89F2">
                  <w:pPr>
                    <w:pStyle w:val="41"/>
                  </w:pPr>
                  <w:r>
                    <w:rPr>
                      <w:rFonts w:hint="eastAsia"/>
                    </w:rPr>
                    <w:t>焊接</w:t>
                  </w:r>
                </w:p>
              </w:tc>
              <w:tc>
                <w:tcPr>
                  <w:tcW w:w="1769" w:type="dxa"/>
                  <w:vAlign w:val="center"/>
                </w:tcPr>
                <w:p w14:paraId="0697C802">
                  <w:pPr>
                    <w:pStyle w:val="41"/>
                  </w:pPr>
                  <w:r>
                    <w:rPr>
                      <w:rFonts w:hint="eastAsia"/>
                    </w:rPr>
                    <w:t>废烟尘过滤棉及废除尘布袋</w:t>
                  </w:r>
                </w:p>
              </w:tc>
              <w:tc>
                <w:tcPr>
                  <w:tcW w:w="1526" w:type="dxa"/>
                  <w:vAlign w:val="center"/>
                </w:tcPr>
                <w:p w14:paraId="07E0A5F5">
                  <w:pPr>
                    <w:pStyle w:val="41"/>
                  </w:pPr>
                  <w:r>
                    <w:t>一般固废</w:t>
                  </w:r>
                </w:p>
              </w:tc>
              <w:tc>
                <w:tcPr>
                  <w:tcW w:w="1649" w:type="dxa"/>
                  <w:vAlign w:val="center"/>
                </w:tcPr>
                <w:p w14:paraId="504B6871">
                  <w:pPr>
                    <w:pStyle w:val="41"/>
                  </w:pPr>
                  <w:r>
                    <w:t>/</w:t>
                  </w:r>
                </w:p>
              </w:tc>
              <w:tc>
                <w:tcPr>
                  <w:tcW w:w="1648" w:type="dxa"/>
                  <w:vAlign w:val="center"/>
                </w:tcPr>
                <w:p w14:paraId="77F298FB">
                  <w:pPr>
                    <w:pStyle w:val="41"/>
                  </w:pPr>
                  <w:r>
                    <w:t>固体</w:t>
                  </w:r>
                </w:p>
              </w:tc>
              <w:tc>
                <w:tcPr>
                  <w:tcW w:w="1648" w:type="dxa"/>
                  <w:vAlign w:val="center"/>
                </w:tcPr>
                <w:p w14:paraId="30E3BE89">
                  <w:pPr>
                    <w:pStyle w:val="41"/>
                  </w:pPr>
                  <w:r>
                    <w:t>/</w:t>
                  </w:r>
                </w:p>
              </w:tc>
              <w:tc>
                <w:tcPr>
                  <w:tcW w:w="1896" w:type="dxa"/>
                  <w:vAlign w:val="center"/>
                </w:tcPr>
                <w:p w14:paraId="2C11503C">
                  <w:pPr>
                    <w:pStyle w:val="41"/>
                  </w:pPr>
                  <w:r>
                    <w:t>900-009-S59</w:t>
                  </w:r>
                </w:p>
              </w:tc>
              <w:tc>
                <w:tcPr>
                  <w:tcW w:w="1338" w:type="dxa"/>
                  <w:tcBorders>
                    <w:top w:val="single" w:color="auto" w:sz="4" w:space="0"/>
                    <w:bottom w:val="single" w:color="auto" w:sz="4" w:space="0"/>
                  </w:tcBorders>
                  <w:vAlign w:val="center"/>
                </w:tcPr>
                <w:p w14:paraId="2F3FC5B2">
                  <w:pPr>
                    <w:pStyle w:val="41"/>
                  </w:pPr>
                  <w:r>
                    <w:rPr>
                      <w:rFonts w:hint="eastAsia"/>
                    </w:rPr>
                    <w:t>0.01</w:t>
                  </w:r>
                </w:p>
              </w:tc>
              <w:tc>
                <w:tcPr>
                  <w:tcW w:w="1780" w:type="dxa"/>
                  <w:tcBorders>
                    <w:top w:val="single" w:color="auto" w:sz="4" w:space="0"/>
                    <w:bottom w:val="single" w:color="auto" w:sz="4" w:space="0"/>
                  </w:tcBorders>
                  <w:vAlign w:val="center"/>
                </w:tcPr>
                <w:p w14:paraId="3C900479">
                  <w:pPr>
                    <w:pStyle w:val="41"/>
                  </w:pPr>
                  <w:r>
                    <w:rPr>
                      <w:rFonts w:hint="eastAsia"/>
                    </w:rPr>
                    <w:t>一般</w:t>
                  </w:r>
                  <w:r>
                    <w:t>固废暂存区</w:t>
                  </w:r>
                </w:p>
              </w:tc>
              <w:tc>
                <w:tcPr>
                  <w:tcW w:w="1600" w:type="dxa"/>
                  <w:tcBorders>
                    <w:top w:val="single" w:color="auto" w:sz="4" w:space="0"/>
                    <w:bottom w:val="single" w:color="auto" w:sz="4" w:space="0"/>
                  </w:tcBorders>
                  <w:vAlign w:val="center"/>
                </w:tcPr>
                <w:p w14:paraId="7C086261">
                  <w:pPr>
                    <w:pStyle w:val="41"/>
                  </w:pPr>
                  <w:r>
                    <w:rPr>
                      <w:rFonts w:hint="eastAsia"/>
                    </w:rPr>
                    <w:t>作为可回收资源出售</w:t>
                  </w:r>
                </w:p>
              </w:tc>
              <w:tc>
                <w:tcPr>
                  <w:tcW w:w="1729" w:type="dxa"/>
                  <w:tcBorders>
                    <w:bottom w:val="single" w:color="auto" w:sz="4" w:space="0"/>
                  </w:tcBorders>
                  <w:vAlign w:val="center"/>
                </w:tcPr>
                <w:p w14:paraId="68B32DEE">
                  <w:pPr>
                    <w:pStyle w:val="41"/>
                  </w:pPr>
                  <w:r>
                    <w:rPr>
                      <w:rFonts w:hint="eastAsia"/>
                    </w:rPr>
                    <w:t>0.01</w:t>
                  </w:r>
                </w:p>
              </w:tc>
              <w:tc>
                <w:tcPr>
                  <w:tcW w:w="1796" w:type="dxa"/>
                  <w:vAlign w:val="center"/>
                </w:tcPr>
                <w:p w14:paraId="3CF5E5B1">
                  <w:pPr>
                    <w:pStyle w:val="41"/>
                  </w:pPr>
                  <w:r>
                    <w:t>分类收集存放</w:t>
                  </w:r>
                </w:p>
              </w:tc>
            </w:tr>
            <w:tr w14:paraId="443E0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7" w:type="dxa"/>
                  <w:vMerge w:val="continue"/>
                  <w:vAlign w:val="center"/>
                </w:tcPr>
                <w:p w14:paraId="13827B17">
                  <w:pPr>
                    <w:pStyle w:val="41"/>
                  </w:pPr>
                </w:p>
              </w:tc>
              <w:tc>
                <w:tcPr>
                  <w:tcW w:w="1769" w:type="dxa"/>
                  <w:vAlign w:val="center"/>
                </w:tcPr>
                <w:p w14:paraId="0FB8CCD1">
                  <w:pPr>
                    <w:pStyle w:val="41"/>
                  </w:pPr>
                  <w:r>
                    <w:rPr>
                      <w:rFonts w:hint="eastAsia"/>
                    </w:rPr>
                    <w:t>废焊接材料</w:t>
                  </w:r>
                </w:p>
              </w:tc>
              <w:tc>
                <w:tcPr>
                  <w:tcW w:w="1526" w:type="dxa"/>
                  <w:vAlign w:val="center"/>
                </w:tcPr>
                <w:p w14:paraId="3F962EE4">
                  <w:pPr>
                    <w:pStyle w:val="41"/>
                  </w:pPr>
                  <w:r>
                    <w:t>一般固废</w:t>
                  </w:r>
                </w:p>
              </w:tc>
              <w:tc>
                <w:tcPr>
                  <w:tcW w:w="1649" w:type="dxa"/>
                  <w:vAlign w:val="center"/>
                </w:tcPr>
                <w:p w14:paraId="7F91A6CF">
                  <w:pPr>
                    <w:pStyle w:val="41"/>
                  </w:pPr>
                  <w:r>
                    <w:rPr>
                      <w:rFonts w:hint="eastAsia"/>
                    </w:rPr>
                    <w:t>/</w:t>
                  </w:r>
                </w:p>
              </w:tc>
              <w:tc>
                <w:tcPr>
                  <w:tcW w:w="1648" w:type="dxa"/>
                  <w:vAlign w:val="center"/>
                </w:tcPr>
                <w:p w14:paraId="11B94611">
                  <w:pPr>
                    <w:pStyle w:val="41"/>
                  </w:pPr>
                  <w:r>
                    <w:t>固体</w:t>
                  </w:r>
                </w:p>
              </w:tc>
              <w:tc>
                <w:tcPr>
                  <w:tcW w:w="1648" w:type="dxa"/>
                  <w:vAlign w:val="center"/>
                </w:tcPr>
                <w:p w14:paraId="0BC1BF30">
                  <w:pPr>
                    <w:pStyle w:val="41"/>
                  </w:pPr>
                  <w:r>
                    <w:rPr>
                      <w:rFonts w:hint="eastAsia"/>
                    </w:rPr>
                    <w:t>/</w:t>
                  </w:r>
                </w:p>
              </w:tc>
              <w:tc>
                <w:tcPr>
                  <w:tcW w:w="1896" w:type="dxa"/>
                  <w:vAlign w:val="center"/>
                </w:tcPr>
                <w:p w14:paraId="22D05314">
                  <w:pPr>
                    <w:pStyle w:val="41"/>
                  </w:pPr>
                  <w:r>
                    <w:t>900-099-S59</w:t>
                  </w:r>
                </w:p>
              </w:tc>
              <w:tc>
                <w:tcPr>
                  <w:tcW w:w="1338" w:type="dxa"/>
                  <w:tcBorders>
                    <w:top w:val="single" w:color="auto" w:sz="4" w:space="0"/>
                    <w:bottom w:val="single" w:color="auto" w:sz="4" w:space="0"/>
                  </w:tcBorders>
                  <w:vAlign w:val="center"/>
                </w:tcPr>
                <w:p w14:paraId="2D0FFA69">
                  <w:pPr>
                    <w:pStyle w:val="41"/>
                  </w:pPr>
                  <w:r>
                    <w:rPr>
                      <w:rFonts w:hint="eastAsia"/>
                    </w:rPr>
                    <w:t>1.879</w:t>
                  </w:r>
                </w:p>
              </w:tc>
              <w:tc>
                <w:tcPr>
                  <w:tcW w:w="1780" w:type="dxa"/>
                  <w:tcBorders>
                    <w:top w:val="single" w:color="auto" w:sz="4" w:space="0"/>
                    <w:bottom w:val="single" w:color="auto" w:sz="4" w:space="0"/>
                  </w:tcBorders>
                  <w:vAlign w:val="center"/>
                </w:tcPr>
                <w:p w14:paraId="5906674F">
                  <w:pPr>
                    <w:pStyle w:val="41"/>
                  </w:pPr>
                  <w:r>
                    <w:rPr>
                      <w:rFonts w:hint="eastAsia"/>
                    </w:rPr>
                    <w:t>一般</w:t>
                  </w:r>
                  <w:r>
                    <w:t>固废暂存区</w:t>
                  </w:r>
                </w:p>
              </w:tc>
              <w:tc>
                <w:tcPr>
                  <w:tcW w:w="1600" w:type="dxa"/>
                  <w:tcBorders>
                    <w:top w:val="single" w:color="auto" w:sz="4" w:space="0"/>
                    <w:bottom w:val="single" w:color="auto" w:sz="4" w:space="0"/>
                  </w:tcBorders>
                  <w:vAlign w:val="center"/>
                </w:tcPr>
                <w:p w14:paraId="65B62161">
                  <w:pPr>
                    <w:pStyle w:val="41"/>
                  </w:pPr>
                  <w:r>
                    <w:rPr>
                      <w:rFonts w:hint="eastAsia"/>
                    </w:rPr>
                    <w:t>作为可回收资源出售</w:t>
                  </w:r>
                </w:p>
              </w:tc>
              <w:tc>
                <w:tcPr>
                  <w:tcW w:w="1729" w:type="dxa"/>
                  <w:tcBorders>
                    <w:bottom w:val="single" w:color="auto" w:sz="4" w:space="0"/>
                  </w:tcBorders>
                  <w:vAlign w:val="center"/>
                </w:tcPr>
                <w:p w14:paraId="172B84B8">
                  <w:pPr>
                    <w:pStyle w:val="41"/>
                  </w:pPr>
                  <w:r>
                    <w:rPr>
                      <w:rFonts w:hint="eastAsia"/>
                    </w:rPr>
                    <w:t>1.879</w:t>
                  </w:r>
                </w:p>
              </w:tc>
              <w:tc>
                <w:tcPr>
                  <w:tcW w:w="1796" w:type="dxa"/>
                  <w:vAlign w:val="center"/>
                </w:tcPr>
                <w:p w14:paraId="7B8F51B2">
                  <w:pPr>
                    <w:pStyle w:val="41"/>
                  </w:pPr>
                  <w:r>
                    <w:t>分类收集存放</w:t>
                  </w:r>
                </w:p>
              </w:tc>
            </w:tr>
            <w:tr w14:paraId="58BF22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7" w:type="dxa"/>
                  <w:vAlign w:val="center"/>
                </w:tcPr>
                <w:p w14:paraId="1A56EF4C">
                  <w:pPr>
                    <w:pStyle w:val="41"/>
                  </w:pPr>
                  <w:r>
                    <w:rPr>
                      <w:rFonts w:hint="eastAsia"/>
                    </w:rPr>
                    <w:t>CNC</w:t>
                  </w:r>
                </w:p>
              </w:tc>
              <w:tc>
                <w:tcPr>
                  <w:tcW w:w="1769" w:type="dxa"/>
                  <w:vAlign w:val="center"/>
                </w:tcPr>
                <w:p w14:paraId="1426EE36">
                  <w:pPr>
                    <w:pStyle w:val="41"/>
                  </w:pPr>
                  <w:r>
                    <w:rPr>
                      <w:rFonts w:hint="eastAsia"/>
                    </w:rPr>
                    <w:t>边角料</w:t>
                  </w:r>
                </w:p>
              </w:tc>
              <w:tc>
                <w:tcPr>
                  <w:tcW w:w="1526" w:type="dxa"/>
                  <w:vAlign w:val="center"/>
                </w:tcPr>
                <w:p w14:paraId="348D388D">
                  <w:pPr>
                    <w:pStyle w:val="41"/>
                  </w:pPr>
                  <w:r>
                    <w:t>一般固废</w:t>
                  </w:r>
                </w:p>
              </w:tc>
              <w:tc>
                <w:tcPr>
                  <w:tcW w:w="1649" w:type="dxa"/>
                  <w:vAlign w:val="center"/>
                </w:tcPr>
                <w:p w14:paraId="28BF5623">
                  <w:pPr>
                    <w:pStyle w:val="41"/>
                  </w:pPr>
                  <w:r>
                    <w:rPr>
                      <w:rFonts w:hint="eastAsia"/>
                    </w:rPr>
                    <w:t>/</w:t>
                  </w:r>
                </w:p>
              </w:tc>
              <w:tc>
                <w:tcPr>
                  <w:tcW w:w="1648" w:type="dxa"/>
                  <w:vAlign w:val="center"/>
                </w:tcPr>
                <w:p w14:paraId="4F58392E">
                  <w:pPr>
                    <w:pStyle w:val="41"/>
                  </w:pPr>
                  <w:r>
                    <w:t>固体</w:t>
                  </w:r>
                </w:p>
              </w:tc>
              <w:tc>
                <w:tcPr>
                  <w:tcW w:w="1648" w:type="dxa"/>
                  <w:vAlign w:val="center"/>
                </w:tcPr>
                <w:p w14:paraId="069689F5">
                  <w:pPr>
                    <w:pStyle w:val="41"/>
                  </w:pPr>
                  <w:r>
                    <w:rPr>
                      <w:rFonts w:hint="eastAsia"/>
                    </w:rPr>
                    <w:t>/</w:t>
                  </w:r>
                </w:p>
              </w:tc>
              <w:tc>
                <w:tcPr>
                  <w:tcW w:w="1896" w:type="dxa"/>
                  <w:vAlign w:val="center"/>
                </w:tcPr>
                <w:p w14:paraId="5837333A">
                  <w:pPr>
                    <w:pStyle w:val="41"/>
                  </w:pPr>
                  <w:r>
                    <w:t>900-002-S17</w:t>
                  </w:r>
                </w:p>
              </w:tc>
              <w:tc>
                <w:tcPr>
                  <w:tcW w:w="1338" w:type="dxa"/>
                  <w:tcBorders>
                    <w:top w:val="single" w:color="auto" w:sz="4" w:space="0"/>
                    <w:bottom w:val="single" w:color="auto" w:sz="4" w:space="0"/>
                  </w:tcBorders>
                  <w:vAlign w:val="center"/>
                </w:tcPr>
                <w:p w14:paraId="58B50CE3">
                  <w:pPr>
                    <w:pStyle w:val="41"/>
                  </w:pPr>
                  <w:r>
                    <w:rPr>
                      <w:rFonts w:hint="eastAsia"/>
                    </w:rPr>
                    <w:t>26.85</w:t>
                  </w:r>
                </w:p>
              </w:tc>
              <w:tc>
                <w:tcPr>
                  <w:tcW w:w="1780" w:type="dxa"/>
                  <w:tcBorders>
                    <w:top w:val="single" w:color="auto" w:sz="4" w:space="0"/>
                    <w:bottom w:val="single" w:color="auto" w:sz="4" w:space="0"/>
                  </w:tcBorders>
                  <w:vAlign w:val="center"/>
                </w:tcPr>
                <w:p w14:paraId="34BC51FB">
                  <w:pPr>
                    <w:pStyle w:val="41"/>
                  </w:pPr>
                  <w:r>
                    <w:rPr>
                      <w:rFonts w:hint="eastAsia"/>
                    </w:rPr>
                    <w:t>一般</w:t>
                  </w:r>
                  <w:r>
                    <w:t>固废暂存区</w:t>
                  </w:r>
                </w:p>
              </w:tc>
              <w:tc>
                <w:tcPr>
                  <w:tcW w:w="1600" w:type="dxa"/>
                  <w:tcBorders>
                    <w:top w:val="single" w:color="auto" w:sz="4" w:space="0"/>
                    <w:bottom w:val="single" w:color="auto" w:sz="4" w:space="0"/>
                  </w:tcBorders>
                  <w:vAlign w:val="center"/>
                </w:tcPr>
                <w:p w14:paraId="37A1EB24">
                  <w:pPr>
                    <w:pStyle w:val="41"/>
                  </w:pPr>
                  <w:r>
                    <w:rPr>
                      <w:rFonts w:hint="eastAsia"/>
                    </w:rPr>
                    <w:t>作为可回收资源出售</w:t>
                  </w:r>
                </w:p>
              </w:tc>
              <w:tc>
                <w:tcPr>
                  <w:tcW w:w="1729" w:type="dxa"/>
                  <w:tcBorders>
                    <w:top w:val="single" w:color="auto" w:sz="4" w:space="0"/>
                    <w:bottom w:val="single" w:color="auto" w:sz="4" w:space="0"/>
                  </w:tcBorders>
                  <w:vAlign w:val="center"/>
                </w:tcPr>
                <w:p w14:paraId="59C69F90">
                  <w:pPr>
                    <w:pStyle w:val="41"/>
                  </w:pPr>
                  <w:r>
                    <w:rPr>
                      <w:rFonts w:hint="eastAsia"/>
                    </w:rPr>
                    <w:t>26.85</w:t>
                  </w:r>
                </w:p>
              </w:tc>
              <w:tc>
                <w:tcPr>
                  <w:tcW w:w="1796" w:type="dxa"/>
                  <w:vAlign w:val="center"/>
                </w:tcPr>
                <w:p w14:paraId="33E44F33">
                  <w:pPr>
                    <w:pStyle w:val="41"/>
                  </w:pPr>
                  <w:r>
                    <w:t>分类收集存放</w:t>
                  </w:r>
                </w:p>
              </w:tc>
            </w:tr>
            <w:tr w14:paraId="3A0CE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7" w:type="dxa"/>
                  <w:vAlign w:val="center"/>
                </w:tcPr>
                <w:p w14:paraId="37ADCDA7">
                  <w:pPr>
                    <w:pStyle w:val="41"/>
                  </w:pPr>
                  <w:r>
                    <w:rPr>
                      <w:rFonts w:hint="eastAsia"/>
                    </w:rPr>
                    <w:t>产品检测</w:t>
                  </w:r>
                </w:p>
              </w:tc>
              <w:tc>
                <w:tcPr>
                  <w:tcW w:w="1769" w:type="dxa"/>
                  <w:vAlign w:val="center"/>
                </w:tcPr>
                <w:p w14:paraId="21B74AAC">
                  <w:pPr>
                    <w:pStyle w:val="41"/>
                  </w:pPr>
                  <w:r>
                    <w:rPr>
                      <w:rFonts w:hint="eastAsia"/>
                    </w:rPr>
                    <w:t>不合格产品</w:t>
                  </w:r>
                </w:p>
              </w:tc>
              <w:tc>
                <w:tcPr>
                  <w:tcW w:w="1526" w:type="dxa"/>
                  <w:vAlign w:val="center"/>
                </w:tcPr>
                <w:p w14:paraId="0FB87B82">
                  <w:pPr>
                    <w:pStyle w:val="41"/>
                  </w:pPr>
                  <w:r>
                    <w:t>一般固废</w:t>
                  </w:r>
                </w:p>
              </w:tc>
              <w:tc>
                <w:tcPr>
                  <w:tcW w:w="1649" w:type="dxa"/>
                  <w:vAlign w:val="center"/>
                </w:tcPr>
                <w:p w14:paraId="3366E798">
                  <w:pPr>
                    <w:pStyle w:val="41"/>
                  </w:pPr>
                  <w:r>
                    <w:rPr>
                      <w:rFonts w:hint="eastAsia"/>
                    </w:rPr>
                    <w:t>/</w:t>
                  </w:r>
                </w:p>
              </w:tc>
              <w:tc>
                <w:tcPr>
                  <w:tcW w:w="1648" w:type="dxa"/>
                  <w:vAlign w:val="center"/>
                </w:tcPr>
                <w:p w14:paraId="0DCF82FF">
                  <w:pPr>
                    <w:pStyle w:val="41"/>
                  </w:pPr>
                  <w:r>
                    <w:t>固体</w:t>
                  </w:r>
                </w:p>
              </w:tc>
              <w:tc>
                <w:tcPr>
                  <w:tcW w:w="1648" w:type="dxa"/>
                  <w:vAlign w:val="center"/>
                </w:tcPr>
                <w:p w14:paraId="6CE11CC4">
                  <w:pPr>
                    <w:pStyle w:val="41"/>
                  </w:pPr>
                  <w:r>
                    <w:rPr>
                      <w:rFonts w:hint="eastAsia"/>
                    </w:rPr>
                    <w:t>/</w:t>
                  </w:r>
                </w:p>
              </w:tc>
              <w:tc>
                <w:tcPr>
                  <w:tcW w:w="1896" w:type="dxa"/>
                  <w:vAlign w:val="center"/>
                </w:tcPr>
                <w:p w14:paraId="13198AE2">
                  <w:pPr>
                    <w:pStyle w:val="41"/>
                  </w:pPr>
                  <w:r>
                    <w:t>900-001-S17</w:t>
                  </w:r>
                </w:p>
              </w:tc>
              <w:tc>
                <w:tcPr>
                  <w:tcW w:w="1338" w:type="dxa"/>
                  <w:tcBorders>
                    <w:top w:val="single" w:color="auto" w:sz="4" w:space="0"/>
                    <w:bottom w:val="single" w:color="auto" w:sz="4" w:space="0"/>
                  </w:tcBorders>
                  <w:vAlign w:val="center"/>
                </w:tcPr>
                <w:p w14:paraId="55F1C75B">
                  <w:pPr>
                    <w:pStyle w:val="41"/>
                  </w:pPr>
                  <w:r>
                    <w:rPr>
                      <w:rFonts w:hint="eastAsia"/>
                    </w:rPr>
                    <w:t>28.645</w:t>
                  </w:r>
                </w:p>
              </w:tc>
              <w:tc>
                <w:tcPr>
                  <w:tcW w:w="1780" w:type="dxa"/>
                  <w:tcBorders>
                    <w:top w:val="single" w:color="auto" w:sz="4" w:space="0"/>
                    <w:bottom w:val="single" w:color="auto" w:sz="4" w:space="0"/>
                  </w:tcBorders>
                  <w:vAlign w:val="center"/>
                </w:tcPr>
                <w:p w14:paraId="3779E44C">
                  <w:pPr>
                    <w:pStyle w:val="41"/>
                  </w:pPr>
                  <w:r>
                    <w:rPr>
                      <w:rFonts w:hint="eastAsia"/>
                    </w:rPr>
                    <w:t>一般</w:t>
                  </w:r>
                  <w:r>
                    <w:t>固废暂存区</w:t>
                  </w:r>
                </w:p>
              </w:tc>
              <w:tc>
                <w:tcPr>
                  <w:tcW w:w="1600" w:type="dxa"/>
                  <w:tcBorders>
                    <w:top w:val="single" w:color="auto" w:sz="4" w:space="0"/>
                    <w:bottom w:val="single" w:color="auto" w:sz="4" w:space="0"/>
                  </w:tcBorders>
                  <w:vAlign w:val="center"/>
                </w:tcPr>
                <w:p w14:paraId="5A380336">
                  <w:pPr>
                    <w:pStyle w:val="41"/>
                  </w:pPr>
                  <w:r>
                    <w:rPr>
                      <w:rFonts w:hint="eastAsia"/>
                    </w:rPr>
                    <w:t>作为可回收资源出售</w:t>
                  </w:r>
                </w:p>
              </w:tc>
              <w:tc>
                <w:tcPr>
                  <w:tcW w:w="1729" w:type="dxa"/>
                  <w:tcBorders>
                    <w:top w:val="single" w:color="auto" w:sz="4" w:space="0"/>
                    <w:bottom w:val="single" w:color="auto" w:sz="4" w:space="0"/>
                  </w:tcBorders>
                  <w:vAlign w:val="center"/>
                </w:tcPr>
                <w:p w14:paraId="31E01306">
                  <w:pPr>
                    <w:pStyle w:val="41"/>
                  </w:pPr>
                  <w:r>
                    <w:rPr>
                      <w:rFonts w:hint="eastAsia"/>
                    </w:rPr>
                    <w:t>28.645</w:t>
                  </w:r>
                </w:p>
              </w:tc>
              <w:tc>
                <w:tcPr>
                  <w:tcW w:w="1796" w:type="dxa"/>
                  <w:vAlign w:val="center"/>
                </w:tcPr>
                <w:p w14:paraId="7C468FF0">
                  <w:pPr>
                    <w:pStyle w:val="41"/>
                  </w:pPr>
                  <w:r>
                    <w:t>分类收集存放</w:t>
                  </w:r>
                </w:p>
              </w:tc>
            </w:tr>
            <w:tr w14:paraId="09636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7" w:type="dxa"/>
                  <w:vAlign w:val="center"/>
                </w:tcPr>
                <w:p w14:paraId="1B9FFAA1">
                  <w:pPr>
                    <w:pStyle w:val="41"/>
                  </w:pPr>
                  <w:r>
                    <w:rPr>
                      <w:rFonts w:hint="eastAsia"/>
                    </w:rPr>
                    <w:t>生活</w:t>
                  </w:r>
                </w:p>
              </w:tc>
              <w:tc>
                <w:tcPr>
                  <w:tcW w:w="1769" w:type="dxa"/>
                  <w:vAlign w:val="center"/>
                </w:tcPr>
                <w:p w14:paraId="635EA7FC">
                  <w:pPr>
                    <w:pStyle w:val="41"/>
                  </w:pPr>
                  <w:r>
                    <w:rPr>
                      <w:rFonts w:hint="eastAsia"/>
                    </w:rPr>
                    <w:t>生活</w:t>
                  </w:r>
                  <w:r>
                    <w:t>垃圾</w:t>
                  </w:r>
                </w:p>
              </w:tc>
              <w:tc>
                <w:tcPr>
                  <w:tcW w:w="1526" w:type="dxa"/>
                  <w:vAlign w:val="center"/>
                </w:tcPr>
                <w:p w14:paraId="415F62E9">
                  <w:pPr>
                    <w:pStyle w:val="41"/>
                  </w:pPr>
                  <w:r>
                    <w:t>一般固废</w:t>
                  </w:r>
                </w:p>
              </w:tc>
              <w:tc>
                <w:tcPr>
                  <w:tcW w:w="1649" w:type="dxa"/>
                  <w:vAlign w:val="center"/>
                </w:tcPr>
                <w:p w14:paraId="036261DC">
                  <w:pPr>
                    <w:pStyle w:val="41"/>
                  </w:pPr>
                  <w:r>
                    <w:t>/</w:t>
                  </w:r>
                </w:p>
              </w:tc>
              <w:tc>
                <w:tcPr>
                  <w:tcW w:w="1648" w:type="dxa"/>
                  <w:vAlign w:val="center"/>
                </w:tcPr>
                <w:p w14:paraId="7050E6E5">
                  <w:pPr>
                    <w:pStyle w:val="41"/>
                  </w:pPr>
                  <w:r>
                    <w:t>固体</w:t>
                  </w:r>
                </w:p>
              </w:tc>
              <w:tc>
                <w:tcPr>
                  <w:tcW w:w="1648" w:type="dxa"/>
                  <w:vAlign w:val="center"/>
                </w:tcPr>
                <w:p w14:paraId="6AB6E550">
                  <w:pPr>
                    <w:pStyle w:val="41"/>
                  </w:pPr>
                  <w:r>
                    <w:rPr>
                      <w:rFonts w:hint="eastAsia"/>
                    </w:rPr>
                    <w:t>/</w:t>
                  </w:r>
                </w:p>
              </w:tc>
              <w:tc>
                <w:tcPr>
                  <w:tcW w:w="1896" w:type="dxa"/>
                  <w:vAlign w:val="center"/>
                </w:tcPr>
                <w:p w14:paraId="05880D4D">
                  <w:pPr>
                    <w:pStyle w:val="41"/>
                  </w:pPr>
                  <w:r>
                    <w:t>900-003-S61</w:t>
                  </w:r>
                </w:p>
              </w:tc>
              <w:tc>
                <w:tcPr>
                  <w:tcW w:w="1338" w:type="dxa"/>
                  <w:tcBorders>
                    <w:top w:val="single" w:color="auto" w:sz="4" w:space="0"/>
                    <w:bottom w:val="single" w:color="auto" w:sz="4" w:space="0"/>
                  </w:tcBorders>
                  <w:vAlign w:val="center"/>
                </w:tcPr>
                <w:p w14:paraId="4F72F147">
                  <w:pPr>
                    <w:pStyle w:val="41"/>
                  </w:pPr>
                  <w:r>
                    <w:rPr>
                      <w:rFonts w:hint="eastAsia"/>
                    </w:rPr>
                    <w:t>13.05</w:t>
                  </w:r>
                </w:p>
              </w:tc>
              <w:tc>
                <w:tcPr>
                  <w:tcW w:w="1780" w:type="dxa"/>
                  <w:tcBorders>
                    <w:top w:val="single" w:color="auto" w:sz="4" w:space="0"/>
                    <w:bottom w:val="single" w:color="auto" w:sz="4" w:space="0"/>
                  </w:tcBorders>
                  <w:vAlign w:val="center"/>
                </w:tcPr>
                <w:p w14:paraId="079F1460">
                  <w:pPr>
                    <w:pStyle w:val="41"/>
                  </w:pPr>
                  <w:r>
                    <w:t>垃圾桶</w:t>
                  </w:r>
                </w:p>
              </w:tc>
              <w:tc>
                <w:tcPr>
                  <w:tcW w:w="1600" w:type="dxa"/>
                  <w:tcBorders>
                    <w:top w:val="single" w:color="auto" w:sz="4" w:space="0"/>
                    <w:bottom w:val="single" w:color="auto" w:sz="4" w:space="0"/>
                  </w:tcBorders>
                  <w:vAlign w:val="center"/>
                </w:tcPr>
                <w:p w14:paraId="7CDD69B5">
                  <w:pPr>
                    <w:pStyle w:val="41"/>
                  </w:pPr>
                  <w:r>
                    <w:t>环卫部门处理</w:t>
                  </w:r>
                </w:p>
              </w:tc>
              <w:tc>
                <w:tcPr>
                  <w:tcW w:w="1729" w:type="dxa"/>
                  <w:tcBorders>
                    <w:top w:val="single" w:color="auto" w:sz="4" w:space="0"/>
                    <w:bottom w:val="single" w:color="auto" w:sz="4" w:space="0"/>
                  </w:tcBorders>
                  <w:vAlign w:val="center"/>
                </w:tcPr>
                <w:p w14:paraId="552D45DB">
                  <w:pPr>
                    <w:pStyle w:val="41"/>
                  </w:pPr>
                  <w:r>
                    <w:rPr>
                      <w:rFonts w:hint="eastAsia"/>
                    </w:rPr>
                    <w:t>13.05</w:t>
                  </w:r>
                </w:p>
              </w:tc>
              <w:tc>
                <w:tcPr>
                  <w:tcW w:w="1796" w:type="dxa"/>
                  <w:vAlign w:val="center"/>
                </w:tcPr>
                <w:p w14:paraId="44DDBB33">
                  <w:pPr>
                    <w:pStyle w:val="41"/>
                  </w:pPr>
                  <w:r>
                    <w:t>分类收集存放</w:t>
                  </w:r>
                </w:p>
              </w:tc>
            </w:tr>
            <w:tr w14:paraId="288012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7" w:type="dxa"/>
                  <w:vAlign w:val="center"/>
                </w:tcPr>
                <w:p w14:paraId="45B828B6">
                  <w:pPr>
                    <w:pStyle w:val="41"/>
                  </w:pPr>
                  <w:r>
                    <w:rPr>
                      <w:rFonts w:hint="eastAsia"/>
                    </w:rPr>
                    <w:t>涂胶工段</w:t>
                  </w:r>
                </w:p>
              </w:tc>
              <w:tc>
                <w:tcPr>
                  <w:tcW w:w="1769" w:type="dxa"/>
                  <w:vAlign w:val="center"/>
                </w:tcPr>
                <w:p w14:paraId="44FE9659">
                  <w:pPr>
                    <w:pStyle w:val="41"/>
                  </w:pPr>
                  <w:r>
                    <w:rPr>
                      <w:rFonts w:hint="eastAsia"/>
                    </w:rPr>
                    <w:t>废活性炭</w:t>
                  </w:r>
                </w:p>
              </w:tc>
              <w:tc>
                <w:tcPr>
                  <w:tcW w:w="1526" w:type="dxa"/>
                  <w:vAlign w:val="center"/>
                </w:tcPr>
                <w:p w14:paraId="75DAB210">
                  <w:pPr>
                    <w:pStyle w:val="41"/>
                  </w:pPr>
                  <w:r>
                    <w:t>危险废物</w:t>
                  </w:r>
                </w:p>
              </w:tc>
              <w:tc>
                <w:tcPr>
                  <w:tcW w:w="1649" w:type="dxa"/>
                  <w:vAlign w:val="center"/>
                </w:tcPr>
                <w:p w14:paraId="61EE18EE">
                  <w:pPr>
                    <w:pStyle w:val="41"/>
                  </w:pPr>
                  <w:r>
                    <w:t>有机物、活性炭</w:t>
                  </w:r>
                </w:p>
              </w:tc>
              <w:tc>
                <w:tcPr>
                  <w:tcW w:w="1648" w:type="dxa"/>
                  <w:vAlign w:val="center"/>
                </w:tcPr>
                <w:p w14:paraId="063F4BE4">
                  <w:pPr>
                    <w:pStyle w:val="41"/>
                  </w:pPr>
                  <w:r>
                    <w:t>固体</w:t>
                  </w:r>
                </w:p>
              </w:tc>
              <w:tc>
                <w:tcPr>
                  <w:tcW w:w="1648" w:type="dxa"/>
                  <w:vAlign w:val="center"/>
                </w:tcPr>
                <w:p w14:paraId="454F0CBF">
                  <w:pPr>
                    <w:pStyle w:val="41"/>
                  </w:pPr>
                  <w:r>
                    <w:t>T</w:t>
                  </w:r>
                </w:p>
              </w:tc>
              <w:tc>
                <w:tcPr>
                  <w:tcW w:w="1896" w:type="dxa"/>
                  <w:vAlign w:val="center"/>
                </w:tcPr>
                <w:p w14:paraId="04A8C798">
                  <w:pPr>
                    <w:pStyle w:val="41"/>
                  </w:pPr>
                  <w:r>
                    <w:t>HW49</w:t>
                  </w:r>
                  <w:r>
                    <w:rPr>
                      <w:rFonts w:hint="eastAsia"/>
                    </w:rPr>
                    <w:t>，</w:t>
                  </w:r>
                  <w:r>
                    <w:t>900-0</w:t>
                  </w:r>
                  <w:r>
                    <w:rPr>
                      <w:rFonts w:hint="eastAsia"/>
                    </w:rPr>
                    <w:t>39</w:t>
                  </w:r>
                  <w:r>
                    <w:t>-49</w:t>
                  </w:r>
                </w:p>
              </w:tc>
              <w:tc>
                <w:tcPr>
                  <w:tcW w:w="1338" w:type="dxa"/>
                  <w:tcBorders>
                    <w:top w:val="single" w:color="auto" w:sz="4" w:space="0"/>
                    <w:bottom w:val="single" w:color="auto" w:sz="4" w:space="0"/>
                  </w:tcBorders>
                  <w:vAlign w:val="center"/>
                </w:tcPr>
                <w:p w14:paraId="59FDBB47">
                  <w:pPr>
                    <w:pStyle w:val="41"/>
                  </w:pPr>
                  <w:r>
                    <w:rPr>
                      <w:rFonts w:hint="eastAsia"/>
                    </w:rPr>
                    <w:t>1.442</w:t>
                  </w:r>
                </w:p>
              </w:tc>
              <w:tc>
                <w:tcPr>
                  <w:tcW w:w="1780" w:type="dxa"/>
                  <w:tcBorders>
                    <w:top w:val="single" w:color="auto" w:sz="4" w:space="0"/>
                    <w:bottom w:val="single" w:color="auto" w:sz="4" w:space="0"/>
                  </w:tcBorders>
                  <w:vAlign w:val="center"/>
                </w:tcPr>
                <w:p w14:paraId="7606814F">
                  <w:pPr>
                    <w:pStyle w:val="41"/>
                  </w:pPr>
                  <w:r>
                    <w:t>危废暂存库</w:t>
                  </w:r>
                </w:p>
              </w:tc>
              <w:tc>
                <w:tcPr>
                  <w:tcW w:w="1600" w:type="dxa"/>
                  <w:tcBorders>
                    <w:top w:val="single" w:color="auto" w:sz="4" w:space="0"/>
                    <w:bottom w:val="single" w:color="auto" w:sz="4" w:space="0"/>
                  </w:tcBorders>
                  <w:vAlign w:val="center"/>
                </w:tcPr>
                <w:p w14:paraId="729BB0D4">
                  <w:pPr>
                    <w:pStyle w:val="41"/>
                  </w:pPr>
                  <w:r>
                    <w:rPr>
                      <w:rFonts w:hint="eastAsia"/>
                    </w:rPr>
                    <w:t>委托有资质单位处置</w:t>
                  </w:r>
                </w:p>
              </w:tc>
              <w:tc>
                <w:tcPr>
                  <w:tcW w:w="1729" w:type="dxa"/>
                  <w:tcBorders>
                    <w:top w:val="single" w:color="auto" w:sz="4" w:space="0"/>
                    <w:bottom w:val="single" w:color="auto" w:sz="4" w:space="0"/>
                  </w:tcBorders>
                  <w:vAlign w:val="center"/>
                </w:tcPr>
                <w:p w14:paraId="59DB9C0A">
                  <w:pPr>
                    <w:pStyle w:val="41"/>
                  </w:pPr>
                  <w:r>
                    <w:rPr>
                      <w:rFonts w:hint="eastAsia"/>
                    </w:rPr>
                    <w:t>1.442</w:t>
                  </w:r>
                </w:p>
              </w:tc>
              <w:tc>
                <w:tcPr>
                  <w:tcW w:w="1796" w:type="dxa"/>
                  <w:vAlign w:val="center"/>
                </w:tcPr>
                <w:p w14:paraId="58FE228B">
                  <w:pPr>
                    <w:pStyle w:val="41"/>
                  </w:pPr>
                  <w:r>
                    <w:t>分类收集存放</w:t>
                  </w:r>
                </w:p>
              </w:tc>
            </w:tr>
            <w:tr w14:paraId="1476EF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7" w:type="dxa"/>
                  <w:vMerge w:val="restart"/>
                  <w:vAlign w:val="center"/>
                </w:tcPr>
                <w:p w14:paraId="5450AB74">
                  <w:pPr>
                    <w:pStyle w:val="41"/>
                  </w:pPr>
                  <w:r>
                    <w:rPr>
                      <w:rFonts w:hint="eastAsia"/>
                    </w:rPr>
                    <w:t>设备润滑</w:t>
                  </w:r>
                </w:p>
              </w:tc>
              <w:tc>
                <w:tcPr>
                  <w:tcW w:w="1769" w:type="dxa"/>
                  <w:vAlign w:val="center"/>
                </w:tcPr>
                <w:p w14:paraId="35CE6DA3">
                  <w:pPr>
                    <w:pStyle w:val="41"/>
                  </w:pPr>
                  <w:r>
                    <w:rPr>
                      <w:rFonts w:hint="eastAsia"/>
                    </w:rPr>
                    <w:t>废润滑油</w:t>
                  </w:r>
                </w:p>
              </w:tc>
              <w:tc>
                <w:tcPr>
                  <w:tcW w:w="1526" w:type="dxa"/>
                  <w:vAlign w:val="center"/>
                </w:tcPr>
                <w:p w14:paraId="4B50E0A7">
                  <w:pPr>
                    <w:pStyle w:val="41"/>
                  </w:pPr>
                  <w:r>
                    <w:t>危险废物</w:t>
                  </w:r>
                </w:p>
              </w:tc>
              <w:tc>
                <w:tcPr>
                  <w:tcW w:w="1649" w:type="dxa"/>
                  <w:vAlign w:val="center"/>
                </w:tcPr>
                <w:p w14:paraId="78C749B8">
                  <w:pPr>
                    <w:pStyle w:val="41"/>
                  </w:pPr>
                  <w:r>
                    <w:rPr>
                      <w:rFonts w:hint="eastAsia"/>
                    </w:rPr>
                    <w:t>油类</w:t>
                  </w:r>
                </w:p>
              </w:tc>
              <w:tc>
                <w:tcPr>
                  <w:tcW w:w="1648" w:type="dxa"/>
                  <w:vAlign w:val="center"/>
                </w:tcPr>
                <w:p w14:paraId="10641CFF">
                  <w:pPr>
                    <w:pStyle w:val="41"/>
                  </w:pPr>
                  <w:r>
                    <w:rPr>
                      <w:rFonts w:hint="eastAsia"/>
                    </w:rPr>
                    <w:t>液体</w:t>
                  </w:r>
                </w:p>
              </w:tc>
              <w:tc>
                <w:tcPr>
                  <w:tcW w:w="1648" w:type="dxa"/>
                  <w:vAlign w:val="center"/>
                </w:tcPr>
                <w:p w14:paraId="6BB90D91">
                  <w:pPr>
                    <w:pStyle w:val="41"/>
                  </w:pPr>
                  <w:r>
                    <w:rPr>
                      <w:rFonts w:hint="eastAsia"/>
                    </w:rPr>
                    <w:t>T，I</w:t>
                  </w:r>
                </w:p>
              </w:tc>
              <w:tc>
                <w:tcPr>
                  <w:tcW w:w="1896" w:type="dxa"/>
                  <w:vAlign w:val="center"/>
                </w:tcPr>
                <w:p w14:paraId="354A76F3">
                  <w:pPr>
                    <w:pStyle w:val="41"/>
                  </w:pPr>
                  <w:r>
                    <w:rPr>
                      <w:rFonts w:hint="eastAsia"/>
                    </w:rPr>
                    <w:t>HW08，900-217-08</w:t>
                  </w:r>
                </w:p>
              </w:tc>
              <w:tc>
                <w:tcPr>
                  <w:tcW w:w="1338" w:type="dxa"/>
                  <w:tcBorders>
                    <w:top w:val="single" w:color="auto" w:sz="4" w:space="0"/>
                    <w:bottom w:val="single" w:color="auto" w:sz="4" w:space="0"/>
                  </w:tcBorders>
                  <w:vAlign w:val="center"/>
                </w:tcPr>
                <w:p w14:paraId="04C22B1D">
                  <w:pPr>
                    <w:pStyle w:val="41"/>
                  </w:pPr>
                  <w:r>
                    <w:rPr>
                      <w:rFonts w:hint="eastAsia"/>
                    </w:rPr>
                    <w:t>0.08</w:t>
                  </w:r>
                </w:p>
              </w:tc>
              <w:tc>
                <w:tcPr>
                  <w:tcW w:w="1780" w:type="dxa"/>
                  <w:tcBorders>
                    <w:top w:val="single" w:color="auto" w:sz="4" w:space="0"/>
                    <w:bottom w:val="single" w:color="auto" w:sz="4" w:space="0"/>
                  </w:tcBorders>
                  <w:vAlign w:val="center"/>
                </w:tcPr>
                <w:p w14:paraId="27FC9B0E">
                  <w:pPr>
                    <w:pStyle w:val="41"/>
                  </w:pPr>
                  <w:r>
                    <w:t>危废暂存库</w:t>
                  </w:r>
                </w:p>
              </w:tc>
              <w:tc>
                <w:tcPr>
                  <w:tcW w:w="1600" w:type="dxa"/>
                  <w:tcBorders>
                    <w:top w:val="single" w:color="auto" w:sz="4" w:space="0"/>
                    <w:bottom w:val="single" w:color="auto" w:sz="4" w:space="0"/>
                  </w:tcBorders>
                  <w:vAlign w:val="center"/>
                </w:tcPr>
                <w:p w14:paraId="20D51F4F">
                  <w:pPr>
                    <w:pStyle w:val="41"/>
                  </w:pPr>
                  <w:r>
                    <w:rPr>
                      <w:rFonts w:hint="eastAsia"/>
                    </w:rPr>
                    <w:t>委托有资质单位处置</w:t>
                  </w:r>
                </w:p>
              </w:tc>
              <w:tc>
                <w:tcPr>
                  <w:tcW w:w="1729" w:type="dxa"/>
                  <w:tcBorders>
                    <w:top w:val="single" w:color="auto" w:sz="4" w:space="0"/>
                    <w:bottom w:val="single" w:color="auto" w:sz="4" w:space="0"/>
                  </w:tcBorders>
                  <w:vAlign w:val="center"/>
                </w:tcPr>
                <w:p w14:paraId="2B1EEE85">
                  <w:pPr>
                    <w:pStyle w:val="41"/>
                  </w:pPr>
                  <w:r>
                    <w:rPr>
                      <w:rFonts w:hint="eastAsia"/>
                    </w:rPr>
                    <w:t>0.08</w:t>
                  </w:r>
                </w:p>
              </w:tc>
              <w:tc>
                <w:tcPr>
                  <w:tcW w:w="1796" w:type="dxa"/>
                  <w:vAlign w:val="center"/>
                </w:tcPr>
                <w:p w14:paraId="5CB12F78">
                  <w:pPr>
                    <w:pStyle w:val="41"/>
                  </w:pPr>
                  <w:r>
                    <w:t>分类收集存放</w:t>
                  </w:r>
                </w:p>
              </w:tc>
            </w:tr>
            <w:tr w14:paraId="1864F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7" w:type="dxa"/>
                  <w:vMerge w:val="continue"/>
                  <w:vAlign w:val="center"/>
                </w:tcPr>
                <w:p w14:paraId="31D0CFB6">
                  <w:pPr>
                    <w:pStyle w:val="41"/>
                  </w:pPr>
                </w:p>
              </w:tc>
              <w:tc>
                <w:tcPr>
                  <w:tcW w:w="1769" w:type="dxa"/>
                  <w:vAlign w:val="center"/>
                </w:tcPr>
                <w:p w14:paraId="32BD4AA4">
                  <w:pPr>
                    <w:pStyle w:val="41"/>
                  </w:pPr>
                  <w:r>
                    <w:rPr>
                      <w:rFonts w:hint="eastAsia"/>
                    </w:rPr>
                    <w:t>废润滑油桶</w:t>
                  </w:r>
                </w:p>
              </w:tc>
              <w:tc>
                <w:tcPr>
                  <w:tcW w:w="1526" w:type="dxa"/>
                  <w:vAlign w:val="center"/>
                </w:tcPr>
                <w:p w14:paraId="22E54108">
                  <w:pPr>
                    <w:pStyle w:val="41"/>
                  </w:pPr>
                  <w:r>
                    <w:t>危险废物</w:t>
                  </w:r>
                </w:p>
              </w:tc>
              <w:tc>
                <w:tcPr>
                  <w:tcW w:w="1649" w:type="dxa"/>
                  <w:vAlign w:val="center"/>
                </w:tcPr>
                <w:p w14:paraId="4FFCA65F">
                  <w:pPr>
                    <w:pStyle w:val="41"/>
                  </w:pPr>
                  <w:r>
                    <w:rPr>
                      <w:rFonts w:hint="eastAsia"/>
                    </w:rPr>
                    <w:t>油类</w:t>
                  </w:r>
                </w:p>
              </w:tc>
              <w:tc>
                <w:tcPr>
                  <w:tcW w:w="1648" w:type="dxa"/>
                  <w:vAlign w:val="center"/>
                </w:tcPr>
                <w:p w14:paraId="2A877BE1">
                  <w:pPr>
                    <w:pStyle w:val="41"/>
                  </w:pPr>
                  <w:r>
                    <w:t>固体</w:t>
                  </w:r>
                  <w:r>
                    <w:rPr>
                      <w:rFonts w:hint="eastAsia"/>
                    </w:rPr>
                    <w:t>、液体</w:t>
                  </w:r>
                </w:p>
              </w:tc>
              <w:tc>
                <w:tcPr>
                  <w:tcW w:w="1648" w:type="dxa"/>
                  <w:vAlign w:val="center"/>
                </w:tcPr>
                <w:p w14:paraId="2AA839C3">
                  <w:pPr>
                    <w:pStyle w:val="41"/>
                  </w:pPr>
                  <w:r>
                    <w:rPr>
                      <w:rFonts w:hint="eastAsia"/>
                    </w:rPr>
                    <w:t>T，In</w:t>
                  </w:r>
                </w:p>
              </w:tc>
              <w:tc>
                <w:tcPr>
                  <w:tcW w:w="1896" w:type="dxa"/>
                  <w:vAlign w:val="center"/>
                </w:tcPr>
                <w:p w14:paraId="12BCAB36">
                  <w:pPr>
                    <w:pStyle w:val="41"/>
                  </w:pPr>
                  <w:r>
                    <w:rPr>
                      <w:rFonts w:hint="eastAsia"/>
                    </w:rPr>
                    <w:t>HW49，900-041-49</w:t>
                  </w:r>
                </w:p>
              </w:tc>
              <w:tc>
                <w:tcPr>
                  <w:tcW w:w="1338" w:type="dxa"/>
                  <w:tcBorders>
                    <w:top w:val="single" w:color="auto" w:sz="4" w:space="0"/>
                    <w:bottom w:val="single" w:color="auto" w:sz="4" w:space="0"/>
                  </w:tcBorders>
                  <w:vAlign w:val="center"/>
                </w:tcPr>
                <w:p w14:paraId="6B00E106">
                  <w:pPr>
                    <w:pStyle w:val="41"/>
                  </w:pPr>
                  <w:r>
                    <w:rPr>
                      <w:rFonts w:hint="eastAsia"/>
                    </w:rPr>
                    <w:t>0.07</w:t>
                  </w:r>
                </w:p>
              </w:tc>
              <w:tc>
                <w:tcPr>
                  <w:tcW w:w="1780" w:type="dxa"/>
                  <w:tcBorders>
                    <w:top w:val="single" w:color="auto" w:sz="4" w:space="0"/>
                    <w:bottom w:val="single" w:color="auto" w:sz="4" w:space="0"/>
                  </w:tcBorders>
                  <w:vAlign w:val="center"/>
                </w:tcPr>
                <w:p w14:paraId="1BC59C0B">
                  <w:pPr>
                    <w:pStyle w:val="41"/>
                  </w:pPr>
                  <w:r>
                    <w:t>危废暂存库</w:t>
                  </w:r>
                </w:p>
              </w:tc>
              <w:tc>
                <w:tcPr>
                  <w:tcW w:w="1600" w:type="dxa"/>
                  <w:tcBorders>
                    <w:top w:val="single" w:color="auto" w:sz="4" w:space="0"/>
                    <w:bottom w:val="single" w:color="auto" w:sz="4" w:space="0"/>
                  </w:tcBorders>
                  <w:vAlign w:val="center"/>
                </w:tcPr>
                <w:p w14:paraId="07000507">
                  <w:pPr>
                    <w:pStyle w:val="41"/>
                  </w:pPr>
                  <w:r>
                    <w:rPr>
                      <w:rFonts w:hint="eastAsia"/>
                    </w:rPr>
                    <w:t>委托有资质单位处置</w:t>
                  </w:r>
                </w:p>
              </w:tc>
              <w:tc>
                <w:tcPr>
                  <w:tcW w:w="1729" w:type="dxa"/>
                  <w:tcBorders>
                    <w:top w:val="single" w:color="auto" w:sz="4" w:space="0"/>
                    <w:bottom w:val="single" w:color="auto" w:sz="4" w:space="0"/>
                  </w:tcBorders>
                  <w:vAlign w:val="center"/>
                </w:tcPr>
                <w:p w14:paraId="26CD8568">
                  <w:pPr>
                    <w:pStyle w:val="41"/>
                  </w:pPr>
                  <w:r>
                    <w:rPr>
                      <w:rFonts w:hint="eastAsia"/>
                    </w:rPr>
                    <w:t>0.07</w:t>
                  </w:r>
                </w:p>
              </w:tc>
              <w:tc>
                <w:tcPr>
                  <w:tcW w:w="1796" w:type="dxa"/>
                  <w:vAlign w:val="center"/>
                </w:tcPr>
                <w:p w14:paraId="3583B289">
                  <w:pPr>
                    <w:pStyle w:val="41"/>
                  </w:pPr>
                  <w:r>
                    <w:t>分类收集存放</w:t>
                  </w:r>
                </w:p>
              </w:tc>
            </w:tr>
            <w:tr w14:paraId="145BA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7" w:type="dxa"/>
                  <w:vMerge w:val="restart"/>
                  <w:vAlign w:val="center"/>
                </w:tcPr>
                <w:p w14:paraId="75676944">
                  <w:pPr>
                    <w:pStyle w:val="41"/>
                  </w:pPr>
                  <w:r>
                    <w:rPr>
                      <w:rFonts w:hint="eastAsia"/>
                    </w:rPr>
                    <w:t>涂胶工段</w:t>
                  </w:r>
                </w:p>
              </w:tc>
              <w:tc>
                <w:tcPr>
                  <w:tcW w:w="1769" w:type="dxa"/>
                  <w:vAlign w:val="center"/>
                </w:tcPr>
                <w:p w14:paraId="1B3E5097">
                  <w:pPr>
                    <w:pStyle w:val="41"/>
                    <w:rPr>
                      <w:rFonts w:hint="eastAsia" w:ascii="宋体" w:hAnsi="宋体" w:cs="宋体"/>
                    </w:rPr>
                  </w:pPr>
                  <w:r>
                    <w:rPr>
                      <w:rFonts w:hint="eastAsia"/>
                    </w:rPr>
                    <w:t>废胶桶</w:t>
                  </w:r>
                </w:p>
              </w:tc>
              <w:tc>
                <w:tcPr>
                  <w:tcW w:w="1526" w:type="dxa"/>
                  <w:vAlign w:val="center"/>
                </w:tcPr>
                <w:p w14:paraId="40A66023">
                  <w:pPr>
                    <w:pStyle w:val="41"/>
                  </w:pPr>
                  <w:r>
                    <w:t>危险废物</w:t>
                  </w:r>
                </w:p>
              </w:tc>
              <w:tc>
                <w:tcPr>
                  <w:tcW w:w="1649" w:type="dxa"/>
                  <w:vAlign w:val="center"/>
                </w:tcPr>
                <w:p w14:paraId="49C2E9CB">
                  <w:pPr>
                    <w:pStyle w:val="41"/>
                  </w:pPr>
                  <w:r>
                    <w:rPr>
                      <w:rFonts w:hint="eastAsia"/>
                    </w:rPr>
                    <w:t>有机物</w:t>
                  </w:r>
                </w:p>
              </w:tc>
              <w:tc>
                <w:tcPr>
                  <w:tcW w:w="1648" w:type="dxa"/>
                  <w:vAlign w:val="center"/>
                </w:tcPr>
                <w:p w14:paraId="558FEABC">
                  <w:pPr>
                    <w:pStyle w:val="41"/>
                  </w:pPr>
                  <w:r>
                    <w:t>固体</w:t>
                  </w:r>
                </w:p>
              </w:tc>
              <w:tc>
                <w:tcPr>
                  <w:tcW w:w="1648" w:type="dxa"/>
                  <w:vAlign w:val="center"/>
                </w:tcPr>
                <w:p w14:paraId="0D2D0DE9">
                  <w:pPr>
                    <w:pStyle w:val="41"/>
                  </w:pPr>
                  <w:r>
                    <w:rPr>
                      <w:rFonts w:hint="eastAsia"/>
                    </w:rPr>
                    <w:t>T，In</w:t>
                  </w:r>
                </w:p>
              </w:tc>
              <w:tc>
                <w:tcPr>
                  <w:tcW w:w="1896" w:type="dxa"/>
                  <w:vAlign w:val="center"/>
                </w:tcPr>
                <w:p w14:paraId="147B4E6E">
                  <w:pPr>
                    <w:pStyle w:val="41"/>
                  </w:pPr>
                  <w:r>
                    <w:rPr>
                      <w:rFonts w:hint="eastAsia"/>
                    </w:rPr>
                    <w:t>HW49，900-041-49</w:t>
                  </w:r>
                </w:p>
              </w:tc>
              <w:tc>
                <w:tcPr>
                  <w:tcW w:w="1338" w:type="dxa"/>
                  <w:tcBorders>
                    <w:top w:val="single" w:color="auto" w:sz="4" w:space="0"/>
                    <w:bottom w:val="single" w:color="auto" w:sz="4" w:space="0"/>
                  </w:tcBorders>
                  <w:vAlign w:val="center"/>
                </w:tcPr>
                <w:p w14:paraId="597CA0EF">
                  <w:pPr>
                    <w:pStyle w:val="41"/>
                  </w:pPr>
                  <w:r>
                    <w:rPr>
                      <w:rFonts w:hint="eastAsia"/>
                    </w:rPr>
                    <w:t>0.1</w:t>
                  </w:r>
                </w:p>
              </w:tc>
              <w:tc>
                <w:tcPr>
                  <w:tcW w:w="1780" w:type="dxa"/>
                  <w:tcBorders>
                    <w:top w:val="single" w:color="auto" w:sz="4" w:space="0"/>
                    <w:bottom w:val="single" w:color="auto" w:sz="4" w:space="0"/>
                  </w:tcBorders>
                  <w:vAlign w:val="center"/>
                </w:tcPr>
                <w:p w14:paraId="1D36DBE6">
                  <w:pPr>
                    <w:pStyle w:val="41"/>
                  </w:pPr>
                  <w:r>
                    <w:t>危废暂存库</w:t>
                  </w:r>
                </w:p>
              </w:tc>
              <w:tc>
                <w:tcPr>
                  <w:tcW w:w="1600" w:type="dxa"/>
                  <w:tcBorders>
                    <w:top w:val="single" w:color="auto" w:sz="4" w:space="0"/>
                    <w:bottom w:val="single" w:color="auto" w:sz="4" w:space="0"/>
                  </w:tcBorders>
                  <w:vAlign w:val="center"/>
                </w:tcPr>
                <w:p w14:paraId="5C9ECFAF">
                  <w:pPr>
                    <w:pStyle w:val="41"/>
                  </w:pPr>
                  <w:r>
                    <w:rPr>
                      <w:rFonts w:hint="eastAsia"/>
                    </w:rPr>
                    <w:t>委托有资质单位处置</w:t>
                  </w:r>
                </w:p>
              </w:tc>
              <w:tc>
                <w:tcPr>
                  <w:tcW w:w="1729" w:type="dxa"/>
                  <w:tcBorders>
                    <w:top w:val="single" w:color="auto" w:sz="4" w:space="0"/>
                    <w:bottom w:val="single" w:color="auto" w:sz="4" w:space="0"/>
                  </w:tcBorders>
                  <w:vAlign w:val="center"/>
                </w:tcPr>
                <w:p w14:paraId="53925134">
                  <w:pPr>
                    <w:pStyle w:val="41"/>
                  </w:pPr>
                  <w:r>
                    <w:rPr>
                      <w:rFonts w:hint="eastAsia"/>
                    </w:rPr>
                    <w:t>0.1</w:t>
                  </w:r>
                </w:p>
              </w:tc>
              <w:tc>
                <w:tcPr>
                  <w:tcW w:w="1796" w:type="dxa"/>
                  <w:vAlign w:val="center"/>
                </w:tcPr>
                <w:p w14:paraId="2F420F8F">
                  <w:pPr>
                    <w:pStyle w:val="41"/>
                  </w:pPr>
                  <w:r>
                    <w:t>分类收集存放</w:t>
                  </w:r>
                </w:p>
              </w:tc>
            </w:tr>
            <w:tr w14:paraId="5A966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7" w:type="dxa"/>
                  <w:vMerge w:val="continue"/>
                  <w:vAlign w:val="center"/>
                </w:tcPr>
                <w:p w14:paraId="1B5688DF">
                  <w:pPr>
                    <w:pStyle w:val="41"/>
                  </w:pPr>
                </w:p>
              </w:tc>
              <w:tc>
                <w:tcPr>
                  <w:tcW w:w="1769" w:type="dxa"/>
                  <w:vAlign w:val="center"/>
                </w:tcPr>
                <w:p w14:paraId="61CD965F">
                  <w:pPr>
                    <w:pStyle w:val="41"/>
                  </w:pPr>
                  <w:r>
                    <w:rPr>
                      <w:rFonts w:hint="eastAsia"/>
                    </w:rPr>
                    <w:t>废胶</w:t>
                  </w:r>
                </w:p>
              </w:tc>
              <w:tc>
                <w:tcPr>
                  <w:tcW w:w="1526" w:type="dxa"/>
                  <w:vAlign w:val="center"/>
                </w:tcPr>
                <w:p w14:paraId="270E9FAB">
                  <w:pPr>
                    <w:pStyle w:val="41"/>
                  </w:pPr>
                  <w:r>
                    <w:t>危险废物</w:t>
                  </w:r>
                </w:p>
              </w:tc>
              <w:tc>
                <w:tcPr>
                  <w:tcW w:w="1649" w:type="dxa"/>
                  <w:vAlign w:val="center"/>
                </w:tcPr>
                <w:p w14:paraId="77101ED6">
                  <w:pPr>
                    <w:pStyle w:val="41"/>
                  </w:pPr>
                  <w:r>
                    <w:rPr>
                      <w:rFonts w:hint="eastAsia"/>
                    </w:rPr>
                    <w:t>有机物</w:t>
                  </w:r>
                </w:p>
              </w:tc>
              <w:tc>
                <w:tcPr>
                  <w:tcW w:w="1648" w:type="dxa"/>
                  <w:vAlign w:val="center"/>
                </w:tcPr>
                <w:p w14:paraId="407BEF07">
                  <w:pPr>
                    <w:pStyle w:val="41"/>
                  </w:pPr>
                  <w:r>
                    <w:t>固体</w:t>
                  </w:r>
                </w:p>
              </w:tc>
              <w:tc>
                <w:tcPr>
                  <w:tcW w:w="1648" w:type="dxa"/>
                  <w:vAlign w:val="center"/>
                </w:tcPr>
                <w:p w14:paraId="6D8DBFF9">
                  <w:pPr>
                    <w:pStyle w:val="41"/>
                  </w:pPr>
                  <w:r>
                    <w:rPr>
                      <w:rFonts w:hint="eastAsia"/>
                    </w:rPr>
                    <w:t>T，In</w:t>
                  </w:r>
                </w:p>
              </w:tc>
              <w:tc>
                <w:tcPr>
                  <w:tcW w:w="1896" w:type="dxa"/>
                  <w:vAlign w:val="center"/>
                </w:tcPr>
                <w:p w14:paraId="720AAAE4">
                  <w:pPr>
                    <w:pStyle w:val="41"/>
                  </w:pPr>
                  <w:r>
                    <w:rPr>
                      <w:rFonts w:hint="eastAsia"/>
                    </w:rPr>
                    <w:t>HW13，</w:t>
                  </w:r>
                  <w:r>
                    <w:t>900-014-13</w:t>
                  </w:r>
                </w:p>
              </w:tc>
              <w:tc>
                <w:tcPr>
                  <w:tcW w:w="1338" w:type="dxa"/>
                  <w:tcBorders>
                    <w:top w:val="single" w:color="auto" w:sz="4" w:space="0"/>
                  </w:tcBorders>
                  <w:vAlign w:val="center"/>
                </w:tcPr>
                <w:p w14:paraId="1E4ADB5A">
                  <w:pPr>
                    <w:pStyle w:val="41"/>
                  </w:pPr>
                  <w:r>
                    <w:rPr>
                      <w:rFonts w:hint="eastAsia"/>
                    </w:rPr>
                    <w:t>0.3</w:t>
                  </w:r>
                </w:p>
              </w:tc>
              <w:tc>
                <w:tcPr>
                  <w:tcW w:w="1780" w:type="dxa"/>
                  <w:tcBorders>
                    <w:top w:val="single" w:color="auto" w:sz="4" w:space="0"/>
                  </w:tcBorders>
                  <w:vAlign w:val="center"/>
                </w:tcPr>
                <w:p w14:paraId="38CDBC2D">
                  <w:pPr>
                    <w:pStyle w:val="41"/>
                  </w:pPr>
                  <w:r>
                    <w:t>危废暂存库</w:t>
                  </w:r>
                </w:p>
              </w:tc>
              <w:tc>
                <w:tcPr>
                  <w:tcW w:w="1600" w:type="dxa"/>
                  <w:tcBorders>
                    <w:top w:val="single" w:color="auto" w:sz="4" w:space="0"/>
                  </w:tcBorders>
                  <w:vAlign w:val="center"/>
                </w:tcPr>
                <w:p w14:paraId="47B8D1D4">
                  <w:pPr>
                    <w:pStyle w:val="41"/>
                  </w:pPr>
                  <w:r>
                    <w:rPr>
                      <w:rFonts w:hint="eastAsia"/>
                    </w:rPr>
                    <w:t>委托有资质单位处置</w:t>
                  </w:r>
                </w:p>
              </w:tc>
              <w:tc>
                <w:tcPr>
                  <w:tcW w:w="1729" w:type="dxa"/>
                  <w:tcBorders>
                    <w:top w:val="single" w:color="auto" w:sz="4" w:space="0"/>
                  </w:tcBorders>
                  <w:vAlign w:val="center"/>
                </w:tcPr>
                <w:p w14:paraId="185696CC">
                  <w:pPr>
                    <w:pStyle w:val="41"/>
                  </w:pPr>
                  <w:r>
                    <w:rPr>
                      <w:rFonts w:hint="eastAsia"/>
                    </w:rPr>
                    <w:t>0.3</w:t>
                  </w:r>
                </w:p>
              </w:tc>
              <w:tc>
                <w:tcPr>
                  <w:tcW w:w="1796" w:type="dxa"/>
                  <w:vAlign w:val="center"/>
                </w:tcPr>
                <w:p w14:paraId="4CE3CF59">
                  <w:pPr>
                    <w:pStyle w:val="41"/>
                  </w:pPr>
                  <w:r>
                    <w:t>分类收集存放</w:t>
                  </w:r>
                </w:p>
              </w:tc>
            </w:tr>
          </w:tbl>
          <w:p w14:paraId="5827CC7B">
            <w:pPr>
              <w:pStyle w:val="4"/>
              <w:spacing w:before="120" w:after="120"/>
            </w:pPr>
          </w:p>
          <w:p w14:paraId="09DC6D5E">
            <w:pPr>
              <w:pStyle w:val="4"/>
              <w:spacing w:before="120" w:after="120"/>
            </w:pPr>
          </w:p>
          <w:p w14:paraId="685C6B17">
            <w:pPr>
              <w:ind w:firstLine="0" w:firstLineChars="0"/>
            </w:pPr>
          </w:p>
          <w:p w14:paraId="3C85372F">
            <w:pPr>
              <w:ind w:firstLine="0" w:firstLineChars="0"/>
            </w:pPr>
          </w:p>
          <w:p w14:paraId="5DA2DA24">
            <w:pPr>
              <w:ind w:firstLine="0" w:firstLineChars="0"/>
            </w:pPr>
          </w:p>
          <w:p w14:paraId="4B978FA3">
            <w:pPr>
              <w:ind w:firstLine="0" w:firstLineChars="0"/>
            </w:pPr>
          </w:p>
          <w:p w14:paraId="106E4406">
            <w:pPr>
              <w:ind w:firstLine="0" w:firstLineChars="0"/>
            </w:pPr>
          </w:p>
          <w:p w14:paraId="71344B8E">
            <w:pPr>
              <w:ind w:firstLine="0" w:firstLineChars="0"/>
              <w:rPr>
                <w:rFonts w:eastAsia="等线"/>
                <w:snapToGrid w:val="0"/>
              </w:rPr>
            </w:pPr>
          </w:p>
        </w:tc>
      </w:tr>
    </w:tbl>
    <w:p w14:paraId="7DDEF8FD">
      <w:pPr>
        <w:adjustRightInd w:val="0"/>
        <w:snapToGrid w:val="0"/>
        <w:ind w:firstLine="562"/>
        <w:rPr>
          <w:b/>
          <w:kern w:val="0"/>
          <w:sz w:val="28"/>
          <w:szCs w:val="28"/>
        </w:rPr>
      </w:pPr>
    </w:p>
    <w:p w14:paraId="3DA8BC35">
      <w:pPr>
        <w:adjustRightInd w:val="0"/>
        <w:snapToGrid w:val="0"/>
        <w:ind w:firstLine="562"/>
        <w:rPr>
          <w:b/>
          <w:kern w:val="0"/>
          <w:sz w:val="28"/>
          <w:szCs w:val="28"/>
        </w:rPr>
        <w:sectPr>
          <w:pgSz w:w="23757" w:h="16783" w:orient="landscape"/>
          <w:pgMar w:top="1417" w:right="1417" w:bottom="1417" w:left="1417" w:header="851" w:footer="850" w:gutter="0"/>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8710"/>
      </w:tblGrid>
      <w:tr w14:paraId="7BECB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7" w:type="dxa"/>
          </w:tcPr>
          <w:p w14:paraId="033E7241">
            <w:pPr>
              <w:ind w:firstLine="480"/>
            </w:pPr>
          </w:p>
        </w:tc>
        <w:tc>
          <w:tcPr>
            <w:tcW w:w="8710" w:type="dxa"/>
          </w:tcPr>
          <w:p w14:paraId="0DB1D267">
            <w:pPr>
              <w:pStyle w:val="4"/>
              <w:spacing w:before="0" w:beforeLines="0" w:after="0" w:afterLines="0"/>
            </w:pPr>
            <w:r>
              <w:t>4.2.</w:t>
            </w:r>
            <w:r>
              <w:rPr>
                <w:rFonts w:hint="eastAsia"/>
              </w:rPr>
              <w:t>5环境</w:t>
            </w:r>
            <w:r>
              <w:t>风险</w:t>
            </w:r>
          </w:p>
          <w:p w14:paraId="79E16207">
            <w:pPr>
              <w:ind w:firstLine="482"/>
              <w:rPr>
                <w:b/>
                <w:bCs/>
              </w:rPr>
            </w:pPr>
            <w:r>
              <w:rPr>
                <w:b/>
                <w:bCs/>
              </w:rPr>
              <w:t>1</w:t>
            </w:r>
            <w:r>
              <w:rPr>
                <w:rFonts w:hint="eastAsia"/>
                <w:b/>
                <w:bCs/>
              </w:rPr>
              <w:t>、</w:t>
            </w:r>
            <w:r>
              <w:rPr>
                <w:b/>
                <w:bCs/>
              </w:rPr>
              <w:t>建设项目风险源调查</w:t>
            </w:r>
          </w:p>
          <w:p w14:paraId="567AA89E">
            <w:pPr>
              <w:ind w:firstLine="480"/>
            </w:pPr>
            <w:r>
              <w:t>根据《建设项目环境风险评价技术导则》（HJ169-2018）附录B，本项目风险物质主要为</w:t>
            </w:r>
            <w:r>
              <w:rPr>
                <w:rFonts w:hint="eastAsia"/>
              </w:rPr>
              <w:t>废润滑油</w:t>
            </w:r>
            <w:r>
              <w:t>，最大贮存量与临界量见下表。</w:t>
            </w:r>
          </w:p>
          <w:p w14:paraId="3AA39BD3">
            <w:pPr>
              <w:spacing w:before="120" w:beforeLines="50" w:line="240" w:lineRule="auto"/>
              <w:ind w:firstLine="0" w:firstLineChars="0"/>
              <w:jc w:val="center"/>
              <w:outlineLvl w:val="4"/>
            </w:pPr>
            <w:r>
              <w:rPr>
                <w:b/>
              </w:rPr>
              <w:t>表</w:t>
            </w:r>
            <w:r>
              <w:rPr>
                <w:rFonts w:hint="eastAsia"/>
                <w:b/>
              </w:rPr>
              <w:t>4.2-11</w:t>
            </w:r>
            <w:r>
              <w:rPr>
                <w:b/>
              </w:rPr>
              <w:t xml:space="preserve">   风险物质及最大存在量</w:t>
            </w:r>
          </w:p>
          <w:tbl>
            <w:tblPr>
              <w:tblStyle w:val="8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04"/>
              <w:gridCol w:w="1609"/>
              <w:gridCol w:w="2059"/>
              <w:gridCol w:w="1361"/>
              <w:gridCol w:w="1361"/>
            </w:tblGrid>
            <w:tr w14:paraId="167CAF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9" w:type="pct"/>
                  <w:vAlign w:val="center"/>
                </w:tcPr>
                <w:p w14:paraId="319DD31B">
                  <w:pPr>
                    <w:pStyle w:val="41"/>
                  </w:pPr>
                  <w:r>
                    <w:t>危险物质名称</w:t>
                  </w:r>
                </w:p>
              </w:tc>
              <w:tc>
                <w:tcPr>
                  <w:tcW w:w="947" w:type="pct"/>
                  <w:vAlign w:val="center"/>
                </w:tcPr>
                <w:p w14:paraId="0EB88A67">
                  <w:pPr>
                    <w:pStyle w:val="41"/>
                  </w:pPr>
                  <w:r>
                    <w:t>储存</w:t>
                  </w:r>
                  <w:r>
                    <w:rPr>
                      <w:rFonts w:hint="eastAsia"/>
                    </w:rPr>
                    <w:t>位置</w:t>
                  </w:r>
                </w:p>
              </w:tc>
              <w:tc>
                <w:tcPr>
                  <w:tcW w:w="1212" w:type="pct"/>
                  <w:vAlign w:val="center"/>
                </w:tcPr>
                <w:p w14:paraId="58A251DB">
                  <w:pPr>
                    <w:pStyle w:val="41"/>
                  </w:pPr>
                  <w:r>
                    <w:t>全厂最大存储量/t</w:t>
                  </w:r>
                </w:p>
              </w:tc>
              <w:tc>
                <w:tcPr>
                  <w:tcW w:w="801" w:type="pct"/>
                  <w:vAlign w:val="center"/>
                </w:tcPr>
                <w:p w14:paraId="662B207D">
                  <w:pPr>
                    <w:pStyle w:val="41"/>
                  </w:pPr>
                  <w:r>
                    <w:t>临界量/t</w:t>
                  </w:r>
                </w:p>
              </w:tc>
              <w:tc>
                <w:tcPr>
                  <w:tcW w:w="801" w:type="pct"/>
                  <w:vAlign w:val="center"/>
                </w:tcPr>
                <w:p w14:paraId="1F8A44C3">
                  <w:pPr>
                    <w:pStyle w:val="41"/>
                  </w:pPr>
                  <w:r>
                    <w:t>Q</w:t>
                  </w:r>
                </w:p>
              </w:tc>
            </w:tr>
            <w:tr w14:paraId="04EEF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9" w:type="pct"/>
                  <w:vAlign w:val="center"/>
                </w:tcPr>
                <w:p w14:paraId="48583B7E">
                  <w:pPr>
                    <w:pStyle w:val="41"/>
                  </w:pPr>
                  <w:r>
                    <w:rPr>
                      <w:rFonts w:hint="eastAsia"/>
                    </w:rPr>
                    <w:t>废润滑油</w:t>
                  </w:r>
                </w:p>
              </w:tc>
              <w:tc>
                <w:tcPr>
                  <w:tcW w:w="947" w:type="pct"/>
                  <w:vAlign w:val="center"/>
                </w:tcPr>
                <w:p w14:paraId="7BEF1FD2">
                  <w:pPr>
                    <w:pStyle w:val="41"/>
                  </w:pPr>
                  <w:r>
                    <w:rPr>
                      <w:rFonts w:hint="eastAsia"/>
                    </w:rPr>
                    <w:t>危废</w:t>
                  </w:r>
                  <w:r>
                    <w:t>库</w:t>
                  </w:r>
                </w:p>
              </w:tc>
              <w:tc>
                <w:tcPr>
                  <w:tcW w:w="1212" w:type="pct"/>
                  <w:vAlign w:val="center"/>
                </w:tcPr>
                <w:p w14:paraId="1FA4AD55">
                  <w:pPr>
                    <w:pStyle w:val="41"/>
                  </w:pPr>
                  <w:r>
                    <w:rPr>
                      <w:rFonts w:hint="eastAsia"/>
                    </w:rPr>
                    <w:t>0.05</w:t>
                  </w:r>
                </w:p>
              </w:tc>
              <w:tc>
                <w:tcPr>
                  <w:tcW w:w="801" w:type="pct"/>
                  <w:vAlign w:val="center"/>
                </w:tcPr>
                <w:p w14:paraId="0B9A5B0B">
                  <w:pPr>
                    <w:pStyle w:val="41"/>
                  </w:pPr>
                  <w:r>
                    <w:t>2500</w:t>
                  </w:r>
                </w:p>
              </w:tc>
              <w:tc>
                <w:tcPr>
                  <w:tcW w:w="801" w:type="pct"/>
                  <w:vAlign w:val="center"/>
                </w:tcPr>
                <w:p w14:paraId="3BA35B36">
                  <w:pPr>
                    <w:pStyle w:val="41"/>
                  </w:pPr>
                  <w:r>
                    <w:rPr>
                      <w:rFonts w:hint="eastAsia"/>
                    </w:rPr>
                    <w:t>0.00002</w:t>
                  </w:r>
                </w:p>
              </w:tc>
            </w:tr>
            <w:tr w14:paraId="633E86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9" w:type="pct"/>
                  <w:vAlign w:val="center"/>
                </w:tcPr>
                <w:p w14:paraId="5DDAB23B">
                  <w:pPr>
                    <w:pStyle w:val="41"/>
                  </w:pPr>
                  <w:r>
                    <w:rPr>
                      <w:rFonts w:hint="eastAsia"/>
                    </w:rPr>
                    <w:t>废油桶、废胶桶、废活性炭等其余危险废物</w:t>
                  </w:r>
                </w:p>
              </w:tc>
              <w:tc>
                <w:tcPr>
                  <w:tcW w:w="947" w:type="pct"/>
                  <w:vAlign w:val="center"/>
                </w:tcPr>
                <w:p w14:paraId="29F45A13">
                  <w:pPr>
                    <w:pStyle w:val="41"/>
                  </w:pPr>
                  <w:r>
                    <w:rPr>
                      <w:rFonts w:hint="eastAsia"/>
                    </w:rPr>
                    <w:t>危废</w:t>
                  </w:r>
                  <w:r>
                    <w:t>库</w:t>
                  </w:r>
                </w:p>
              </w:tc>
              <w:tc>
                <w:tcPr>
                  <w:tcW w:w="1212" w:type="pct"/>
                  <w:vAlign w:val="center"/>
                </w:tcPr>
                <w:p w14:paraId="1E30602C">
                  <w:pPr>
                    <w:pStyle w:val="41"/>
                  </w:pPr>
                  <w:r>
                    <w:rPr>
                      <w:rFonts w:hint="eastAsia"/>
                    </w:rPr>
                    <w:t>1</w:t>
                  </w:r>
                </w:p>
              </w:tc>
              <w:tc>
                <w:tcPr>
                  <w:tcW w:w="801" w:type="pct"/>
                  <w:vAlign w:val="center"/>
                </w:tcPr>
                <w:p w14:paraId="40E64696">
                  <w:pPr>
                    <w:pStyle w:val="41"/>
                  </w:pPr>
                  <w:r>
                    <w:rPr>
                      <w:rFonts w:hint="eastAsia"/>
                    </w:rPr>
                    <w:t>50</w:t>
                  </w:r>
                </w:p>
              </w:tc>
              <w:tc>
                <w:tcPr>
                  <w:tcW w:w="801" w:type="pct"/>
                  <w:vAlign w:val="center"/>
                </w:tcPr>
                <w:p w14:paraId="5D2EB0B9">
                  <w:pPr>
                    <w:pStyle w:val="41"/>
                  </w:pPr>
                  <w:r>
                    <w:rPr>
                      <w:rFonts w:hint="eastAsia"/>
                    </w:rPr>
                    <w:t>0.02</w:t>
                  </w:r>
                </w:p>
              </w:tc>
            </w:tr>
            <w:tr w14:paraId="5026EC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9" w:type="pct"/>
                  <w:vAlign w:val="center"/>
                </w:tcPr>
                <w:p w14:paraId="70CBAE4E">
                  <w:pPr>
                    <w:pStyle w:val="41"/>
                  </w:pPr>
                  <w:r>
                    <w:rPr>
                      <w:rFonts w:hint="eastAsia"/>
                    </w:rPr>
                    <w:t>合计</w:t>
                  </w:r>
                </w:p>
              </w:tc>
              <w:tc>
                <w:tcPr>
                  <w:tcW w:w="947" w:type="pct"/>
                  <w:vAlign w:val="center"/>
                </w:tcPr>
                <w:p w14:paraId="50EACF9C">
                  <w:pPr>
                    <w:pStyle w:val="41"/>
                  </w:pPr>
                  <w:r>
                    <w:rPr>
                      <w:rFonts w:hint="eastAsia"/>
                    </w:rPr>
                    <w:t>/</w:t>
                  </w:r>
                </w:p>
              </w:tc>
              <w:tc>
                <w:tcPr>
                  <w:tcW w:w="1212" w:type="pct"/>
                  <w:vAlign w:val="center"/>
                </w:tcPr>
                <w:p w14:paraId="5B2B7574">
                  <w:pPr>
                    <w:pStyle w:val="41"/>
                  </w:pPr>
                  <w:r>
                    <w:rPr>
                      <w:rFonts w:hint="eastAsia"/>
                    </w:rPr>
                    <w:t>/</w:t>
                  </w:r>
                </w:p>
              </w:tc>
              <w:tc>
                <w:tcPr>
                  <w:tcW w:w="801" w:type="pct"/>
                  <w:vAlign w:val="center"/>
                </w:tcPr>
                <w:p w14:paraId="2D45BE8E">
                  <w:pPr>
                    <w:pStyle w:val="41"/>
                  </w:pPr>
                  <w:r>
                    <w:rPr>
                      <w:rFonts w:hint="eastAsia"/>
                    </w:rPr>
                    <w:t>/</w:t>
                  </w:r>
                </w:p>
              </w:tc>
              <w:tc>
                <w:tcPr>
                  <w:tcW w:w="801" w:type="pct"/>
                  <w:vAlign w:val="center"/>
                </w:tcPr>
                <w:p w14:paraId="67AC1823">
                  <w:pPr>
                    <w:pStyle w:val="41"/>
                  </w:pPr>
                  <w:r>
                    <w:rPr>
                      <w:rFonts w:hint="eastAsia"/>
                    </w:rPr>
                    <w:t>0.02002</w:t>
                  </w:r>
                </w:p>
              </w:tc>
            </w:tr>
          </w:tbl>
          <w:p w14:paraId="005198C4">
            <w:pPr>
              <w:spacing w:before="120" w:beforeLines="50"/>
              <w:ind w:firstLine="480"/>
              <w:rPr>
                <w:kern w:val="0"/>
              </w:rPr>
            </w:pPr>
            <w:r>
              <w:rPr>
                <w:kern w:val="0"/>
              </w:rPr>
              <w:t>危险物质数量与临界量比值（Q）</w:t>
            </w:r>
            <w:r>
              <w:rPr>
                <w:rFonts w:hint="eastAsia"/>
                <w:kern w:val="0"/>
              </w:rPr>
              <w:t>：</w:t>
            </w:r>
          </w:p>
          <w:p w14:paraId="555E3F5D">
            <w:pPr>
              <w:ind w:firstLine="480"/>
              <w:rPr>
                <w:kern w:val="0"/>
              </w:rPr>
            </w:pPr>
            <w:r>
              <w:rPr>
                <w:kern w:val="0"/>
              </w:rPr>
              <w:t>计算所涉及的每种危险物质在厂界内的最大存在总量与其在《建设项目环境风险评价技术导则》（HJ169-2018）附录B中对应临界量的比值Q。在不同厂区的同一种物质，按其在厂界内的最大存在总量计算。对于长输管线项目，按照两个截断阀室之间管段危险物质最大</w:t>
            </w:r>
            <w:r>
              <w:rPr>
                <w:kern w:val="0"/>
                <w:shd w:val="clear" w:fill="FFFFFF"/>
              </w:rPr>
              <w:t>存在</w:t>
            </w:r>
            <w:r>
              <w:rPr>
                <w:kern w:val="0"/>
              </w:rPr>
              <w:t>总量计算。</w:t>
            </w:r>
          </w:p>
          <w:p w14:paraId="1BB1BA6A">
            <w:pPr>
              <w:ind w:firstLine="480"/>
              <w:rPr>
                <w:kern w:val="0"/>
              </w:rPr>
            </w:pPr>
            <w:r>
              <w:rPr>
                <w:kern w:val="0"/>
              </w:rPr>
              <w:t>当只涉及一种危险物质时，计算该物质的总量与其临界量比值，即为Q；</w:t>
            </w:r>
          </w:p>
          <w:p w14:paraId="0C493E64">
            <w:pPr>
              <w:ind w:firstLine="480"/>
              <w:rPr>
                <w:kern w:val="0"/>
              </w:rPr>
            </w:pPr>
            <w:r>
              <w:rPr>
                <w:kern w:val="0"/>
              </w:rPr>
              <w:t>当存在多种危险物质时，则按下式计算物质总量与其临界量比值（Q）：</w:t>
            </w:r>
          </w:p>
          <w:p w14:paraId="70EB398C">
            <w:pPr>
              <w:pStyle w:val="96"/>
              <w:widowControl w:val="0"/>
              <w:rPr>
                <w:bCs/>
              </w:rPr>
            </w:pPr>
            <w:r>
              <w:drawing>
                <wp:inline distT="0" distB="0" distL="0" distR="0">
                  <wp:extent cx="2124075" cy="590550"/>
                  <wp:effectExtent l="0" t="0" r="9525" b="0"/>
                  <wp:docPr id="7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5"/>
                          <pic:cNvPicPr>
                            <a:picLocks noChangeAspect="1" noChangeArrowheads="1"/>
                          </pic:cNvPicPr>
                        </pic:nvPicPr>
                        <pic:blipFill>
                          <a:blip r:embed="rId41"/>
                          <a:srcRect/>
                          <a:stretch>
                            <a:fillRect/>
                          </a:stretch>
                        </pic:blipFill>
                        <pic:spPr>
                          <a:xfrm>
                            <a:off x="0" y="0"/>
                            <a:ext cx="2124075" cy="590550"/>
                          </a:xfrm>
                          <a:prstGeom prst="rect">
                            <a:avLst/>
                          </a:prstGeom>
                          <a:noFill/>
                          <a:ln>
                            <a:noFill/>
                          </a:ln>
                        </pic:spPr>
                      </pic:pic>
                    </a:graphicData>
                  </a:graphic>
                </wp:inline>
              </w:drawing>
            </w:r>
          </w:p>
          <w:p w14:paraId="0B0BAB0C">
            <w:pPr>
              <w:spacing w:before="120" w:beforeLines="50" w:after="120" w:afterLines="50"/>
              <w:ind w:firstLine="480"/>
              <w:rPr>
                <w:bCs/>
              </w:rPr>
            </w:pPr>
            <w:r>
              <w:rPr>
                <w:bCs/>
              </w:rPr>
              <w:t>式中：</w:t>
            </w:r>
            <w:r>
              <w:rPr>
                <w:bCs/>
                <w:i/>
                <w:iCs/>
              </w:rPr>
              <w:t>q</w:t>
            </w:r>
            <w:r>
              <w:rPr>
                <w:bCs/>
                <w:vertAlign w:val="subscript"/>
              </w:rPr>
              <w:t>1</w:t>
            </w:r>
            <w:r>
              <w:rPr>
                <w:bCs/>
              </w:rPr>
              <w:t>，</w:t>
            </w:r>
            <w:r>
              <w:rPr>
                <w:bCs/>
                <w:i/>
                <w:iCs/>
              </w:rPr>
              <w:t>q</w:t>
            </w:r>
            <w:r>
              <w:rPr>
                <w:bCs/>
                <w:vertAlign w:val="subscript"/>
              </w:rPr>
              <w:t>2</w:t>
            </w:r>
            <w:r>
              <w:rPr>
                <w:bCs/>
                <w:shd w:val="clear" w:fill="FFFFFF"/>
              </w:rPr>
              <w:t>，...，</w:t>
            </w:r>
            <w:r>
              <w:rPr>
                <w:bCs/>
                <w:i/>
                <w:iCs/>
              </w:rPr>
              <w:t>q</w:t>
            </w:r>
            <w:r>
              <w:rPr>
                <w:bCs/>
                <w:i/>
                <w:iCs/>
                <w:vertAlign w:val="subscript"/>
              </w:rPr>
              <w:t>n</w:t>
            </w:r>
            <w:r>
              <w:rPr>
                <w:bCs/>
              </w:rPr>
              <w:t>——每种危险物质的最大存在总量，t；</w:t>
            </w:r>
          </w:p>
          <w:p w14:paraId="59AD9026">
            <w:pPr>
              <w:spacing w:before="120" w:beforeLines="50" w:after="120" w:afterLines="50"/>
              <w:ind w:firstLine="1200" w:firstLineChars="500"/>
              <w:rPr>
                <w:bCs/>
              </w:rPr>
            </w:pPr>
            <w:r>
              <w:rPr>
                <w:bCs/>
                <w:i/>
                <w:iCs/>
              </w:rPr>
              <w:t>Q</w:t>
            </w:r>
            <w:r>
              <w:rPr>
                <w:bCs/>
                <w:vertAlign w:val="subscript"/>
              </w:rPr>
              <w:t>1</w:t>
            </w:r>
            <w:r>
              <w:rPr>
                <w:bCs/>
              </w:rPr>
              <w:t>，</w:t>
            </w:r>
            <w:r>
              <w:rPr>
                <w:bCs/>
                <w:i/>
                <w:iCs/>
              </w:rPr>
              <w:t>Q</w:t>
            </w:r>
            <w:r>
              <w:rPr>
                <w:bCs/>
                <w:vertAlign w:val="subscript"/>
              </w:rPr>
              <w:t>2</w:t>
            </w:r>
            <w:r>
              <w:rPr>
                <w:bCs/>
                <w:shd w:val="clear" w:fill="FFFFFF"/>
              </w:rPr>
              <w:t>，...，</w:t>
            </w:r>
            <w:r>
              <w:rPr>
                <w:bCs/>
                <w:i/>
                <w:iCs/>
              </w:rPr>
              <w:t>Q</w:t>
            </w:r>
            <w:r>
              <w:rPr>
                <w:bCs/>
                <w:i/>
                <w:iCs/>
                <w:vertAlign w:val="subscript"/>
              </w:rPr>
              <w:t>n</w:t>
            </w:r>
            <w:r>
              <w:rPr>
                <w:bCs/>
              </w:rPr>
              <w:t>——每种危险物质的临界量，t。</w:t>
            </w:r>
          </w:p>
          <w:p w14:paraId="727FE2C2">
            <w:pPr>
              <w:spacing w:before="120" w:beforeLines="50" w:after="120" w:afterLines="50"/>
              <w:ind w:firstLine="1200" w:firstLineChars="500"/>
              <w:rPr>
                <w:bCs/>
              </w:rPr>
            </w:pPr>
            <w:r>
              <w:rPr>
                <w:bCs/>
              </w:rPr>
              <w:t>当</w:t>
            </w:r>
            <w:r>
              <w:rPr>
                <w:bCs/>
                <w:i/>
                <w:iCs/>
              </w:rPr>
              <w:t>Q</w:t>
            </w:r>
            <w:r>
              <w:rPr>
                <w:bCs/>
              </w:rPr>
              <w:t>＜1时，该项目环境风险潜势为</w:t>
            </w:r>
            <w:r>
              <w:rPr>
                <w:rFonts w:hint="eastAsia" w:ascii="宋体" w:hAnsi="宋体" w:cs="宋体"/>
                <w:bCs/>
              </w:rPr>
              <w:t>Ⅰ</w:t>
            </w:r>
            <w:r>
              <w:rPr>
                <w:bCs/>
              </w:rPr>
              <w:t>。</w:t>
            </w:r>
          </w:p>
          <w:p w14:paraId="2F2B2E54">
            <w:pPr>
              <w:spacing w:before="120" w:beforeLines="50" w:after="120" w:afterLines="50"/>
              <w:ind w:firstLine="1200" w:firstLineChars="500"/>
              <w:rPr>
                <w:bCs/>
              </w:rPr>
            </w:pPr>
            <w:r>
              <w:rPr>
                <w:bCs/>
              </w:rPr>
              <w:t>当</w:t>
            </w:r>
            <w:r>
              <w:rPr>
                <w:bCs/>
                <w:i/>
                <w:iCs/>
              </w:rPr>
              <w:t>Q</w:t>
            </w:r>
            <w:r>
              <w:rPr>
                <w:bCs/>
              </w:rPr>
              <w:t>≥1时，将</w:t>
            </w:r>
            <w:r>
              <w:rPr>
                <w:bCs/>
                <w:i/>
                <w:iCs/>
              </w:rPr>
              <w:t>Q</w:t>
            </w:r>
            <w:r>
              <w:rPr>
                <w:bCs/>
              </w:rPr>
              <w:t>值划分为：（1）1≤</w:t>
            </w:r>
            <w:r>
              <w:rPr>
                <w:bCs/>
                <w:i/>
                <w:iCs/>
              </w:rPr>
              <w:t>Q</w:t>
            </w:r>
            <w:r>
              <w:rPr>
                <w:bCs/>
              </w:rPr>
              <w:t>＜10；（2）10≤</w:t>
            </w:r>
            <w:r>
              <w:rPr>
                <w:bCs/>
                <w:i/>
                <w:iCs/>
              </w:rPr>
              <w:t>Q</w:t>
            </w:r>
            <w:r>
              <w:rPr>
                <w:bCs/>
              </w:rPr>
              <w:t>＜100；（3）</w:t>
            </w:r>
            <w:r>
              <w:rPr>
                <w:bCs/>
                <w:i/>
                <w:iCs/>
              </w:rPr>
              <w:t>Q</w:t>
            </w:r>
            <w:r>
              <w:rPr>
                <w:bCs/>
              </w:rPr>
              <w:t>≥100。</w:t>
            </w:r>
          </w:p>
          <w:p w14:paraId="269D1E1D">
            <w:pPr>
              <w:spacing w:before="120" w:beforeLines="50" w:after="120" w:afterLines="50"/>
              <w:ind w:firstLine="480"/>
              <w:rPr>
                <w:bCs/>
              </w:rPr>
            </w:pPr>
            <w:r>
              <w:rPr>
                <w:bCs/>
              </w:rPr>
              <w:t>由上式计算得本项目Q值为</w:t>
            </w:r>
            <w:r>
              <w:rPr>
                <w:rFonts w:hint="eastAsia"/>
                <w:bCs/>
              </w:rPr>
              <w:t>0.02002</w:t>
            </w:r>
            <w:r>
              <w:rPr>
                <w:bCs/>
              </w:rPr>
              <w:t>＜1，</w:t>
            </w:r>
            <w:r>
              <w:rPr>
                <w:rFonts w:hint="eastAsia"/>
                <w:bCs/>
              </w:rPr>
              <w:t>可不开展专项分析</w:t>
            </w:r>
            <w:r>
              <w:rPr>
                <w:bCs/>
              </w:rPr>
              <w:t>。</w:t>
            </w:r>
          </w:p>
          <w:p w14:paraId="749910F4">
            <w:pPr>
              <w:numPr>
                <w:ilvl w:val="0"/>
                <w:numId w:val="1"/>
              </w:numPr>
              <w:spacing w:before="120" w:beforeLines="50" w:after="120" w:afterLines="50"/>
              <w:ind w:firstLine="482"/>
              <w:rPr>
                <w:b/>
              </w:rPr>
            </w:pPr>
            <w:r>
              <w:rPr>
                <w:b/>
              </w:rPr>
              <w:t>环境风险识别</w:t>
            </w:r>
          </w:p>
          <w:p w14:paraId="2F2C595A">
            <w:pPr>
              <w:ind w:firstLine="480"/>
            </w:pPr>
            <w:r>
              <w:rPr>
                <w:rFonts w:hint="eastAsia"/>
              </w:rPr>
              <w:t>（1）</w:t>
            </w:r>
            <w:r>
              <w:t>物质风险识别</w:t>
            </w:r>
          </w:p>
          <w:p w14:paraId="536C9D26">
            <w:pPr>
              <w:ind w:firstLine="480"/>
            </w:pPr>
            <w:r>
              <w:rPr>
                <w:rFonts w:hint="eastAsia"/>
              </w:rPr>
              <w:t>项目废润滑油和粘胶剂含有易燃的成分，遇明火、高热可以发生燃烧的物质，因此存在一定的火灾隐患。</w:t>
            </w:r>
          </w:p>
          <w:p w14:paraId="08D59147">
            <w:pPr>
              <w:ind w:firstLine="480"/>
            </w:pPr>
            <w:r>
              <w:rPr>
                <w:rFonts w:hint="eastAsia"/>
              </w:rPr>
              <w:t>（2）环境风险分析</w:t>
            </w:r>
          </w:p>
          <w:p w14:paraId="0432F570">
            <w:pPr>
              <w:ind w:firstLine="480"/>
            </w:pPr>
            <w:r>
              <w:rPr>
                <w:rFonts w:hint="eastAsia"/>
              </w:rPr>
              <w:t>本项目的废润滑采用25kg桶装包装，废润滑油暂存于危废</w:t>
            </w:r>
            <w:r>
              <w:t>库</w:t>
            </w:r>
            <w:r>
              <w:rPr>
                <w:rFonts w:hint="eastAsia"/>
              </w:rPr>
              <w:t>中，一般情况下，发生泄漏的概率较小。但若管理不善，可能由于包装物、容器破损或受外因诱导时，会引发物质泄漏，甚至引发火灾。</w:t>
            </w:r>
          </w:p>
          <w:p w14:paraId="31FE7659">
            <w:pPr>
              <w:ind w:firstLine="480"/>
            </w:pPr>
            <w:r>
              <w:rPr>
                <w:rFonts w:hint="eastAsia"/>
              </w:rPr>
              <w:t>①化学品及危险废物泄漏影响分析</w:t>
            </w:r>
          </w:p>
          <w:p w14:paraId="0A0EF1B4">
            <w:pPr>
              <w:ind w:firstLine="480"/>
            </w:pPr>
            <w:r>
              <w:rPr>
                <w:rFonts w:hint="eastAsia"/>
              </w:rPr>
              <w:t>本项目危险废物均采用专用容器存储，为危化品泄漏事件。项目在危险废物暂存区地面采用防渗混凝土硬化，并设置围堰，若发生泄漏均可将其控制在范围内，不会发生车间漫流现象。废润滑油、粘胶剂毒性较低物质</w:t>
            </w:r>
            <w:r>
              <w:rPr>
                <w:rFonts w:hint="eastAsia"/>
                <w:lang w:eastAsia="zh-CN"/>
              </w:rPr>
              <w:t>且</w:t>
            </w:r>
            <w:r>
              <w:rPr>
                <w:rFonts w:hint="eastAsia"/>
              </w:rPr>
              <w:t>区域空气扩散较快，其挥发废气不会对周边环境造成太大影响。</w:t>
            </w:r>
          </w:p>
          <w:p w14:paraId="7A5B30CC">
            <w:pPr>
              <w:ind w:firstLine="480"/>
            </w:pPr>
            <w:r>
              <w:rPr>
                <w:rFonts w:hint="eastAsia"/>
              </w:rPr>
              <w:t>②火灾影响分析</w:t>
            </w:r>
          </w:p>
          <w:p w14:paraId="176BFAF9">
            <w:pPr>
              <w:ind w:firstLine="480"/>
            </w:pPr>
            <w:r>
              <w:rPr>
                <w:rFonts w:hint="eastAsia"/>
              </w:rPr>
              <w:t>项目易燃物</w:t>
            </w:r>
            <w:r>
              <w:rPr>
                <w:rFonts w:hint="eastAsia"/>
                <w:shd w:val="clear" w:fill="FFFFFF"/>
              </w:rPr>
              <w:t>质为</w:t>
            </w:r>
            <w:r>
              <w:rPr>
                <w:rFonts w:hint="eastAsia"/>
              </w:rPr>
              <w:t>废机油、粘胶剂，贮存量均较少，企业在生产过程中加强管理，严禁在车间及仓库内吸烟或使用明火；派专人进行管理，严禁闲杂人进入，并配备了足量的与贮存物质相对应的灭火装置，可有效地控制火情。一旦发生火灾，首先使用与着火材料相对应的灭火器材来控制火情，同时迅速将着火点附近的其他物料进行转移，并采取隔离措施，防止火情进一步扩大，不会对周围环境产生太大影响。</w:t>
            </w:r>
          </w:p>
          <w:p w14:paraId="2487D57C">
            <w:pPr>
              <w:ind w:firstLine="480"/>
            </w:pPr>
            <w:r>
              <w:rPr>
                <w:rFonts w:hint="eastAsia"/>
              </w:rPr>
              <w:t>（3）风险防范措施</w:t>
            </w:r>
          </w:p>
          <w:p w14:paraId="0A15C447">
            <w:pPr>
              <w:ind w:firstLine="480"/>
            </w:pPr>
            <w:r>
              <w:rPr>
                <w:rFonts w:hint="eastAsia"/>
              </w:rPr>
              <w:t>针对项目可能存在的环境风险，本环评提出如下风险防范措施：</w:t>
            </w:r>
          </w:p>
          <w:p w14:paraId="00177D30">
            <w:pPr>
              <w:ind w:firstLine="480"/>
            </w:pPr>
            <w:r>
              <w:rPr>
                <w:rFonts w:hint="eastAsia"/>
              </w:rPr>
              <w:t>①从建筑物到设备要严格防火，厂房布置要按防火要求设计，安装消防栓和灭火器。</w:t>
            </w:r>
          </w:p>
          <w:p w14:paraId="202A400E">
            <w:pPr>
              <w:ind w:firstLine="480"/>
            </w:pPr>
            <w:r>
              <w:rPr>
                <w:rFonts w:hint="eastAsia"/>
              </w:rPr>
              <w:t>②整个厂区禁止烟火，设立明显的禁烟禁火标识牌，加强职工安全意识教育，学习消防和安全常识，以预防突发事件。</w:t>
            </w:r>
          </w:p>
          <w:p w14:paraId="0FE8139C">
            <w:pPr>
              <w:ind w:firstLine="480"/>
            </w:pPr>
            <w:r>
              <w:rPr>
                <w:rFonts w:hint="eastAsia"/>
              </w:rPr>
              <w:t>③在有明显标志处配备相应的防护用品、装置常用维修工具，以保证事故发生时能及时做现场处理。</w:t>
            </w:r>
          </w:p>
          <w:p w14:paraId="55450377">
            <w:pPr>
              <w:ind w:firstLine="480"/>
            </w:pPr>
            <w:r>
              <w:rPr>
                <w:rFonts w:hint="eastAsia"/>
              </w:rPr>
              <w:t>④加强危险废物厂内暂存的管理。在车间内设置危险废物贮存间，危险废物收集后定期送有资质的危废处理单位进行处置。</w:t>
            </w:r>
          </w:p>
          <w:p w14:paraId="53A2C41F">
            <w:pPr>
              <w:ind w:firstLine="480"/>
            </w:pPr>
            <w:r>
              <w:rPr>
                <w:rFonts w:hint="eastAsia"/>
              </w:rPr>
              <w:t>综上所述，项目环境风险较小，只要加强管理，建立相应的规章制度及防范措施，并在设计、管理、运行中要严格按照操作规范相关要求，风险事故发生概率较低，拟采取的环境风险防范措施可行。</w:t>
            </w:r>
          </w:p>
          <w:p w14:paraId="264AB593">
            <w:pPr>
              <w:adjustRightInd w:val="0"/>
              <w:snapToGrid w:val="0"/>
              <w:spacing w:before="120"/>
              <w:ind w:firstLine="0" w:firstLineChars="0"/>
              <w:rPr>
                <w:b/>
                <w:bCs/>
                <w:sz w:val="28"/>
                <w:szCs w:val="28"/>
              </w:rPr>
            </w:pPr>
            <w:r>
              <w:rPr>
                <w:rFonts w:hint="eastAsia"/>
                <w:b/>
                <w:bCs/>
                <w:sz w:val="28"/>
                <w:szCs w:val="28"/>
              </w:rPr>
              <w:t>4.2.6</w:t>
            </w:r>
            <w:r>
              <w:rPr>
                <w:b/>
                <w:bCs/>
                <w:sz w:val="28"/>
                <w:szCs w:val="28"/>
              </w:rPr>
              <w:t>地下水、土壤环境影响和保护措施</w:t>
            </w:r>
          </w:p>
          <w:p w14:paraId="1B2499DA">
            <w:pPr>
              <w:adjustRightInd w:val="0"/>
              <w:snapToGrid w:val="0"/>
              <w:ind w:firstLine="480"/>
              <w:jc w:val="left"/>
              <w:rPr>
                <w:bCs/>
                <w:szCs w:val="21"/>
              </w:rPr>
            </w:pPr>
            <w:r>
              <w:rPr>
                <w:rFonts w:hint="eastAsia"/>
                <w:bCs/>
                <w:szCs w:val="21"/>
              </w:rPr>
              <w:t>1、</w:t>
            </w:r>
            <w:r>
              <w:rPr>
                <w:bCs/>
                <w:szCs w:val="21"/>
              </w:rPr>
              <w:t>污染源、污染物类型和污染途径</w:t>
            </w:r>
          </w:p>
          <w:p w14:paraId="662F04AE">
            <w:pPr>
              <w:adjustRightInd w:val="0"/>
              <w:snapToGrid w:val="0"/>
              <w:ind w:firstLine="480"/>
              <w:jc w:val="left"/>
              <w:rPr>
                <w:bCs/>
                <w:szCs w:val="21"/>
              </w:rPr>
            </w:pPr>
            <w:r>
              <w:rPr>
                <w:rFonts w:hint="eastAsia"/>
                <w:bCs/>
                <w:szCs w:val="21"/>
              </w:rPr>
              <w:t>项目大气污染物为颗粒物和VOCs，不排放有毒有害大气污染物，不会对土壤造成污染。可能的污染途径为</w:t>
            </w:r>
            <w:r>
              <w:rPr>
                <w:bCs/>
                <w:szCs w:val="21"/>
                <w:lang w:val="en-GB"/>
              </w:rPr>
              <w:t>化粪池</w:t>
            </w:r>
            <w:r>
              <w:rPr>
                <w:rFonts w:hint="eastAsia"/>
                <w:bCs/>
                <w:szCs w:val="21"/>
                <w:lang w:val="en-GB"/>
              </w:rPr>
              <w:t>储存废水的设施发生渗漏导致污染土壤和地下水</w:t>
            </w:r>
            <w:r>
              <w:rPr>
                <w:bCs/>
                <w:szCs w:val="21"/>
              </w:rPr>
              <w:t>，各类固废由于收集、贮放、运输、处置等环节的不严格或不妥善，造成地下水污染。本项目主要的地下水污染源和污染途径见下表。</w:t>
            </w:r>
          </w:p>
          <w:p w14:paraId="34D361CD">
            <w:pPr>
              <w:pStyle w:val="92"/>
              <w:spacing w:before="120"/>
            </w:pPr>
            <w:r>
              <w:t>表4.2-</w:t>
            </w:r>
            <w:r>
              <w:rPr>
                <w:rFonts w:hint="eastAsia"/>
              </w:rPr>
              <w:t>12</w:t>
            </w:r>
            <w:r>
              <w:t xml:space="preserve">  项目主要的地下水污染源及污染途径一览表</w:t>
            </w:r>
          </w:p>
          <w:tbl>
            <w:tblPr>
              <w:tblStyle w:val="8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1802"/>
              <w:gridCol w:w="5574"/>
            </w:tblGrid>
            <w:tr w14:paraId="6F5B2F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Align w:val="center"/>
                </w:tcPr>
                <w:p w14:paraId="2C5BC01A">
                  <w:pPr>
                    <w:spacing w:line="240" w:lineRule="auto"/>
                    <w:ind w:firstLine="0" w:firstLineChars="0"/>
                    <w:jc w:val="center"/>
                    <w:rPr>
                      <w:rFonts w:hint="eastAsia" w:hAnsi="宋体"/>
                      <w:sz w:val="21"/>
                      <w:szCs w:val="20"/>
                      <w:lang w:val="en-GB"/>
                    </w:rPr>
                  </w:pPr>
                  <w:r>
                    <w:rPr>
                      <w:rFonts w:hAnsi="宋体"/>
                      <w:sz w:val="21"/>
                      <w:szCs w:val="20"/>
                      <w:lang w:val="en-GB"/>
                    </w:rPr>
                    <w:t>序号</w:t>
                  </w:r>
                </w:p>
              </w:tc>
              <w:tc>
                <w:tcPr>
                  <w:tcW w:w="1061" w:type="pct"/>
                  <w:vAlign w:val="center"/>
                </w:tcPr>
                <w:p w14:paraId="56E57BFD">
                  <w:pPr>
                    <w:spacing w:line="240" w:lineRule="auto"/>
                    <w:ind w:firstLine="0" w:firstLineChars="0"/>
                    <w:jc w:val="center"/>
                    <w:rPr>
                      <w:rFonts w:hint="eastAsia" w:hAnsi="宋体"/>
                      <w:sz w:val="21"/>
                      <w:szCs w:val="20"/>
                      <w:lang w:val="en-GB"/>
                    </w:rPr>
                  </w:pPr>
                  <w:r>
                    <w:rPr>
                      <w:rFonts w:hAnsi="宋体"/>
                      <w:sz w:val="21"/>
                      <w:szCs w:val="20"/>
                      <w:lang w:val="en-GB"/>
                    </w:rPr>
                    <w:t>污染源</w:t>
                  </w:r>
                </w:p>
              </w:tc>
              <w:tc>
                <w:tcPr>
                  <w:tcW w:w="3281" w:type="pct"/>
                  <w:vAlign w:val="center"/>
                </w:tcPr>
                <w:p w14:paraId="3CD26AE2">
                  <w:pPr>
                    <w:spacing w:line="240" w:lineRule="auto"/>
                    <w:ind w:firstLine="0" w:firstLineChars="0"/>
                    <w:jc w:val="center"/>
                    <w:rPr>
                      <w:rFonts w:hint="eastAsia" w:hAnsi="宋体"/>
                      <w:sz w:val="21"/>
                      <w:szCs w:val="20"/>
                      <w:lang w:val="en-GB"/>
                    </w:rPr>
                  </w:pPr>
                  <w:r>
                    <w:rPr>
                      <w:rFonts w:hAnsi="宋体"/>
                      <w:sz w:val="21"/>
                      <w:szCs w:val="20"/>
                      <w:lang w:val="en-GB"/>
                    </w:rPr>
                    <w:t>污染途径</w:t>
                  </w:r>
                </w:p>
              </w:tc>
            </w:tr>
            <w:tr w14:paraId="4503B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Align w:val="center"/>
                </w:tcPr>
                <w:p w14:paraId="1826F71B">
                  <w:pPr>
                    <w:spacing w:line="240" w:lineRule="auto"/>
                    <w:ind w:firstLine="0" w:firstLineChars="0"/>
                    <w:jc w:val="center"/>
                    <w:rPr>
                      <w:sz w:val="21"/>
                      <w:szCs w:val="20"/>
                      <w:lang w:val="en-GB"/>
                    </w:rPr>
                  </w:pPr>
                  <w:r>
                    <w:rPr>
                      <w:sz w:val="21"/>
                      <w:szCs w:val="20"/>
                      <w:lang w:val="en-GB"/>
                    </w:rPr>
                    <w:t>1</w:t>
                  </w:r>
                </w:p>
              </w:tc>
              <w:tc>
                <w:tcPr>
                  <w:tcW w:w="1061" w:type="pct"/>
                  <w:vAlign w:val="center"/>
                </w:tcPr>
                <w:p w14:paraId="29E29410">
                  <w:pPr>
                    <w:spacing w:line="240" w:lineRule="auto"/>
                    <w:ind w:firstLine="0" w:firstLineChars="0"/>
                    <w:jc w:val="center"/>
                    <w:rPr>
                      <w:sz w:val="21"/>
                      <w:szCs w:val="20"/>
                      <w:lang w:val="en-GB"/>
                    </w:rPr>
                  </w:pPr>
                  <w:r>
                    <w:rPr>
                      <w:sz w:val="21"/>
                      <w:szCs w:val="20"/>
                      <w:lang w:val="en-GB"/>
                    </w:rPr>
                    <w:t>化粪池</w:t>
                  </w:r>
                </w:p>
              </w:tc>
              <w:tc>
                <w:tcPr>
                  <w:tcW w:w="3281" w:type="pct"/>
                  <w:vAlign w:val="center"/>
                </w:tcPr>
                <w:p w14:paraId="7456E7B3">
                  <w:pPr>
                    <w:spacing w:line="240" w:lineRule="auto"/>
                    <w:ind w:firstLine="0" w:firstLineChars="0"/>
                    <w:jc w:val="center"/>
                    <w:rPr>
                      <w:sz w:val="21"/>
                      <w:szCs w:val="20"/>
                      <w:lang w:val="en-GB"/>
                    </w:rPr>
                  </w:pPr>
                  <w:r>
                    <w:rPr>
                      <w:sz w:val="21"/>
                      <w:szCs w:val="20"/>
                      <w:lang w:val="en-GB"/>
                    </w:rPr>
                    <w:t>池底或池壁破裂、渗漏，污染</w:t>
                  </w:r>
                  <w:r>
                    <w:rPr>
                      <w:rFonts w:hint="eastAsia"/>
                      <w:sz w:val="21"/>
                      <w:szCs w:val="20"/>
                      <w:lang w:val="en-GB"/>
                    </w:rPr>
                    <w:t>土壤和</w:t>
                  </w:r>
                  <w:r>
                    <w:rPr>
                      <w:sz w:val="21"/>
                      <w:szCs w:val="20"/>
                      <w:lang w:val="en-GB"/>
                    </w:rPr>
                    <w:t>地下水</w:t>
                  </w:r>
                </w:p>
              </w:tc>
            </w:tr>
            <w:tr w14:paraId="6167CE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Align w:val="center"/>
                </w:tcPr>
                <w:p w14:paraId="3BD96CDA">
                  <w:pPr>
                    <w:spacing w:line="240" w:lineRule="auto"/>
                    <w:ind w:firstLine="0" w:firstLineChars="0"/>
                    <w:jc w:val="center"/>
                    <w:rPr>
                      <w:sz w:val="21"/>
                      <w:szCs w:val="20"/>
                      <w:lang w:val="en-GB"/>
                    </w:rPr>
                  </w:pPr>
                  <w:r>
                    <w:rPr>
                      <w:sz w:val="21"/>
                      <w:szCs w:val="20"/>
                      <w:lang w:val="en-GB"/>
                    </w:rPr>
                    <w:t>2</w:t>
                  </w:r>
                </w:p>
              </w:tc>
              <w:tc>
                <w:tcPr>
                  <w:tcW w:w="1061" w:type="pct"/>
                  <w:vAlign w:val="center"/>
                </w:tcPr>
                <w:p w14:paraId="1F31CA1A">
                  <w:pPr>
                    <w:spacing w:line="240" w:lineRule="auto"/>
                    <w:ind w:firstLine="0" w:firstLineChars="0"/>
                    <w:jc w:val="center"/>
                    <w:rPr>
                      <w:sz w:val="21"/>
                      <w:szCs w:val="20"/>
                      <w:lang w:val="en-GB"/>
                    </w:rPr>
                  </w:pPr>
                  <w:r>
                    <w:rPr>
                      <w:sz w:val="21"/>
                      <w:szCs w:val="20"/>
                      <w:lang w:val="en-GB"/>
                    </w:rPr>
                    <w:t>危废贮存库</w:t>
                  </w:r>
                </w:p>
              </w:tc>
              <w:tc>
                <w:tcPr>
                  <w:tcW w:w="3281" w:type="pct"/>
                  <w:vAlign w:val="center"/>
                </w:tcPr>
                <w:p w14:paraId="5423184B">
                  <w:pPr>
                    <w:spacing w:line="240" w:lineRule="auto"/>
                    <w:ind w:firstLine="0" w:firstLineChars="0"/>
                    <w:jc w:val="center"/>
                    <w:rPr>
                      <w:sz w:val="21"/>
                      <w:szCs w:val="20"/>
                      <w:lang w:val="en-GB"/>
                    </w:rPr>
                  </w:pPr>
                  <w:r>
                    <w:rPr>
                      <w:sz w:val="21"/>
                      <w:szCs w:val="20"/>
                      <w:lang w:val="en-GB"/>
                    </w:rPr>
                    <w:t>地面破裂、渗漏，污染土壤和地下水</w:t>
                  </w:r>
                </w:p>
              </w:tc>
            </w:tr>
          </w:tbl>
          <w:p w14:paraId="6671F14F">
            <w:pPr>
              <w:spacing w:before="120" w:beforeLines="50"/>
              <w:ind w:firstLine="480"/>
              <w:rPr>
                <w:bCs/>
                <w:szCs w:val="20"/>
              </w:rPr>
            </w:pPr>
            <w:r>
              <w:rPr>
                <w:rFonts w:hint="eastAsia"/>
                <w:bCs/>
                <w:szCs w:val="20"/>
              </w:rPr>
              <w:t>2、</w:t>
            </w:r>
            <w:r>
              <w:rPr>
                <w:bCs/>
                <w:szCs w:val="20"/>
              </w:rPr>
              <w:t>污染防治措施</w:t>
            </w:r>
          </w:p>
          <w:p w14:paraId="3C4351B2">
            <w:pPr>
              <w:adjustRightInd w:val="0"/>
              <w:snapToGrid w:val="0"/>
              <w:ind w:firstLine="480"/>
              <w:jc w:val="left"/>
              <w:rPr>
                <w:bCs/>
                <w:szCs w:val="21"/>
              </w:rPr>
            </w:pPr>
            <w:r>
              <w:rPr>
                <w:bCs/>
                <w:szCs w:val="21"/>
              </w:rPr>
              <w:t>根据《环境影响评价技术导则 地下水环境》（HJ610-2016），本环评将厂区</w:t>
            </w:r>
            <w:r>
              <w:rPr>
                <w:rFonts w:hint="eastAsia"/>
                <w:bCs/>
                <w:szCs w:val="21"/>
              </w:rPr>
              <w:t>进行分区防渗设置</w:t>
            </w:r>
            <w:r>
              <w:rPr>
                <w:bCs/>
                <w:szCs w:val="21"/>
              </w:rPr>
              <w:t>，针对不同的区域提出相应的防渗要求。</w:t>
            </w:r>
          </w:p>
          <w:p w14:paraId="7DA1E603">
            <w:pPr>
              <w:adjustRightInd w:val="0"/>
              <w:snapToGrid w:val="0"/>
              <w:ind w:firstLine="480"/>
              <w:jc w:val="left"/>
              <w:rPr>
                <w:bCs/>
                <w:szCs w:val="21"/>
              </w:rPr>
            </w:pPr>
            <w:r>
              <w:rPr>
                <w:bCs/>
                <w:szCs w:val="21"/>
              </w:rPr>
              <w:t>（1）重点防渗区</w:t>
            </w:r>
          </w:p>
          <w:p w14:paraId="470204D0">
            <w:pPr>
              <w:adjustRightInd w:val="0"/>
              <w:snapToGrid w:val="0"/>
              <w:ind w:firstLine="480"/>
              <w:jc w:val="left"/>
              <w:rPr>
                <w:bCs/>
                <w:szCs w:val="21"/>
              </w:rPr>
            </w:pPr>
            <w:r>
              <w:rPr>
                <w:bCs/>
                <w:szCs w:val="21"/>
              </w:rPr>
              <w:t>指污染地下水环境的物料泄漏后，不容易及时被发现和处理的区域。本项目重点防渗区为危废贮存库。对于重点防渗区，按照《危险废物贮存污染控制标准》（GB18597-2023）等相应要求进行防渗设计，防渗性能不应低于1m厚、渗透系数为1.0×10</w:t>
            </w:r>
            <w:r>
              <w:rPr>
                <w:bCs/>
                <w:szCs w:val="21"/>
                <w:shd w:val="clear" w:fill="FFFFFF"/>
                <w:vertAlign w:val="superscript"/>
              </w:rPr>
              <w:t>-</w:t>
            </w:r>
            <w:r>
              <w:rPr>
                <w:bCs/>
                <w:szCs w:val="21"/>
                <w:vertAlign w:val="superscript"/>
              </w:rPr>
              <w:t>7</w:t>
            </w:r>
            <w:r>
              <w:rPr>
                <w:bCs/>
                <w:szCs w:val="21"/>
              </w:rPr>
              <w:t>cm/s的黏土层防渗性能，或至少2mm厚的其他人工材料，渗透系数≤10</w:t>
            </w:r>
            <w:r>
              <w:rPr>
                <w:bCs/>
                <w:szCs w:val="21"/>
                <w:shd w:val="clear" w:fill="FFFFFF"/>
                <w:vertAlign w:val="superscript"/>
              </w:rPr>
              <w:t>-</w:t>
            </w:r>
            <w:r>
              <w:rPr>
                <w:bCs/>
                <w:szCs w:val="21"/>
                <w:vertAlign w:val="superscript"/>
              </w:rPr>
              <w:t>10</w:t>
            </w:r>
            <w:r>
              <w:rPr>
                <w:bCs/>
                <w:szCs w:val="21"/>
              </w:rPr>
              <w:t>cm/s。</w:t>
            </w:r>
          </w:p>
          <w:p w14:paraId="337F85FE">
            <w:pPr>
              <w:adjustRightInd w:val="0"/>
              <w:snapToGrid w:val="0"/>
              <w:ind w:firstLine="480"/>
              <w:jc w:val="left"/>
              <w:rPr>
                <w:bCs/>
                <w:szCs w:val="21"/>
              </w:rPr>
            </w:pPr>
            <w:r>
              <w:rPr>
                <w:bCs/>
                <w:szCs w:val="21"/>
              </w:rPr>
              <w:t>（2）一般防渗区</w:t>
            </w:r>
          </w:p>
          <w:p w14:paraId="3E44205D">
            <w:pPr>
              <w:adjustRightInd w:val="0"/>
              <w:snapToGrid w:val="0"/>
              <w:ind w:firstLine="480"/>
              <w:jc w:val="left"/>
              <w:rPr>
                <w:bCs/>
                <w:szCs w:val="21"/>
              </w:rPr>
            </w:pPr>
            <w:r>
              <w:rPr>
                <w:bCs/>
                <w:szCs w:val="21"/>
              </w:rPr>
              <w:t>指裸露于地面的生产功能单元，污染地下水环境的物料泄漏后，容易被及时发现和处理的区域。本项目一般防渗区为化粪池</w:t>
            </w:r>
            <w:r>
              <w:rPr>
                <w:rFonts w:hint="eastAsia"/>
                <w:bCs/>
                <w:szCs w:val="21"/>
              </w:rPr>
              <w:t>、沉淀池</w:t>
            </w:r>
            <w:r>
              <w:rPr>
                <w:bCs/>
                <w:szCs w:val="21"/>
              </w:rPr>
              <w:t>。对于一般防渗区，参照《一般工业固体废物贮存和填埋污染控制标准》（GB18599-2020）等相应进行防渗设计，防渗层的防渗性能至少相当于渗透系数为1.0×10</w:t>
            </w:r>
            <w:r>
              <w:rPr>
                <w:bCs/>
                <w:szCs w:val="21"/>
                <w:shd w:val="clear" w:fill="FFFFFF"/>
                <w:vertAlign w:val="superscript"/>
              </w:rPr>
              <w:t>-</w:t>
            </w:r>
            <w:r>
              <w:rPr>
                <w:bCs/>
                <w:szCs w:val="21"/>
                <w:vertAlign w:val="superscript"/>
              </w:rPr>
              <w:t>5</w:t>
            </w:r>
            <w:r>
              <w:rPr>
                <w:bCs/>
                <w:szCs w:val="21"/>
              </w:rPr>
              <w:t>cm/s且厚度为0.75 m的天然基础层。</w:t>
            </w:r>
          </w:p>
          <w:p w14:paraId="569A6760">
            <w:pPr>
              <w:adjustRightInd w:val="0"/>
              <w:snapToGrid w:val="0"/>
              <w:ind w:firstLine="480"/>
              <w:jc w:val="left"/>
              <w:rPr>
                <w:bCs/>
                <w:szCs w:val="21"/>
              </w:rPr>
            </w:pPr>
            <w:r>
              <w:rPr>
                <w:bCs/>
                <w:szCs w:val="21"/>
              </w:rPr>
              <w:t>（3）简单防渗区</w:t>
            </w:r>
          </w:p>
          <w:p w14:paraId="7C7CB4AC">
            <w:pPr>
              <w:adjustRightInd w:val="0"/>
              <w:snapToGrid w:val="0"/>
              <w:ind w:firstLine="480"/>
              <w:jc w:val="left"/>
              <w:rPr>
                <w:bCs/>
                <w:szCs w:val="21"/>
              </w:rPr>
            </w:pPr>
            <w:r>
              <w:rPr>
                <w:bCs/>
                <w:szCs w:val="21"/>
              </w:rPr>
              <w:t>本项目简单防渗区为厂房内除重点防渗区、一般防渗区以外区域。对于基本上不产生污染物的简单防渗区，采用一般地面硬化。</w:t>
            </w:r>
          </w:p>
          <w:p w14:paraId="572C32C7">
            <w:pPr>
              <w:adjustRightInd w:val="0"/>
              <w:snapToGrid w:val="0"/>
              <w:ind w:firstLine="480"/>
              <w:jc w:val="left"/>
              <w:rPr>
                <w:bCs/>
                <w:szCs w:val="21"/>
              </w:rPr>
            </w:pPr>
            <w:r>
              <w:rPr>
                <w:bCs/>
                <w:szCs w:val="21"/>
              </w:rPr>
              <w:t>本项目地下水防渗分区及防渗技术要求见下表</w:t>
            </w:r>
            <w:r>
              <w:rPr>
                <w:rFonts w:hint="eastAsia"/>
                <w:bCs/>
                <w:szCs w:val="21"/>
              </w:rPr>
              <w:t>，分区防渗图见附图7</w:t>
            </w:r>
            <w:r>
              <w:rPr>
                <w:bCs/>
                <w:szCs w:val="21"/>
              </w:rPr>
              <w:t>。</w:t>
            </w:r>
          </w:p>
          <w:p w14:paraId="55A4E5B7">
            <w:pPr>
              <w:pStyle w:val="92"/>
              <w:spacing w:before="120"/>
            </w:pPr>
            <w:r>
              <w:t>表4.2-</w:t>
            </w:r>
            <w:r>
              <w:rPr>
                <w:rFonts w:hint="eastAsia"/>
              </w:rPr>
              <w:t>13</w:t>
            </w:r>
            <w:r>
              <w:t xml:space="preserve">  地下水防渗分区及防渗要求一览表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1354"/>
              <w:gridCol w:w="2224"/>
              <w:gridCol w:w="1379"/>
              <w:gridCol w:w="2718"/>
            </w:tblGrid>
            <w:tr w14:paraId="4F6DB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2" w:type="pct"/>
                  <w:vAlign w:val="center"/>
                </w:tcPr>
                <w:p w14:paraId="320D8D20">
                  <w:pPr>
                    <w:spacing w:line="240" w:lineRule="auto"/>
                    <w:ind w:firstLine="0" w:firstLineChars="0"/>
                    <w:jc w:val="center"/>
                    <w:rPr>
                      <w:sz w:val="21"/>
                      <w:szCs w:val="20"/>
                      <w:lang w:val="en-GB"/>
                    </w:rPr>
                  </w:pPr>
                  <w:r>
                    <w:rPr>
                      <w:sz w:val="21"/>
                      <w:szCs w:val="20"/>
                      <w:lang w:val="en-GB"/>
                    </w:rPr>
                    <w:t>序号</w:t>
                  </w:r>
                </w:p>
              </w:tc>
              <w:tc>
                <w:tcPr>
                  <w:tcW w:w="797" w:type="pct"/>
                  <w:vAlign w:val="center"/>
                </w:tcPr>
                <w:p w14:paraId="4CEBD0D4">
                  <w:pPr>
                    <w:spacing w:line="240" w:lineRule="auto"/>
                    <w:ind w:firstLine="0" w:firstLineChars="0"/>
                    <w:jc w:val="center"/>
                    <w:rPr>
                      <w:sz w:val="21"/>
                      <w:szCs w:val="20"/>
                      <w:lang w:val="en-GB"/>
                    </w:rPr>
                  </w:pPr>
                  <w:r>
                    <w:rPr>
                      <w:sz w:val="21"/>
                      <w:szCs w:val="20"/>
                      <w:lang w:val="en-GB"/>
                    </w:rPr>
                    <w:t>防渗分区</w:t>
                  </w:r>
                </w:p>
              </w:tc>
              <w:tc>
                <w:tcPr>
                  <w:tcW w:w="1309" w:type="pct"/>
                  <w:vAlign w:val="center"/>
                </w:tcPr>
                <w:p w14:paraId="0DB72471">
                  <w:pPr>
                    <w:spacing w:line="240" w:lineRule="auto"/>
                    <w:ind w:firstLine="0" w:firstLineChars="0"/>
                    <w:jc w:val="center"/>
                    <w:rPr>
                      <w:sz w:val="21"/>
                      <w:szCs w:val="20"/>
                      <w:lang w:val="en-GB"/>
                    </w:rPr>
                  </w:pPr>
                  <w:r>
                    <w:rPr>
                      <w:sz w:val="21"/>
                      <w:szCs w:val="20"/>
                      <w:lang w:val="en-GB"/>
                    </w:rPr>
                    <w:t>装置或构筑物名称</w:t>
                  </w:r>
                </w:p>
              </w:tc>
              <w:tc>
                <w:tcPr>
                  <w:tcW w:w="812" w:type="pct"/>
                  <w:vAlign w:val="center"/>
                </w:tcPr>
                <w:p w14:paraId="45FDCB35">
                  <w:pPr>
                    <w:spacing w:line="240" w:lineRule="auto"/>
                    <w:ind w:firstLine="0" w:firstLineChars="0"/>
                    <w:jc w:val="center"/>
                    <w:rPr>
                      <w:sz w:val="21"/>
                      <w:szCs w:val="20"/>
                      <w:lang w:val="en-GB"/>
                    </w:rPr>
                  </w:pPr>
                  <w:r>
                    <w:rPr>
                      <w:sz w:val="21"/>
                      <w:szCs w:val="20"/>
                      <w:lang w:val="en-GB"/>
                    </w:rPr>
                    <w:t>防渗区域</w:t>
                  </w:r>
                </w:p>
              </w:tc>
              <w:tc>
                <w:tcPr>
                  <w:tcW w:w="1600" w:type="pct"/>
                  <w:vAlign w:val="center"/>
                </w:tcPr>
                <w:p w14:paraId="34698706">
                  <w:pPr>
                    <w:spacing w:line="240" w:lineRule="auto"/>
                    <w:ind w:firstLine="0" w:firstLineChars="0"/>
                    <w:jc w:val="center"/>
                    <w:rPr>
                      <w:sz w:val="21"/>
                      <w:szCs w:val="20"/>
                      <w:lang w:val="en-GB"/>
                    </w:rPr>
                  </w:pPr>
                  <w:r>
                    <w:rPr>
                      <w:sz w:val="21"/>
                      <w:szCs w:val="20"/>
                      <w:lang w:val="en-GB"/>
                    </w:rPr>
                    <w:t>防渗技术要求</w:t>
                  </w:r>
                </w:p>
              </w:tc>
            </w:tr>
            <w:tr w14:paraId="16B337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2" w:type="pct"/>
                  <w:vAlign w:val="center"/>
                </w:tcPr>
                <w:p w14:paraId="3E46BC33">
                  <w:pPr>
                    <w:spacing w:line="240" w:lineRule="auto"/>
                    <w:ind w:firstLine="0" w:firstLineChars="0"/>
                    <w:jc w:val="center"/>
                    <w:rPr>
                      <w:sz w:val="21"/>
                      <w:szCs w:val="20"/>
                      <w:lang w:val="en-GB"/>
                    </w:rPr>
                  </w:pPr>
                  <w:r>
                    <w:rPr>
                      <w:sz w:val="21"/>
                      <w:szCs w:val="20"/>
                      <w:lang w:val="en-GB"/>
                    </w:rPr>
                    <w:t>1</w:t>
                  </w:r>
                </w:p>
              </w:tc>
              <w:tc>
                <w:tcPr>
                  <w:tcW w:w="797" w:type="pct"/>
                  <w:vAlign w:val="center"/>
                </w:tcPr>
                <w:p w14:paraId="3AAED5C2">
                  <w:pPr>
                    <w:spacing w:line="240" w:lineRule="auto"/>
                    <w:ind w:firstLine="0" w:firstLineChars="0"/>
                    <w:jc w:val="center"/>
                    <w:rPr>
                      <w:sz w:val="21"/>
                      <w:szCs w:val="20"/>
                      <w:lang w:val="en-GB"/>
                    </w:rPr>
                  </w:pPr>
                  <w:r>
                    <w:rPr>
                      <w:sz w:val="21"/>
                      <w:szCs w:val="20"/>
                      <w:lang w:val="en-GB"/>
                    </w:rPr>
                    <w:t>重点防渗区</w:t>
                  </w:r>
                </w:p>
              </w:tc>
              <w:tc>
                <w:tcPr>
                  <w:tcW w:w="1309" w:type="pct"/>
                  <w:vAlign w:val="center"/>
                </w:tcPr>
                <w:p w14:paraId="604B3629">
                  <w:pPr>
                    <w:spacing w:line="240" w:lineRule="auto"/>
                    <w:ind w:firstLine="0" w:firstLineChars="0"/>
                    <w:jc w:val="center"/>
                    <w:rPr>
                      <w:sz w:val="21"/>
                      <w:szCs w:val="20"/>
                      <w:lang w:val="en-GB"/>
                    </w:rPr>
                  </w:pPr>
                  <w:r>
                    <w:rPr>
                      <w:sz w:val="21"/>
                      <w:szCs w:val="20"/>
                      <w:lang w:val="en-GB"/>
                    </w:rPr>
                    <w:t>危废贮存库</w:t>
                  </w:r>
                </w:p>
              </w:tc>
              <w:tc>
                <w:tcPr>
                  <w:tcW w:w="812" w:type="pct"/>
                  <w:vAlign w:val="center"/>
                </w:tcPr>
                <w:p w14:paraId="4069B60F">
                  <w:pPr>
                    <w:spacing w:line="240" w:lineRule="auto"/>
                    <w:ind w:firstLine="0" w:firstLineChars="0"/>
                    <w:jc w:val="center"/>
                    <w:rPr>
                      <w:sz w:val="21"/>
                      <w:szCs w:val="20"/>
                      <w:lang w:val="en-GB"/>
                    </w:rPr>
                  </w:pPr>
                  <w:r>
                    <w:rPr>
                      <w:sz w:val="21"/>
                      <w:szCs w:val="20"/>
                      <w:lang w:val="en-GB"/>
                    </w:rPr>
                    <w:t>地面、裙脚</w:t>
                  </w:r>
                </w:p>
              </w:tc>
              <w:tc>
                <w:tcPr>
                  <w:tcW w:w="1600" w:type="pct"/>
                  <w:vAlign w:val="center"/>
                </w:tcPr>
                <w:p w14:paraId="327A3E42">
                  <w:pPr>
                    <w:spacing w:line="240" w:lineRule="auto"/>
                    <w:ind w:firstLine="0" w:firstLineChars="0"/>
                    <w:jc w:val="center"/>
                    <w:rPr>
                      <w:sz w:val="21"/>
                      <w:szCs w:val="20"/>
                      <w:lang w:val="en-GB"/>
                    </w:rPr>
                  </w:pPr>
                  <w:r>
                    <w:rPr>
                      <w:sz w:val="21"/>
                      <w:szCs w:val="20"/>
                      <w:lang w:val="en-GB"/>
                    </w:rPr>
                    <w:t>等效黏土防渗层Mb≥6.0m，K≤1.0×10</w:t>
                  </w:r>
                  <w:r>
                    <w:rPr>
                      <w:sz w:val="21"/>
                      <w:szCs w:val="20"/>
                      <w:shd w:val="clear" w:fill="FFFFFF"/>
                      <w:vertAlign w:val="superscript"/>
                      <w:lang w:val="en-GB"/>
                    </w:rPr>
                    <w:t>-</w:t>
                  </w:r>
                  <w:r>
                    <w:rPr>
                      <w:sz w:val="21"/>
                      <w:szCs w:val="20"/>
                      <w:vertAlign w:val="superscript"/>
                      <w:lang w:val="en-GB"/>
                    </w:rPr>
                    <w:t>7</w:t>
                  </w:r>
                  <w:r>
                    <w:rPr>
                      <w:sz w:val="21"/>
                      <w:szCs w:val="20"/>
                      <w:lang w:val="en-GB"/>
                    </w:rPr>
                    <w:t>cm/s；或参照GB18597执行</w:t>
                  </w:r>
                </w:p>
              </w:tc>
            </w:tr>
            <w:tr w14:paraId="7C04A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2" w:type="pct"/>
                  <w:vAlign w:val="center"/>
                </w:tcPr>
                <w:p w14:paraId="74660FCE">
                  <w:pPr>
                    <w:spacing w:line="240" w:lineRule="auto"/>
                    <w:ind w:firstLine="0" w:firstLineChars="0"/>
                    <w:jc w:val="center"/>
                    <w:rPr>
                      <w:sz w:val="21"/>
                      <w:szCs w:val="20"/>
                      <w:lang w:val="en-GB"/>
                    </w:rPr>
                  </w:pPr>
                  <w:r>
                    <w:rPr>
                      <w:sz w:val="21"/>
                      <w:szCs w:val="20"/>
                      <w:lang w:val="en-GB"/>
                    </w:rPr>
                    <w:t>2</w:t>
                  </w:r>
                </w:p>
              </w:tc>
              <w:tc>
                <w:tcPr>
                  <w:tcW w:w="797" w:type="pct"/>
                  <w:vAlign w:val="center"/>
                </w:tcPr>
                <w:p w14:paraId="0A7942E8">
                  <w:pPr>
                    <w:spacing w:line="240" w:lineRule="auto"/>
                    <w:ind w:firstLine="0" w:firstLineChars="0"/>
                    <w:jc w:val="center"/>
                    <w:rPr>
                      <w:sz w:val="21"/>
                      <w:szCs w:val="20"/>
                      <w:lang w:val="en-GB"/>
                    </w:rPr>
                  </w:pPr>
                  <w:r>
                    <w:rPr>
                      <w:sz w:val="21"/>
                      <w:szCs w:val="20"/>
                      <w:lang w:val="en-GB"/>
                    </w:rPr>
                    <w:t>一般防渗区</w:t>
                  </w:r>
                </w:p>
              </w:tc>
              <w:tc>
                <w:tcPr>
                  <w:tcW w:w="1309" w:type="pct"/>
                  <w:vAlign w:val="center"/>
                </w:tcPr>
                <w:p w14:paraId="69087580">
                  <w:pPr>
                    <w:spacing w:line="240" w:lineRule="auto"/>
                    <w:ind w:firstLine="0" w:firstLineChars="0"/>
                    <w:jc w:val="center"/>
                    <w:rPr>
                      <w:sz w:val="21"/>
                      <w:szCs w:val="20"/>
                      <w:lang w:val="en-GB"/>
                    </w:rPr>
                  </w:pPr>
                  <w:r>
                    <w:rPr>
                      <w:rFonts w:hint="eastAsia"/>
                      <w:sz w:val="21"/>
                      <w:szCs w:val="20"/>
                      <w:lang w:val="en-GB"/>
                    </w:rPr>
                    <w:t>化粪池</w:t>
                  </w:r>
                </w:p>
              </w:tc>
              <w:tc>
                <w:tcPr>
                  <w:tcW w:w="812" w:type="pct"/>
                  <w:vAlign w:val="center"/>
                </w:tcPr>
                <w:p w14:paraId="0490AAB0">
                  <w:pPr>
                    <w:spacing w:line="240" w:lineRule="auto"/>
                    <w:ind w:firstLine="0" w:firstLineChars="0"/>
                    <w:jc w:val="center"/>
                    <w:rPr>
                      <w:sz w:val="21"/>
                      <w:szCs w:val="20"/>
                      <w:lang w:val="en-GB"/>
                    </w:rPr>
                  </w:pPr>
                  <w:r>
                    <w:rPr>
                      <w:sz w:val="21"/>
                      <w:szCs w:val="20"/>
                      <w:lang w:val="en-GB"/>
                    </w:rPr>
                    <w:t>池底、池壁</w:t>
                  </w:r>
                </w:p>
              </w:tc>
              <w:tc>
                <w:tcPr>
                  <w:tcW w:w="1600" w:type="pct"/>
                  <w:vAlign w:val="center"/>
                </w:tcPr>
                <w:p w14:paraId="3CF0C6BA">
                  <w:pPr>
                    <w:spacing w:line="240" w:lineRule="auto"/>
                    <w:ind w:firstLine="0" w:firstLineChars="0"/>
                    <w:jc w:val="center"/>
                    <w:rPr>
                      <w:sz w:val="21"/>
                      <w:szCs w:val="20"/>
                      <w:lang w:val="en-GB"/>
                    </w:rPr>
                  </w:pPr>
                  <w:r>
                    <w:rPr>
                      <w:sz w:val="21"/>
                      <w:szCs w:val="20"/>
                      <w:lang w:val="en-GB"/>
                    </w:rPr>
                    <w:t>等效黏土防渗层Mb≥1.5≤1.0×10</w:t>
                  </w:r>
                  <w:r>
                    <w:rPr>
                      <w:sz w:val="21"/>
                      <w:szCs w:val="20"/>
                      <w:shd w:val="clear" w:fill="FFFFFF"/>
                      <w:vertAlign w:val="superscript"/>
                      <w:lang w:val="en-GB"/>
                    </w:rPr>
                    <w:t>-</w:t>
                  </w:r>
                  <w:r>
                    <w:rPr>
                      <w:sz w:val="21"/>
                      <w:szCs w:val="20"/>
                      <w:vertAlign w:val="superscript"/>
                      <w:lang w:val="en-GB"/>
                    </w:rPr>
                    <w:t>7</w:t>
                  </w:r>
                  <w:r>
                    <w:rPr>
                      <w:sz w:val="21"/>
                      <w:szCs w:val="20"/>
                      <w:lang w:val="en-GB"/>
                    </w:rPr>
                    <w:t>cm/s；或参照GB16889执行</w:t>
                  </w:r>
                </w:p>
              </w:tc>
            </w:tr>
            <w:tr w14:paraId="692DD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2" w:type="pct"/>
                  <w:vAlign w:val="center"/>
                </w:tcPr>
                <w:p w14:paraId="5AA84C87">
                  <w:pPr>
                    <w:spacing w:line="240" w:lineRule="auto"/>
                    <w:ind w:firstLine="0" w:firstLineChars="0"/>
                    <w:jc w:val="center"/>
                    <w:rPr>
                      <w:sz w:val="21"/>
                      <w:szCs w:val="20"/>
                      <w:lang w:val="en-GB"/>
                    </w:rPr>
                  </w:pPr>
                  <w:r>
                    <w:rPr>
                      <w:sz w:val="21"/>
                      <w:szCs w:val="20"/>
                      <w:lang w:val="en-GB"/>
                    </w:rPr>
                    <w:t>3</w:t>
                  </w:r>
                </w:p>
              </w:tc>
              <w:tc>
                <w:tcPr>
                  <w:tcW w:w="797" w:type="pct"/>
                  <w:vAlign w:val="center"/>
                </w:tcPr>
                <w:p w14:paraId="058CCF02">
                  <w:pPr>
                    <w:spacing w:line="240" w:lineRule="auto"/>
                    <w:ind w:firstLine="0" w:firstLineChars="0"/>
                    <w:jc w:val="center"/>
                    <w:rPr>
                      <w:sz w:val="21"/>
                      <w:szCs w:val="20"/>
                      <w:lang w:val="en-GB"/>
                    </w:rPr>
                  </w:pPr>
                  <w:r>
                    <w:rPr>
                      <w:sz w:val="21"/>
                      <w:szCs w:val="20"/>
                      <w:lang w:val="en-GB"/>
                    </w:rPr>
                    <w:t>简单防渗区</w:t>
                  </w:r>
                </w:p>
              </w:tc>
              <w:tc>
                <w:tcPr>
                  <w:tcW w:w="1309" w:type="pct"/>
                  <w:vAlign w:val="center"/>
                </w:tcPr>
                <w:p w14:paraId="05EE2BCA">
                  <w:pPr>
                    <w:spacing w:line="240" w:lineRule="auto"/>
                    <w:ind w:firstLine="0" w:firstLineChars="0"/>
                    <w:jc w:val="center"/>
                    <w:rPr>
                      <w:sz w:val="21"/>
                      <w:szCs w:val="20"/>
                      <w:lang w:val="en-GB"/>
                    </w:rPr>
                  </w:pPr>
                  <w:r>
                    <w:rPr>
                      <w:sz w:val="21"/>
                      <w:szCs w:val="20"/>
                      <w:lang w:val="en-GB"/>
                    </w:rPr>
                    <w:t>其他区域</w:t>
                  </w:r>
                </w:p>
              </w:tc>
              <w:tc>
                <w:tcPr>
                  <w:tcW w:w="812" w:type="pct"/>
                  <w:vAlign w:val="center"/>
                </w:tcPr>
                <w:p w14:paraId="1D12905E">
                  <w:pPr>
                    <w:spacing w:line="240" w:lineRule="auto"/>
                    <w:ind w:firstLine="0" w:firstLineChars="0"/>
                    <w:jc w:val="center"/>
                    <w:rPr>
                      <w:sz w:val="21"/>
                      <w:szCs w:val="20"/>
                      <w:lang w:val="en-GB"/>
                    </w:rPr>
                  </w:pPr>
                  <w:r>
                    <w:rPr>
                      <w:sz w:val="21"/>
                      <w:szCs w:val="20"/>
                      <w:lang w:val="en-GB"/>
                    </w:rPr>
                    <w:t>地面</w:t>
                  </w:r>
                </w:p>
              </w:tc>
              <w:tc>
                <w:tcPr>
                  <w:tcW w:w="1600" w:type="pct"/>
                  <w:vAlign w:val="center"/>
                </w:tcPr>
                <w:p w14:paraId="6C393186">
                  <w:pPr>
                    <w:spacing w:line="240" w:lineRule="auto"/>
                    <w:ind w:firstLine="0" w:firstLineChars="0"/>
                    <w:jc w:val="center"/>
                    <w:rPr>
                      <w:sz w:val="21"/>
                      <w:szCs w:val="20"/>
                      <w:lang w:val="en-GB"/>
                    </w:rPr>
                  </w:pPr>
                  <w:r>
                    <w:rPr>
                      <w:sz w:val="21"/>
                      <w:szCs w:val="20"/>
                      <w:lang w:val="en-GB"/>
                    </w:rPr>
                    <w:t>简单硬化</w:t>
                  </w:r>
                </w:p>
              </w:tc>
            </w:tr>
          </w:tbl>
          <w:p w14:paraId="1EB2BEB3">
            <w:pPr>
              <w:adjustRightInd w:val="0"/>
              <w:snapToGrid w:val="0"/>
              <w:spacing w:before="120"/>
              <w:ind w:firstLine="0" w:firstLineChars="0"/>
              <w:rPr>
                <w:b/>
                <w:bCs/>
                <w:szCs w:val="21"/>
              </w:rPr>
            </w:pPr>
            <w:r>
              <w:rPr>
                <w:rFonts w:hint="eastAsia"/>
                <w:b/>
                <w:bCs/>
                <w:sz w:val="28"/>
                <w:szCs w:val="28"/>
              </w:rPr>
              <w:t>4.2.6</w:t>
            </w:r>
            <w:r>
              <w:rPr>
                <w:b/>
                <w:bCs/>
                <w:sz w:val="28"/>
                <w:szCs w:val="28"/>
              </w:rPr>
              <w:t>排污口规范化措施</w:t>
            </w:r>
          </w:p>
          <w:p w14:paraId="4A4A8C47">
            <w:pPr>
              <w:adjustRightInd w:val="0"/>
              <w:snapToGrid w:val="0"/>
              <w:ind w:firstLine="480"/>
              <w:rPr>
                <w:rFonts w:cs="宋体"/>
                <w:bCs/>
                <w:szCs w:val="21"/>
              </w:rPr>
            </w:pPr>
            <w:r>
              <w:rPr>
                <w:rFonts w:hint="eastAsia" w:cs="宋体"/>
                <w:bCs/>
                <w:szCs w:val="21"/>
              </w:rPr>
              <w:t>根据国家、地方颁布的有关环境保护规定，废气排气筒、站内废水总排放口、噪声排放源和固废贮存处置场所均应按《环境保护图形标志一排放口（源</w:t>
            </w:r>
            <w:r>
              <w:rPr>
                <w:rFonts w:hint="eastAsia" w:cs="宋体"/>
                <w:bCs/>
                <w:szCs w:val="21"/>
                <w:shd w:val="clear" w:fill="FFFFFF"/>
              </w:rPr>
              <w:t>）)</w:t>
            </w:r>
            <w:r>
              <w:rPr>
                <w:rFonts w:hint="eastAsia" w:cs="宋体"/>
                <w:bCs/>
                <w:szCs w:val="21"/>
              </w:rPr>
              <w:t>(GB15562.1-1995)》《环境保护图形标志-固体废物贮存（处置）场》GB15562.2-1995）及修改单、《危险废物识别标志设置技术规范》（HJ1276-2022）的要求设立明显标志，具体标识见下表，标志牌应设在与之功能相应的醒目处并保持清晰、完整</w:t>
            </w:r>
            <w:r>
              <w:rPr>
                <w:rFonts w:cs="宋体"/>
                <w:bCs/>
                <w:szCs w:val="21"/>
              </w:rPr>
              <w:t>。</w:t>
            </w:r>
          </w:p>
          <w:p w14:paraId="28F462ED">
            <w:pPr>
              <w:tabs>
                <w:tab w:val="left" w:pos="360"/>
              </w:tabs>
              <w:spacing w:before="120" w:beforeLines="50" w:line="240" w:lineRule="auto"/>
              <w:ind w:firstLine="0" w:firstLineChars="0"/>
              <w:jc w:val="center"/>
              <w:rPr>
                <w:b/>
                <w:szCs w:val="20"/>
                <w:lang w:val="zh-CN" w:bidi="zh-CN"/>
              </w:rPr>
            </w:pPr>
            <w:r>
              <w:rPr>
                <w:rFonts w:hint="eastAsia"/>
                <w:b/>
                <w:szCs w:val="20"/>
                <w:lang w:bidi="ar"/>
              </w:rPr>
              <w:t>表</w:t>
            </w:r>
            <w:r>
              <w:rPr>
                <w:b/>
                <w:szCs w:val="20"/>
                <w:lang w:bidi="ar"/>
              </w:rPr>
              <w:t>4.2-</w:t>
            </w:r>
            <w:r>
              <w:rPr>
                <w:rFonts w:hint="eastAsia"/>
                <w:b/>
                <w:szCs w:val="20"/>
                <w:lang w:bidi="ar"/>
              </w:rPr>
              <w:t>14</w:t>
            </w:r>
            <w:r>
              <w:rPr>
                <w:b/>
                <w:szCs w:val="20"/>
                <w:lang w:bidi="ar"/>
              </w:rPr>
              <w:t xml:space="preserve">  </w:t>
            </w:r>
            <w:r>
              <w:rPr>
                <w:rFonts w:hint="eastAsia"/>
                <w:b/>
                <w:szCs w:val="20"/>
                <w:lang w:bidi="ar"/>
              </w:rPr>
              <w:t>环境保护图形符号一览表</w:t>
            </w:r>
          </w:p>
          <w:tbl>
            <w:tblPr>
              <w:tblStyle w:val="8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712"/>
              <w:gridCol w:w="1999"/>
              <w:gridCol w:w="1588"/>
              <w:gridCol w:w="2494"/>
            </w:tblGrid>
            <w:tr w14:paraId="7BBA7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62" w:type="dxa"/>
                  <w:vAlign w:val="center"/>
                </w:tcPr>
                <w:p w14:paraId="4283DD7D">
                  <w:pPr>
                    <w:spacing w:line="240" w:lineRule="auto"/>
                    <w:ind w:firstLine="0" w:firstLineChars="0"/>
                    <w:jc w:val="center"/>
                    <w:rPr>
                      <w:rFonts w:hint="eastAsia" w:ascii="宋体" w:hAnsi="宋体"/>
                      <w:sz w:val="21"/>
                      <w:szCs w:val="20"/>
                      <w:lang w:val="zh-CN" w:bidi="zh-CN"/>
                    </w:rPr>
                  </w:pPr>
                  <w:r>
                    <w:rPr>
                      <w:rFonts w:ascii="宋体" w:hAnsi="宋体"/>
                      <w:sz w:val="21"/>
                      <w:szCs w:val="20"/>
                      <w:lang w:bidi="ar"/>
                    </w:rPr>
                    <w:t>序号</w:t>
                  </w:r>
                </w:p>
              </w:tc>
              <w:tc>
                <w:tcPr>
                  <w:tcW w:w="1842" w:type="dxa"/>
                  <w:vAlign w:val="center"/>
                </w:tcPr>
                <w:p w14:paraId="57D4D183">
                  <w:pPr>
                    <w:spacing w:line="240" w:lineRule="auto"/>
                    <w:ind w:firstLine="0" w:firstLineChars="0"/>
                    <w:jc w:val="center"/>
                    <w:rPr>
                      <w:rFonts w:hint="eastAsia" w:ascii="宋体" w:hAnsi="宋体"/>
                      <w:sz w:val="21"/>
                      <w:szCs w:val="20"/>
                      <w:lang w:val="zh-CN" w:bidi="zh-CN"/>
                    </w:rPr>
                  </w:pPr>
                  <w:r>
                    <w:rPr>
                      <w:rFonts w:ascii="宋体" w:hAnsi="宋体"/>
                      <w:sz w:val="21"/>
                      <w:szCs w:val="20"/>
                      <w:lang w:bidi="ar"/>
                    </w:rPr>
                    <w:t>提示图标符号</w:t>
                  </w:r>
                </w:p>
              </w:tc>
              <w:tc>
                <w:tcPr>
                  <w:tcW w:w="2127" w:type="dxa"/>
                  <w:vAlign w:val="center"/>
                </w:tcPr>
                <w:p w14:paraId="1A7664E9">
                  <w:pPr>
                    <w:spacing w:line="240" w:lineRule="auto"/>
                    <w:ind w:firstLine="0" w:firstLineChars="0"/>
                    <w:jc w:val="center"/>
                    <w:rPr>
                      <w:rFonts w:hint="eastAsia" w:ascii="宋体" w:hAnsi="宋体"/>
                      <w:sz w:val="21"/>
                      <w:szCs w:val="20"/>
                      <w:lang w:val="zh-CN" w:bidi="zh-CN"/>
                    </w:rPr>
                  </w:pPr>
                  <w:r>
                    <w:rPr>
                      <w:rFonts w:ascii="宋体" w:hAnsi="宋体"/>
                      <w:sz w:val="21"/>
                      <w:szCs w:val="20"/>
                      <w:lang w:bidi="ar"/>
                    </w:rPr>
                    <w:t>警告图标符号</w:t>
                  </w:r>
                </w:p>
              </w:tc>
              <w:tc>
                <w:tcPr>
                  <w:tcW w:w="1842" w:type="dxa"/>
                  <w:vAlign w:val="center"/>
                </w:tcPr>
                <w:p w14:paraId="4B09FBB6">
                  <w:pPr>
                    <w:spacing w:line="240" w:lineRule="auto"/>
                    <w:ind w:firstLine="0" w:firstLineChars="0"/>
                    <w:jc w:val="center"/>
                    <w:rPr>
                      <w:rFonts w:hint="eastAsia" w:ascii="宋体" w:hAnsi="宋体"/>
                      <w:sz w:val="21"/>
                      <w:szCs w:val="20"/>
                      <w:lang w:val="zh-CN" w:bidi="zh-CN"/>
                    </w:rPr>
                  </w:pPr>
                  <w:r>
                    <w:rPr>
                      <w:rFonts w:ascii="宋体" w:hAnsi="宋体"/>
                      <w:sz w:val="21"/>
                      <w:szCs w:val="20"/>
                      <w:lang w:bidi="ar"/>
                    </w:rPr>
                    <w:t>名称</w:t>
                  </w:r>
                </w:p>
              </w:tc>
              <w:tc>
                <w:tcPr>
                  <w:tcW w:w="2901" w:type="dxa"/>
                  <w:vAlign w:val="center"/>
                </w:tcPr>
                <w:p w14:paraId="590A5061">
                  <w:pPr>
                    <w:spacing w:line="240" w:lineRule="auto"/>
                    <w:ind w:firstLine="0" w:firstLineChars="0"/>
                    <w:jc w:val="center"/>
                    <w:rPr>
                      <w:rFonts w:hint="eastAsia" w:ascii="宋体" w:hAnsi="宋体"/>
                      <w:sz w:val="21"/>
                      <w:szCs w:val="20"/>
                      <w:lang w:val="zh-CN" w:bidi="zh-CN"/>
                    </w:rPr>
                  </w:pPr>
                  <w:r>
                    <w:rPr>
                      <w:rFonts w:ascii="宋体" w:hAnsi="宋体"/>
                      <w:sz w:val="21"/>
                      <w:szCs w:val="20"/>
                      <w:lang w:bidi="ar"/>
                    </w:rPr>
                    <w:t>功能</w:t>
                  </w:r>
                </w:p>
              </w:tc>
            </w:tr>
            <w:tr w14:paraId="7C5CEB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762" w:type="dxa"/>
                  <w:vAlign w:val="center"/>
                </w:tcPr>
                <w:p w14:paraId="3C3C4829">
                  <w:pPr>
                    <w:spacing w:line="240" w:lineRule="auto"/>
                    <w:ind w:firstLine="0" w:firstLineChars="0"/>
                    <w:jc w:val="center"/>
                    <w:rPr>
                      <w:sz w:val="21"/>
                      <w:szCs w:val="20"/>
                      <w:lang w:val="zh-CN" w:bidi="zh-CN"/>
                    </w:rPr>
                  </w:pPr>
                  <w:r>
                    <w:rPr>
                      <w:sz w:val="21"/>
                      <w:szCs w:val="20"/>
                      <w:lang w:bidi="ar"/>
                    </w:rPr>
                    <w:t>1</w:t>
                  </w:r>
                </w:p>
              </w:tc>
              <w:tc>
                <w:tcPr>
                  <w:tcW w:w="1842" w:type="dxa"/>
                  <w:vAlign w:val="center"/>
                </w:tcPr>
                <w:p w14:paraId="6FA9223C">
                  <w:pPr>
                    <w:spacing w:line="240" w:lineRule="auto"/>
                    <w:ind w:firstLine="0" w:firstLineChars="0"/>
                    <w:jc w:val="center"/>
                    <w:rPr>
                      <w:sz w:val="21"/>
                      <w:szCs w:val="20"/>
                      <w:lang w:val="zh-CN" w:bidi="zh-CN"/>
                    </w:rPr>
                  </w:pPr>
                  <w:r>
                    <w:rPr>
                      <w:sz w:val="21"/>
                      <w:szCs w:val="20"/>
                    </w:rPr>
                    <w:drawing>
                      <wp:inline distT="0" distB="0" distL="114300" distR="114300">
                        <wp:extent cx="561975" cy="571500"/>
                        <wp:effectExtent l="0" t="0" r="9525" b="0"/>
                        <wp:docPr id="42" name="图片 2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descr="IMG_257"/>
                                <pic:cNvPicPr>
                                  <a:picLocks noChangeAspect="1"/>
                                </pic:cNvPicPr>
                              </pic:nvPicPr>
                              <pic:blipFill>
                                <a:blip r:embed="rId42"/>
                                <a:stretch>
                                  <a:fillRect/>
                                </a:stretch>
                              </pic:blipFill>
                              <pic:spPr>
                                <a:xfrm>
                                  <a:off x="0" y="0"/>
                                  <a:ext cx="561975" cy="571500"/>
                                </a:xfrm>
                                <a:prstGeom prst="rect">
                                  <a:avLst/>
                                </a:prstGeom>
                                <a:noFill/>
                                <a:ln w="9525">
                                  <a:noFill/>
                                </a:ln>
                              </pic:spPr>
                            </pic:pic>
                          </a:graphicData>
                        </a:graphic>
                      </wp:inline>
                    </w:drawing>
                  </w:r>
                </w:p>
              </w:tc>
              <w:tc>
                <w:tcPr>
                  <w:tcW w:w="2127" w:type="dxa"/>
                  <w:vAlign w:val="center"/>
                </w:tcPr>
                <w:p w14:paraId="469353BA">
                  <w:pPr>
                    <w:spacing w:line="240" w:lineRule="auto"/>
                    <w:ind w:firstLine="0" w:firstLineChars="0"/>
                    <w:jc w:val="center"/>
                    <w:rPr>
                      <w:sz w:val="21"/>
                      <w:szCs w:val="20"/>
                      <w:lang w:val="zh-CN" w:bidi="zh-CN"/>
                    </w:rPr>
                  </w:pPr>
                  <w:r>
                    <w:rPr>
                      <w:sz w:val="21"/>
                      <w:szCs w:val="20"/>
                    </w:rPr>
                    <w:drawing>
                      <wp:inline distT="0" distB="0" distL="114300" distR="114300">
                        <wp:extent cx="542925" cy="533400"/>
                        <wp:effectExtent l="0" t="0" r="9525" b="0"/>
                        <wp:docPr id="54" name="图片 2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6" descr="IMG_258"/>
                                <pic:cNvPicPr>
                                  <a:picLocks noChangeAspect="1"/>
                                </pic:cNvPicPr>
                              </pic:nvPicPr>
                              <pic:blipFill>
                                <a:blip r:embed="rId43"/>
                                <a:stretch>
                                  <a:fillRect/>
                                </a:stretch>
                              </pic:blipFill>
                              <pic:spPr>
                                <a:xfrm>
                                  <a:off x="0" y="0"/>
                                  <a:ext cx="542925" cy="533400"/>
                                </a:xfrm>
                                <a:prstGeom prst="rect">
                                  <a:avLst/>
                                </a:prstGeom>
                                <a:noFill/>
                                <a:ln w="9525">
                                  <a:noFill/>
                                </a:ln>
                              </pic:spPr>
                            </pic:pic>
                          </a:graphicData>
                        </a:graphic>
                      </wp:inline>
                    </w:drawing>
                  </w:r>
                </w:p>
              </w:tc>
              <w:tc>
                <w:tcPr>
                  <w:tcW w:w="1842" w:type="dxa"/>
                  <w:vAlign w:val="center"/>
                </w:tcPr>
                <w:p w14:paraId="1CFFF132">
                  <w:pPr>
                    <w:spacing w:line="240" w:lineRule="auto"/>
                    <w:ind w:firstLine="0" w:firstLineChars="0"/>
                    <w:jc w:val="center"/>
                    <w:rPr>
                      <w:sz w:val="21"/>
                      <w:szCs w:val="20"/>
                      <w:lang w:val="zh-CN" w:bidi="zh-CN"/>
                    </w:rPr>
                  </w:pPr>
                  <w:r>
                    <w:rPr>
                      <w:sz w:val="21"/>
                      <w:szCs w:val="20"/>
                      <w:lang w:bidi="ar"/>
                    </w:rPr>
                    <w:t>废水排放口</w:t>
                  </w:r>
                </w:p>
              </w:tc>
              <w:tc>
                <w:tcPr>
                  <w:tcW w:w="2901" w:type="dxa"/>
                  <w:vAlign w:val="center"/>
                </w:tcPr>
                <w:p w14:paraId="21D4D0D9">
                  <w:pPr>
                    <w:spacing w:line="240" w:lineRule="auto"/>
                    <w:ind w:firstLine="0" w:firstLineChars="0"/>
                    <w:jc w:val="center"/>
                    <w:rPr>
                      <w:sz w:val="21"/>
                      <w:szCs w:val="20"/>
                      <w:lang w:val="zh-CN" w:bidi="zh-CN"/>
                    </w:rPr>
                  </w:pPr>
                  <w:r>
                    <w:rPr>
                      <w:sz w:val="21"/>
                      <w:szCs w:val="20"/>
                      <w:lang w:bidi="ar"/>
                    </w:rPr>
                    <w:t>表示废水向水体排放</w:t>
                  </w:r>
                </w:p>
              </w:tc>
            </w:tr>
            <w:tr w14:paraId="1D1991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762" w:type="dxa"/>
                  <w:vAlign w:val="center"/>
                </w:tcPr>
                <w:p w14:paraId="13CFD313">
                  <w:pPr>
                    <w:spacing w:line="240" w:lineRule="auto"/>
                    <w:ind w:firstLine="0" w:firstLineChars="0"/>
                    <w:jc w:val="center"/>
                    <w:rPr>
                      <w:sz w:val="21"/>
                      <w:szCs w:val="20"/>
                      <w:lang w:val="zh-CN" w:bidi="zh-CN"/>
                    </w:rPr>
                  </w:pPr>
                  <w:r>
                    <w:rPr>
                      <w:sz w:val="21"/>
                      <w:szCs w:val="20"/>
                      <w:lang w:bidi="ar"/>
                    </w:rPr>
                    <w:t>2</w:t>
                  </w:r>
                </w:p>
              </w:tc>
              <w:tc>
                <w:tcPr>
                  <w:tcW w:w="1842" w:type="dxa"/>
                  <w:vAlign w:val="center"/>
                </w:tcPr>
                <w:p w14:paraId="26E13614">
                  <w:pPr>
                    <w:spacing w:line="240" w:lineRule="auto"/>
                    <w:ind w:firstLine="0" w:firstLineChars="0"/>
                    <w:jc w:val="center"/>
                    <w:rPr>
                      <w:sz w:val="21"/>
                      <w:szCs w:val="20"/>
                      <w:lang w:val="zh-CN" w:bidi="zh-CN"/>
                    </w:rPr>
                  </w:pPr>
                  <w:r>
                    <w:rPr>
                      <w:sz w:val="21"/>
                      <w:szCs w:val="20"/>
                    </w:rPr>
                    <w:drawing>
                      <wp:inline distT="0" distB="0" distL="114300" distR="114300">
                        <wp:extent cx="542925" cy="542925"/>
                        <wp:effectExtent l="0" t="0" r="9525" b="9525"/>
                        <wp:docPr id="55" name="图片 2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7" descr="IMG_259"/>
                                <pic:cNvPicPr>
                                  <a:picLocks noChangeAspect="1"/>
                                </pic:cNvPicPr>
                              </pic:nvPicPr>
                              <pic:blipFill>
                                <a:blip r:embed="rId44"/>
                                <a:stretch>
                                  <a:fillRect/>
                                </a:stretch>
                              </pic:blipFill>
                              <pic:spPr>
                                <a:xfrm>
                                  <a:off x="0" y="0"/>
                                  <a:ext cx="542925" cy="542925"/>
                                </a:xfrm>
                                <a:prstGeom prst="rect">
                                  <a:avLst/>
                                </a:prstGeom>
                                <a:noFill/>
                                <a:ln w="9525">
                                  <a:noFill/>
                                </a:ln>
                              </pic:spPr>
                            </pic:pic>
                          </a:graphicData>
                        </a:graphic>
                      </wp:inline>
                    </w:drawing>
                  </w:r>
                </w:p>
              </w:tc>
              <w:tc>
                <w:tcPr>
                  <w:tcW w:w="2127" w:type="dxa"/>
                  <w:vAlign w:val="center"/>
                </w:tcPr>
                <w:p w14:paraId="28E45D42">
                  <w:pPr>
                    <w:spacing w:line="240" w:lineRule="auto"/>
                    <w:ind w:firstLine="0" w:firstLineChars="0"/>
                    <w:jc w:val="center"/>
                    <w:rPr>
                      <w:sz w:val="21"/>
                      <w:szCs w:val="20"/>
                      <w:lang w:val="zh-CN" w:bidi="zh-CN"/>
                    </w:rPr>
                  </w:pPr>
                  <w:r>
                    <w:rPr>
                      <w:sz w:val="21"/>
                      <w:szCs w:val="20"/>
                    </w:rPr>
                    <w:drawing>
                      <wp:inline distT="0" distB="0" distL="114300" distR="114300">
                        <wp:extent cx="571500" cy="561975"/>
                        <wp:effectExtent l="0" t="0" r="0" b="9525"/>
                        <wp:docPr id="56" name="图片 2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8" descr="IMG_260"/>
                                <pic:cNvPicPr>
                                  <a:picLocks noChangeAspect="1"/>
                                </pic:cNvPicPr>
                              </pic:nvPicPr>
                              <pic:blipFill>
                                <a:blip r:embed="rId45"/>
                                <a:stretch>
                                  <a:fillRect/>
                                </a:stretch>
                              </pic:blipFill>
                              <pic:spPr>
                                <a:xfrm>
                                  <a:off x="0" y="0"/>
                                  <a:ext cx="571500" cy="561975"/>
                                </a:xfrm>
                                <a:prstGeom prst="rect">
                                  <a:avLst/>
                                </a:prstGeom>
                                <a:noFill/>
                                <a:ln w="9525">
                                  <a:noFill/>
                                </a:ln>
                              </pic:spPr>
                            </pic:pic>
                          </a:graphicData>
                        </a:graphic>
                      </wp:inline>
                    </w:drawing>
                  </w:r>
                </w:p>
              </w:tc>
              <w:tc>
                <w:tcPr>
                  <w:tcW w:w="1842" w:type="dxa"/>
                  <w:vAlign w:val="center"/>
                </w:tcPr>
                <w:p w14:paraId="5BDA6519">
                  <w:pPr>
                    <w:spacing w:line="240" w:lineRule="auto"/>
                    <w:ind w:firstLine="0" w:firstLineChars="0"/>
                    <w:jc w:val="center"/>
                    <w:rPr>
                      <w:sz w:val="21"/>
                      <w:szCs w:val="20"/>
                      <w:lang w:val="zh-CN" w:bidi="zh-CN"/>
                    </w:rPr>
                  </w:pPr>
                  <w:r>
                    <w:rPr>
                      <w:sz w:val="21"/>
                      <w:szCs w:val="20"/>
                      <w:lang w:bidi="ar"/>
                    </w:rPr>
                    <w:t>废气排放口</w:t>
                  </w:r>
                </w:p>
              </w:tc>
              <w:tc>
                <w:tcPr>
                  <w:tcW w:w="2901" w:type="dxa"/>
                  <w:vAlign w:val="center"/>
                </w:tcPr>
                <w:p w14:paraId="64654BCB">
                  <w:pPr>
                    <w:spacing w:line="240" w:lineRule="auto"/>
                    <w:ind w:firstLine="0" w:firstLineChars="0"/>
                    <w:jc w:val="center"/>
                    <w:rPr>
                      <w:sz w:val="21"/>
                      <w:szCs w:val="20"/>
                      <w:lang w:val="zh-CN" w:bidi="zh-CN"/>
                    </w:rPr>
                  </w:pPr>
                  <w:r>
                    <w:rPr>
                      <w:sz w:val="21"/>
                      <w:szCs w:val="20"/>
                      <w:lang w:bidi="ar"/>
                    </w:rPr>
                    <w:t>表示废气大气排放</w:t>
                  </w:r>
                </w:p>
              </w:tc>
            </w:tr>
            <w:tr w14:paraId="71E34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762" w:type="dxa"/>
                  <w:vAlign w:val="center"/>
                </w:tcPr>
                <w:p w14:paraId="78E32A6F">
                  <w:pPr>
                    <w:spacing w:line="240" w:lineRule="auto"/>
                    <w:ind w:firstLine="0" w:firstLineChars="0"/>
                    <w:jc w:val="center"/>
                    <w:rPr>
                      <w:sz w:val="21"/>
                      <w:szCs w:val="20"/>
                      <w:lang w:val="zh-CN" w:bidi="zh-CN"/>
                    </w:rPr>
                  </w:pPr>
                  <w:r>
                    <w:rPr>
                      <w:sz w:val="21"/>
                      <w:szCs w:val="20"/>
                      <w:lang w:bidi="ar"/>
                    </w:rPr>
                    <w:t>3</w:t>
                  </w:r>
                </w:p>
              </w:tc>
              <w:tc>
                <w:tcPr>
                  <w:tcW w:w="1842" w:type="dxa"/>
                  <w:vAlign w:val="center"/>
                </w:tcPr>
                <w:p w14:paraId="3DDFE247">
                  <w:pPr>
                    <w:spacing w:line="240" w:lineRule="auto"/>
                    <w:ind w:firstLine="0" w:firstLineChars="0"/>
                    <w:jc w:val="center"/>
                    <w:rPr>
                      <w:sz w:val="21"/>
                      <w:szCs w:val="20"/>
                      <w:lang w:val="zh-CN" w:bidi="zh-CN"/>
                    </w:rPr>
                  </w:pPr>
                  <w:r>
                    <w:rPr>
                      <w:sz w:val="21"/>
                      <w:szCs w:val="20"/>
                    </w:rPr>
                    <w:drawing>
                      <wp:inline distT="0" distB="0" distL="114300" distR="114300">
                        <wp:extent cx="542925" cy="542925"/>
                        <wp:effectExtent l="0" t="0" r="9525" b="9525"/>
                        <wp:docPr id="57" name="图片 2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9" descr="IMG_261"/>
                                <pic:cNvPicPr>
                                  <a:picLocks noChangeAspect="1"/>
                                </pic:cNvPicPr>
                              </pic:nvPicPr>
                              <pic:blipFill>
                                <a:blip r:embed="rId46"/>
                                <a:stretch>
                                  <a:fillRect/>
                                </a:stretch>
                              </pic:blipFill>
                              <pic:spPr>
                                <a:xfrm>
                                  <a:off x="0" y="0"/>
                                  <a:ext cx="542925" cy="542925"/>
                                </a:xfrm>
                                <a:prstGeom prst="rect">
                                  <a:avLst/>
                                </a:prstGeom>
                                <a:noFill/>
                                <a:ln w="9525">
                                  <a:noFill/>
                                </a:ln>
                              </pic:spPr>
                            </pic:pic>
                          </a:graphicData>
                        </a:graphic>
                      </wp:inline>
                    </w:drawing>
                  </w:r>
                </w:p>
              </w:tc>
              <w:tc>
                <w:tcPr>
                  <w:tcW w:w="2127" w:type="dxa"/>
                  <w:vAlign w:val="center"/>
                </w:tcPr>
                <w:p w14:paraId="50F8A4AB">
                  <w:pPr>
                    <w:spacing w:line="240" w:lineRule="auto"/>
                    <w:ind w:firstLine="0" w:firstLineChars="0"/>
                    <w:jc w:val="center"/>
                    <w:rPr>
                      <w:sz w:val="21"/>
                      <w:szCs w:val="20"/>
                      <w:lang w:val="zh-CN" w:bidi="zh-CN"/>
                    </w:rPr>
                  </w:pPr>
                  <w:r>
                    <w:rPr>
                      <w:sz w:val="21"/>
                      <w:szCs w:val="20"/>
                    </w:rPr>
                    <w:drawing>
                      <wp:inline distT="0" distB="0" distL="114300" distR="114300">
                        <wp:extent cx="523875" cy="485775"/>
                        <wp:effectExtent l="0" t="0" r="9525" b="9525"/>
                        <wp:docPr id="58" name="图片 3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0" descr="IMG_262"/>
                                <pic:cNvPicPr>
                                  <a:picLocks noChangeAspect="1"/>
                                </pic:cNvPicPr>
                              </pic:nvPicPr>
                              <pic:blipFill>
                                <a:blip r:embed="rId47"/>
                                <a:stretch>
                                  <a:fillRect/>
                                </a:stretch>
                              </pic:blipFill>
                              <pic:spPr>
                                <a:xfrm>
                                  <a:off x="0" y="0"/>
                                  <a:ext cx="523875" cy="485775"/>
                                </a:xfrm>
                                <a:prstGeom prst="rect">
                                  <a:avLst/>
                                </a:prstGeom>
                                <a:noFill/>
                                <a:ln w="9525">
                                  <a:noFill/>
                                </a:ln>
                              </pic:spPr>
                            </pic:pic>
                          </a:graphicData>
                        </a:graphic>
                      </wp:inline>
                    </w:drawing>
                  </w:r>
                </w:p>
              </w:tc>
              <w:tc>
                <w:tcPr>
                  <w:tcW w:w="1842" w:type="dxa"/>
                  <w:vAlign w:val="center"/>
                </w:tcPr>
                <w:p w14:paraId="6DD21D05">
                  <w:pPr>
                    <w:spacing w:line="240" w:lineRule="auto"/>
                    <w:ind w:firstLine="0" w:firstLineChars="0"/>
                    <w:jc w:val="center"/>
                    <w:rPr>
                      <w:sz w:val="21"/>
                      <w:szCs w:val="20"/>
                      <w:lang w:val="zh-CN" w:bidi="zh-CN"/>
                    </w:rPr>
                  </w:pPr>
                  <w:r>
                    <w:rPr>
                      <w:sz w:val="21"/>
                      <w:szCs w:val="20"/>
                      <w:lang w:bidi="ar"/>
                    </w:rPr>
                    <w:t>一般固体废物</w:t>
                  </w:r>
                </w:p>
              </w:tc>
              <w:tc>
                <w:tcPr>
                  <w:tcW w:w="2901" w:type="dxa"/>
                  <w:vAlign w:val="center"/>
                </w:tcPr>
                <w:p w14:paraId="30B02E0C">
                  <w:pPr>
                    <w:spacing w:line="240" w:lineRule="auto"/>
                    <w:ind w:firstLine="0" w:firstLineChars="0"/>
                    <w:jc w:val="center"/>
                    <w:rPr>
                      <w:sz w:val="21"/>
                      <w:szCs w:val="20"/>
                      <w:lang w:val="zh-CN" w:bidi="zh-CN"/>
                    </w:rPr>
                  </w:pPr>
                  <w:r>
                    <w:rPr>
                      <w:sz w:val="21"/>
                      <w:szCs w:val="20"/>
                      <w:lang w:bidi="ar"/>
                    </w:rPr>
                    <w:t>表示一般固体废物贮存、处置场</w:t>
                  </w:r>
                </w:p>
              </w:tc>
            </w:tr>
            <w:tr w14:paraId="08B9F8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62" w:type="dxa"/>
                  <w:vAlign w:val="center"/>
                </w:tcPr>
                <w:p w14:paraId="36DF8A08">
                  <w:pPr>
                    <w:spacing w:line="240" w:lineRule="auto"/>
                    <w:ind w:firstLine="0" w:firstLineChars="0"/>
                    <w:jc w:val="center"/>
                    <w:rPr>
                      <w:sz w:val="21"/>
                      <w:szCs w:val="20"/>
                      <w:lang w:val="zh-CN" w:bidi="zh-CN"/>
                    </w:rPr>
                  </w:pPr>
                  <w:r>
                    <w:rPr>
                      <w:sz w:val="21"/>
                      <w:szCs w:val="20"/>
                      <w:lang w:bidi="ar"/>
                    </w:rPr>
                    <w:t>4</w:t>
                  </w:r>
                </w:p>
              </w:tc>
              <w:tc>
                <w:tcPr>
                  <w:tcW w:w="1842" w:type="dxa"/>
                  <w:vAlign w:val="center"/>
                </w:tcPr>
                <w:p w14:paraId="38BF31BE">
                  <w:pPr>
                    <w:spacing w:line="240" w:lineRule="auto"/>
                    <w:ind w:firstLine="0" w:firstLineChars="0"/>
                    <w:jc w:val="center"/>
                    <w:rPr>
                      <w:sz w:val="21"/>
                      <w:szCs w:val="20"/>
                      <w:lang w:val="zh-CN" w:bidi="zh-CN"/>
                    </w:rPr>
                  </w:pPr>
                  <w:r>
                    <w:rPr>
                      <w:sz w:val="21"/>
                      <w:szCs w:val="20"/>
                    </w:rPr>
                    <w:drawing>
                      <wp:inline distT="0" distB="0" distL="114300" distR="114300">
                        <wp:extent cx="504825" cy="504825"/>
                        <wp:effectExtent l="0" t="0" r="9525" b="9525"/>
                        <wp:docPr id="59" name="图片 3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1" descr="IMG_263"/>
                                <pic:cNvPicPr>
                                  <a:picLocks noChangeAspect="1"/>
                                </pic:cNvPicPr>
                              </pic:nvPicPr>
                              <pic:blipFill>
                                <a:blip r:embed="rId48"/>
                                <a:stretch>
                                  <a:fillRect/>
                                </a:stretch>
                              </pic:blipFill>
                              <pic:spPr>
                                <a:xfrm>
                                  <a:off x="0" y="0"/>
                                  <a:ext cx="504825" cy="504825"/>
                                </a:xfrm>
                                <a:prstGeom prst="rect">
                                  <a:avLst/>
                                </a:prstGeom>
                                <a:noFill/>
                                <a:ln w="9525">
                                  <a:noFill/>
                                </a:ln>
                              </pic:spPr>
                            </pic:pic>
                          </a:graphicData>
                        </a:graphic>
                      </wp:inline>
                    </w:drawing>
                  </w:r>
                </w:p>
              </w:tc>
              <w:tc>
                <w:tcPr>
                  <w:tcW w:w="2127" w:type="dxa"/>
                  <w:vAlign w:val="center"/>
                </w:tcPr>
                <w:p w14:paraId="19E421E3">
                  <w:pPr>
                    <w:spacing w:line="240" w:lineRule="auto"/>
                    <w:ind w:firstLine="0" w:firstLineChars="0"/>
                    <w:jc w:val="center"/>
                    <w:rPr>
                      <w:sz w:val="21"/>
                      <w:szCs w:val="20"/>
                      <w:lang w:val="zh-CN" w:bidi="zh-CN"/>
                    </w:rPr>
                  </w:pPr>
                  <w:r>
                    <w:rPr>
                      <w:sz w:val="21"/>
                      <w:szCs w:val="20"/>
                    </w:rPr>
                    <w:drawing>
                      <wp:inline distT="0" distB="0" distL="114300" distR="114300">
                        <wp:extent cx="657225" cy="581025"/>
                        <wp:effectExtent l="0" t="0" r="9525" b="9525"/>
                        <wp:docPr id="60" name="图片 3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2" descr="IMG_264"/>
                                <pic:cNvPicPr>
                                  <a:picLocks noChangeAspect="1"/>
                                </pic:cNvPicPr>
                              </pic:nvPicPr>
                              <pic:blipFill>
                                <a:blip r:embed="rId49"/>
                                <a:stretch>
                                  <a:fillRect/>
                                </a:stretch>
                              </pic:blipFill>
                              <pic:spPr>
                                <a:xfrm>
                                  <a:off x="0" y="0"/>
                                  <a:ext cx="657225" cy="581025"/>
                                </a:xfrm>
                                <a:prstGeom prst="rect">
                                  <a:avLst/>
                                </a:prstGeom>
                                <a:noFill/>
                                <a:ln w="9525">
                                  <a:noFill/>
                                </a:ln>
                              </pic:spPr>
                            </pic:pic>
                          </a:graphicData>
                        </a:graphic>
                      </wp:inline>
                    </w:drawing>
                  </w:r>
                </w:p>
              </w:tc>
              <w:tc>
                <w:tcPr>
                  <w:tcW w:w="1842" w:type="dxa"/>
                  <w:vAlign w:val="center"/>
                </w:tcPr>
                <w:p w14:paraId="5FF4CF77">
                  <w:pPr>
                    <w:spacing w:line="240" w:lineRule="auto"/>
                    <w:ind w:firstLine="0" w:firstLineChars="0"/>
                    <w:jc w:val="center"/>
                    <w:rPr>
                      <w:sz w:val="21"/>
                      <w:szCs w:val="20"/>
                      <w:lang w:val="zh-CN" w:bidi="zh-CN"/>
                    </w:rPr>
                  </w:pPr>
                  <w:r>
                    <w:rPr>
                      <w:sz w:val="21"/>
                      <w:szCs w:val="20"/>
                      <w:lang w:bidi="ar"/>
                    </w:rPr>
                    <w:t>噪声排放源</w:t>
                  </w:r>
                </w:p>
              </w:tc>
              <w:tc>
                <w:tcPr>
                  <w:tcW w:w="2901" w:type="dxa"/>
                  <w:vAlign w:val="center"/>
                </w:tcPr>
                <w:p w14:paraId="4DC7E571">
                  <w:pPr>
                    <w:spacing w:line="240" w:lineRule="auto"/>
                    <w:ind w:firstLine="0" w:firstLineChars="0"/>
                    <w:jc w:val="center"/>
                    <w:rPr>
                      <w:sz w:val="21"/>
                      <w:szCs w:val="20"/>
                      <w:lang w:val="zh-CN" w:bidi="zh-CN"/>
                    </w:rPr>
                  </w:pPr>
                  <w:r>
                    <w:rPr>
                      <w:sz w:val="21"/>
                      <w:szCs w:val="20"/>
                      <w:lang w:bidi="ar"/>
                    </w:rPr>
                    <w:t>表示噪声向环境排放</w:t>
                  </w:r>
                </w:p>
              </w:tc>
            </w:tr>
            <w:tr w14:paraId="06DAA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2" w:type="dxa"/>
                  <w:vAlign w:val="center"/>
                </w:tcPr>
                <w:p w14:paraId="617AF416">
                  <w:pPr>
                    <w:spacing w:line="240" w:lineRule="auto"/>
                    <w:ind w:firstLine="0" w:firstLineChars="0"/>
                    <w:jc w:val="center"/>
                    <w:rPr>
                      <w:sz w:val="21"/>
                      <w:szCs w:val="20"/>
                      <w:lang w:val="zh-CN" w:bidi="zh-CN"/>
                    </w:rPr>
                  </w:pPr>
                  <w:r>
                    <w:rPr>
                      <w:sz w:val="21"/>
                      <w:szCs w:val="20"/>
                      <w:lang w:bidi="ar"/>
                    </w:rPr>
                    <w:t>5</w:t>
                  </w:r>
                </w:p>
              </w:tc>
              <w:tc>
                <w:tcPr>
                  <w:tcW w:w="1842" w:type="dxa"/>
                  <w:vAlign w:val="center"/>
                </w:tcPr>
                <w:p w14:paraId="44F2CF14">
                  <w:pPr>
                    <w:spacing w:line="240" w:lineRule="auto"/>
                    <w:ind w:firstLine="0" w:firstLineChars="0"/>
                    <w:jc w:val="center"/>
                    <w:rPr>
                      <w:sz w:val="21"/>
                      <w:szCs w:val="20"/>
                      <w:lang w:val="zh-CN" w:bidi="zh-CN"/>
                    </w:rPr>
                  </w:pPr>
                </w:p>
              </w:tc>
              <w:tc>
                <w:tcPr>
                  <w:tcW w:w="2127" w:type="dxa"/>
                  <w:vAlign w:val="center"/>
                </w:tcPr>
                <w:p w14:paraId="31FEF900">
                  <w:pPr>
                    <w:spacing w:line="240" w:lineRule="auto"/>
                    <w:ind w:firstLine="0" w:firstLineChars="0"/>
                    <w:jc w:val="center"/>
                    <w:rPr>
                      <w:sz w:val="21"/>
                      <w:szCs w:val="20"/>
                      <w:lang w:val="zh-CN" w:bidi="zh-CN"/>
                    </w:rPr>
                  </w:pPr>
                  <w:r>
                    <w:rPr>
                      <w:sz w:val="21"/>
                      <w:szCs w:val="20"/>
                    </w:rPr>
                    <w:drawing>
                      <wp:inline distT="0" distB="0" distL="114300" distR="114300">
                        <wp:extent cx="762000" cy="688340"/>
                        <wp:effectExtent l="0" t="0" r="0" b="165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0" cstate="print"/>
                                <a:srcRect b="11786"/>
                                <a:stretch>
                                  <a:fillRect/>
                                </a:stretch>
                              </pic:blipFill>
                              <pic:spPr>
                                <a:xfrm>
                                  <a:off x="0" y="0"/>
                                  <a:ext cx="765098" cy="691218"/>
                                </a:xfrm>
                                <a:prstGeom prst="rect">
                                  <a:avLst/>
                                </a:prstGeom>
                                <a:noFill/>
                                <a:ln>
                                  <a:noFill/>
                                </a:ln>
                              </pic:spPr>
                            </pic:pic>
                          </a:graphicData>
                        </a:graphic>
                      </wp:inline>
                    </w:drawing>
                  </w:r>
                </w:p>
              </w:tc>
              <w:tc>
                <w:tcPr>
                  <w:tcW w:w="1842" w:type="dxa"/>
                  <w:vAlign w:val="center"/>
                </w:tcPr>
                <w:p w14:paraId="1DA33A76">
                  <w:pPr>
                    <w:spacing w:line="240" w:lineRule="auto"/>
                    <w:ind w:firstLine="0" w:firstLineChars="0"/>
                    <w:jc w:val="center"/>
                    <w:rPr>
                      <w:kern w:val="0"/>
                      <w:sz w:val="21"/>
                      <w:szCs w:val="20"/>
                      <w:lang w:val="zh-CN" w:bidi="zh-CN"/>
                    </w:rPr>
                  </w:pPr>
                  <w:r>
                    <w:rPr>
                      <w:kern w:val="0"/>
                      <w:sz w:val="21"/>
                      <w:szCs w:val="20"/>
                      <w:lang w:bidi="ar"/>
                    </w:rPr>
                    <w:t>危险废物</w:t>
                  </w:r>
                </w:p>
              </w:tc>
              <w:tc>
                <w:tcPr>
                  <w:tcW w:w="2901" w:type="dxa"/>
                  <w:vAlign w:val="center"/>
                </w:tcPr>
                <w:p w14:paraId="1A0682F5">
                  <w:pPr>
                    <w:spacing w:line="240" w:lineRule="auto"/>
                    <w:ind w:firstLine="0" w:firstLineChars="0"/>
                    <w:jc w:val="center"/>
                    <w:rPr>
                      <w:kern w:val="0"/>
                      <w:sz w:val="21"/>
                      <w:szCs w:val="20"/>
                      <w:lang w:val="zh-CN" w:bidi="zh-CN"/>
                    </w:rPr>
                  </w:pPr>
                  <w:r>
                    <w:rPr>
                      <w:kern w:val="0"/>
                      <w:sz w:val="21"/>
                      <w:szCs w:val="20"/>
                      <w:lang w:bidi="ar"/>
                    </w:rPr>
                    <w:t>表示危险废物贮存、处置场</w:t>
                  </w:r>
                </w:p>
              </w:tc>
            </w:tr>
          </w:tbl>
          <w:p w14:paraId="0E1586A6">
            <w:pPr>
              <w:ind w:firstLine="480"/>
            </w:pPr>
          </w:p>
          <w:p w14:paraId="6ADB58DB">
            <w:pPr>
              <w:ind w:firstLine="480"/>
            </w:pPr>
          </w:p>
        </w:tc>
      </w:tr>
    </w:tbl>
    <w:p w14:paraId="3FF8BCEE">
      <w:pPr>
        <w:pStyle w:val="2"/>
        <w:spacing w:before="120" w:after="120"/>
        <w:sectPr>
          <w:pgSz w:w="11905" w:h="16838"/>
          <w:pgMar w:top="1417" w:right="1417" w:bottom="1417" w:left="1417" w:header="851" w:footer="850" w:gutter="0"/>
          <w:cols w:space="720" w:num="1"/>
          <w:docGrid w:linePitch="312" w:charSpace="0"/>
        </w:sectPr>
      </w:pPr>
    </w:p>
    <w:p w14:paraId="478802C6">
      <w:pPr>
        <w:pStyle w:val="2"/>
        <w:spacing w:before="120" w:after="120"/>
      </w:pPr>
      <w:r>
        <w:t>五、</w:t>
      </w:r>
      <w:bookmarkStart w:id="10" w:name="_Hlk54167917"/>
      <w:r>
        <w:t>环境保护措施监督检查清单</w:t>
      </w:r>
      <w:bookmarkEnd w:id="10"/>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99"/>
        <w:gridCol w:w="1554"/>
        <w:gridCol w:w="1843"/>
        <w:gridCol w:w="1843"/>
        <w:gridCol w:w="3288"/>
      </w:tblGrid>
      <w:tr w14:paraId="717D2F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 w:type="pct"/>
          </w:tcPr>
          <w:p w14:paraId="47DF4C48">
            <w:pPr>
              <w:pStyle w:val="41"/>
            </w:pPr>
            <w:r>
              <w:t>内容要素</w:t>
            </w:r>
          </w:p>
        </w:tc>
        <w:tc>
          <w:tcPr>
            <w:tcW w:w="851" w:type="pct"/>
            <w:vAlign w:val="center"/>
          </w:tcPr>
          <w:p w14:paraId="5C7E44A4">
            <w:pPr>
              <w:pStyle w:val="41"/>
            </w:pPr>
            <w:r>
              <w:t>排放口</w:t>
            </w:r>
            <w:r>
              <w:rPr>
                <w:rFonts w:hint="eastAsia"/>
              </w:rPr>
              <w:t>（</w:t>
            </w:r>
            <w:r>
              <w:t>编号、名称</w:t>
            </w:r>
            <w:r>
              <w:rPr>
                <w:rFonts w:hint="eastAsia"/>
              </w:rPr>
              <w:t>）</w:t>
            </w:r>
            <w:r>
              <w:t>/污染源</w:t>
            </w:r>
          </w:p>
        </w:tc>
        <w:tc>
          <w:tcPr>
            <w:tcW w:w="1010" w:type="pct"/>
            <w:vAlign w:val="center"/>
          </w:tcPr>
          <w:p w14:paraId="731C234A">
            <w:pPr>
              <w:pStyle w:val="41"/>
            </w:pPr>
            <w:r>
              <w:t>污染物项目</w:t>
            </w:r>
          </w:p>
        </w:tc>
        <w:tc>
          <w:tcPr>
            <w:tcW w:w="1010" w:type="pct"/>
            <w:vAlign w:val="center"/>
          </w:tcPr>
          <w:p w14:paraId="1982B450">
            <w:pPr>
              <w:pStyle w:val="41"/>
            </w:pPr>
            <w:r>
              <w:t>环境保护措施</w:t>
            </w:r>
          </w:p>
        </w:tc>
        <w:tc>
          <w:tcPr>
            <w:tcW w:w="1801" w:type="pct"/>
            <w:vAlign w:val="center"/>
          </w:tcPr>
          <w:p w14:paraId="464C203A">
            <w:pPr>
              <w:pStyle w:val="41"/>
            </w:pPr>
            <w:r>
              <w:t>执行标准</w:t>
            </w:r>
          </w:p>
        </w:tc>
      </w:tr>
      <w:tr w14:paraId="3BB58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27" w:hRule="atLeast"/>
          <w:jc w:val="center"/>
        </w:trPr>
        <w:tc>
          <w:tcPr>
            <w:tcW w:w="328" w:type="pct"/>
            <w:vMerge w:val="restart"/>
            <w:vAlign w:val="center"/>
          </w:tcPr>
          <w:p w14:paraId="6A99162B">
            <w:pPr>
              <w:pStyle w:val="41"/>
            </w:pPr>
            <w:r>
              <w:t>大气环境</w:t>
            </w:r>
          </w:p>
        </w:tc>
        <w:tc>
          <w:tcPr>
            <w:tcW w:w="851" w:type="pct"/>
            <w:vAlign w:val="center"/>
          </w:tcPr>
          <w:p w14:paraId="0DF45201">
            <w:pPr>
              <w:pStyle w:val="41"/>
            </w:pPr>
            <w:r>
              <w:rPr>
                <w:rFonts w:hint="eastAsia"/>
              </w:rPr>
              <w:t>涂胶工序有机废气排放口（DA001）</w:t>
            </w:r>
          </w:p>
        </w:tc>
        <w:tc>
          <w:tcPr>
            <w:tcW w:w="1010" w:type="pct"/>
            <w:vAlign w:val="center"/>
          </w:tcPr>
          <w:p w14:paraId="70FAB6CB">
            <w:pPr>
              <w:pStyle w:val="41"/>
            </w:pPr>
            <w:r>
              <w:rPr>
                <w:rFonts w:hint="eastAsia"/>
              </w:rPr>
              <w:t>非甲烷总烃</w:t>
            </w:r>
          </w:p>
        </w:tc>
        <w:tc>
          <w:tcPr>
            <w:tcW w:w="1010" w:type="pct"/>
            <w:vAlign w:val="center"/>
          </w:tcPr>
          <w:p w14:paraId="5D43800E">
            <w:pPr>
              <w:pStyle w:val="41"/>
            </w:pPr>
            <w:r>
              <w:rPr>
                <w:rFonts w:hint="eastAsia"/>
              </w:rPr>
              <w:t>两级活性炭吸附装置+15高排气筒</w:t>
            </w:r>
          </w:p>
        </w:tc>
        <w:tc>
          <w:tcPr>
            <w:tcW w:w="1801" w:type="pct"/>
            <w:vAlign w:val="center"/>
          </w:tcPr>
          <w:p w14:paraId="01949219">
            <w:pPr>
              <w:pStyle w:val="41"/>
            </w:pPr>
            <w:r>
              <w:rPr>
                <w:rFonts w:hint="eastAsia"/>
              </w:rPr>
              <w:t>《大气污染物综合排放标准》（GB16297-1996）中表2排放限值，非甲烷总烃</w:t>
            </w:r>
            <w:r>
              <w:t>≤</w:t>
            </w:r>
            <w:r>
              <w:rPr>
                <w:rFonts w:hint="eastAsia"/>
              </w:rPr>
              <w:t>120mg/m</w:t>
            </w:r>
            <w:r>
              <w:rPr>
                <w:rFonts w:hint="eastAsia"/>
                <w:vertAlign w:val="superscript"/>
              </w:rPr>
              <w:t>3</w:t>
            </w:r>
          </w:p>
        </w:tc>
      </w:tr>
      <w:tr w14:paraId="1F1DD6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27" w:hRule="atLeast"/>
          <w:jc w:val="center"/>
        </w:trPr>
        <w:tc>
          <w:tcPr>
            <w:tcW w:w="328" w:type="pct"/>
            <w:vMerge w:val="continue"/>
            <w:vAlign w:val="center"/>
          </w:tcPr>
          <w:p w14:paraId="3E7AD479">
            <w:pPr>
              <w:pStyle w:val="41"/>
            </w:pPr>
          </w:p>
        </w:tc>
        <w:tc>
          <w:tcPr>
            <w:tcW w:w="851" w:type="pct"/>
            <w:vAlign w:val="center"/>
          </w:tcPr>
          <w:p w14:paraId="0936020C">
            <w:pPr>
              <w:pStyle w:val="41"/>
            </w:pPr>
            <w:r>
              <w:rPr>
                <w:rFonts w:hint="eastAsia"/>
              </w:rPr>
              <w:t>涂胶工序有机废气（无组织）</w:t>
            </w:r>
          </w:p>
        </w:tc>
        <w:tc>
          <w:tcPr>
            <w:tcW w:w="1010" w:type="pct"/>
            <w:vAlign w:val="center"/>
          </w:tcPr>
          <w:p w14:paraId="77F942E6">
            <w:pPr>
              <w:pStyle w:val="41"/>
            </w:pPr>
            <w:r>
              <w:rPr>
                <w:rFonts w:hint="eastAsia"/>
              </w:rPr>
              <w:t>非甲烷总烃</w:t>
            </w:r>
          </w:p>
        </w:tc>
        <w:tc>
          <w:tcPr>
            <w:tcW w:w="1010" w:type="pct"/>
            <w:vAlign w:val="center"/>
          </w:tcPr>
          <w:p w14:paraId="308868C4">
            <w:pPr>
              <w:pStyle w:val="41"/>
            </w:pPr>
            <w:r>
              <w:rPr>
                <w:rFonts w:hint="eastAsia"/>
              </w:rPr>
              <w:t>/</w:t>
            </w:r>
          </w:p>
        </w:tc>
        <w:tc>
          <w:tcPr>
            <w:tcW w:w="1801" w:type="pct"/>
            <w:vAlign w:val="center"/>
          </w:tcPr>
          <w:p w14:paraId="7C2800BD">
            <w:pPr>
              <w:pStyle w:val="41"/>
            </w:pPr>
            <w:r>
              <w:rPr>
                <w:rFonts w:hint="eastAsia"/>
              </w:rPr>
              <w:t>《大气污染物综合排放标准》（GB16297-1996）中表2排放限值，非甲烷总烃</w:t>
            </w:r>
            <w:r>
              <w:t>≤</w:t>
            </w:r>
            <w:r>
              <w:rPr>
                <w:rFonts w:hint="eastAsia"/>
              </w:rPr>
              <w:t>4.0mg/m</w:t>
            </w:r>
            <w:r>
              <w:rPr>
                <w:rFonts w:hint="eastAsia"/>
                <w:vertAlign w:val="superscript"/>
              </w:rPr>
              <w:t>3</w:t>
            </w:r>
          </w:p>
          <w:p w14:paraId="25B15530">
            <w:pPr>
              <w:pStyle w:val="41"/>
            </w:pPr>
            <w:r>
              <w:rPr>
                <w:rFonts w:hint="eastAsia"/>
              </w:rPr>
              <w:t>《挥发性有机物无组织排放控制标准》（GB37822-2019）厂区内监控点非甲烷总烃浓度</w:t>
            </w:r>
            <w:r>
              <w:t>≤</w:t>
            </w:r>
            <w:r>
              <w:rPr>
                <w:rFonts w:hint="eastAsia"/>
              </w:rPr>
              <w:t>10mg/m</w:t>
            </w:r>
            <w:r>
              <w:rPr>
                <w:rFonts w:hint="eastAsia"/>
                <w:vertAlign w:val="superscript"/>
              </w:rPr>
              <w:t>3</w:t>
            </w:r>
            <w:r>
              <w:rPr>
                <w:rFonts w:hint="eastAsia"/>
              </w:rPr>
              <w:t>，监控点处任意一次浓度值≤30mg/m</w:t>
            </w:r>
            <w:r>
              <w:rPr>
                <w:rFonts w:hint="eastAsia"/>
                <w:vertAlign w:val="superscript"/>
              </w:rPr>
              <w:t>3</w:t>
            </w:r>
          </w:p>
        </w:tc>
      </w:tr>
      <w:tr w14:paraId="5BAE8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 w:type="pct"/>
            <w:vMerge w:val="continue"/>
            <w:vAlign w:val="center"/>
          </w:tcPr>
          <w:p w14:paraId="56AB57BF">
            <w:pPr>
              <w:pStyle w:val="41"/>
            </w:pPr>
          </w:p>
        </w:tc>
        <w:tc>
          <w:tcPr>
            <w:tcW w:w="851" w:type="pct"/>
            <w:vAlign w:val="center"/>
          </w:tcPr>
          <w:p w14:paraId="06520BFD">
            <w:pPr>
              <w:pStyle w:val="41"/>
            </w:pPr>
            <w:r>
              <w:rPr>
                <w:rFonts w:hint="eastAsia"/>
              </w:rPr>
              <w:t>焊接烟尘</w:t>
            </w:r>
          </w:p>
          <w:p w14:paraId="14A294F9">
            <w:pPr>
              <w:pStyle w:val="41"/>
            </w:pPr>
            <w:r>
              <w:rPr>
                <w:rFonts w:hint="eastAsia"/>
              </w:rPr>
              <w:t>（无组织）</w:t>
            </w:r>
          </w:p>
        </w:tc>
        <w:tc>
          <w:tcPr>
            <w:tcW w:w="1010" w:type="pct"/>
            <w:vAlign w:val="center"/>
          </w:tcPr>
          <w:p w14:paraId="3C39C071">
            <w:pPr>
              <w:pStyle w:val="41"/>
            </w:pPr>
            <w:r>
              <w:rPr>
                <w:rFonts w:hint="eastAsia"/>
              </w:rPr>
              <w:t>颗粒物</w:t>
            </w:r>
          </w:p>
        </w:tc>
        <w:tc>
          <w:tcPr>
            <w:tcW w:w="1010" w:type="pct"/>
            <w:vAlign w:val="center"/>
          </w:tcPr>
          <w:p w14:paraId="0E987A6F">
            <w:pPr>
              <w:pStyle w:val="41"/>
            </w:pPr>
            <w:r>
              <w:rPr>
                <w:rFonts w:hint="eastAsia"/>
              </w:rPr>
              <w:t>焊烟净化器</w:t>
            </w:r>
          </w:p>
        </w:tc>
        <w:tc>
          <w:tcPr>
            <w:tcW w:w="1801" w:type="pct"/>
            <w:vMerge w:val="restart"/>
            <w:vAlign w:val="center"/>
          </w:tcPr>
          <w:p w14:paraId="0A9D9D77">
            <w:pPr>
              <w:pStyle w:val="41"/>
            </w:pPr>
            <w:r>
              <w:t>《大气污染物综合排放标准》（GB16297-1996）</w:t>
            </w:r>
            <w:r>
              <w:rPr>
                <w:rFonts w:hint="eastAsia"/>
              </w:rPr>
              <w:t>中表2</w:t>
            </w:r>
            <w:r>
              <w:t>无组织排放浓度限值</w:t>
            </w:r>
            <w:r>
              <w:rPr>
                <w:rFonts w:hint="eastAsia"/>
              </w:rPr>
              <w:t>，颗粒物</w:t>
            </w:r>
            <w:r>
              <w:t>≤</w:t>
            </w:r>
            <w:r>
              <w:rPr>
                <w:rFonts w:hint="eastAsia"/>
              </w:rPr>
              <w:t>1.0mg/m</w:t>
            </w:r>
            <w:r>
              <w:rPr>
                <w:rFonts w:hint="eastAsia"/>
                <w:vertAlign w:val="superscript"/>
              </w:rPr>
              <w:t>3</w:t>
            </w:r>
          </w:p>
        </w:tc>
      </w:tr>
      <w:tr w14:paraId="58D381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 w:type="pct"/>
            <w:vMerge w:val="continue"/>
            <w:vAlign w:val="center"/>
          </w:tcPr>
          <w:p w14:paraId="517D90EB">
            <w:pPr>
              <w:pStyle w:val="41"/>
            </w:pPr>
          </w:p>
        </w:tc>
        <w:tc>
          <w:tcPr>
            <w:tcW w:w="851" w:type="pct"/>
            <w:vAlign w:val="center"/>
          </w:tcPr>
          <w:p w14:paraId="592D6E9F">
            <w:pPr>
              <w:pStyle w:val="41"/>
            </w:pPr>
            <w:r>
              <w:rPr>
                <w:rFonts w:hint="eastAsia"/>
              </w:rPr>
              <w:t>打磨粉尘</w:t>
            </w:r>
          </w:p>
          <w:p w14:paraId="3EF9AF24">
            <w:pPr>
              <w:pStyle w:val="41"/>
            </w:pPr>
            <w:r>
              <w:rPr>
                <w:rFonts w:hint="eastAsia"/>
              </w:rPr>
              <w:t>（无组织）</w:t>
            </w:r>
          </w:p>
        </w:tc>
        <w:tc>
          <w:tcPr>
            <w:tcW w:w="1010" w:type="pct"/>
            <w:vAlign w:val="center"/>
          </w:tcPr>
          <w:p w14:paraId="0BC0C8B4">
            <w:pPr>
              <w:pStyle w:val="41"/>
            </w:pPr>
            <w:r>
              <w:rPr>
                <w:rFonts w:hint="eastAsia"/>
              </w:rPr>
              <w:t>颗粒物</w:t>
            </w:r>
          </w:p>
        </w:tc>
        <w:tc>
          <w:tcPr>
            <w:tcW w:w="1010" w:type="pct"/>
            <w:vAlign w:val="center"/>
          </w:tcPr>
          <w:p w14:paraId="7DE065F2">
            <w:pPr>
              <w:pStyle w:val="45"/>
            </w:pPr>
            <w:r>
              <w:rPr>
                <w:rFonts w:hint="eastAsia"/>
              </w:rPr>
              <w:t>单机脉冲布袋</w:t>
            </w:r>
          </w:p>
          <w:p w14:paraId="24B3FCD6">
            <w:pPr>
              <w:pStyle w:val="45"/>
            </w:pPr>
            <w:r>
              <w:rPr>
                <w:rFonts w:hint="eastAsia"/>
              </w:rPr>
              <w:t>除尘器</w:t>
            </w:r>
          </w:p>
        </w:tc>
        <w:tc>
          <w:tcPr>
            <w:tcW w:w="1801" w:type="pct"/>
            <w:vMerge w:val="continue"/>
            <w:vAlign w:val="center"/>
          </w:tcPr>
          <w:p w14:paraId="27F76467">
            <w:pPr>
              <w:pStyle w:val="41"/>
            </w:pPr>
          </w:p>
        </w:tc>
      </w:tr>
      <w:tr w14:paraId="16F70B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 w:type="pct"/>
            <w:vAlign w:val="center"/>
          </w:tcPr>
          <w:p w14:paraId="452B8DDA">
            <w:pPr>
              <w:pStyle w:val="41"/>
            </w:pPr>
            <w:r>
              <w:t>水环境</w:t>
            </w:r>
          </w:p>
        </w:tc>
        <w:tc>
          <w:tcPr>
            <w:tcW w:w="851" w:type="pct"/>
            <w:vAlign w:val="center"/>
          </w:tcPr>
          <w:p w14:paraId="32EDC59A">
            <w:pPr>
              <w:pStyle w:val="41"/>
            </w:pPr>
            <w:r>
              <w:rPr>
                <w:rFonts w:hint="eastAsia"/>
              </w:rPr>
              <w:t>废水总排放口（DW001）</w:t>
            </w:r>
          </w:p>
        </w:tc>
        <w:tc>
          <w:tcPr>
            <w:tcW w:w="1010" w:type="pct"/>
            <w:vAlign w:val="center"/>
          </w:tcPr>
          <w:p w14:paraId="66C283E1">
            <w:pPr>
              <w:pStyle w:val="41"/>
            </w:pPr>
            <w:r>
              <w:t>COD、BOD</w:t>
            </w:r>
            <w:r>
              <w:rPr>
                <w:vertAlign w:val="subscript"/>
              </w:rPr>
              <w:t>5</w:t>
            </w:r>
            <w:r>
              <w:t>、SS</w:t>
            </w:r>
            <w:r>
              <w:rPr>
                <w:rFonts w:hint="eastAsia"/>
              </w:rPr>
              <w:t>、</w:t>
            </w:r>
            <w:r>
              <w:t>氨氮</w:t>
            </w:r>
            <w:r>
              <w:rPr>
                <w:rFonts w:hint="eastAsia"/>
              </w:rPr>
              <w:t>、pH</w:t>
            </w:r>
          </w:p>
        </w:tc>
        <w:tc>
          <w:tcPr>
            <w:tcW w:w="1010" w:type="pct"/>
            <w:vAlign w:val="center"/>
          </w:tcPr>
          <w:p w14:paraId="4F4A2DE6">
            <w:pPr>
              <w:pStyle w:val="41"/>
            </w:pPr>
            <w:r>
              <w:t>经化粪池处理后</w:t>
            </w:r>
            <w:r>
              <w:rPr>
                <w:rFonts w:hint="eastAsia"/>
              </w:rPr>
              <w:t>排入市政污水管网，</w:t>
            </w:r>
            <w:r>
              <w:t>进入福清市融元污水处理厂</w:t>
            </w:r>
            <w:r>
              <w:rPr>
                <w:rFonts w:hint="eastAsia"/>
              </w:rPr>
              <w:t>进一步处理</w:t>
            </w:r>
          </w:p>
        </w:tc>
        <w:tc>
          <w:tcPr>
            <w:tcW w:w="1801" w:type="pct"/>
            <w:tcBorders>
              <w:bottom w:val="single" w:color="auto" w:sz="4" w:space="0"/>
            </w:tcBorders>
            <w:vAlign w:val="center"/>
          </w:tcPr>
          <w:p w14:paraId="6BCF9E41">
            <w:pPr>
              <w:pStyle w:val="41"/>
            </w:pPr>
            <w:r>
              <w:rPr>
                <w:rFonts w:hint="eastAsia"/>
              </w:rPr>
              <w:t>《污水综合排放标准》（GB8978-1996）表4三级标准，氨氮执行《污水排入城镇下水道水质标准》（GB/T31962-2015）表1B级标准，即</w:t>
            </w:r>
            <w:r>
              <w:t>COD≤</w:t>
            </w:r>
            <w:r>
              <w:rPr>
                <w:rFonts w:hint="eastAsia"/>
              </w:rPr>
              <w:t>500mg/L</w:t>
            </w:r>
            <w:r>
              <w:t>、BOD</w:t>
            </w:r>
            <w:r>
              <w:rPr>
                <w:vertAlign w:val="subscript"/>
              </w:rPr>
              <w:t>5</w:t>
            </w:r>
            <w:r>
              <w:rPr>
                <w:rFonts w:hint="eastAsia"/>
              </w:rPr>
              <w:t xml:space="preserve"> </w:t>
            </w:r>
            <w:r>
              <w:t>≤</w:t>
            </w:r>
            <w:r>
              <w:rPr>
                <w:rFonts w:hint="eastAsia"/>
              </w:rPr>
              <w:t>300mg/L</w:t>
            </w:r>
            <w:r>
              <w:t>、SS≤</w:t>
            </w:r>
            <w:r>
              <w:rPr>
                <w:rFonts w:hint="eastAsia"/>
              </w:rPr>
              <w:t>400mg/L、</w:t>
            </w:r>
            <w:r>
              <w:t>氨氮≤</w:t>
            </w:r>
            <w:r>
              <w:rPr>
                <w:rFonts w:hint="eastAsia"/>
              </w:rPr>
              <w:t>45mg/L、pH：6~9</w:t>
            </w:r>
          </w:p>
        </w:tc>
      </w:tr>
      <w:tr w14:paraId="2722E5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 w:type="pct"/>
            <w:vAlign w:val="center"/>
          </w:tcPr>
          <w:p w14:paraId="1E79E4E4">
            <w:pPr>
              <w:pStyle w:val="41"/>
            </w:pPr>
            <w:r>
              <w:t>声环境</w:t>
            </w:r>
          </w:p>
        </w:tc>
        <w:tc>
          <w:tcPr>
            <w:tcW w:w="851" w:type="pct"/>
            <w:vAlign w:val="center"/>
          </w:tcPr>
          <w:p w14:paraId="454EB6BA">
            <w:pPr>
              <w:pStyle w:val="41"/>
            </w:pPr>
            <w:r>
              <w:t>车间设备</w:t>
            </w:r>
          </w:p>
        </w:tc>
        <w:tc>
          <w:tcPr>
            <w:tcW w:w="1010" w:type="pct"/>
            <w:vAlign w:val="center"/>
          </w:tcPr>
          <w:p w14:paraId="77C4C460">
            <w:pPr>
              <w:pStyle w:val="41"/>
            </w:pPr>
            <w:r>
              <w:t>噪声</w:t>
            </w:r>
          </w:p>
        </w:tc>
        <w:tc>
          <w:tcPr>
            <w:tcW w:w="1010" w:type="pct"/>
            <w:vAlign w:val="center"/>
          </w:tcPr>
          <w:p w14:paraId="52AE89AA">
            <w:pPr>
              <w:pStyle w:val="41"/>
            </w:pPr>
            <w:r>
              <w:t>减振、隔声</w:t>
            </w:r>
          </w:p>
        </w:tc>
        <w:tc>
          <w:tcPr>
            <w:tcW w:w="1801" w:type="pct"/>
            <w:vAlign w:val="center"/>
          </w:tcPr>
          <w:p w14:paraId="0CE42317">
            <w:pPr>
              <w:pStyle w:val="41"/>
            </w:pPr>
            <w:r>
              <w:t>《工业企业厂界环境噪声排放标准》（GB12348-2008）中</w:t>
            </w:r>
            <w:r>
              <w:rPr>
                <w:rFonts w:hint="eastAsia"/>
              </w:rPr>
              <w:t>3</w:t>
            </w:r>
            <w:r>
              <w:t>类标准，昼间≤6</w:t>
            </w:r>
            <w:r>
              <w:rPr>
                <w:rFonts w:hint="eastAsia"/>
              </w:rPr>
              <w:t>5</w:t>
            </w:r>
            <w:r>
              <w:t>dB</w:t>
            </w:r>
            <w:r>
              <w:rPr>
                <w:rFonts w:hint="eastAsia"/>
              </w:rPr>
              <w:t>、夜间</w:t>
            </w:r>
            <w:r>
              <w:t>≤</w:t>
            </w:r>
            <w:r>
              <w:rPr>
                <w:rFonts w:hint="eastAsia"/>
              </w:rPr>
              <w:t>55</w:t>
            </w:r>
            <w:r>
              <w:t>dB</w:t>
            </w:r>
          </w:p>
        </w:tc>
      </w:tr>
      <w:tr w14:paraId="46A51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 w:type="pct"/>
            <w:vAlign w:val="center"/>
          </w:tcPr>
          <w:p w14:paraId="00BDBAB3">
            <w:pPr>
              <w:pStyle w:val="41"/>
            </w:pPr>
            <w:r>
              <w:t>固体废物</w:t>
            </w:r>
          </w:p>
        </w:tc>
        <w:tc>
          <w:tcPr>
            <w:tcW w:w="4672" w:type="pct"/>
            <w:gridSpan w:val="4"/>
            <w:vAlign w:val="center"/>
          </w:tcPr>
          <w:p w14:paraId="09B01AFB">
            <w:pPr>
              <w:pStyle w:val="41"/>
              <w:jc w:val="left"/>
            </w:pPr>
            <w:r>
              <w:rPr>
                <w:rFonts w:hint="eastAsia"/>
              </w:rPr>
              <w:t>（1）打磨粉尘、废烟尘过滤棉及废除尘布袋、废焊接材料、边角料、不合格产品统一收集后暂存一般固废区，作为可回收资源出售；</w:t>
            </w:r>
          </w:p>
          <w:p w14:paraId="4407BA45">
            <w:pPr>
              <w:pStyle w:val="41"/>
              <w:jc w:val="left"/>
            </w:pPr>
            <w:r>
              <w:rPr>
                <w:rFonts w:hint="eastAsia"/>
              </w:rPr>
              <w:t>（2）废活性炭、废润滑油、废润滑油桶、废胶桶、废胶收集后暂存危险废物暂存库，委托有资质单位处置；</w:t>
            </w:r>
          </w:p>
          <w:p w14:paraId="7781B90D">
            <w:pPr>
              <w:pStyle w:val="41"/>
              <w:jc w:val="left"/>
            </w:pPr>
            <w:r>
              <w:rPr>
                <w:rFonts w:hint="eastAsia"/>
              </w:rPr>
              <w:t>（3）生活垃圾由环卫部门定期清运处置</w:t>
            </w:r>
          </w:p>
        </w:tc>
      </w:tr>
      <w:tr w14:paraId="048517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 w:type="pct"/>
            <w:vAlign w:val="center"/>
          </w:tcPr>
          <w:p w14:paraId="45870879">
            <w:pPr>
              <w:pStyle w:val="41"/>
            </w:pPr>
            <w:r>
              <w:t>环境风险</w:t>
            </w:r>
          </w:p>
        </w:tc>
        <w:tc>
          <w:tcPr>
            <w:tcW w:w="4672" w:type="pct"/>
            <w:gridSpan w:val="4"/>
            <w:vAlign w:val="center"/>
          </w:tcPr>
          <w:p w14:paraId="685CE285">
            <w:pPr>
              <w:pStyle w:val="41"/>
              <w:jc w:val="left"/>
            </w:pPr>
            <w:r>
              <w:rPr>
                <w:rFonts w:hint="eastAsia"/>
              </w:rPr>
              <w:t>①从建筑物到设备要严格防火，厂房布置要按防火要求设计，安装消防栓和灭火器。</w:t>
            </w:r>
          </w:p>
          <w:p w14:paraId="4E6AFCFB">
            <w:pPr>
              <w:pStyle w:val="41"/>
              <w:jc w:val="left"/>
            </w:pPr>
            <w:r>
              <w:rPr>
                <w:rFonts w:hint="eastAsia"/>
              </w:rPr>
              <w:t>②整个厂区禁止烟火，设立明显的禁烟禁火标识牌，加强职工安全意识教育，学习消防和安全常识，以预防突发事件。</w:t>
            </w:r>
          </w:p>
          <w:p w14:paraId="7977FBE7">
            <w:pPr>
              <w:pStyle w:val="41"/>
              <w:jc w:val="left"/>
            </w:pPr>
            <w:r>
              <w:rPr>
                <w:rFonts w:hint="eastAsia"/>
              </w:rPr>
              <w:t>③在有明显标志处配备相应的防护用品、装置常用维修工具，以保证事故发生时能及时做现场处理。</w:t>
            </w:r>
          </w:p>
          <w:p w14:paraId="0B07BB24">
            <w:pPr>
              <w:pStyle w:val="41"/>
              <w:jc w:val="left"/>
            </w:pPr>
            <w:r>
              <w:rPr>
                <w:rFonts w:hint="eastAsia"/>
              </w:rPr>
              <w:t>④加强危险废物厂内暂存的管理。在车间内设置危险废物贮存库，危险废物收集后定期送有资质的危废处理单位进行处置。</w:t>
            </w:r>
          </w:p>
          <w:p w14:paraId="42A30F0C">
            <w:pPr>
              <w:pStyle w:val="41"/>
              <w:jc w:val="left"/>
            </w:pPr>
            <w:r>
              <w:rPr>
                <w:rFonts w:hint="eastAsia"/>
              </w:rPr>
              <w:t>⑤</w:t>
            </w:r>
            <w:r>
              <w:t>组织</w:t>
            </w:r>
            <w:r>
              <w:rPr>
                <w:rFonts w:hint="eastAsia"/>
              </w:rPr>
              <w:t>编制</w:t>
            </w:r>
            <w:r>
              <w:t>突发环境事故应急预案，应急预案需备案、演练，配备完善应急组织人员、应急设施器材。</w:t>
            </w:r>
          </w:p>
        </w:tc>
      </w:tr>
      <w:tr w14:paraId="7A2682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8" w:type="pct"/>
            <w:vAlign w:val="center"/>
          </w:tcPr>
          <w:p w14:paraId="00DCAE70">
            <w:pPr>
              <w:pStyle w:val="41"/>
            </w:pPr>
            <w:r>
              <w:t>其他环境</w:t>
            </w:r>
          </w:p>
          <w:p w14:paraId="2D1CA5A7">
            <w:pPr>
              <w:pStyle w:val="41"/>
            </w:pPr>
            <w:r>
              <w:t>管理要求</w:t>
            </w:r>
          </w:p>
        </w:tc>
        <w:tc>
          <w:tcPr>
            <w:tcW w:w="4672" w:type="pct"/>
            <w:gridSpan w:val="4"/>
            <w:vAlign w:val="center"/>
          </w:tcPr>
          <w:p w14:paraId="3F0BBC87">
            <w:pPr>
              <w:pStyle w:val="41"/>
              <w:jc w:val="left"/>
            </w:pPr>
            <w:r>
              <w:rPr>
                <w:rFonts w:hint="eastAsia"/>
              </w:rPr>
              <w:t>①</w:t>
            </w:r>
            <w:r>
              <w:t>要求建设单位按照《关于开展排放口规范化整治工作的通知》（环发〔1999〕24号）和《排污口规范化整治技术要求（试行）》（环监〔1996〕470号）等文件要求，进行新增排污口规范化设置工作</w:t>
            </w:r>
            <w:r>
              <w:rPr>
                <w:rFonts w:hint="eastAsia"/>
              </w:rPr>
              <w:t>；</w:t>
            </w:r>
          </w:p>
          <w:p w14:paraId="404C699D">
            <w:pPr>
              <w:pStyle w:val="41"/>
              <w:jc w:val="left"/>
            </w:pPr>
            <w:r>
              <w:rPr>
                <w:rFonts w:hint="eastAsia"/>
              </w:rPr>
              <w:t>②根据现行的《固定污染源排污许可分类管理名录》(2019年版)，项目属于汽车零部件及配件制造367，实行简化管理。建设项目应根据《排污许可管理办法(试行)》</w:t>
            </w:r>
            <w:r>
              <w:rPr>
                <w:rFonts w:hint="eastAsia"/>
                <w:shd w:val="clear" w:fill="FFFFFF"/>
              </w:rPr>
              <w:t>，</w:t>
            </w:r>
            <w:r>
              <w:rPr>
                <w:rFonts w:hint="eastAsia"/>
              </w:rPr>
              <w:t>当在启动生产设施或者发生实际排污之前申请取得排污许可证：</w:t>
            </w:r>
          </w:p>
          <w:p w14:paraId="4E7C70AB">
            <w:pPr>
              <w:pStyle w:val="41"/>
              <w:jc w:val="left"/>
            </w:pPr>
          </w:p>
          <w:p w14:paraId="16FB38A6">
            <w:pPr>
              <w:pStyle w:val="41"/>
              <w:spacing w:before="120" w:beforeLines="50"/>
              <w:rPr>
                <w:b/>
              </w:rPr>
            </w:pPr>
            <w:r>
              <w:rPr>
                <w:rFonts w:hint="eastAsia"/>
                <w:b/>
              </w:rPr>
              <w:t>表5-1  排污许可登记类别判定情况表</w:t>
            </w:r>
          </w:p>
          <w:tbl>
            <w:tblPr>
              <w:tblStyle w:val="22"/>
              <w:tblW w:w="84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2047"/>
              <w:gridCol w:w="1641"/>
              <w:gridCol w:w="2797"/>
              <w:gridCol w:w="1478"/>
            </w:tblGrid>
            <w:tr w14:paraId="0D231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Align w:val="center"/>
                </w:tcPr>
                <w:p w14:paraId="3EB8FAB1">
                  <w:pPr>
                    <w:pStyle w:val="41"/>
                  </w:pPr>
                  <w:r>
                    <w:rPr>
                      <w:rFonts w:hint="eastAsia"/>
                    </w:rPr>
                    <w:t>序号</w:t>
                  </w:r>
                </w:p>
              </w:tc>
              <w:tc>
                <w:tcPr>
                  <w:tcW w:w="2047" w:type="dxa"/>
                  <w:vAlign w:val="center"/>
                </w:tcPr>
                <w:p w14:paraId="59762F97">
                  <w:pPr>
                    <w:pStyle w:val="41"/>
                  </w:pPr>
                  <w:r>
                    <w:rPr>
                      <w:rFonts w:hint="eastAsia"/>
                    </w:rPr>
                    <w:t>行业类别</w:t>
                  </w:r>
                </w:p>
              </w:tc>
              <w:tc>
                <w:tcPr>
                  <w:tcW w:w="1641" w:type="dxa"/>
                  <w:vAlign w:val="center"/>
                </w:tcPr>
                <w:p w14:paraId="260CA526">
                  <w:pPr>
                    <w:pStyle w:val="41"/>
                  </w:pPr>
                  <w:r>
                    <w:rPr>
                      <w:rFonts w:hint="eastAsia"/>
                    </w:rPr>
                    <w:t>重点管理</w:t>
                  </w:r>
                </w:p>
              </w:tc>
              <w:tc>
                <w:tcPr>
                  <w:tcW w:w="2797" w:type="dxa"/>
                  <w:vAlign w:val="center"/>
                </w:tcPr>
                <w:p w14:paraId="4E286EDB">
                  <w:pPr>
                    <w:pStyle w:val="41"/>
                  </w:pPr>
                  <w:r>
                    <w:rPr>
                      <w:rFonts w:hint="eastAsia"/>
                    </w:rPr>
                    <w:t>简化管理</w:t>
                  </w:r>
                </w:p>
              </w:tc>
              <w:tc>
                <w:tcPr>
                  <w:tcW w:w="1478" w:type="dxa"/>
                  <w:vAlign w:val="center"/>
                </w:tcPr>
                <w:p w14:paraId="0031AF6A">
                  <w:pPr>
                    <w:pStyle w:val="41"/>
                  </w:pPr>
                  <w:r>
                    <w:rPr>
                      <w:rFonts w:hint="eastAsia"/>
                    </w:rPr>
                    <w:t>登记管理</w:t>
                  </w:r>
                </w:p>
              </w:tc>
            </w:tr>
            <w:tr w14:paraId="550D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5"/>
                  <w:vAlign w:val="center"/>
                </w:tcPr>
                <w:p w14:paraId="177DED85">
                  <w:pPr>
                    <w:pStyle w:val="41"/>
                  </w:pPr>
                  <w:r>
                    <w:rPr>
                      <w:rFonts w:hint="eastAsia"/>
                    </w:rPr>
                    <w:t>三十一、汽车制造业36</w:t>
                  </w:r>
                </w:p>
              </w:tc>
            </w:tr>
            <w:tr w14:paraId="4E29C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Align w:val="center"/>
                </w:tcPr>
                <w:p w14:paraId="0A2DFA2C">
                  <w:pPr>
                    <w:pStyle w:val="41"/>
                  </w:pPr>
                  <w:r>
                    <w:rPr>
                      <w:rFonts w:hint="eastAsia"/>
                    </w:rPr>
                    <w:t>85</w:t>
                  </w:r>
                </w:p>
              </w:tc>
              <w:tc>
                <w:tcPr>
                  <w:tcW w:w="2047" w:type="dxa"/>
                  <w:vAlign w:val="center"/>
                </w:tcPr>
                <w:p w14:paraId="20E321BC">
                  <w:pPr>
                    <w:pStyle w:val="41"/>
                  </w:pPr>
                  <w:r>
                    <w:rPr>
                      <w:rFonts w:hint="eastAsia"/>
                    </w:rPr>
                    <w:t>汽车整车制造361，汽车用发动机制造362，改装汽车制造363，低速汽车制造364，电车制造365，汽车车身、挂车制造366，汽车零部件及配件制造367</w:t>
                  </w:r>
                </w:p>
              </w:tc>
              <w:tc>
                <w:tcPr>
                  <w:tcW w:w="1641" w:type="dxa"/>
                  <w:vAlign w:val="center"/>
                </w:tcPr>
                <w:p w14:paraId="4491E22B">
                  <w:pPr>
                    <w:pStyle w:val="41"/>
                  </w:pPr>
                  <w:r>
                    <w:rPr>
                      <w:rFonts w:hint="eastAsia"/>
                    </w:rPr>
                    <w:t>纳入重点排污单位名录的</w:t>
                  </w:r>
                </w:p>
              </w:tc>
              <w:tc>
                <w:tcPr>
                  <w:tcW w:w="2797" w:type="dxa"/>
                  <w:vAlign w:val="center"/>
                </w:tcPr>
                <w:p w14:paraId="2B9E604B">
                  <w:pPr>
                    <w:pStyle w:val="41"/>
                  </w:pPr>
                  <w:r>
                    <w:rPr>
                      <w:rFonts w:hint="eastAsia"/>
                    </w:rPr>
                    <w:t>除重点管理以外的汽车整车制造361，除重点管理以外的年使用10吨及以上溶剂型涂料或者</w:t>
                  </w:r>
                  <w:r>
                    <w:rPr>
                      <w:rFonts w:hint="eastAsia"/>
                      <w:shd w:val="clear" w:fill="FFFFFF"/>
                    </w:rPr>
                    <w:t>胶粘剂</w:t>
                  </w:r>
                  <w:r>
                    <w:rPr>
                      <w:rFonts w:hint="eastAsia"/>
                    </w:rPr>
                    <w:t>（含稀释剂、固化剂、清洗溶剂）的汽车用发动机制造362、改装汽车制造363、低速汽车制造364、电车制造365、汽车车身、挂车制造366、</w:t>
                  </w:r>
                  <w:r>
                    <w:rPr>
                      <w:rFonts w:hint="eastAsia"/>
                      <w:highlight w:val="lightGray"/>
                    </w:rPr>
                    <w:t>汽车零部件及配件制造367</w:t>
                  </w:r>
                </w:p>
              </w:tc>
              <w:tc>
                <w:tcPr>
                  <w:tcW w:w="1478" w:type="dxa"/>
                  <w:vAlign w:val="center"/>
                </w:tcPr>
                <w:p w14:paraId="75E0DA76">
                  <w:pPr>
                    <w:pStyle w:val="41"/>
                  </w:pPr>
                  <w:r>
                    <w:rPr>
                      <w:rFonts w:hint="eastAsia"/>
                    </w:rPr>
                    <w:t>其他</w:t>
                  </w:r>
                </w:p>
              </w:tc>
            </w:tr>
          </w:tbl>
          <w:p w14:paraId="3439C8EA">
            <w:pPr>
              <w:pStyle w:val="41"/>
              <w:jc w:val="left"/>
            </w:pPr>
            <w:r>
              <w:rPr>
                <w:rFonts w:hint="eastAsia" w:ascii="宋体" w:hAnsi="宋体" w:cs="宋体"/>
              </w:rPr>
              <w:t>③</w:t>
            </w:r>
            <w:r>
              <w:t>项目竣工后，建设单位应当依照国家有关法律法规、建设项目竣工环境保护验收技术规范、建设项目环境影响报告表和审批决定等要求，如实查验、监测、记载建设项目环境保护设施的建设和调试情况，同时还应如实记载其他环境保护对策措施“三同时”落实情况，编制竣工环境保护验收报告</w:t>
            </w:r>
            <w:r>
              <w:rPr>
                <w:rFonts w:hint="eastAsia"/>
              </w:rPr>
              <w:t>；</w:t>
            </w:r>
          </w:p>
          <w:p w14:paraId="27DD9193">
            <w:pPr>
              <w:pStyle w:val="41"/>
              <w:jc w:val="left"/>
            </w:pPr>
            <w:r>
              <w:rPr>
                <w:rFonts w:hint="eastAsia" w:ascii="宋体" w:hAnsi="宋体" w:cs="宋体"/>
              </w:rPr>
              <w:t>④</w:t>
            </w:r>
            <w:r>
              <w:t>按要求进行跟踪监测。</w:t>
            </w:r>
          </w:p>
        </w:tc>
      </w:tr>
    </w:tbl>
    <w:p w14:paraId="700B257C">
      <w:pPr>
        <w:ind w:firstLine="480"/>
        <w:rPr>
          <w:snapToGrid w:val="0"/>
        </w:rPr>
        <w:sectPr>
          <w:pgSz w:w="11905" w:h="16838"/>
          <w:pgMar w:top="1417" w:right="1417" w:bottom="1417" w:left="1417" w:header="851" w:footer="850" w:gutter="0"/>
          <w:cols w:space="720" w:num="1"/>
          <w:docGrid w:linePitch="312" w:charSpace="0"/>
        </w:sectPr>
      </w:pPr>
      <w:r>
        <w:rPr>
          <w:snapToGrid w:val="0"/>
        </w:rPr>
        <w:br w:type="page"/>
      </w:r>
    </w:p>
    <w:p w14:paraId="1C8346D1">
      <w:pPr>
        <w:ind w:firstLine="480"/>
        <w:rPr>
          <w:snapToGrid w:val="0"/>
        </w:rPr>
        <w:sectPr>
          <w:pgSz w:w="11905" w:h="16838"/>
          <w:pgMar w:top="1417" w:right="1417" w:bottom="1417" w:left="1417" w:header="851" w:footer="850" w:gutter="0"/>
          <w:cols w:space="720" w:num="1"/>
          <w:docGrid w:linePitch="312" w:charSpace="0"/>
        </w:sectPr>
      </w:pPr>
      <w:r>
        <w:rPr>
          <w:rFonts w:hint="eastAsia"/>
          <w:snapToGrid w:val="0"/>
        </w:rPr>
        <w:drawing>
          <wp:anchor distT="0" distB="0" distL="114300" distR="114300" simplePos="0" relativeHeight="251667456" behindDoc="1" locked="0" layoutInCell="1" allowOverlap="1">
            <wp:simplePos x="0" y="0"/>
            <wp:positionH relativeFrom="column">
              <wp:posOffset>-893445</wp:posOffset>
            </wp:positionH>
            <wp:positionV relativeFrom="paragraph">
              <wp:posOffset>-904875</wp:posOffset>
            </wp:positionV>
            <wp:extent cx="7549515" cy="10680065"/>
            <wp:effectExtent l="0" t="0" r="13335" b="6985"/>
            <wp:wrapNone/>
            <wp:docPr id="12" name="图片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
                    <pic:cNvPicPr>
                      <a:picLocks noChangeAspect="1"/>
                    </pic:cNvPicPr>
                  </pic:nvPicPr>
                  <pic:blipFill>
                    <a:blip r:embed="rId51"/>
                    <a:stretch>
                      <a:fillRect/>
                    </a:stretch>
                  </pic:blipFill>
                  <pic:spPr>
                    <a:xfrm>
                      <a:off x="0" y="0"/>
                      <a:ext cx="7549515" cy="10680065"/>
                    </a:xfrm>
                    <a:prstGeom prst="rect">
                      <a:avLst/>
                    </a:prstGeom>
                  </pic:spPr>
                </pic:pic>
              </a:graphicData>
            </a:graphic>
          </wp:anchor>
        </w:drawing>
      </w:r>
    </w:p>
    <w:p w14:paraId="01403397">
      <w:pPr>
        <w:pStyle w:val="2"/>
        <w:spacing w:before="0" w:beforeLines="0" w:after="0" w:afterLines="0" w:line="240" w:lineRule="auto"/>
        <w:jc w:val="left"/>
      </w:pPr>
      <w:r>
        <w:t>附表</w:t>
      </w:r>
    </w:p>
    <w:p w14:paraId="1707D27E">
      <w:pPr>
        <w:pStyle w:val="3"/>
        <w:spacing w:before="0" w:beforeLines="0" w:after="0" w:afterLines="0" w:line="240" w:lineRule="auto"/>
        <w:jc w:val="center"/>
      </w:pPr>
      <w:r>
        <w:t>附表1 建设项目污染物排放量汇总表</w:t>
      </w:r>
    </w:p>
    <w:tbl>
      <w:tblPr>
        <w:tblStyle w:val="21"/>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00"/>
        <w:gridCol w:w="1489"/>
        <w:gridCol w:w="1651"/>
        <w:gridCol w:w="1276"/>
        <w:gridCol w:w="1719"/>
        <w:gridCol w:w="1572"/>
        <w:gridCol w:w="1788"/>
        <w:gridCol w:w="1992"/>
        <w:gridCol w:w="1123"/>
      </w:tblGrid>
      <w:tr w14:paraId="2716D8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Align w:val="center"/>
          </w:tcPr>
          <w:p w14:paraId="2222ECD1">
            <w:pPr>
              <w:pStyle w:val="41"/>
            </w:pPr>
            <w:r>
              <w:t>项目</w:t>
            </w:r>
          </w:p>
          <w:p w14:paraId="30E3C004">
            <w:pPr>
              <w:pStyle w:val="41"/>
            </w:pPr>
            <w:r>
              <w:t>分类</w:t>
            </w:r>
          </w:p>
        </w:tc>
        <w:tc>
          <w:tcPr>
            <w:tcW w:w="524" w:type="pct"/>
            <w:vAlign w:val="center"/>
          </w:tcPr>
          <w:p w14:paraId="2C4A307C">
            <w:pPr>
              <w:pStyle w:val="41"/>
            </w:pPr>
            <w:r>
              <w:t>污染物名称</w:t>
            </w:r>
          </w:p>
        </w:tc>
        <w:tc>
          <w:tcPr>
            <w:tcW w:w="581" w:type="pct"/>
            <w:vAlign w:val="center"/>
          </w:tcPr>
          <w:p w14:paraId="3532CAC5">
            <w:pPr>
              <w:pStyle w:val="41"/>
            </w:pPr>
            <w:r>
              <w:t>现有工程排放量（固体废物产生量）</w:t>
            </w:r>
            <w:r>
              <w:fldChar w:fldCharType="begin"/>
            </w:r>
            <w:r>
              <w:instrText xml:space="preserve"> = 1 \* GB3 \* MERGEFORMAT </w:instrText>
            </w:r>
            <w:r>
              <w:fldChar w:fldCharType="separate"/>
            </w:r>
            <w:r>
              <w:rPr>
                <w:rFonts w:hint="eastAsia" w:ascii="宋体" w:hAnsi="宋体" w:cs="宋体"/>
              </w:rPr>
              <w:t>①</w:t>
            </w:r>
            <w:r>
              <w:fldChar w:fldCharType="end"/>
            </w:r>
          </w:p>
        </w:tc>
        <w:tc>
          <w:tcPr>
            <w:tcW w:w="449" w:type="pct"/>
            <w:vAlign w:val="center"/>
          </w:tcPr>
          <w:p w14:paraId="7899AEDC">
            <w:pPr>
              <w:pStyle w:val="41"/>
            </w:pPr>
            <w:r>
              <w:t>现有工程许可排放量</w:t>
            </w:r>
          </w:p>
          <w:p w14:paraId="3AD61476">
            <w:pPr>
              <w:pStyle w:val="41"/>
            </w:pPr>
            <w:r>
              <w:fldChar w:fldCharType="begin"/>
            </w:r>
            <w:r>
              <w:instrText xml:space="preserve"> = 2 \* GB3 \* MERGEFORMAT </w:instrText>
            </w:r>
            <w:r>
              <w:fldChar w:fldCharType="separate"/>
            </w:r>
            <w:r>
              <w:rPr>
                <w:rFonts w:hint="eastAsia" w:ascii="宋体" w:hAnsi="宋体" w:cs="宋体"/>
              </w:rPr>
              <w:t>②</w:t>
            </w:r>
            <w:r>
              <w:fldChar w:fldCharType="end"/>
            </w:r>
          </w:p>
        </w:tc>
        <w:tc>
          <w:tcPr>
            <w:tcW w:w="605" w:type="pct"/>
            <w:vAlign w:val="center"/>
          </w:tcPr>
          <w:p w14:paraId="41DBCFB4">
            <w:pPr>
              <w:pStyle w:val="41"/>
            </w:pPr>
            <w:r>
              <w:t>在建工程排放量（固体废物产生量）</w:t>
            </w:r>
            <w:r>
              <w:fldChar w:fldCharType="begin"/>
            </w:r>
            <w:r>
              <w:instrText xml:space="preserve"> = 3 \* GB3 \* MERGEFORMAT </w:instrText>
            </w:r>
            <w:r>
              <w:fldChar w:fldCharType="separate"/>
            </w:r>
            <w:r>
              <w:rPr>
                <w:rFonts w:hint="eastAsia" w:ascii="宋体" w:hAnsi="宋体" w:cs="宋体"/>
              </w:rPr>
              <w:t>③</w:t>
            </w:r>
            <w:r>
              <w:fldChar w:fldCharType="end"/>
            </w:r>
          </w:p>
        </w:tc>
        <w:tc>
          <w:tcPr>
            <w:tcW w:w="553" w:type="pct"/>
            <w:vAlign w:val="center"/>
          </w:tcPr>
          <w:p w14:paraId="28BC0841">
            <w:pPr>
              <w:pStyle w:val="41"/>
            </w:pPr>
            <w:r>
              <w:t>本项目排放量（固体废物产生量）</w:t>
            </w:r>
            <w:r>
              <w:fldChar w:fldCharType="begin"/>
            </w:r>
            <w:r>
              <w:instrText xml:space="preserve"> = 4 \* GB3 \* MERGEFORMAT </w:instrText>
            </w:r>
            <w:r>
              <w:fldChar w:fldCharType="separate"/>
            </w:r>
            <w:r>
              <w:rPr>
                <w:rFonts w:hint="eastAsia" w:ascii="宋体" w:hAnsi="宋体" w:cs="宋体"/>
              </w:rPr>
              <w:t>④</w:t>
            </w:r>
            <w:r>
              <w:fldChar w:fldCharType="end"/>
            </w:r>
          </w:p>
        </w:tc>
        <w:tc>
          <w:tcPr>
            <w:tcW w:w="629" w:type="pct"/>
            <w:vAlign w:val="center"/>
          </w:tcPr>
          <w:p w14:paraId="5095739D">
            <w:pPr>
              <w:pStyle w:val="41"/>
            </w:pPr>
            <w:r>
              <w:t>以新带老削减量</w:t>
            </w:r>
          </w:p>
          <w:p w14:paraId="10812B40">
            <w:pPr>
              <w:pStyle w:val="41"/>
            </w:pPr>
            <w:r>
              <w:t>（新建项目不填）</w:t>
            </w:r>
            <w:r>
              <w:fldChar w:fldCharType="begin"/>
            </w:r>
            <w:r>
              <w:instrText xml:space="preserve"> = 5 \* GB3 \* MERGEFORMAT </w:instrText>
            </w:r>
            <w:r>
              <w:fldChar w:fldCharType="separate"/>
            </w:r>
            <w:r>
              <w:rPr>
                <w:rFonts w:hint="eastAsia" w:ascii="宋体" w:hAnsi="宋体" w:cs="宋体"/>
              </w:rPr>
              <w:t>⑤</w:t>
            </w:r>
            <w:r>
              <w:fldChar w:fldCharType="end"/>
            </w:r>
          </w:p>
        </w:tc>
        <w:tc>
          <w:tcPr>
            <w:tcW w:w="701" w:type="pct"/>
            <w:vAlign w:val="center"/>
          </w:tcPr>
          <w:p w14:paraId="4664E83A">
            <w:pPr>
              <w:pStyle w:val="41"/>
            </w:pPr>
            <w:r>
              <w:t>本项目建成后全厂排放量（固体废物产生量）</w:t>
            </w:r>
            <w:r>
              <w:fldChar w:fldCharType="begin"/>
            </w:r>
            <w:r>
              <w:instrText xml:space="preserve"> = 6 \* GB3 \* MERGEFORMAT </w:instrText>
            </w:r>
            <w:r>
              <w:fldChar w:fldCharType="separate"/>
            </w:r>
            <w:r>
              <w:rPr>
                <w:rFonts w:hint="eastAsia" w:ascii="宋体" w:hAnsi="宋体" w:cs="宋体"/>
              </w:rPr>
              <w:t>⑥</w:t>
            </w:r>
            <w:r>
              <w:fldChar w:fldCharType="end"/>
            </w:r>
          </w:p>
        </w:tc>
        <w:tc>
          <w:tcPr>
            <w:tcW w:w="395" w:type="pct"/>
            <w:vAlign w:val="center"/>
          </w:tcPr>
          <w:p w14:paraId="282DD8D5">
            <w:pPr>
              <w:pStyle w:val="41"/>
            </w:pPr>
            <w:r>
              <w:t>变化量</w:t>
            </w:r>
          </w:p>
          <w:p w14:paraId="01E41C1B">
            <w:pPr>
              <w:pStyle w:val="41"/>
            </w:pPr>
            <w:r>
              <w:fldChar w:fldCharType="begin"/>
            </w:r>
            <w:r>
              <w:instrText xml:space="preserve"> = 7 \* GB3 \* MERGEFORMAT </w:instrText>
            </w:r>
            <w:r>
              <w:fldChar w:fldCharType="separate"/>
            </w:r>
            <w:r>
              <w:rPr>
                <w:rFonts w:hint="eastAsia" w:ascii="宋体" w:hAnsi="宋体" w:cs="宋体"/>
              </w:rPr>
              <w:t>⑦</w:t>
            </w:r>
            <w:r>
              <w:fldChar w:fldCharType="end"/>
            </w:r>
          </w:p>
        </w:tc>
      </w:tr>
      <w:tr w14:paraId="33FA02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restart"/>
            <w:vAlign w:val="center"/>
          </w:tcPr>
          <w:p w14:paraId="3270222C">
            <w:pPr>
              <w:pStyle w:val="41"/>
            </w:pPr>
            <w:r>
              <w:t>废气</w:t>
            </w:r>
          </w:p>
        </w:tc>
        <w:tc>
          <w:tcPr>
            <w:tcW w:w="524" w:type="pct"/>
            <w:vAlign w:val="center"/>
          </w:tcPr>
          <w:p w14:paraId="12DBCB14">
            <w:pPr>
              <w:pStyle w:val="41"/>
            </w:pPr>
            <w:r>
              <w:t>颗粒物</w:t>
            </w:r>
          </w:p>
        </w:tc>
        <w:tc>
          <w:tcPr>
            <w:tcW w:w="581" w:type="pct"/>
            <w:vAlign w:val="center"/>
          </w:tcPr>
          <w:p w14:paraId="150A709F">
            <w:pPr>
              <w:pStyle w:val="41"/>
            </w:pPr>
            <w:r>
              <w:rPr>
                <w:rFonts w:hint="eastAsia"/>
              </w:rPr>
              <w:t>/</w:t>
            </w:r>
          </w:p>
        </w:tc>
        <w:tc>
          <w:tcPr>
            <w:tcW w:w="449" w:type="pct"/>
            <w:vAlign w:val="center"/>
          </w:tcPr>
          <w:p w14:paraId="4C8F39A2">
            <w:pPr>
              <w:pStyle w:val="41"/>
            </w:pPr>
            <w:r>
              <w:rPr>
                <w:rFonts w:hint="eastAsia"/>
              </w:rPr>
              <w:t>/</w:t>
            </w:r>
          </w:p>
        </w:tc>
        <w:tc>
          <w:tcPr>
            <w:tcW w:w="605" w:type="pct"/>
            <w:vAlign w:val="center"/>
          </w:tcPr>
          <w:p w14:paraId="2DA2ECB2">
            <w:pPr>
              <w:pStyle w:val="41"/>
            </w:pPr>
            <w:r>
              <w:rPr>
                <w:rFonts w:hint="eastAsia"/>
              </w:rPr>
              <w:t>/</w:t>
            </w:r>
          </w:p>
        </w:tc>
        <w:tc>
          <w:tcPr>
            <w:tcW w:w="553" w:type="pct"/>
            <w:vAlign w:val="center"/>
          </w:tcPr>
          <w:p w14:paraId="5E5F3145">
            <w:pPr>
              <w:pStyle w:val="41"/>
            </w:pPr>
            <w:r>
              <w:rPr>
                <w:rFonts w:hint="eastAsia"/>
              </w:rPr>
              <w:t>0.541</w:t>
            </w:r>
          </w:p>
        </w:tc>
        <w:tc>
          <w:tcPr>
            <w:tcW w:w="629" w:type="pct"/>
            <w:vAlign w:val="center"/>
          </w:tcPr>
          <w:p w14:paraId="04F1FE49">
            <w:pPr>
              <w:pStyle w:val="41"/>
            </w:pPr>
            <w:r>
              <w:rPr>
                <w:rFonts w:hint="eastAsia"/>
              </w:rPr>
              <w:t>/</w:t>
            </w:r>
          </w:p>
        </w:tc>
        <w:tc>
          <w:tcPr>
            <w:tcW w:w="701" w:type="pct"/>
            <w:vAlign w:val="center"/>
          </w:tcPr>
          <w:p w14:paraId="52B4DE4E">
            <w:pPr>
              <w:pStyle w:val="41"/>
            </w:pPr>
            <w:r>
              <w:rPr>
                <w:rFonts w:hint="eastAsia"/>
              </w:rPr>
              <w:t>0.541</w:t>
            </w:r>
          </w:p>
        </w:tc>
        <w:tc>
          <w:tcPr>
            <w:tcW w:w="395" w:type="pct"/>
            <w:vAlign w:val="center"/>
          </w:tcPr>
          <w:p w14:paraId="7FC1417B">
            <w:pPr>
              <w:pStyle w:val="41"/>
            </w:pPr>
            <w:r>
              <w:rPr>
                <w:rFonts w:hint="eastAsia"/>
              </w:rPr>
              <w:t>0.541</w:t>
            </w:r>
          </w:p>
        </w:tc>
      </w:tr>
      <w:tr w14:paraId="1710F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continue"/>
            <w:vAlign w:val="center"/>
          </w:tcPr>
          <w:p w14:paraId="19312607">
            <w:pPr>
              <w:pStyle w:val="41"/>
            </w:pPr>
          </w:p>
        </w:tc>
        <w:tc>
          <w:tcPr>
            <w:tcW w:w="524" w:type="pct"/>
            <w:vAlign w:val="center"/>
          </w:tcPr>
          <w:p w14:paraId="0D8C9331">
            <w:pPr>
              <w:pStyle w:val="41"/>
            </w:pPr>
            <w:r>
              <w:rPr>
                <w:rFonts w:hint="eastAsia"/>
              </w:rPr>
              <w:t>非甲烷总烃</w:t>
            </w:r>
          </w:p>
        </w:tc>
        <w:tc>
          <w:tcPr>
            <w:tcW w:w="581" w:type="pct"/>
            <w:vAlign w:val="center"/>
          </w:tcPr>
          <w:p w14:paraId="64F77E90">
            <w:pPr>
              <w:pStyle w:val="41"/>
            </w:pPr>
            <w:r>
              <w:rPr>
                <w:rFonts w:hint="eastAsia"/>
              </w:rPr>
              <w:t>/</w:t>
            </w:r>
          </w:p>
        </w:tc>
        <w:tc>
          <w:tcPr>
            <w:tcW w:w="449" w:type="pct"/>
            <w:vAlign w:val="center"/>
          </w:tcPr>
          <w:p w14:paraId="05BF4A42">
            <w:pPr>
              <w:pStyle w:val="41"/>
            </w:pPr>
            <w:r>
              <w:rPr>
                <w:rFonts w:hint="eastAsia"/>
              </w:rPr>
              <w:t>/</w:t>
            </w:r>
          </w:p>
        </w:tc>
        <w:tc>
          <w:tcPr>
            <w:tcW w:w="605" w:type="pct"/>
            <w:vAlign w:val="center"/>
          </w:tcPr>
          <w:p w14:paraId="169087B1">
            <w:pPr>
              <w:pStyle w:val="41"/>
            </w:pPr>
            <w:r>
              <w:rPr>
                <w:rFonts w:hint="eastAsia"/>
              </w:rPr>
              <w:t>/</w:t>
            </w:r>
          </w:p>
        </w:tc>
        <w:tc>
          <w:tcPr>
            <w:tcW w:w="553" w:type="pct"/>
            <w:vAlign w:val="center"/>
          </w:tcPr>
          <w:p w14:paraId="41B2503E">
            <w:pPr>
              <w:pStyle w:val="41"/>
            </w:pPr>
            <w:r>
              <w:rPr>
                <w:rFonts w:hint="eastAsia"/>
              </w:rPr>
              <w:t>0.262</w:t>
            </w:r>
          </w:p>
        </w:tc>
        <w:tc>
          <w:tcPr>
            <w:tcW w:w="629" w:type="pct"/>
            <w:vAlign w:val="center"/>
          </w:tcPr>
          <w:p w14:paraId="70BD242D">
            <w:pPr>
              <w:pStyle w:val="41"/>
            </w:pPr>
            <w:r>
              <w:rPr>
                <w:rFonts w:hint="eastAsia"/>
              </w:rPr>
              <w:t>/</w:t>
            </w:r>
          </w:p>
        </w:tc>
        <w:tc>
          <w:tcPr>
            <w:tcW w:w="701" w:type="pct"/>
            <w:vAlign w:val="center"/>
          </w:tcPr>
          <w:p w14:paraId="2321C165">
            <w:pPr>
              <w:pStyle w:val="41"/>
            </w:pPr>
            <w:r>
              <w:rPr>
                <w:rFonts w:hint="eastAsia"/>
              </w:rPr>
              <w:t>0.262</w:t>
            </w:r>
          </w:p>
        </w:tc>
        <w:tc>
          <w:tcPr>
            <w:tcW w:w="395" w:type="pct"/>
            <w:vAlign w:val="center"/>
          </w:tcPr>
          <w:p w14:paraId="6104FAA9">
            <w:pPr>
              <w:pStyle w:val="41"/>
            </w:pPr>
            <w:r>
              <w:rPr>
                <w:rFonts w:hint="eastAsia"/>
              </w:rPr>
              <w:t>0.262</w:t>
            </w:r>
          </w:p>
        </w:tc>
      </w:tr>
      <w:tr w14:paraId="72C6EF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restart"/>
            <w:vAlign w:val="center"/>
          </w:tcPr>
          <w:p w14:paraId="01D495B5">
            <w:pPr>
              <w:pStyle w:val="41"/>
            </w:pPr>
            <w:r>
              <w:t>废水</w:t>
            </w:r>
          </w:p>
        </w:tc>
        <w:tc>
          <w:tcPr>
            <w:tcW w:w="524" w:type="pct"/>
            <w:vAlign w:val="center"/>
          </w:tcPr>
          <w:p w14:paraId="537FE7B7">
            <w:pPr>
              <w:pStyle w:val="41"/>
            </w:pPr>
            <w:r>
              <w:rPr>
                <w:rFonts w:hint="eastAsia"/>
              </w:rPr>
              <w:t>COD</w:t>
            </w:r>
          </w:p>
        </w:tc>
        <w:tc>
          <w:tcPr>
            <w:tcW w:w="581" w:type="pct"/>
            <w:vAlign w:val="center"/>
          </w:tcPr>
          <w:p w14:paraId="6CE942B4">
            <w:pPr>
              <w:pStyle w:val="41"/>
            </w:pPr>
            <w:r>
              <w:rPr>
                <w:rFonts w:hint="eastAsia"/>
              </w:rPr>
              <w:t>/</w:t>
            </w:r>
          </w:p>
        </w:tc>
        <w:tc>
          <w:tcPr>
            <w:tcW w:w="449" w:type="pct"/>
            <w:vAlign w:val="center"/>
          </w:tcPr>
          <w:p w14:paraId="4BB0E176">
            <w:pPr>
              <w:pStyle w:val="41"/>
            </w:pPr>
            <w:r>
              <w:rPr>
                <w:rFonts w:hint="eastAsia"/>
              </w:rPr>
              <w:t>/</w:t>
            </w:r>
          </w:p>
        </w:tc>
        <w:tc>
          <w:tcPr>
            <w:tcW w:w="605" w:type="pct"/>
            <w:vAlign w:val="center"/>
          </w:tcPr>
          <w:p w14:paraId="5BC63F43">
            <w:pPr>
              <w:pStyle w:val="41"/>
            </w:pPr>
            <w:r>
              <w:rPr>
                <w:rFonts w:hint="eastAsia"/>
              </w:rPr>
              <w:t>/</w:t>
            </w:r>
          </w:p>
        </w:tc>
        <w:tc>
          <w:tcPr>
            <w:tcW w:w="553" w:type="pct"/>
            <w:vAlign w:val="center"/>
          </w:tcPr>
          <w:p w14:paraId="5F75CD8C">
            <w:pPr>
              <w:pStyle w:val="41"/>
            </w:pPr>
            <w:r>
              <w:rPr>
                <w:color w:val="000000"/>
              </w:rPr>
              <w:t>0.052</w:t>
            </w:r>
          </w:p>
        </w:tc>
        <w:tc>
          <w:tcPr>
            <w:tcW w:w="629" w:type="pct"/>
            <w:vAlign w:val="center"/>
          </w:tcPr>
          <w:p w14:paraId="455B5664">
            <w:pPr>
              <w:pStyle w:val="41"/>
            </w:pPr>
            <w:r>
              <w:rPr>
                <w:rFonts w:hint="eastAsia"/>
              </w:rPr>
              <w:t>/</w:t>
            </w:r>
          </w:p>
        </w:tc>
        <w:tc>
          <w:tcPr>
            <w:tcW w:w="701" w:type="pct"/>
            <w:vAlign w:val="center"/>
          </w:tcPr>
          <w:p w14:paraId="5C0E0EB2">
            <w:pPr>
              <w:pStyle w:val="41"/>
            </w:pPr>
            <w:r>
              <w:rPr>
                <w:color w:val="000000"/>
              </w:rPr>
              <w:t>0.052</w:t>
            </w:r>
          </w:p>
        </w:tc>
        <w:tc>
          <w:tcPr>
            <w:tcW w:w="395" w:type="pct"/>
            <w:vAlign w:val="center"/>
          </w:tcPr>
          <w:p w14:paraId="2256B0BC">
            <w:pPr>
              <w:pStyle w:val="41"/>
            </w:pPr>
            <w:r>
              <w:rPr>
                <w:color w:val="000000"/>
              </w:rPr>
              <w:t>0.052</w:t>
            </w:r>
          </w:p>
        </w:tc>
      </w:tr>
      <w:tr w14:paraId="3DA406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continue"/>
            <w:vAlign w:val="center"/>
          </w:tcPr>
          <w:p w14:paraId="54E359A3">
            <w:pPr>
              <w:pStyle w:val="41"/>
            </w:pPr>
          </w:p>
        </w:tc>
        <w:tc>
          <w:tcPr>
            <w:tcW w:w="524" w:type="pct"/>
            <w:vAlign w:val="center"/>
          </w:tcPr>
          <w:p w14:paraId="30F2A8F1">
            <w:pPr>
              <w:pStyle w:val="41"/>
            </w:pPr>
            <w:r>
              <w:rPr>
                <w:rFonts w:hint="eastAsia"/>
              </w:rPr>
              <w:t>BOD</w:t>
            </w:r>
            <w:r>
              <w:rPr>
                <w:rFonts w:hint="eastAsia"/>
                <w:vertAlign w:val="subscript"/>
              </w:rPr>
              <w:t>5</w:t>
            </w:r>
          </w:p>
        </w:tc>
        <w:tc>
          <w:tcPr>
            <w:tcW w:w="581" w:type="pct"/>
            <w:vAlign w:val="center"/>
          </w:tcPr>
          <w:p w14:paraId="68480083">
            <w:pPr>
              <w:pStyle w:val="41"/>
            </w:pPr>
            <w:r>
              <w:rPr>
                <w:rFonts w:hint="eastAsia"/>
              </w:rPr>
              <w:t>/</w:t>
            </w:r>
          </w:p>
        </w:tc>
        <w:tc>
          <w:tcPr>
            <w:tcW w:w="449" w:type="pct"/>
            <w:vAlign w:val="center"/>
          </w:tcPr>
          <w:p w14:paraId="2D488F10">
            <w:pPr>
              <w:pStyle w:val="41"/>
            </w:pPr>
            <w:r>
              <w:rPr>
                <w:rFonts w:hint="eastAsia"/>
              </w:rPr>
              <w:t>/</w:t>
            </w:r>
          </w:p>
        </w:tc>
        <w:tc>
          <w:tcPr>
            <w:tcW w:w="605" w:type="pct"/>
            <w:vAlign w:val="center"/>
          </w:tcPr>
          <w:p w14:paraId="53A51AC0">
            <w:pPr>
              <w:pStyle w:val="41"/>
            </w:pPr>
            <w:r>
              <w:rPr>
                <w:rFonts w:hint="eastAsia"/>
              </w:rPr>
              <w:t>/</w:t>
            </w:r>
          </w:p>
        </w:tc>
        <w:tc>
          <w:tcPr>
            <w:tcW w:w="553" w:type="pct"/>
            <w:vAlign w:val="center"/>
          </w:tcPr>
          <w:p w14:paraId="00000B99">
            <w:pPr>
              <w:pStyle w:val="41"/>
            </w:pPr>
            <w:r>
              <w:rPr>
                <w:color w:val="000000"/>
              </w:rPr>
              <w:t>0.010</w:t>
            </w:r>
          </w:p>
        </w:tc>
        <w:tc>
          <w:tcPr>
            <w:tcW w:w="629" w:type="pct"/>
            <w:vAlign w:val="center"/>
          </w:tcPr>
          <w:p w14:paraId="1CC9A9E0">
            <w:pPr>
              <w:pStyle w:val="41"/>
            </w:pPr>
            <w:r>
              <w:rPr>
                <w:rFonts w:hint="eastAsia"/>
              </w:rPr>
              <w:t>/</w:t>
            </w:r>
          </w:p>
        </w:tc>
        <w:tc>
          <w:tcPr>
            <w:tcW w:w="701" w:type="pct"/>
            <w:vAlign w:val="center"/>
          </w:tcPr>
          <w:p w14:paraId="7F86C02D">
            <w:pPr>
              <w:pStyle w:val="41"/>
            </w:pPr>
            <w:r>
              <w:rPr>
                <w:color w:val="000000"/>
              </w:rPr>
              <w:t>0.010</w:t>
            </w:r>
          </w:p>
        </w:tc>
        <w:tc>
          <w:tcPr>
            <w:tcW w:w="395" w:type="pct"/>
            <w:vAlign w:val="center"/>
          </w:tcPr>
          <w:p w14:paraId="6F87891D">
            <w:pPr>
              <w:pStyle w:val="41"/>
            </w:pPr>
            <w:r>
              <w:rPr>
                <w:color w:val="000000"/>
              </w:rPr>
              <w:t>0.010</w:t>
            </w:r>
          </w:p>
        </w:tc>
      </w:tr>
      <w:tr w14:paraId="2A7A9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continue"/>
            <w:vAlign w:val="center"/>
          </w:tcPr>
          <w:p w14:paraId="58A0553D">
            <w:pPr>
              <w:pStyle w:val="41"/>
            </w:pPr>
          </w:p>
        </w:tc>
        <w:tc>
          <w:tcPr>
            <w:tcW w:w="524" w:type="pct"/>
            <w:vAlign w:val="center"/>
          </w:tcPr>
          <w:p w14:paraId="19F2E8D1">
            <w:pPr>
              <w:pStyle w:val="41"/>
              <w:rPr>
                <w:vertAlign w:val="subscript"/>
              </w:rPr>
            </w:pPr>
            <w:r>
              <w:rPr>
                <w:rFonts w:hint="eastAsia"/>
              </w:rPr>
              <w:t>氨氮</w:t>
            </w:r>
          </w:p>
        </w:tc>
        <w:tc>
          <w:tcPr>
            <w:tcW w:w="581" w:type="pct"/>
            <w:vAlign w:val="center"/>
          </w:tcPr>
          <w:p w14:paraId="16DA63BC">
            <w:pPr>
              <w:pStyle w:val="41"/>
            </w:pPr>
            <w:r>
              <w:rPr>
                <w:rFonts w:hint="eastAsia"/>
              </w:rPr>
              <w:t>/</w:t>
            </w:r>
          </w:p>
        </w:tc>
        <w:tc>
          <w:tcPr>
            <w:tcW w:w="449" w:type="pct"/>
            <w:vAlign w:val="center"/>
          </w:tcPr>
          <w:p w14:paraId="5330D38D">
            <w:pPr>
              <w:pStyle w:val="41"/>
            </w:pPr>
            <w:r>
              <w:rPr>
                <w:rFonts w:hint="eastAsia"/>
              </w:rPr>
              <w:t>/</w:t>
            </w:r>
          </w:p>
        </w:tc>
        <w:tc>
          <w:tcPr>
            <w:tcW w:w="605" w:type="pct"/>
            <w:vAlign w:val="center"/>
          </w:tcPr>
          <w:p w14:paraId="1330A12A">
            <w:pPr>
              <w:pStyle w:val="41"/>
            </w:pPr>
            <w:r>
              <w:rPr>
                <w:rFonts w:hint="eastAsia"/>
              </w:rPr>
              <w:t>/</w:t>
            </w:r>
          </w:p>
        </w:tc>
        <w:tc>
          <w:tcPr>
            <w:tcW w:w="553" w:type="pct"/>
            <w:vAlign w:val="center"/>
          </w:tcPr>
          <w:p w14:paraId="4BA39309">
            <w:pPr>
              <w:pStyle w:val="41"/>
            </w:pPr>
            <w:r>
              <w:rPr>
                <w:color w:val="000000"/>
              </w:rPr>
              <w:t>0.005</w:t>
            </w:r>
          </w:p>
        </w:tc>
        <w:tc>
          <w:tcPr>
            <w:tcW w:w="629" w:type="pct"/>
            <w:vAlign w:val="center"/>
          </w:tcPr>
          <w:p w14:paraId="5D4CA4BF">
            <w:pPr>
              <w:pStyle w:val="41"/>
            </w:pPr>
            <w:r>
              <w:rPr>
                <w:rFonts w:hint="eastAsia"/>
              </w:rPr>
              <w:t>/</w:t>
            </w:r>
          </w:p>
        </w:tc>
        <w:tc>
          <w:tcPr>
            <w:tcW w:w="701" w:type="pct"/>
            <w:vAlign w:val="center"/>
          </w:tcPr>
          <w:p w14:paraId="6059237A">
            <w:pPr>
              <w:pStyle w:val="41"/>
            </w:pPr>
            <w:r>
              <w:rPr>
                <w:color w:val="000000"/>
              </w:rPr>
              <w:t>0.005</w:t>
            </w:r>
          </w:p>
        </w:tc>
        <w:tc>
          <w:tcPr>
            <w:tcW w:w="395" w:type="pct"/>
            <w:vAlign w:val="center"/>
          </w:tcPr>
          <w:p w14:paraId="56B2F555">
            <w:pPr>
              <w:pStyle w:val="41"/>
            </w:pPr>
            <w:r>
              <w:rPr>
                <w:color w:val="000000"/>
              </w:rPr>
              <w:t>0.005</w:t>
            </w:r>
          </w:p>
        </w:tc>
      </w:tr>
      <w:tr w14:paraId="2C715C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continue"/>
            <w:vAlign w:val="center"/>
          </w:tcPr>
          <w:p w14:paraId="3C96D9F5">
            <w:pPr>
              <w:pStyle w:val="41"/>
            </w:pPr>
          </w:p>
        </w:tc>
        <w:tc>
          <w:tcPr>
            <w:tcW w:w="524" w:type="pct"/>
            <w:vAlign w:val="center"/>
          </w:tcPr>
          <w:p w14:paraId="02344DA5">
            <w:pPr>
              <w:pStyle w:val="41"/>
            </w:pPr>
            <w:r>
              <w:rPr>
                <w:rFonts w:hint="eastAsia"/>
              </w:rPr>
              <w:t>SS</w:t>
            </w:r>
          </w:p>
        </w:tc>
        <w:tc>
          <w:tcPr>
            <w:tcW w:w="581" w:type="pct"/>
            <w:vAlign w:val="center"/>
          </w:tcPr>
          <w:p w14:paraId="2B936AEA">
            <w:pPr>
              <w:pStyle w:val="41"/>
            </w:pPr>
            <w:r>
              <w:rPr>
                <w:rFonts w:hint="eastAsia"/>
              </w:rPr>
              <w:t>/</w:t>
            </w:r>
          </w:p>
        </w:tc>
        <w:tc>
          <w:tcPr>
            <w:tcW w:w="449" w:type="pct"/>
            <w:vAlign w:val="center"/>
          </w:tcPr>
          <w:p w14:paraId="517960C9">
            <w:pPr>
              <w:pStyle w:val="41"/>
            </w:pPr>
            <w:r>
              <w:rPr>
                <w:rFonts w:hint="eastAsia"/>
              </w:rPr>
              <w:t>/</w:t>
            </w:r>
          </w:p>
        </w:tc>
        <w:tc>
          <w:tcPr>
            <w:tcW w:w="605" w:type="pct"/>
            <w:vAlign w:val="center"/>
          </w:tcPr>
          <w:p w14:paraId="3882DE54">
            <w:pPr>
              <w:pStyle w:val="41"/>
            </w:pPr>
            <w:r>
              <w:rPr>
                <w:rFonts w:hint="eastAsia"/>
              </w:rPr>
              <w:t>/</w:t>
            </w:r>
          </w:p>
        </w:tc>
        <w:tc>
          <w:tcPr>
            <w:tcW w:w="553" w:type="pct"/>
            <w:vAlign w:val="center"/>
          </w:tcPr>
          <w:p w14:paraId="0F981828">
            <w:pPr>
              <w:pStyle w:val="41"/>
            </w:pPr>
            <w:r>
              <w:rPr>
                <w:color w:val="000000"/>
              </w:rPr>
              <w:t>0.010</w:t>
            </w:r>
          </w:p>
        </w:tc>
        <w:tc>
          <w:tcPr>
            <w:tcW w:w="629" w:type="pct"/>
            <w:vAlign w:val="center"/>
          </w:tcPr>
          <w:p w14:paraId="58E36FA0">
            <w:pPr>
              <w:pStyle w:val="41"/>
            </w:pPr>
            <w:r>
              <w:rPr>
                <w:rFonts w:hint="eastAsia"/>
              </w:rPr>
              <w:t>/</w:t>
            </w:r>
          </w:p>
        </w:tc>
        <w:tc>
          <w:tcPr>
            <w:tcW w:w="701" w:type="pct"/>
            <w:vAlign w:val="center"/>
          </w:tcPr>
          <w:p w14:paraId="283E36B3">
            <w:pPr>
              <w:pStyle w:val="41"/>
            </w:pPr>
            <w:r>
              <w:rPr>
                <w:color w:val="000000"/>
              </w:rPr>
              <w:t>0.010</w:t>
            </w:r>
          </w:p>
        </w:tc>
        <w:tc>
          <w:tcPr>
            <w:tcW w:w="395" w:type="pct"/>
            <w:vAlign w:val="center"/>
          </w:tcPr>
          <w:p w14:paraId="75C5483E">
            <w:pPr>
              <w:pStyle w:val="41"/>
            </w:pPr>
            <w:r>
              <w:rPr>
                <w:color w:val="000000"/>
              </w:rPr>
              <w:t>0.010</w:t>
            </w:r>
          </w:p>
        </w:tc>
      </w:tr>
      <w:tr w14:paraId="2DB6B2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restart"/>
            <w:vAlign w:val="center"/>
          </w:tcPr>
          <w:p w14:paraId="1403C115">
            <w:pPr>
              <w:pStyle w:val="41"/>
            </w:pPr>
            <w:r>
              <w:t>一般工业</w:t>
            </w:r>
          </w:p>
          <w:p w14:paraId="6F130AB5">
            <w:pPr>
              <w:pStyle w:val="41"/>
            </w:pPr>
            <w:r>
              <w:t>固体废物</w:t>
            </w:r>
          </w:p>
        </w:tc>
        <w:tc>
          <w:tcPr>
            <w:tcW w:w="524" w:type="pct"/>
            <w:vAlign w:val="center"/>
          </w:tcPr>
          <w:p w14:paraId="488EB7EA">
            <w:pPr>
              <w:pStyle w:val="41"/>
            </w:pPr>
            <w:r>
              <w:rPr>
                <w:rFonts w:hint="eastAsia"/>
                <w:color w:val="000000"/>
              </w:rPr>
              <w:t>打磨粉尘</w:t>
            </w:r>
          </w:p>
        </w:tc>
        <w:tc>
          <w:tcPr>
            <w:tcW w:w="581" w:type="pct"/>
            <w:vAlign w:val="center"/>
          </w:tcPr>
          <w:p w14:paraId="26327715">
            <w:pPr>
              <w:pStyle w:val="41"/>
            </w:pPr>
            <w:r>
              <w:rPr>
                <w:rFonts w:hint="eastAsia"/>
              </w:rPr>
              <w:t>/</w:t>
            </w:r>
          </w:p>
        </w:tc>
        <w:tc>
          <w:tcPr>
            <w:tcW w:w="449" w:type="pct"/>
            <w:vAlign w:val="center"/>
          </w:tcPr>
          <w:p w14:paraId="790F29C1">
            <w:pPr>
              <w:pStyle w:val="41"/>
            </w:pPr>
            <w:r>
              <w:rPr>
                <w:rFonts w:hint="eastAsia"/>
              </w:rPr>
              <w:t>/</w:t>
            </w:r>
          </w:p>
        </w:tc>
        <w:tc>
          <w:tcPr>
            <w:tcW w:w="605" w:type="pct"/>
            <w:vAlign w:val="center"/>
          </w:tcPr>
          <w:p w14:paraId="55C1DC1B">
            <w:pPr>
              <w:pStyle w:val="41"/>
            </w:pPr>
            <w:r>
              <w:rPr>
                <w:rFonts w:hint="eastAsia"/>
              </w:rPr>
              <w:t>/</w:t>
            </w:r>
          </w:p>
        </w:tc>
        <w:tc>
          <w:tcPr>
            <w:tcW w:w="553" w:type="pct"/>
            <w:vAlign w:val="center"/>
          </w:tcPr>
          <w:p w14:paraId="0925CF8E">
            <w:pPr>
              <w:pStyle w:val="41"/>
            </w:pPr>
            <w:r>
              <w:rPr>
                <w:color w:val="000000"/>
              </w:rPr>
              <w:t>1.49</w:t>
            </w:r>
          </w:p>
        </w:tc>
        <w:tc>
          <w:tcPr>
            <w:tcW w:w="629" w:type="pct"/>
            <w:vAlign w:val="center"/>
          </w:tcPr>
          <w:p w14:paraId="0A98229A">
            <w:pPr>
              <w:pStyle w:val="41"/>
            </w:pPr>
            <w:r>
              <w:rPr>
                <w:rFonts w:hint="eastAsia"/>
              </w:rPr>
              <w:t>/</w:t>
            </w:r>
          </w:p>
        </w:tc>
        <w:tc>
          <w:tcPr>
            <w:tcW w:w="701" w:type="pct"/>
            <w:vAlign w:val="center"/>
          </w:tcPr>
          <w:p w14:paraId="09742146">
            <w:pPr>
              <w:pStyle w:val="41"/>
            </w:pPr>
            <w:r>
              <w:rPr>
                <w:color w:val="000000"/>
              </w:rPr>
              <w:t>1.49</w:t>
            </w:r>
          </w:p>
        </w:tc>
        <w:tc>
          <w:tcPr>
            <w:tcW w:w="395" w:type="pct"/>
            <w:vAlign w:val="center"/>
          </w:tcPr>
          <w:p w14:paraId="472D3E2A">
            <w:pPr>
              <w:pStyle w:val="41"/>
            </w:pPr>
            <w:r>
              <w:rPr>
                <w:color w:val="000000"/>
              </w:rPr>
              <w:t>1.49</w:t>
            </w:r>
          </w:p>
        </w:tc>
      </w:tr>
      <w:tr w14:paraId="2C129E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continue"/>
            <w:vAlign w:val="center"/>
          </w:tcPr>
          <w:p w14:paraId="54F9A24E">
            <w:pPr>
              <w:pStyle w:val="41"/>
            </w:pPr>
          </w:p>
        </w:tc>
        <w:tc>
          <w:tcPr>
            <w:tcW w:w="524" w:type="pct"/>
            <w:vAlign w:val="center"/>
          </w:tcPr>
          <w:p w14:paraId="07D45D23">
            <w:pPr>
              <w:pStyle w:val="41"/>
            </w:pPr>
            <w:r>
              <w:rPr>
                <w:rFonts w:hint="eastAsia"/>
                <w:color w:val="000000"/>
              </w:rPr>
              <w:t>废烟尘过滤棉及废除尘布袋</w:t>
            </w:r>
          </w:p>
        </w:tc>
        <w:tc>
          <w:tcPr>
            <w:tcW w:w="581" w:type="pct"/>
            <w:vAlign w:val="center"/>
          </w:tcPr>
          <w:p w14:paraId="7905B02C">
            <w:pPr>
              <w:pStyle w:val="41"/>
            </w:pPr>
            <w:r>
              <w:rPr>
                <w:rFonts w:hint="eastAsia"/>
              </w:rPr>
              <w:t>/</w:t>
            </w:r>
          </w:p>
        </w:tc>
        <w:tc>
          <w:tcPr>
            <w:tcW w:w="449" w:type="pct"/>
            <w:vAlign w:val="center"/>
          </w:tcPr>
          <w:p w14:paraId="6A448B7B">
            <w:pPr>
              <w:pStyle w:val="41"/>
            </w:pPr>
            <w:r>
              <w:rPr>
                <w:rFonts w:hint="eastAsia"/>
              </w:rPr>
              <w:t>/</w:t>
            </w:r>
          </w:p>
        </w:tc>
        <w:tc>
          <w:tcPr>
            <w:tcW w:w="605" w:type="pct"/>
            <w:vAlign w:val="center"/>
          </w:tcPr>
          <w:p w14:paraId="62A7E57E">
            <w:pPr>
              <w:pStyle w:val="41"/>
            </w:pPr>
            <w:r>
              <w:rPr>
                <w:rFonts w:hint="eastAsia"/>
              </w:rPr>
              <w:t>/</w:t>
            </w:r>
          </w:p>
        </w:tc>
        <w:tc>
          <w:tcPr>
            <w:tcW w:w="553" w:type="pct"/>
            <w:vAlign w:val="center"/>
          </w:tcPr>
          <w:p w14:paraId="5E1BFD9F">
            <w:pPr>
              <w:pStyle w:val="41"/>
            </w:pPr>
            <w:r>
              <w:rPr>
                <w:color w:val="000000"/>
              </w:rPr>
              <w:t>0.01</w:t>
            </w:r>
          </w:p>
        </w:tc>
        <w:tc>
          <w:tcPr>
            <w:tcW w:w="629" w:type="pct"/>
            <w:vAlign w:val="center"/>
          </w:tcPr>
          <w:p w14:paraId="72DD9759">
            <w:pPr>
              <w:pStyle w:val="41"/>
            </w:pPr>
            <w:r>
              <w:rPr>
                <w:rFonts w:hint="eastAsia"/>
              </w:rPr>
              <w:t>/</w:t>
            </w:r>
          </w:p>
        </w:tc>
        <w:tc>
          <w:tcPr>
            <w:tcW w:w="701" w:type="pct"/>
            <w:vAlign w:val="center"/>
          </w:tcPr>
          <w:p w14:paraId="3A042253">
            <w:pPr>
              <w:pStyle w:val="41"/>
            </w:pPr>
            <w:r>
              <w:rPr>
                <w:color w:val="000000"/>
              </w:rPr>
              <w:t>0.01</w:t>
            </w:r>
          </w:p>
        </w:tc>
        <w:tc>
          <w:tcPr>
            <w:tcW w:w="395" w:type="pct"/>
            <w:vAlign w:val="center"/>
          </w:tcPr>
          <w:p w14:paraId="4BA5A0B2">
            <w:pPr>
              <w:pStyle w:val="41"/>
            </w:pPr>
            <w:r>
              <w:rPr>
                <w:color w:val="000000"/>
              </w:rPr>
              <w:t>0.01</w:t>
            </w:r>
          </w:p>
        </w:tc>
      </w:tr>
      <w:tr w14:paraId="1224F0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continue"/>
            <w:vAlign w:val="center"/>
          </w:tcPr>
          <w:p w14:paraId="615CA21D">
            <w:pPr>
              <w:pStyle w:val="41"/>
            </w:pPr>
          </w:p>
        </w:tc>
        <w:tc>
          <w:tcPr>
            <w:tcW w:w="524" w:type="pct"/>
            <w:vAlign w:val="center"/>
          </w:tcPr>
          <w:p w14:paraId="39C416A4">
            <w:pPr>
              <w:pStyle w:val="41"/>
            </w:pPr>
            <w:r>
              <w:rPr>
                <w:rFonts w:hint="eastAsia"/>
                <w:color w:val="000000"/>
              </w:rPr>
              <w:t>废焊接材料</w:t>
            </w:r>
          </w:p>
        </w:tc>
        <w:tc>
          <w:tcPr>
            <w:tcW w:w="581" w:type="pct"/>
            <w:vAlign w:val="center"/>
          </w:tcPr>
          <w:p w14:paraId="32A55ED5">
            <w:pPr>
              <w:pStyle w:val="41"/>
            </w:pPr>
            <w:r>
              <w:rPr>
                <w:rFonts w:hint="eastAsia"/>
              </w:rPr>
              <w:t>/</w:t>
            </w:r>
          </w:p>
        </w:tc>
        <w:tc>
          <w:tcPr>
            <w:tcW w:w="449" w:type="pct"/>
            <w:vAlign w:val="center"/>
          </w:tcPr>
          <w:p w14:paraId="0D33CF46">
            <w:pPr>
              <w:pStyle w:val="41"/>
            </w:pPr>
            <w:r>
              <w:rPr>
                <w:rFonts w:hint="eastAsia"/>
              </w:rPr>
              <w:t>/</w:t>
            </w:r>
          </w:p>
        </w:tc>
        <w:tc>
          <w:tcPr>
            <w:tcW w:w="605" w:type="pct"/>
            <w:vAlign w:val="center"/>
          </w:tcPr>
          <w:p w14:paraId="17A36542">
            <w:pPr>
              <w:pStyle w:val="41"/>
            </w:pPr>
            <w:r>
              <w:rPr>
                <w:rFonts w:hint="eastAsia"/>
              </w:rPr>
              <w:t>/</w:t>
            </w:r>
          </w:p>
        </w:tc>
        <w:tc>
          <w:tcPr>
            <w:tcW w:w="553" w:type="pct"/>
            <w:vAlign w:val="center"/>
          </w:tcPr>
          <w:p w14:paraId="72704A9F">
            <w:pPr>
              <w:pStyle w:val="41"/>
            </w:pPr>
            <w:r>
              <w:rPr>
                <w:color w:val="000000"/>
              </w:rPr>
              <w:t>1.879</w:t>
            </w:r>
          </w:p>
        </w:tc>
        <w:tc>
          <w:tcPr>
            <w:tcW w:w="629" w:type="pct"/>
            <w:vAlign w:val="center"/>
          </w:tcPr>
          <w:p w14:paraId="58EBB810">
            <w:pPr>
              <w:pStyle w:val="41"/>
            </w:pPr>
            <w:r>
              <w:rPr>
                <w:rFonts w:hint="eastAsia"/>
              </w:rPr>
              <w:t>/</w:t>
            </w:r>
          </w:p>
        </w:tc>
        <w:tc>
          <w:tcPr>
            <w:tcW w:w="701" w:type="pct"/>
            <w:vAlign w:val="center"/>
          </w:tcPr>
          <w:p w14:paraId="660112DB">
            <w:pPr>
              <w:pStyle w:val="41"/>
            </w:pPr>
            <w:r>
              <w:rPr>
                <w:color w:val="000000"/>
              </w:rPr>
              <w:t>1.879</w:t>
            </w:r>
          </w:p>
        </w:tc>
        <w:tc>
          <w:tcPr>
            <w:tcW w:w="395" w:type="pct"/>
            <w:vAlign w:val="center"/>
          </w:tcPr>
          <w:p w14:paraId="523D3B9E">
            <w:pPr>
              <w:pStyle w:val="41"/>
            </w:pPr>
            <w:r>
              <w:rPr>
                <w:color w:val="000000"/>
              </w:rPr>
              <w:t>1.879</w:t>
            </w:r>
          </w:p>
        </w:tc>
      </w:tr>
      <w:tr w14:paraId="431C1D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continue"/>
            <w:vAlign w:val="center"/>
          </w:tcPr>
          <w:p w14:paraId="2E3E1CE3">
            <w:pPr>
              <w:pStyle w:val="41"/>
            </w:pPr>
          </w:p>
        </w:tc>
        <w:tc>
          <w:tcPr>
            <w:tcW w:w="524" w:type="pct"/>
            <w:vAlign w:val="center"/>
          </w:tcPr>
          <w:p w14:paraId="1FE6F76D">
            <w:pPr>
              <w:pStyle w:val="41"/>
            </w:pPr>
            <w:r>
              <w:rPr>
                <w:rFonts w:hint="eastAsia"/>
                <w:color w:val="000000"/>
              </w:rPr>
              <w:t>边角料</w:t>
            </w:r>
          </w:p>
        </w:tc>
        <w:tc>
          <w:tcPr>
            <w:tcW w:w="581" w:type="pct"/>
            <w:vAlign w:val="center"/>
          </w:tcPr>
          <w:p w14:paraId="7AAEC498">
            <w:pPr>
              <w:pStyle w:val="41"/>
            </w:pPr>
            <w:r>
              <w:rPr>
                <w:rFonts w:hint="eastAsia"/>
              </w:rPr>
              <w:t>/</w:t>
            </w:r>
          </w:p>
        </w:tc>
        <w:tc>
          <w:tcPr>
            <w:tcW w:w="449" w:type="pct"/>
            <w:vAlign w:val="center"/>
          </w:tcPr>
          <w:p w14:paraId="1DB8FDAC">
            <w:pPr>
              <w:pStyle w:val="41"/>
            </w:pPr>
            <w:r>
              <w:rPr>
                <w:rFonts w:hint="eastAsia"/>
              </w:rPr>
              <w:t>/</w:t>
            </w:r>
          </w:p>
        </w:tc>
        <w:tc>
          <w:tcPr>
            <w:tcW w:w="605" w:type="pct"/>
            <w:vAlign w:val="center"/>
          </w:tcPr>
          <w:p w14:paraId="5CE86C1A">
            <w:pPr>
              <w:pStyle w:val="41"/>
            </w:pPr>
            <w:r>
              <w:rPr>
                <w:rFonts w:hint="eastAsia"/>
              </w:rPr>
              <w:t>/</w:t>
            </w:r>
          </w:p>
        </w:tc>
        <w:tc>
          <w:tcPr>
            <w:tcW w:w="553" w:type="pct"/>
            <w:vAlign w:val="center"/>
          </w:tcPr>
          <w:p w14:paraId="5B87F943">
            <w:pPr>
              <w:pStyle w:val="41"/>
            </w:pPr>
            <w:r>
              <w:rPr>
                <w:color w:val="000000"/>
              </w:rPr>
              <w:t>26.85</w:t>
            </w:r>
          </w:p>
        </w:tc>
        <w:tc>
          <w:tcPr>
            <w:tcW w:w="629" w:type="pct"/>
            <w:vAlign w:val="center"/>
          </w:tcPr>
          <w:p w14:paraId="0A7254B0">
            <w:pPr>
              <w:pStyle w:val="41"/>
            </w:pPr>
            <w:r>
              <w:rPr>
                <w:rFonts w:hint="eastAsia"/>
              </w:rPr>
              <w:t>/</w:t>
            </w:r>
          </w:p>
        </w:tc>
        <w:tc>
          <w:tcPr>
            <w:tcW w:w="701" w:type="pct"/>
            <w:vAlign w:val="center"/>
          </w:tcPr>
          <w:p w14:paraId="5F279324">
            <w:pPr>
              <w:pStyle w:val="41"/>
            </w:pPr>
            <w:r>
              <w:rPr>
                <w:color w:val="000000"/>
              </w:rPr>
              <w:t>26.85</w:t>
            </w:r>
          </w:p>
        </w:tc>
        <w:tc>
          <w:tcPr>
            <w:tcW w:w="395" w:type="pct"/>
            <w:vAlign w:val="center"/>
          </w:tcPr>
          <w:p w14:paraId="0C44B68E">
            <w:pPr>
              <w:pStyle w:val="41"/>
            </w:pPr>
            <w:r>
              <w:rPr>
                <w:color w:val="000000"/>
              </w:rPr>
              <w:t>26.85</w:t>
            </w:r>
          </w:p>
        </w:tc>
      </w:tr>
      <w:tr w14:paraId="1AE293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continue"/>
            <w:vAlign w:val="center"/>
          </w:tcPr>
          <w:p w14:paraId="289E251D">
            <w:pPr>
              <w:pStyle w:val="41"/>
            </w:pPr>
          </w:p>
        </w:tc>
        <w:tc>
          <w:tcPr>
            <w:tcW w:w="524" w:type="pct"/>
            <w:vAlign w:val="center"/>
          </w:tcPr>
          <w:p w14:paraId="56029E34">
            <w:pPr>
              <w:pStyle w:val="41"/>
            </w:pPr>
            <w:r>
              <w:rPr>
                <w:rFonts w:hint="eastAsia"/>
                <w:color w:val="000000"/>
              </w:rPr>
              <w:t>不合格产品</w:t>
            </w:r>
          </w:p>
        </w:tc>
        <w:tc>
          <w:tcPr>
            <w:tcW w:w="581" w:type="pct"/>
            <w:vAlign w:val="center"/>
          </w:tcPr>
          <w:p w14:paraId="3D7C1479">
            <w:pPr>
              <w:pStyle w:val="41"/>
            </w:pPr>
            <w:r>
              <w:rPr>
                <w:rFonts w:hint="eastAsia"/>
              </w:rPr>
              <w:t>/</w:t>
            </w:r>
          </w:p>
        </w:tc>
        <w:tc>
          <w:tcPr>
            <w:tcW w:w="449" w:type="pct"/>
            <w:vAlign w:val="center"/>
          </w:tcPr>
          <w:p w14:paraId="5C2A28CB">
            <w:pPr>
              <w:pStyle w:val="41"/>
            </w:pPr>
            <w:r>
              <w:rPr>
                <w:rFonts w:hint="eastAsia"/>
              </w:rPr>
              <w:t>/</w:t>
            </w:r>
          </w:p>
        </w:tc>
        <w:tc>
          <w:tcPr>
            <w:tcW w:w="605" w:type="pct"/>
            <w:vAlign w:val="center"/>
          </w:tcPr>
          <w:p w14:paraId="586BCE7C">
            <w:pPr>
              <w:pStyle w:val="41"/>
            </w:pPr>
            <w:r>
              <w:rPr>
                <w:rFonts w:hint="eastAsia"/>
              </w:rPr>
              <w:t>/</w:t>
            </w:r>
          </w:p>
        </w:tc>
        <w:tc>
          <w:tcPr>
            <w:tcW w:w="553" w:type="pct"/>
            <w:vAlign w:val="center"/>
          </w:tcPr>
          <w:p w14:paraId="3ADD439D">
            <w:pPr>
              <w:pStyle w:val="41"/>
            </w:pPr>
            <w:r>
              <w:rPr>
                <w:color w:val="000000"/>
              </w:rPr>
              <w:t>28.645</w:t>
            </w:r>
          </w:p>
        </w:tc>
        <w:tc>
          <w:tcPr>
            <w:tcW w:w="629" w:type="pct"/>
            <w:vAlign w:val="center"/>
          </w:tcPr>
          <w:p w14:paraId="5577AC56">
            <w:pPr>
              <w:pStyle w:val="41"/>
            </w:pPr>
            <w:r>
              <w:rPr>
                <w:rFonts w:hint="eastAsia"/>
              </w:rPr>
              <w:t>/</w:t>
            </w:r>
          </w:p>
        </w:tc>
        <w:tc>
          <w:tcPr>
            <w:tcW w:w="701" w:type="pct"/>
            <w:vAlign w:val="center"/>
          </w:tcPr>
          <w:p w14:paraId="6B1B31F6">
            <w:pPr>
              <w:pStyle w:val="41"/>
            </w:pPr>
            <w:r>
              <w:rPr>
                <w:color w:val="000000"/>
              </w:rPr>
              <w:t>28.645</w:t>
            </w:r>
          </w:p>
        </w:tc>
        <w:tc>
          <w:tcPr>
            <w:tcW w:w="395" w:type="pct"/>
            <w:vAlign w:val="center"/>
          </w:tcPr>
          <w:p w14:paraId="0D589897">
            <w:pPr>
              <w:pStyle w:val="41"/>
            </w:pPr>
            <w:r>
              <w:rPr>
                <w:color w:val="000000"/>
              </w:rPr>
              <w:t>28.645</w:t>
            </w:r>
          </w:p>
        </w:tc>
      </w:tr>
      <w:tr w14:paraId="52B06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continue"/>
            <w:vAlign w:val="center"/>
          </w:tcPr>
          <w:p w14:paraId="014DDD9F">
            <w:pPr>
              <w:pStyle w:val="41"/>
            </w:pPr>
          </w:p>
        </w:tc>
        <w:tc>
          <w:tcPr>
            <w:tcW w:w="524" w:type="pct"/>
            <w:vAlign w:val="center"/>
          </w:tcPr>
          <w:p w14:paraId="233BD9AE">
            <w:pPr>
              <w:pStyle w:val="41"/>
            </w:pPr>
            <w:r>
              <w:rPr>
                <w:rFonts w:hint="eastAsia"/>
                <w:color w:val="000000"/>
              </w:rPr>
              <w:t>生活垃圾</w:t>
            </w:r>
          </w:p>
        </w:tc>
        <w:tc>
          <w:tcPr>
            <w:tcW w:w="581" w:type="pct"/>
            <w:vAlign w:val="center"/>
          </w:tcPr>
          <w:p w14:paraId="4A1AB58A">
            <w:pPr>
              <w:pStyle w:val="41"/>
            </w:pPr>
            <w:r>
              <w:rPr>
                <w:rFonts w:hint="eastAsia"/>
              </w:rPr>
              <w:t>/</w:t>
            </w:r>
          </w:p>
        </w:tc>
        <w:tc>
          <w:tcPr>
            <w:tcW w:w="449" w:type="pct"/>
            <w:vAlign w:val="center"/>
          </w:tcPr>
          <w:p w14:paraId="7DB33F7D">
            <w:pPr>
              <w:pStyle w:val="41"/>
            </w:pPr>
            <w:r>
              <w:rPr>
                <w:rFonts w:hint="eastAsia"/>
              </w:rPr>
              <w:t>/</w:t>
            </w:r>
          </w:p>
        </w:tc>
        <w:tc>
          <w:tcPr>
            <w:tcW w:w="605" w:type="pct"/>
            <w:vAlign w:val="center"/>
          </w:tcPr>
          <w:p w14:paraId="6097AA86">
            <w:pPr>
              <w:pStyle w:val="41"/>
            </w:pPr>
            <w:r>
              <w:rPr>
                <w:rFonts w:hint="eastAsia"/>
              </w:rPr>
              <w:t>/</w:t>
            </w:r>
          </w:p>
        </w:tc>
        <w:tc>
          <w:tcPr>
            <w:tcW w:w="553" w:type="pct"/>
            <w:vAlign w:val="center"/>
          </w:tcPr>
          <w:p w14:paraId="3575CA4C">
            <w:pPr>
              <w:pStyle w:val="41"/>
            </w:pPr>
            <w:r>
              <w:rPr>
                <w:color w:val="000000"/>
              </w:rPr>
              <w:t>13.05</w:t>
            </w:r>
          </w:p>
        </w:tc>
        <w:tc>
          <w:tcPr>
            <w:tcW w:w="629" w:type="pct"/>
            <w:vAlign w:val="center"/>
          </w:tcPr>
          <w:p w14:paraId="02DE8381">
            <w:pPr>
              <w:pStyle w:val="41"/>
            </w:pPr>
            <w:r>
              <w:rPr>
                <w:rFonts w:hint="eastAsia"/>
              </w:rPr>
              <w:t>/</w:t>
            </w:r>
          </w:p>
        </w:tc>
        <w:tc>
          <w:tcPr>
            <w:tcW w:w="701" w:type="pct"/>
            <w:vAlign w:val="center"/>
          </w:tcPr>
          <w:p w14:paraId="2D67A0B0">
            <w:pPr>
              <w:pStyle w:val="41"/>
            </w:pPr>
            <w:r>
              <w:rPr>
                <w:color w:val="000000"/>
              </w:rPr>
              <w:t>13.05</w:t>
            </w:r>
          </w:p>
        </w:tc>
        <w:tc>
          <w:tcPr>
            <w:tcW w:w="395" w:type="pct"/>
            <w:vAlign w:val="center"/>
          </w:tcPr>
          <w:p w14:paraId="7B8C5BF3">
            <w:pPr>
              <w:pStyle w:val="41"/>
            </w:pPr>
            <w:r>
              <w:rPr>
                <w:color w:val="000000"/>
              </w:rPr>
              <w:t>13.05</w:t>
            </w:r>
          </w:p>
        </w:tc>
      </w:tr>
      <w:tr w14:paraId="0593EE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restart"/>
            <w:vAlign w:val="center"/>
          </w:tcPr>
          <w:p w14:paraId="55346C65">
            <w:pPr>
              <w:pStyle w:val="41"/>
            </w:pPr>
            <w:r>
              <w:rPr>
                <w:rFonts w:hint="eastAsia"/>
              </w:rPr>
              <w:t>危险废物</w:t>
            </w:r>
          </w:p>
        </w:tc>
        <w:tc>
          <w:tcPr>
            <w:tcW w:w="524" w:type="pct"/>
            <w:vAlign w:val="center"/>
          </w:tcPr>
          <w:p w14:paraId="572F468A">
            <w:pPr>
              <w:pStyle w:val="41"/>
            </w:pPr>
            <w:r>
              <w:rPr>
                <w:rFonts w:hint="eastAsia"/>
                <w:color w:val="000000"/>
              </w:rPr>
              <w:t>废活性炭</w:t>
            </w:r>
          </w:p>
        </w:tc>
        <w:tc>
          <w:tcPr>
            <w:tcW w:w="581" w:type="pct"/>
            <w:vAlign w:val="center"/>
          </w:tcPr>
          <w:p w14:paraId="4BB212E5">
            <w:pPr>
              <w:pStyle w:val="41"/>
            </w:pPr>
            <w:r>
              <w:rPr>
                <w:rFonts w:hint="eastAsia"/>
              </w:rPr>
              <w:t>/</w:t>
            </w:r>
          </w:p>
        </w:tc>
        <w:tc>
          <w:tcPr>
            <w:tcW w:w="449" w:type="pct"/>
            <w:vAlign w:val="center"/>
          </w:tcPr>
          <w:p w14:paraId="098BB136">
            <w:pPr>
              <w:pStyle w:val="41"/>
            </w:pPr>
            <w:r>
              <w:rPr>
                <w:rFonts w:hint="eastAsia"/>
              </w:rPr>
              <w:t>/</w:t>
            </w:r>
          </w:p>
        </w:tc>
        <w:tc>
          <w:tcPr>
            <w:tcW w:w="605" w:type="pct"/>
            <w:vAlign w:val="center"/>
          </w:tcPr>
          <w:p w14:paraId="4F1A2C2C">
            <w:pPr>
              <w:pStyle w:val="41"/>
            </w:pPr>
            <w:r>
              <w:rPr>
                <w:rFonts w:hint="eastAsia"/>
              </w:rPr>
              <w:t>/</w:t>
            </w:r>
          </w:p>
        </w:tc>
        <w:tc>
          <w:tcPr>
            <w:tcW w:w="553" w:type="pct"/>
            <w:vAlign w:val="center"/>
          </w:tcPr>
          <w:p w14:paraId="3A1D7FBB">
            <w:pPr>
              <w:pStyle w:val="41"/>
            </w:pPr>
            <w:r>
              <w:rPr>
                <w:color w:val="000000"/>
              </w:rPr>
              <w:t>1.442</w:t>
            </w:r>
          </w:p>
        </w:tc>
        <w:tc>
          <w:tcPr>
            <w:tcW w:w="629" w:type="pct"/>
            <w:vAlign w:val="center"/>
          </w:tcPr>
          <w:p w14:paraId="18BA0A6B">
            <w:pPr>
              <w:pStyle w:val="41"/>
            </w:pPr>
            <w:r>
              <w:rPr>
                <w:rFonts w:hint="eastAsia"/>
              </w:rPr>
              <w:t>/</w:t>
            </w:r>
          </w:p>
        </w:tc>
        <w:tc>
          <w:tcPr>
            <w:tcW w:w="701" w:type="pct"/>
            <w:vAlign w:val="center"/>
          </w:tcPr>
          <w:p w14:paraId="342E6A69">
            <w:pPr>
              <w:pStyle w:val="41"/>
            </w:pPr>
            <w:r>
              <w:rPr>
                <w:color w:val="000000"/>
              </w:rPr>
              <w:t>1.442</w:t>
            </w:r>
          </w:p>
        </w:tc>
        <w:tc>
          <w:tcPr>
            <w:tcW w:w="395" w:type="pct"/>
            <w:vAlign w:val="center"/>
          </w:tcPr>
          <w:p w14:paraId="73B5192E">
            <w:pPr>
              <w:pStyle w:val="41"/>
            </w:pPr>
            <w:r>
              <w:rPr>
                <w:color w:val="000000"/>
              </w:rPr>
              <w:t>1.442</w:t>
            </w:r>
          </w:p>
        </w:tc>
      </w:tr>
      <w:tr w14:paraId="02B7EC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continue"/>
            <w:vAlign w:val="center"/>
          </w:tcPr>
          <w:p w14:paraId="17240C23">
            <w:pPr>
              <w:pStyle w:val="41"/>
            </w:pPr>
          </w:p>
        </w:tc>
        <w:tc>
          <w:tcPr>
            <w:tcW w:w="524" w:type="pct"/>
            <w:vAlign w:val="center"/>
          </w:tcPr>
          <w:p w14:paraId="5CF25682">
            <w:pPr>
              <w:pStyle w:val="41"/>
            </w:pPr>
            <w:r>
              <w:rPr>
                <w:rFonts w:hint="eastAsia"/>
                <w:color w:val="000000"/>
              </w:rPr>
              <w:t>废润滑油</w:t>
            </w:r>
          </w:p>
        </w:tc>
        <w:tc>
          <w:tcPr>
            <w:tcW w:w="581" w:type="pct"/>
            <w:vAlign w:val="center"/>
          </w:tcPr>
          <w:p w14:paraId="57ED911E">
            <w:pPr>
              <w:pStyle w:val="41"/>
            </w:pPr>
            <w:r>
              <w:rPr>
                <w:rFonts w:hint="eastAsia"/>
              </w:rPr>
              <w:t>/</w:t>
            </w:r>
          </w:p>
        </w:tc>
        <w:tc>
          <w:tcPr>
            <w:tcW w:w="449" w:type="pct"/>
            <w:vAlign w:val="center"/>
          </w:tcPr>
          <w:p w14:paraId="4FE50836">
            <w:pPr>
              <w:pStyle w:val="41"/>
            </w:pPr>
            <w:r>
              <w:rPr>
                <w:rFonts w:hint="eastAsia"/>
              </w:rPr>
              <w:t>/</w:t>
            </w:r>
          </w:p>
        </w:tc>
        <w:tc>
          <w:tcPr>
            <w:tcW w:w="605" w:type="pct"/>
            <w:vAlign w:val="center"/>
          </w:tcPr>
          <w:p w14:paraId="2078D111">
            <w:pPr>
              <w:pStyle w:val="41"/>
            </w:pPr>
            <w:r>
              <w:rPr>
                <w:rFonts w:hint="eastAsia"/>
              </w:rPr>
              <w:t>/</w:t>
            </w:r>
          </w:p>
        </w:tc>
        <w:tc>
          <w:tcPr>
            <w:tcW w:w="553" w:type="pct"/>
            <w:vAlign w:val="center"/>
          </w:tcPr>
          <w:p w14:paraId="55F93DA9">
            <w:pPr>
              <w:pStyle w:val="41"/>
            </w:pPr>
            <w:r>
              <w:rPr>
                <w:color w:val="000000"/>
              </w:rPr>
              <w:t>0.08</w:t>
            </w:r>
          </w:p>
        </w:tc>
        <w:tc>
          <w:tcPr>
            <w:tcW w:w="629" w:type="pct"/>
            <w:vAlign w:val="center"/>
          </w:tcPr>
          <w:p w14:paraId="55BF56FB">
            <w:pPr>
              <w:pStyle w:val="41"/>
            </w:pPr>
            <w:r>
              <w:rPr>
                <w:rFonts w:hint="eastAsia"/>
              </w:rPr>
              <w:t>/</w:t>
            </w:r>
          </w:p>
        </w:tc>
        <w:tc>
          <w:tcPr>
            <w:tcW w:w="701" w:type="pct"/>
            <w:vAlign w:val="center"/>
          </w:tcPr>
          <w:p w14:paraId="2878CC2D">
            <w:pPr>
              <w:pStyle w:val="41"/>
            </w:pPr>
            <w:r>
              <w:rPr>
                <w:color w:val="000000"/>
              </w:rPr>
              <w:t>0.08</w:t>
            </w:r>
          </w:p>
        </w:tc>
        <w:tc>
          <w:tcPr>
            <w:tcW w:w="395" w:type="pct"/>
            <w:vAlign w:val="center"/>
          </w:tcPr>
          <w:p w14:paraId="3D3DB0E4">
            <w:pPr>
              <w:pStyle w:val="41"/>
            </w:pPr>
            <w:r>
              <w:rPr>
                <w:color w:val="000000"/>
              </w:rPr>
              <w:t>0.08</w:t>
            </w:r>
          </w:p>
        </w:tc>
      </w:tr>
      <w:tr w14:paraId="482996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continue"/>
            <w:vAlign w:val="center"/>
          </w:tcPr>
          <w:p w14:paraId="6504435F">
            <w:pPr>
              <w:pStyle w:val="41"/>
            </w:pPr>
          </w:p>
        </w:tc>
        <w:tc>
          <w:tcPr>
            <w:tcW w:w="524" w:type="pct"/>
            <w:vAlign w:val="center"/>
          </w:tcPr>
          <w:p w14:paraId="6F99779E">
            <w:pPr>
              <w:pStyle w:val="41"/>
            </w:pPr>
            <w:r>
              <w:rPr>
                <w:rFonts w:hint="eastAsia"/>
                <w:color w:val="000000"/>
              </w:rPr>
              <w:t>废润滑油桶</w:t>
            </w:r>
          </w:p>
        </w:tc>
        <w:tc>
          <w:tcPr>
            <w:tcW w:w="581" w:type="pct"/>
            <w:vAlign w:val="center"/>
          </w:tcPr>
          <w:p w14:paraId="6D8ECCA6">
            <w:pPr>
              <w:pStyle w:val="41"/>
            </w:pPr>
            <w:r>
              <w:rPr>
                <w:rFonts w:hint="eastAsia"/>
              </w:rPr>
              <w:t>/</w:t>
            </w:r>
          </w:p>
        </w:tc>
        <w:tc>
          <w:tcPr>
            <w:tcW w:w="449" w:type="pct"/>
            <w:vAlign w:val="center"/>
          </w:tcPr>
          <w:p w14:paraId="1A4DFE02">
            <w:pPr>
              <w:pStyle w:val="41"/>
            </w:pPr>
            <w:r>
              <w:rPr>
                <w:rFonts w:hint="eastAsia"/>
              </w:rPr>
              <w:t>/</w:t>
            </w:r>
          </w:p>
        </w:tc>
        <w:tc>
          <w:tcPr>
            <w:tcW w:w="605" w:type="pct"/>
            <w:vAlign w:val="center"/>
          </w:tcPr>
          <w:p w14:paraId="3D165663">
            <w:pPr>
              <w:pStyle w:val="41"/>
            </w:pPr>
            <w:r>
              <w:rPr>
                <w:rFonts w:hint="eastAsia"/>
              </w:rPr>
              <w:t>/</w:t>
            </w:r>
          </w:p>
        </w:tc>
        <w:tc>
          <w:tcPr>
            <w:tcW w:w="553" w:type="pct"/>
            <w:vAlign w:val="center"/>
          </w:tcPr>
          <w:p w14:paraId="1CFCEEA1">
            <w:pPr>
              <w:pStyle w:val="41"/>
            </w:pPr>
            <w:r>
              <w:rPr>
                <w:color w:val="000000"/>
              </w:rPr>
              <w:t>0.07</w:t>
            </w:r>
          </w:p>
        </w:tc>
        <w:tc>
          <w:tcPr>
            <w:tcW w:w="629" w:type="pct"/>
            <w:vAlign w:val="center"/>
          </w:tcPr>
          <w:p w14:paraId="2E5B6816">
            <w:pPr>
              <w:pStyle w:val="41"/>
            </w:pPr>
            <w:r>
              <w:rPr>
                <w:rFonts w:hint="eastAsia"/>
              </w:rPr>
              <w:t>/</w:t>
            </w:r>
          </w:p>
        </w:tc>
        <w:tc>
          <w:tcPr>
            <w:tcW w:w="701" w:type="pct"/>
            <w:vAlign w:val="center"/>
          </w:tcPr>
          <w:p w14:paraId="03B4E66B">
            <w:pPr>
              <w:pStyle w:val="41"/>
            </w:pPr>
            <w:r>
              <w:rPr>
                <w:color w:val="000000"/>
              </w:rPr>
              <w:t>0.07</w:t>
            </w:r>
          </w:p>
        </w:tc>
        <w:tc>
          <w:tcPr>
            <w:tcW w:w="395" w:type="pct"/>
            <w:vAlign w:val="center"/>
          </w:tcPr>
          <w:p w14:paraId="4DF842DA">
            <w:pPr>
              <w:pStyle w:val="41"/>
            </w:pPr>
            <w:r>
              <w:rPr>
                <w:color w:val="000000"/>
              </w:rPr>
              <w:t>0.07</w:t>
            </w:r>
          </w:p>
        </w:tc>
      </w:tr>
      <w:tr w14:paraId="0CF2E9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continue"/>
            <w:vAlign w:val="center"/>
          </w:tcPr>
          <w:p w14:paraId="7E9044AF">
            <w:pPr>
              <w:pStyle w:val="41"/>
            </w:pPr>
          </w:p>
        </w:tc>
        <w:tc>
          <w:tcPr>
            <w:tcW w:w="524" w:type="pct"/>
            <w:vAlign w:val="center"/>
          </w:tcPr>
          <w:p w14:paraId="7FA7E30F">
            <w:pPr>
              <w:pStyle w:val="41"/>
            </w:pPr>
            <w:r>
              <w:rPr>
                <w:rFonts w:hint="eastAsia"/>
                <w:color w:val="000000"/>
              </w:rPr>
              <w:t>废胶桶</w:t>
            </w:r>
          </w:p>
        </w:tc>
        <w:tc>
          <w:tcPr>
            <w:tcW w:w="581" w:type="pct"/>
            <w:vAlign w:val="center"/>
          </w:tcPr>
          <w:p w14:paraId="66BEAF75">
            <w:pPr>
              <w:pStyle w:val="41"/>
            </w:pPr>
            <w:r>
              <w:rPr>
                <w:rFonts w:hint="eastAsia"/>
              </w:rPr>
              <w:t>/</w:t>
            </w:r>
          </w:p>
        </w:tc>
        <w:tc>
          <w:tcPr>
            <w:tcW w:w="449" w:type="pct"/>
            <w:vAlign w:val="center"/>
          </w:tcPr>
          <w:p w14:paraId="3C5E02D5">
            <w:pPr>
              <w:pStyle w:val="41"/>
            </w:pPr>
            <w:r>
              <w:rPr>
                <w:rFonts w:hint="eastAsia"/>
              </w:rPr>
              <w:t>/</w:t>
            </w:r>
          </w:p>
        </w:tc>
        <w:tc>
          <w:tcPr>
            <w:tcW w:w="605" w:type="pct"/>
            <w:vAlign w:val="center"/>
          </w:tcPr>
          <w:p w14:paraId="7D9F6B5C">
            <w:pPr>
              <w:pStyle w:val="41"/>
            </w:pPr>
            <w:r>
              <w:rPr>
                <w:rFonts w:hint="eastAsia"/>
              </w:rPr>
              <w:t>/</w:t>
            </w:r>
          </w:p>
        </w:tc>
        <w:tc>
          <w:tcPr>
            <w:tcW w:w="553" w:type="pct"/>
            <w:vAlign w:val="center"/>
          </w:tcPr>
          <w:p w14:paraId="67E69B49">
            <w:pPr>
              <w:pStyle w:val="41"/>
            </w:pPr>
            <w:r>
              <w:rPr>
                <w:color w:val="000000"/>
              </w:rPr>
              <w:t>0.1</w:t>
            </w:r>
          </w:p>
        </w:tc>
        <w:tc>
          <w:tcPr>
            <w:tcW w:w="629" w:type="pct"/>
            <w:vAlign w:val="center"/>
          </w:tcPr>
          <w:p w14:paraId="14E02AE5">
            <w:pPr>
              <w:pStyle w:val="41"/>
            </w:pPr>
            <w:r>
              <w:rPr>
                <w:rFonts w:hint="eastAsia"/>
              </w:rPr>
              <w:t>/</w:t>
            </w:r>
          </w:p>
        </w:tc>
        <w:tc>
          <w:tcPr>
            <w:tcW w:w="701" w:type="pct"/>
            <w:vAlign w:val="center"/>
          </w:tcPr>
          <w:p w14:paraId="76DA51D4">
            <w:pPr>
              <w:pStyle w:val="41"/>
            </w:pPr>
            <w:r>
              <w:rPr>
                <w:color w:val="000000"/>
              </w:rPr>
              <w:t>0.1</w:t>
            </w:r>
          </w:p>
        </w:tc>
        <w:tc>
          <w:tcPr>
            <w:tcW w:w="395" w:type="pct"/>
            <w:vAlign w:val="center"/>
          </w:tcPr>
          <w:p w14:paraId="30822C86">
            <w:pPr>
              <w:pStyle w:val="41"/>
            </w:pPr>
            <w:r>
              <w:rPr>
                <w:color w:val="000000"/>
              </w:rPr>
              <w:t>0.1</w:t>
            </w:r>
          </w:p>
        </w:tc>
      </w:tr>
      <w:tr w14:paraId="593EF2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continue"/>
            <w:vAlign w:val="center"/>
          </w:tcPr>
          <w:p w14:paraId="5E04C305">
            <w:pPr>
              <w:pStyle w:val="41"/>
            </w:pPr>
          </w:p>
        </w:tc>
        <w:tc>
          <w:tcPr>
            <w:tcW w:w="524" w:type="pct"/>
            <w:vAlign w:val="center"/>
          </w:tcPr>
          <w:p w14:paraId="77BA912C">
            <w:pPr>
              <w:pStyle w:val="41"/>
            </w:pPr>
            <w:r>
              <w:rPr>
                <w:rFonts w:hint="eastAsia"/>
                <w:color w:val="000000"/>
              </w:rPr>
              <w:t>废胶</w:t>
            </w:r>
          </w:p>
        </w:tc>
        <w:tc>
          <w:tcPr>
            <w:tcW w:w="581" w:type="pct"/>
            <w:vAlign w:val="center"/>
          </w:tcPr>
          <w:p w14:paraId="4B603693">
            <w:pPr>
              <w:pStyle w:val="41"/>
            </w:pPr>
            <w:r>
              <w:rPr>
                <w:rFonts w:hint="eastAsia"/>
              </w:rPr>
              <w:t>/</w:t>
            </w:r>
          </w:p>
        </w:tc>
        <w:tc>
          <w:tcPr>
            <w:tcW w:w="449" w:type="pct"/>
            <w:vAlign w:val="center"/>
          </w:tcPr>
          <w:p w14:paraId="451A8D54">
            <w:pPr>
              <w:pStyle w:val="41"/>
            </w:pPr>
            <w:r>
              <w:rPr>
                <w:rFonts w:hint="eastAsia"/>
              </w:rPr>
              <w:t>/</w:t>
            </w:r>
          </w:p>
        </w:tc>
        <w:tc>
          <w:tcPr>
            <w:tcW w:w="605" w:type="pct"/>
            <w:vAlign w:val="center"/>
          </w:tcPr>
          <w:p w14:paraId="26ACA6E2">
            <w:pPr>
              <w:pStyle w:val="41"/>
            </w:pPr>
            <w:r>
              <w:rPr>
                <w:rFonts w:hint="eastAsia"/>
              </w:rPr>
              <w:t>/</w:t>
            </w:r>
          </w:p>
        </w:tc>
        <w:tc>
          <w:tcPr>
            <w:tcW w:w="553" w:type="pct"/>
            <w:vAlign w:val="center"/>
          </w:tcPr>
          <w:p w14:paraId="488AFDFF">
            <w:pPr>
              <w:pStyle w:val="41"/>
            </w:pPr>
            <w:r>
              <w:rPr>
                <w:color w:val="000000"/>
              </w:rPr>
              <w:t>0.3</w:t>
            </w:r>
          </w:p>
        </w:tc>
        <w:tc>
          <w:tcPr>
            <w:tcW w:w="629" w:type="pct"/>
            <w:vAlign w:val="center"/>
          </w:tcPr>
          <w:p w14:paraId="173F0DEF">
            <w:pPr>
              <w:pStyle w:val="41"/>
            </w:pPr>
            <w:r>
              <w:rPr>
                <w:rFonts w:hint="eastAsia"/>
              </w:rPr>
              <w:t>/</w:t>
            </w:r>
          </w:p>
        </w:tc>
        <w:tc>
          <w:tcPr>
            <w:tcW w:w="701" w:type="pct"/>
            <w:vAlign w:val="center"/>
          </w:tcPr>
          <w:p w14:paraId="69064BAF">
            <w:pPr>
              <w:pStyle w:val="41"/>
            </w:pPr>
            <w:r>
              <w:rPr>
                <w:color w:val="000000"/>
              </w:rPr>
              <w:t>0.3</w:t>
            </w:r>
          </w:p>
        </w:tc>
        <w:tc>
          <w:tcPr>
            <w:tcW w:w="395" w:type="pct"/>
            <w:vAlign w:val="center"/>
          </w:tcPr>
          <w:p w14:paraId="31926BD1">
            <w:pPr>
              <w:pStyle w:val="41"/>
            </w:pPr>
            <w:r>
              <w:rPr>
                <w:color w:val="000000"/>
              </w:rPr>
              <w:t>0.3</w:t>
            </w:r>
          </w:p>
        </w:tc>
      </w:tr>
    </w:tbl>
    <w:p w14:paraId="5EE3BD09">
      <w:pPr>
        <w:ind w:firstLine="480"/>
      </w:pPr>
      <w:r>
        <w:t>注：</w:t>
      </w:r>
      <w:r>
        <w:fldChar w:fldCharType="begin"/>
      </w:r>
      <w:r>
        <w:instrText xml:space="preserve"> = 6 \* GB3 \* MERGEFORMAT </w:instrText>
      </w:r>
      <w:r>
        <w:fldChar w:fldCharType="separate"/>
      </w:r>
      <w:r>
        <w:rPr>
          <w:rFonts w:hint="eastAsia" w:ascii="宋体" w:hAnsi="宋体" w:cs="宋体"/>
        </w:rPr>
        <w:t>⑥</w:t>
      </w:r>
      <w:r>
        <w:fldChar w:fldCharType="end"/>
      </w:r>
      <w:r>
        <w:t>=</w:t>
      </w:r>
      <w:r>
        <w:fldChar w:fldCharType="begin"/>
      </w:r>
      <w:r>
        <w:instrText xml:space="preserve"> = 1 \* GB3 \* MERGEFORMAT </w:instrText>
      </w:r>
      <w:r>
        <w:fldChar w:fldCharType="separate"/>
      </w:r>
      <w:r>
        <w:rPr>
          <w:rFonts w:hint="eastAsia" w:ascii="宋体" w:hAnsi="宋体" w:cs="宋体"/>
        </w:rPr>
        <w:t>①</w:t>
      </w:r>
      <w:r>
        <w:fldChar w:fldCharType="end"/>
      </w:r>
      <w:r>
        <w:t>+</w:t>
      </w:r>
      <w:r>
        <w:fldChar w:fldCharType="begin"/>
      </w:r>
      <w:r>
        <w:instrText xml:space="preserve"> = 3 \* GB3 \* MERGEFORMAT </w:instrText>
      </w:r>
      <w:r>
        <w:fldChar w:fldCharType="separate"/>
      </w:r>
      <w:r>
        <w:rPr>
          <w:rFonts w:hint="eastAsia" w:ascii="宋体" w:hAnsi="宋体" w:cs="宋体"/>
        </w:rPr>
        <w:t>③</w:t>
      </w:r>
      <w:r>
        <w:fldChar w:fldCharType="end"/>
      </w:r>
      <w:r>
        <w:t>+</w:t>
      </w:r>
      <w:r>
        <w:fldChar w:fldCharType="begin"/>
      </w:r>
      <w:r>
        <w:instrText xml:space="preserve"> = 4 \* GB3 \* MERGEFORMAT </w:instrText>
      </w:r>
      <w:r>
        <w:fldChar w:fldCharType="separate"/>
      </w:r>
      <w:r>
        <w:rPr>
          <w:rFonts w:hint="eastAsia" w:ascii="宋体" w:hAnsi="宋体" w:cs="宋体"/>
        </w:rPr>
        <w:t>④</w:t>
      </w:r>
      <w:r>
        <w:fldChar w:fldCharType="end"/>
      </w:r>
      <w:r>
        <w:t>-</w:t>
      </w:r>
      <w:r>
        <w:fldChar w:fldCharType="begin"/>
      </w:r>
      <w:r>
        <w:instrText xml:space="preserve"> = 5 \* GB3 \* MERGEFORMAT </w:instrText>
      </w:r>
      <w:r>
        <w:fldChar w:fldCharType="separate"/>
      </w:r>
      <w:r>
        <w:rPr>
          <w:rFonts w:hint="eastAsia" w:ascii="宋体" w:hAnsi="宋体" w:cs="宋体"/>
        </w:rPr>
        <w:t>⑤</w:t>
      </w:r>
      <w:r>
        <w:fldChar w:fldCharType="end"/>
      </w:r>
      <w:r>
        <w:t>；</w:t>
      </w:r>
      <w:r>
        <w:fldChar w:fldCharType="begin"/>
      </w:r>
      <w:r>
        <w:instrText xml:space="preserve"> = 7 \* GB3 \* MERGEFORMAT </w:instrText>
      </w:r>
      <w:r>
        <w:fldChar w:fldCharType="separate"/>
      </w:r>
      <w:r>
        <w:rPr>
          <w:rFonts w:hint="eastAsia" w:ascii="宋体" w:hAnsi="宋体" w:cs="宋体"/>
        </w:rPr>
        <w:t>⑦</w:t>
      </w:r>
      <w:r>
        <w:fldChar w:fldCharType="end"/>
      </w:r>
      <w:r>
        <w:t>=</w:t>
      </w:r>
      <w:r>
        <w:fldChar w:fldCharType="begin"/>
      </w:r>
      <w:r>
        <w:instrText xml:space="preserve"> = 6 \* GB3 \* MERGEFORMAT </w:instrText>
      </w:r>
      <w:r>
        <w:fldChar w:fldCharType="separate"/>
      </w:r>
      <w:r>
        <w:rPr>
          <w:rFonts w:hint="eastAsia" w:ascii="宋体" w:hAnsi="宋体" w:cs="宋体"/>
        </w:rPr>
        <w:t>⑥</w:t>
      </w:r>
      <w:r>
        <w:fldChar w:fldCharType="end"/>
      </w:r>
      <w:r>
        <w:t>-</w:t>
      </w:r>
      <w:r>
        <w:fldChar w:fldCharType="begin"/>
      </w:r>
      <w:r>
        <w:instrText xml:space="preserve"> = 1 \* GB3 \* MERGEFORMAT </w:instrText>
      </w:r>
      <w:r>
        <w:fldChar w:fldCharType="separate"/>
      </w:r>
      <w:r>
        <w:rPr>
          <w:rFonts w:hint="eastAsia" w:ascii="宋体" w:hAnsi="宋体" w:cs="宋体"/>
        </w:rPr>
        <w:t>①</w:t>
      </w:r>
      <w:r>
        <w:fldChar w:fldCharType="end"/>
      </w:r>
      <w:r>
        <w:t xml:space="preserve">； </w:t>
      </w:r>
    </w:p>
    <w:p w14:paraId="48D00247">
      <w:pPr>
        <w:ind w:firstLine="480"/>
        <w:sectPr>
          <w:headerReference r:id="rId23" w:type="first"/>
          <w:headerReference r:id="rId21" w:type="default"/>
          <w:footerReference r:id="rId24" w:type="default"/>
          <w:headerReference r:id="rId22" w:type="even"/>
          <w:pgSz w:w="16839" w:h="11907" w:orient="landscape"/>
          <w:pgMar w:top="1417" w:right="1417" w:bottom="1417" w:left="1417" w:header="851" w:footer="850" w:gutter="0"/>
          <w:cols w:space="720" w:num="1"/>
          <w:docGrid w:linePitch="326" w:charSpace="0"/>
        </w:sectPr>
      </w:pPr>
    </w:p>
    <w:p w14:paraId="1AE4BDD1">
      <w:pPr>
        <w:ind w:firstLine="0" w:firstLineChars="0"/>
        <w:jc w:val="center"/>
        <w:rPr>
          <w:b/>
        </w:rPr>
        <w:sectPr>
          <w:pgSz w:w="16839" w:h="11907" w:orient="landscape"/>
          <w:pgMar w:top="1418" w:right="1418" w:bottom="1418" w:left="1418" w:header="851" w:footer="850" w:gutter="0"/>
          <w:cols w:space="720" w:num="1"/>
          <w:docGrid w:linePitch="326" w:charSpace="0"/>
        </w:sectPr>
      </w:pPr>
    </w:p>
    <w:p w14:paraId="765F4E63">
      <w:pPr>
        <w:pStyle w:val="2"/>
        <w:spacing w:before="120" w:after="120"/>
        <w:jc w:val="left"/>
      </w:pPr>
      <w:r>
        <w:t>附件</w:t>
      </w:r>
    </w:p>
    <w:p w14:paraId="414F225A">
      <w:pPr>
        <w:pStyle w:val="3"/>
        <w:spacing w:before="120" w:after="120"/>
      </w:pPr>
      <w:r>
        <w:t>附件1委托书</w:t>
      </w:r>
      <w:r>
        <w:rPr>
          <w:rFonts w:hint="eastAsia"/>
        </w:rPr>
        <w:drawing>
          <wp:anchor distT="0" distB="0" distL="114300" distR="114300" simplePos="0" relativeHeight="251668480" behindDoc="1" locked="0" layoutInCell="1" allowOverlap="1">
            <wp:simplePos x="0" y="0"/>
            <wp:positionH relativeFrom="column">
              <wp:posOffset>0</wp:posOffset>
            </wp:positionH>
            <wp:positionV relativeFrom="paragraph">
              <wp:posOffset>-547370</wp:posOffset>
            </wp:positionV>
            <wp:extent cx="5760085" cy="8145780"/>
            <wp:effectExtent l="0" t="0" r="12065" b="7620"/>
            <wp:wrapNone/>
            <wp:docPr id="13" name="图片 13" descr="凌云需要盖章文件(4.2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凌云需要盖章文件(4.23)_3"/>
                    <pic:cNvPicPr>
                      <a:picLocks noChangeAspect="1"/>
                    </pic:cNvPicPr>
                  </pic:nvPicPr>
                  <pic:blipFill>
                    <a:blip r:embed="rId52"/>
                    <a:stretch>
                      <a:fillRect/>
                    </a:stretch>
                  </pic:blipFill>
                  <pic:spPr>
                    <a:xfrm>
                      <a:off x="0" y="0"/>
                      <a:ext cx="5760085" cy="8145780"/>
                    </a:xfrm>
                    <a:prstGeom prst="rect">
                      <a:avLst/>
                    </a:prstGeom>
                  </pic:spPr>
                </pic:pic>
              </a:graphicData>
            </a:graphic>
          </wp:anchor>
        </w:drawing>
      </w:r>
    </w:p>
    <w:p w14:paraId="13E5B03D">
      <w:pPr>
        <w:ind w:firstLine="0" w:firstLineChars="0"/>
        <w:jc w:val="center"/>
      </w:pPr>
    </w:p>
    <w:p w14:paraId="3B72CDF3">
      <w:pPr>
        <w:ind w:firstLine="0" w:firstLineChars="0"/>
        <w:jc w:val="center"/>
        <w:sectPr>
          <w:pgSz w:w="11905" w:h="16838"/>
          <w:pgMar w:top="1417" w:right="1417" w:bottom="1417" w:left="1417" w:header="850" w:footer="850" w:gutter="0"/>
          <w:cols w:space="720" w:num="1"/>
          <w:docGrid w:linePitch="312" w:charSpace="0"/>
        </w:sectPr>
      </w:pPr>
    </w:p>
    <w:p w14:paraId="36D6E536">
      <w:pPr>
        <w:pStyle w:val="3"/>
        <w:spacing w:before="120" w:after="120"/>
      </w:pPr>
      <w:r>
        <w:t>附件3</w:t>
      </w:r>
      <w:r>
        <w:rPr>
          <w:rFonts w:hint="eastAsia"/>
        </w:rPr>
        <w:t>备案表</w:t>
      </w:r>
    </w:p>
    <w:p w14:paraId="6D241351">
      <w:pPr>
        <w:pStyle w:val="41"/>
      </w:pPr>
      <w:r>
        <w:drawing>
          <wp:inline distT="0" distB="0" distL="0" distR="0">
            <wp:extent cx="8715375" cy="5009515"/>
            <wp:effectExtent l="0" t="0" r="0" b="635"/>
            <wp:docPr id="15311538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53825" name="图片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8717746" cy="5011272"/>
                    </a:xfrm>
                    <a:prstGeom prst="rect">
                      <a:avLst/>
                    </a:prstGeom>
                    <a:noFill/>
                    <a:ln>
                      <a:noFill/>
                    </a:ln>
                  </pic:spPr>
                </pic:pic>
              </a:graphicData>
            </a:graphic>
          </wp:inline>
        </w:drawing>
      </w:r>
    </w:p>
    <w:p w14:paraId="1C060E4D">
      <w:pPr>
        <w:ind w:firstLine="0" w:firstLineChars="0"/>
        <w:jc w:val="center"/>
      </w:pPr>
    </w:p>
    <w:p w14:paraId="7F4622BE">
      <w:pPr>
        <w:pStyle w:val="4"/>
        <w:spacing w:before="120" w:after="120"/>
        <w:sectPr>
          <w:pgSz w:w="16838" w:h="11905" w:orient="landscape"/>
          <w:pgMar w:top="1417" w:right="1417" w:bottom="1417" w:left="1417" w:header="850" w:footer="850" w:gutter="0"/>
          <w:cols w:space="720" w:num="1"/>
          <w:docGrid w:linePitch="326" w:charSpace="0"/>
        </w:sectPr>
      </w:pPr>
    </w:p>
    <w:p w14:paraId="4A59E555">
      <w:pPr>
        <w:pStyle w:val="3"/>
        <w:spacing w:before="120" w:after="120"/>
      </w:pPr>
      <w:r>
        <w:t>附件</w:t>
      </w:r>
      <w:r>
        <w:rPr>
          <w:rFonts w:hint="eastAsia"/>
        </w:rPr>
        <w:t>10关于公开建设项目环评文件等信息情况的说明</w:t>
      </w:r>
    </w:p>
    <w:p w14:paraId="75BFD115">
      <w:pPr>
        <w:ind w:firstLine="0" w:firstLineChars="0"/>
      </w:pPr>
    </w:p>
    <w:p w14:paraId="5AC4FF59">
      <w:pPr>
        <w:ind w:firstLine="0" w:firstLineChars="0"/>
      </w:pPr>
      <w:r>
        <w:rPr>
          <w:rFonts w:hint="eastAsia"/>
        </w:rPr>
        <w:drawing>
          <wp:anchor distT="0" distB="0" distL="114300" distR="114300" simplePos="0" relativeHeight="251670528" behindDoc="1" locked="0" layoutInCell="1" allowOverlap="1">
            <wp:simplePos x="0" y="0"/>
            <wp:positionH relativeFrom="column">
              <wp:posOffset>0</wp:posOffset>
            </wp:positionH>
            <wp:positionV relativeFrom="paragraph">
              <wp:posOffset>0</wp:posOffset>
            </wp:positionV>
            <wp:extent cx="5760085" cy="8145780"/>
            <wp:effectExtent l="0" t="0" r="12065" b="7620"/>
            <wp:wrapNone/>
            <wp:docPr id="17" name="图片 17" descr="凌云需要盖章文件(4.2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凌云需要盖章文件(4.23)_4"/>
                    <pic:cNvPicPr>
                      <a:picLocks noChangeAspect="1"/>
                    </pic:cNvPicPr>
                  </pic:nvPicPr>
                  <pic:blipFill>
                    <a:blip r:embed="rId54"/>
                    <a:stretch>
                      <a:fillRect/>
                    </a:stretch>
                  </pic:blipFill>
                  <pic:spPr>
                    <a:xfrm>
                      <a:off x="0" y="0"/>
                      <a:ext cx="5760085" cy="8145780"/>
                    </a:xfrm>
                    <a:prstGeom prst="rect">
                      <a:avLst/>
                    </a:prstGeom>
                  </pic:spPr>
                </pic:pic>
              </a:graphicData>
            </a:graphic>
          </wp:anchor>
        </w:drawing>
      </w:r>
    </w:p>
    <w:p w14:paraId="5284E8C0">
      <w:pPr>
        <w:ind w:firstLine="0" w:firstLineChars="0"/>
      </w:pPr>
    </w:p>
    <w:p w14:paraId="0620E4DB">
      <w:pPr>
        <w:ind w:firstLine="0" w:firstLineChars="0"/>
        <w:sectPr>
          <w:pgSz w:w="11905" w:h="16838"/>
          <w:pgMar w:top="1417" w:right="1417" w:bottom="1417" w:left="1417" w:header="850" w:footer="850" w:gutter="0"/>
          <w:cols w:space="720" w:num="1"/>
          <w:docGrid w:linePitch="312" w:charSpace="0"/>
        </w:sectPr>
      </w:pPr>
    </w:p>
    <w:p w14:paraId="5D9B3FE9">
      <w:pPr>
        <w:pStyle w:val="3"/>
        <w:spacing w:before="120" w:after="120"/>
        <w:sectPr>
          <w:pgSz w:w="11905" w:h="16838"/>
          <w:pgMar w:top="1417" w:right="1417" w:bottom="1417" w:left="1417" w:header="850" w:footer="850" w:gutter="0"/>
          <w:cols w:space="720" w:num="1"/>
          <w:docGrid w:linePitch="312" w:charSpace="0"/>
        </w:sectPr>
      </w:pPr>
      <w:r>
        <w:t>附件</w:t>
      </w:r>
      <w:r>
        <w:rPr>
          <w:rFonts w:hint="eastAsia"/>
        </w:rPr>
        <w:t>11未涉及国家秘密、商业秘密等内容的说明</w:t>
      </w:r>
      <w:r>
        <w:rPr>
          <w:rFonts w:hint="eastAsia"/>
        </w:rPr>
        <w:drawing>
          <wp:anchor distT="0" distB="0" distL="114300" distR="114300" simplePos="0" relativeHeight="251672576" behindDoc="1" locked="0" layoutInCell="1" allowOverlap="1">
            <wp:simplePos x="0" y="0"/>
            <wp:positionH relativeFrom="column">
              <wp:posOffset>0</wp:posOffset>
            </wp:positionH>
            <wp:positionV relativeFrom="paragraph">
              <wp:posOffset>446405</wp:posOffset>
            </wp:positionV>
            <wp:extent cx="5760085" cy="8145780"/>
            <wp:effectExtent l="0" t="0" r="12065" b="7620"/>
            <wp:wrapNone/>
            <wp:docPr id="26" name="图片 26" descr="凌云需要盖章文件(4.2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凌云需要盖章文件(4.23)_5"/>
                    <pic:cNvPicPr>
                      <a:picLocks noChangeAspect="1"/>
                    </pic:cNvPicPr>
                  </pic:nvPicPr>
                  <pic:blipFill>
                    <a:blip r:embed="rId55"/>
                    <a:stretch>
                      <a:fillRect/>
                    </a:stretch>
                  </pic:blipFill>
                  <pic:spPr>
                    <a:xfrm>
                      <a:off x="0" y="0"/>
                      <a:ext cx="5760085" cy="8145780"/>
                    </a:xfrm>
                    <a:prstGeom prst="rect">
                      <a:avLst/>
                    </a:prstGeom>
                  </pic:spPr>
                </pic:pic>
              </a:graphicData>
            </a:graphic>
          </wp:anchor>
        </w:drawing>
      </w:r>
    </w:p>
    <w:p w14:paraId="0ADDF5DC">
      <w:pPr>
        <w:ind w:firstLine="480"/>
      </w:pPr>
    </w:p>
    <w:p w14:paraId="002DB3E5">
      <w:pPr>
        <w:pStyle w:val="96"/>
      </w:pPr>
      <w:r>
        <w:drawing>
          <wp:inline distT="0" distB="0" distL="0" distR="0">
            <wp:extent cx="5760085" cy="8150225"/>
            <wp:effectExtent l="0" t="0" r="0" b="3175"/>
            <wp:docPr id="11834200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20059" name="图片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760085" cy="8150225"/>
                    </a:xfrm>
                    <a:prstGeom prst="rect">
                      <a:avLst/>
                    </a:prstGeom>
                    <a:noFill/>
                    <a:ln>
                      <a:noFill/>
                    </a:ln>
                  </pic:spPr>
                </pic:pic>
              </a:graphicData>
            </a:graphic>
          </wp:inline>
        </w:drawing>
      </w:r>
    </w:p>
    <w:p w14:paraId="238CBE70">
      <w:pPr>
        <w:ind w:firstLine="0" w:firstLineChars="0"/>
        <w:sectPr>
          <w:pgSz w:w="11905" w:h="16838"/>
          <w:pgMar w:top="1417" w:right="1417" w:bottom="1417" w:left="1417" w:header="850" w:footer="850" w:gutter="0"/>
          <w:cols w:space="720" w:num="1"/>
          <w:docGrid w:linePitch="312" w:charSpace="0"/>
        </w:sectPr>
      </w:pPr>
    </w:p>
    <w:p w14:paraId="63939407">
      <w:pPr>
        <w:pStyle w:val="3"/>
        <w:spacing w:before="120" w:after="120"/>
      </w:pPr>
      <w:r>
        <w:t>附件</w:t>
      </w:r>
      <w:r>
        <w:rPr>
          <w:rFonts w:hint="eastAsia"/>
        </w:rPr>
        <w:t>12环境影响评价文件审批申请书</w:t>
      </w:r>
    </w:p>
    <w:p w14:paraId="2FA2AC55">
      <w:pPr>
        <w:widowControl/>
        <w:spacing w:line="240" w:lineRule="auto"/>
        <w:ind w:firstLine="0" w:firstLineChars="0"/>
        <w:jc w:val="left"/>
        <w:rPr>
          <w:b/>
          <w:kern w:val="0"/>
        </w:rPr>
      </w:pPr>
      <w:r>
        <w:br w:type="page"/>
      </w:r>
      <w:r>
        <w:rPr>
          <w:rFonts w:hint="eastAsia"/>
          <w:b/>
          <w:kern w:val="0"/>
        </w:rPr>
        <w:drawing>
          <wp:anchor distT="0" distB="0" distL="114300" distR="114300" simplePos="0" relativeHeight="251671552" behindDoc="1" locked="0" layoutInCell="1" allowOverlap="1">
            <wp:simplePos x="0" y="0"/>
            <wp:positionH relativeFrom="column">
              <wp:posOffset>0</wp:posOffset>
            </wp:positionH>
            <wp:positionV relativeFrom="paragraph">
              <wp:posOffset>-522605</wp:posOffset>
            </wp:positionV>
            <wp:extent cx="5760085" cy="8145780"/>
            <wp:effectExtent l="0" t="0" r="12065" b="7620"/>
            <wp:wrapNone/>
            <wp:docPr id="22" name="图片 22" descr="凌云需要盖章文件(4.23)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凌云需要盖章文件(4.23)_7"/>
                    <pic:cNvPicPr>
                      <a:picLocks noChangeAspect="1"/>
                    </pic:cNvPicPr>
                  </pic:nvPicPr>
                  <pic:blipFill>
                    <a:blip r:embed="rId57"/>
                    <a:stretch>
                      <a:fillRect/>
                    </a:stretch>
                  </pic:blipFill>
                  <pic:spPr>
                    <a:xfrm>
                      <a:off x="0" y="0"/>
                      <a:ext cx="5760085" cy="8145780"/>
                    </a:xfrm>
                    <a:prstGeom prst="rect">
                      <a:avLst/>
                    </a:prstGeom>
                  </pic:spPr>
                </pic:pic>
              </a:graphicData>
            </a:graphic>
          </wp:anchor>
        </w:drawing>
      </w:r>
    </w:p>
    <w:p w14:paraId="35FD44C9">
      <w:pPr>
        <w:pStyle w:val="96"/>
      </w:pPr>
    </w:p>
    <w:sectPr>
      <w:pgSz w:w="11905" w:h="16838"/>
      <w:pgMar w:top="1417" w:right="1417" w:bottom="1417" w:left="1417" w:header="850" w:footer="850"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auto"/>
    <w:pitch w:val="default"/>
    <w:sig w:usb0="00000000" w:usb1="00000000" w:usb2="00000010" w:usb3="00000000" w:csb0="0006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6C48C">
    <w:pPr>
      <w:pStyle w:val="13"/>
      <w:ind w:right="360"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E4580">
    <w:pPr>
      <w:pStyle w:val="13"/>
      <w:framePr w:wrap="around" w:vAnchor="text" w:hAnchor="margin" w:xAlign="center" w:y="1"/>
      <w:ind w:firstLine="360"/>
      <w:rPr>
        <w:rStyle w:val="26"/>
      </w:rPr>
    </w:pPr>
    <w:r>
      <w:fldChar w:fldCharType="begin"/>
    </w:r>
    <w:r>
      <w:rPr>
        <w:rStyle w:val="26"/>
      </w:rPr>
      <w:instrText xml:space="preserve">PAGE  </w:instrText>
    </w:r>
    <w:r>
      <w:fldChar w:fldCharType="end"/>
    </w:r>
  </w:p>
  <w:p w14:paraId="062CFE5E">
    <w:pPr>
      <w:pStyle w:val="13"/>
      <w:ind w:right="360"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8167F">
    <w:pPr>
      <w:pStyle w:val="13"/>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892C1">
    <w:pPr>
      <w:pStyle w:val="13"/>
      <w:ind w:right="360" w:firstLine="360"/>
      <w:rPr>
        <w:rFonts w:hint="eastAsia"/>
      </w:rPr>
    </w:pPr>
    <w:r>
      <mc:AlternateContent>
        <mc:Choice Requires="wps">
          <w:drawing>
            <wp:anchor distT="0" distB="0" distL="114300" distR="114300" simplePos="0" relativeHeight="251670528" behindDoc="0" locked="0" layoutInCell="1" allowOverlap="1">
              <wp:simplePos x="0" y="0"/>
              <wp:positionH relativeFrom="margin">
                <wp:posOffset>2729230</wp:posOffset>
              </wp:positionH>
              <wp:positionV relativeFrom="paragraph">
                <wp:posOffset>-128905</wp:posOffset>
              </wp:positionV>
              <wp:extent cx="447675" cy="3556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47675" cy="355600"/>
                      </a:xfrm>
                      <a:prstGeom prst="rect">
                        <a:avLst/>
                      </a:prstGeom>
                      <a:noFill/>
                      <a:ln w="6350">
                        <a:noFill/>
                      </a:ln>
                      <a:effectLst/>
                    </wps:spPr>
                    <wps:txbx>
                      <w:txbxContent>
                        <w:p w14:paraId="029AB84C">
                          <w:pPr>
                            <w:pStyle w:val="13"/>
                            <w:ind w:firstLine="420"/>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rPr>
                            <w:t>6</w:t>
                          </w:r>
                          <w:r>
                            <w:rPr>
                              <w:rFonts w:ascii="Times New Roman" w:hAnsi="Times New Roman"/>
                              <w:sz w:val="21"/>
                              <w:szCs w:val="21"/>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4.9pt;margin-top:-10.15pt;height:28pt;width:35.25pt;mso-position-horizontal-relative:margin;z-index:251670528;mso-width-relative:page;mso-height-relative:page;" filled="f" stroked="f" coordsize="21600,21600" o:gfxdata="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y/YlTtkAAAAKAQAADwAAAAAAAAABACAAAAAiAAAAZHJzL2Rv&#10;d25yZXYueG1sUEsBAhQAFAAAAAgAh07iQINGkDg5AgAAYwQAAA4AAAAAAAAAAQAgAAAAKAEAAGRy&#10;cy9lMm9Eb2MueG1sUEsFBgAAAAAGAAYAWQEAANMFAAAAAA==&#10;">
              <v:fill on="f" focussize="0,0"/>
              <v:stroke on="f" weight="0.5pt"/>
              <v:imagedata o:title=""/>
              <o:lock v:ext="edit" aspectratio="f"/>
              <v:textbox inset="0mm,0mm,0mm,0mm">
                <w:txbxContent>
                  <w:p w14:paraId="029AB84C">
                    <w:pPr>
                      <w:pStyle w:val="13"/>
                      <w:ind w:firstLine="420"/>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rPr>
                      <w:t>6</w:t>
                    </w:r>
                    <w:r>
                      <w:rPr>
                        <w:rFonts w:ascii="Times New Roman" w:hAnsi="Times New Roman"/>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640C1">
    <w:pPr>
      <w:pStyle w:val="13"/>
      <w:ind w:right="360" w:firstLine="360"/>
      <w:rPr>
        <w:rFonts w:hint="eastAsia"/>
      </w:rPr>
    </w:pPr>
    <w:r>
      <mc:AlternateContent>
        <mc:Choice Requires="wps">
          <w:drawing>
            <wp:anchor distT="0" distB="0" distL="114300" distR="114300" simplePos="0" relativeHeight="251667456" behindDoc="0" locked="0" layoutInCell="1" allowOverlap="1">
              <wp:simplePos x="0" y="0"/>
              <wp:positionH relativeFrom="margin">
                <wp:posOffset>2729230</wp:posOffset>
              </wp:positionH>
              <wp:positionV relativeFrom="paragraph">
                <wp:posOffset>-128905</wp:posOffset>
              </wp:positionV>
              <wp:extent cx="447675" cy="3556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447675" cy="355600"/>
                      </a:xfrm>
                      <a:prstGeom prst="rect">
                        <a:avLst/>
                      </a:prstGeom>
                      <a:noFill/>
                      <a:ln w="6350">
                        <a:noFill/>
                      </a:ln>
                      <a:effectLst/>
                    </wps:spPr>
                    <wps:txbx>
                      <w:txbxContent>
                        <w:p w14:paraId="12F49786">
                          <w:pPr>
                            <w:pStyle w:val="13"/>
                            <w:ind w:firstLine="420"/>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rPr>
                            <w:t>20</w:t>
                          </w:r>
                          <w:r>
                            <w:rPr>
                              <w:rFonts w:ascii="Times New Roman" w:hAnsi="Times New Roman"/>
                              <w:sz w:val="21"/>
                              <w:szCs w:val="21"/>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4.9pt;margin-top:-10.15pt;height:28pt;width:35.25pt;mso-position-horizontal-relative:margin;z-index:251667456;mso-width-relative:page;mso-height-relative:page;" filled="f" stroked="f" coordsize="21600,21600" o:gfxdata="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v2JU7ZAAAACgEAAA8AAAAAAAAAAQAgAAAAIgAAAGRycy9k&#10;b3ducmV2LnhtbFBLAQIUABQAAAAIAIdO4kDWrMQQOgIAAGUEAAAOAAAAAAAAAAEAIAAAACgBAABk&#10;cnMvZTJvRG9jLnhtbFBLBQYAAAAABgAGAFkBAADUBQAAAAA=&#10;">
              <v:fill on="f" focussize="0,0"/>
              <v:stroke on="f" weight="0.5pt"/>
              <v:imagedata o:title=""/>
              <o:lock v:ext="edit" aspectratio="f"/>
              <v:textbox inset="0mm,0mm,0mm,0mm">
                <w:txbxContent>
                  <w:p w14:paraId="12F49786">
                    <w:pPr>
                      <w:pStyle w:val="13"/>
                      <w:ind w:firstLine="420"/>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rPr>
                      <w:t>20</w:t>
                    </w:r>
                    <w:r>
                      <w:rPr>
                        <w:rFonts w:ascii="Times New Roman" w:hAnsi="Times New Roman"/>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B05E9">
    <w:pPr>
      <w:pStyle w:val="13"/>
      <w:ind w:right="360" w:firstLine="360"/>
      <w:rPr>
        <w:rFonts w:hint="eastAsia"/>
      </w:rPr>
    </w:pPr>
    <w:r>
      <mc:AlternateContent>
        <mc:Choice Requires="wps">
          <w:drawing>
            <wp:anchor distT="0" distB="0" distL="114300" distR="114300" simplePos="0" relativeHeight="251668480" behindDoc="0" locked="0" layoutInCell="1" allowOverlap="1">
              <wp:simplePos x="0" y="0"/>
              <wp:positionH relativeFrom="margin">
                <wp:posOffset>2729230</wp:posOffset>
              </wp:positionH>
              <wp:positionV relativeFrom="paragraph">
                <wp:posOffset>-128905</wp:posOffset>
              </wp:positionV>
              <wp:extent cx="447675" cy="3556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447675" cy="355600"/>
                      </a:xfrm>
                      <a:prstGeom prst="rect">
                        <a:avLst/>
                      </a:prstGeom>
                      <a:noFill/>
                      <a:ln w="6350">
                        <a:noFill/>
                      </a:ln>
                      <a:effectLst/>
                    </wps:spPr>
                    <wps:txbx>
                      <w:txbxContent>
                        <w:p w14:paraId="73CE989A">
                          <w:pPr>
                            <w:pStyle w:val="13"/>
                            <w:ind w:firstLine="420"/>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rPr>
                            <w:t>58</w:t>
                          </w:r>
                          <w:r>
                            <w:rPr>
                              <w:rFonts w:ascii="Times New Roman" w:hAnsi="Times New Roman"/>
                              <w:sz w:val="21"/>
                              <w:szCs w:val="21"/>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4.9pt;margin-top:-10.15pt;height:28pt;width:35.25pt;mso-position-horizontal-relative:margin;z-index:251668480;mso-width-relative:page;mso-height-relative:page;" filled="f" stroked="f" coordsize="21600,21600" o:gfxdata="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v2JU7ZAAAACgEAAA8AAAAAAAAAAQAgAAAAIgAAAGRycy9k&#10;b3ducmV2LnhtbFBLAQIUABQAAAAIAIdO4kA6XfkSOgIAAGUEAAAOAAAAAAAAAAEAIAAAACgBAABk&#10;cnMvZTJvRG9jLnhtbFBLBQYAAAAABgAGAFkBAADUBQAAAAA=&#10;">
              <v:fill on="f" focussize="0,0"/>
              <v:stroke on="f" weight="0.5pt"/>
              <v:imagedata o:title=""/>
              <o:lock v:ext="edit" aspectratio="f"/>
              <v:textbox inset="0mm,0mm,0mm,0mm">
                <w:txbxContent>
                  <w:p w14:paraId="73CE989A">
                    <w:pPr>
                      <w:pStyle w:val="13"/>
                      <w:ind w:firstLine="420"/>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rPr>
                      <w:t>58</w:t>
                    </w:r>
                    <w:r>
                      <w:rPr>
                        <w:rFonts w:ascii="Times New Roman" w:hAnsi="Times New Roman"/>
                        <w:sz w:val="21"/>
                        <w:szCs w:val="21"/>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FF640">
    <w:pPr>
      <w:pStyle w:val="13"/>
      <w:ind w:right="360" w:firstLine="360"/>
      <w:rPr>
        <w:rFonts w:hint="eastAsia"/>
      </w:rPr>
    </w:pPr>
    <w:r>
      <mc:AlternateContent>
        <mc:Choice Requires="wps">
          <w:drawing>
            <wp:anchor distT="0" distB="0" distL="114300" distR="114300" simplePos="0" relativeHeight="251669504" behindDoc="0" locked="0" layoutInCell="1" allowOverlap="1">
              <wp:simplePos x="0" y="0"/>
              <wp:positionH relativeFrom="margin">
                <wp:posOffset>4309110</wp:posOffset>
              </wp:positionH>
              <wp:positionV relativeFrom="paragraph">
                <wp:posOffset>238125</wp:posOffset>
              </wp:positionV>
              <wp:extent cx="343535" cy="22225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343535" cy="222250"/>
                      </a:xfrm>
                      <a:prstGeom prst="rect">
                        <a:avLst/>
                      </a:prstGeom>
                      <a:noFill/>
                      <a:ln w="6350">
                        <a:noFill/>
                      </a:ln>
                      <a:effectLst/>
                    </wps:spPr>
                    <wps:txbx>
                      <w:txbxContent>
                        <w:p w14:paraId="2DE67BBA">
                          <w:pPr>
                            <w:pStyle w:val="13"/>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t>134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39.3pt;margin-top:18.75pt;height:17.5pt;width:27.05pt;mso-position-horizontal-relative:margin;mso-wrap-style:none;z-index:251669504;mso-width-relative:page;mso-height-relative:page;" filled="f" stroked="f" coordsize="21600,21600" o:gfxdata="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pTUKdcAAAAJAQAADwAAAAAAAAABACAAAAAiAAAAZHJzL2Rvd25yZXYu&#10;eG1sUEsBAhQAFAAAAAgAh07iQCycyPU1AgAAYwQAAA4AAAAAAAAAAQAgAAAAJgEAAGRycy9lMm9E&#10;b2MueG1sUEsFBgAAAAAGAAYAWQEAAM0FAAAAAA==&#10;">
              <v:fill on="f" focussize="0,0"/>
              <v:stroke on="f" weight="0.5pt"/>
              <v:imagedata o:title=""/>
              <o:lock v:ext="edit" aspectratio="f"/>
              <v:textbox inset="0mm,0mm,0mm,0mm" style="mso-fit-shape-to-text:t;">
                <w:txbxContent>
                  <w:p w14:paraId="2DE67BBA">
                    <w:pPr>
                      <w:pStyle w:val="13"/>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t>134</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37BF2">
    <w:pPr>
      <w:pStyle w:val="14"/>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28DF0">
    <w:pPr>
      <w:pStyle w:val="14"/>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58201">
    <w:pPr>
      <w:pStyle w:val="14"/>
      <w:pBdr>
        <w:bottom w:val="none" w:color="auto" w:sz="0" w:space="0"/>
      </w:pBdr>
      <w:ind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BDC8F">
    <w:pPr>
      <w:pStyle w:val="14"/>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1E0C8">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AD333">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922E3">
    <w:pPr>
      <w:pStyle w:val="1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D14D4">
    <w:pPr>
      <w:pStyle w:val="14"/>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B9B53">
    <w:pPr>
      <w:pStyle w:val="14"/>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7224C">
    <w:pPr>
      <w:pStyle w:val="14"/>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0F503">
    <w:pPr>
      <w:pStyle w:val="14"/>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FF92D">
    <w:pPr>
      <w:pStyle w:val="14"/>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C7BE7">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CDE0ED"/>
    <w:multiLevelType w:val="singleLevel"/>
    <w:tmpl w:val="8FCDE0E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40"/>
  <w:drawingGridVerticalSpacing w:val="-794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2OTE2ZTA2ZDkzYzdhZjA0NGI0MmI3MjhjODRkOGEifQ=="/>
  </w:docVars>
  <w:rsids>
    <w:rsidRoot w:val="00172A27"/>
    <w:rsid w:val="00001475"/>
    <w:rsid w:val="00002B70"/>
    <w:rsid w:val="00002E31"/>
    <w:rsid w:val="00004234"/>
    <w:rsid w:val="000069DA"/>
    <w:rsid w:val="00006A7E"/>
    <w:rsid w:val="00007638"/>
    <w:rsid w:val="00007A9E"/>
    <w:rsid w:val="000101C4"/>
    <w:rsid w:val="00011394"/>
    <w:rsid w:val="00011548"/>
    <w:rsid w:val="000118A6"/>
    <w:rsid w:val="00011CD3"/>
    <w:rsid w:val="00012AC4"/>
    <w:rsid w:val="0001328A"/>
    <w:rsid w:val="00013915"/>
    <w:rsid w:val="00013A28"/>
    <w:rsid w:val="00013EB8"/>
    <w:rsid w:val="0001440A"/>
    <w:rsid w:val="00014F39"/>
    <w:rsid w:val="00015572"/>
    <w:rsid w:val="00015652"/>
    <w:rsid w:val="000166C7"/>
    <w:rsid w:val="0001678A"/>
    <w:rsid w:val="00016A51"/>
    <w:rsid w:val="00016CC0"/>
    <w:rsid w:val="00017330"/>
    <w:rsid w:val="00017A2B"/>
    <w:rsid w:val="00017FFD"/>
    <w:rsid w:val="0002183F"/>
    <w:rsid w:val="000221C9"/>
    <w:rsid w:val="00022BBC"/>
    <w:rsid w:val="00023889"/>
    <w:rsid w:val="00024289"/>
    <w:rsid w:val="00024C90"/>
    <w:rsid w:val="0002506D"/>
    <w:rsid w:val="0002647C"/>
    <w:rsid w:val="00027A12"/>
    <w:rsid w:val="00027A5F"/>
    <w:rsid w:val="000300EF"/>
    <w:rsid w:val="00030135"/>
    <w:rsid w:val="00030AC0"/>
    <w:rsid w:val="00030FFD"/>
    <w:rsid w:val="00032F50"/>
    <w:rsid w:val="00034CAA"/>
    <w:rsid w:val="00035462"/>
    <w:rsid w:val="00037843"/>
    <w:rsid w:val="00037E00"/>
    <w:rsid w:val="00040D49"/>
    <w:rsid w:val="000422DC"/>
    <w:rsid w:val="0004373A"/>
    <w:rsid w:val="00043802"/>
    <w:rsid w:val="00043837"/>
    <w:rsid w:val="00044A3D"/>
    <w:rsid w:val="00044CD6"/>
    <w:rsid w:val="0004568C"/>
    <w:rsid w:val="0004592C"/>
    <w:rsid w:val="000461F3"/>
    <w:rsid w:val="000465F8"/>
    <w:rsid w:val="00046639"/>
    <w:rsid w:val="000470A7"/>
    <w:rsid w:val="00047EC7"/>
    <w:rsid w:val="0005100D"/>
    <w:rsid w:val="0005101F"/>
    <w:rsid w:val="00051F17"/>
    <w:rsid w:val="000531FE"/>
    <w:rsid w:val="000545C3"/>
    <w:rsid w:val="0005471E"/>
    <w:rsid w:val="00054C5F"/>
    <w:rsid w:val="0005515E"/>
    <w:rsid w:val="00056599"/>
    <w:rsid w:val="000568CE"/>
    <w:rsid w:val="00056FC7"/>
    <w:rsid w:val="000574FC"/>
    <w:rsid w:val="0006046A"/>
    <w:rsid w:val="0006143B"/>
    <w:rsid w:val="000614F0"/>
    <w:rsid w:val="000615FF"/>
    <w:rsid w:val="00061922"/>
    <w:rsid w:val="000628C5"/>
    <w:rsid w:val="00062F00"/>
    <w:rsid w:val="00063F5B"/>
    <w:rsid w:val="00065300"/>
    <w:rsid w:val="00065D19"/>
    <w:rsid w:val="0006606C"/>
    <w:rsid w:val="00066821"/>
    <w:rsid w:val="000668C0"/>
    <w:rsid w:val="00066BEC"/>
    <w:rsid w:val="000670B0"/>
    <w:rsid w:val="00067347"/>
    <w:rsid w:val="0007004D"/>
    <w:rsid w:val="00070453"/>
    <w:rsid w:val="000708A7"/>
    <w:rsid w:val="00071233"/>
    <w:rsid w:val="00071541"/>
    <w:rsid w:val="00071B70"/>
    <w:rsid w:val="000727B6"/>
    <w:rsid w:val="000733FB"/>
    <w:rsid w:val="00073F5E"/>
    <w:rsid w:val="00074461"/>
    <w:rsid w:val="00074A92"/>
    <w:rsid w:val="00074CA7"/>
    <w:rsid w:val="000751CF"/>
    <w:rsid w:val="000753EE"/>
    <w:rsid w:val="000754DD"/>
    <w:rsid w:val="000761E8"/>
    <w:rsid w:val="00077391"/>
    <w:rsid w:val="00077EAC"/>
    <w:rsid w:val="00080360"/>
    <w:rsid w:val="00080AB2"/>
    <w:rsid w:val="00080ABE"/>
    <w:rsid w:val="00080FCA"/>
    <w:rsid w:val="0008235D"/>
    <w:rsid w:val="00082DA4"/>
    <w:rsid w:val="00083B35"/>
    <w:rsid w:val="00084315"/>
    <w:rsid w:val="00084CF5"/>
    <w:rsid w:val="00085086"/>
    <w:rsid w:val="0008515C"/>
    <w:rsid w:val="000906F7"/>
    <w:rsid w:val="00090C27"/>
    <w:rsid w:val="000924C2"/>
    <w:rsid w:val="00093422"/>
    <w:rsid w:val="000934A5"/>
    <w:rsid w:val="00093888"/>
    <w:rsid w:val="00095052"/>
    <w:rsid w:val="000950EE"/>
    <w:rsid w:val="0009545E"/>
    <w:rsid w:val="000954DF"/>
    <w:rsid w:val="00095C7B"/>
    <w:rsid w:val="000964BF"/>
    <w:rsid w:val="00097C04"/>
    <w:rsid w:val="000A002F"/>
    <w:rsid w:val="000A094C"/>
    <w:rsid w:val="000A0FFD"/>
    <w:rsid w:val="000A3A6C"/>
    <w:rsid w:val="000A3A95"/>
    <w:rsid w:val="000A4CF6"/>
    <w:rsid w:val="000A4F51"/>
    <w:rsid w:val="000A520F"/>
    <w:rsid w:val="000A5794"/>
    <w:rsid w:val="000A6D8F"/>
    <w:rsid w:val="000A7CB0"/>
    <w:rsid w:val="000A7EC0"/>
    <w:rsid w:val="000A7F25"/>
    <w:rsid w:val="000B0038"/>
    <w:rsid w:val="000B0405"/>
    <w:rsid w:val="000B07CD"/>
    <w:rsid w:val="000B339D"/>
    <w:rsid w:val="000B4A0C"/>
    <w:rsid w:val="000B4BCC"/>
    <w:rsid w:val="000B5F41"/>
    <w:rsid w:val="000B638B"/>
    <w:rsid w:val="000B6971"/>
    <w:rsid w:val="000B6F4F"/>
    <w:rsid w:val="000B73CF"/>
    <w:rsid w:val="000C0329"/>
    <w:rsid w:val="000C05A2"/>
    <w:rsid w:val="000C0BCE"/>
    <w:rsid w:val="000C10A2"/>
    <w:rsid w:val="000C1164"/>
    <w:rsid w:val="000C23E2"/>
    <w:rsid w:val="000C3A00"/>
    <w:rsid w:val="000C44D2"/>
    <w:rsid w:val="000C47A6"/>
    <w:rsid w:val="000C4C3B"/>
    <w:rsid w:val="000C4DB3"/>
    <w:rsid w:val="000C51FB"/>
    <w:rsid w:val="000C6F58"/>
    <w:rsid w:val="000C734F"/>
    <w:rsid w:val="000C76D7"/>
    <w:rsid w:val="000C7AE0"/>
    <w:rsid w:val="000C7DDD"/>
    <w:rsid w:val="000D047C"/>
    <w:rsid w:val="000D1207"/>
    <w:rsid w:val="000D154D"/>
    <w:rsid w:val="000D17AC"/>
    <w:rsid w:val="000D2093"/>
    <w:rsid w:val="000D30EB"/>
    <w:rsid w:val="000D3517"/>
    <w:rsid w:val="000D3B31"/>
    <w:rsid w:val="000D4548"/>
    <w:rsid w:val="000D5842"/>
    <w:rsid w:val="000D6EF5"/>
    <w:rsid w:val="000D72C0"/>
    <w:rsid w:val="000E0542"/>
    <w:rsid w:val="000E090C"/>
    <w:rsid w:val="000E14E8"/>
    <w:rsid w:val="000E222C"/>
    <w:rsid w:val="000E25F8"/>
    <w:rsid w:val="000E2DD1"/>
    <w:rsid w:val="000E2E87"/>
    <w:rsid w:val="000E2E9D"/>
    <w:rsid w:val="000E47A0"/>
    <w:rsid w:val="000E537C"/>
    <w:rsid w:val="000E55C4"/>
    <w:rsid w:val="000E5AFA"/>
    <w:rsid w:val="000E6773"/>
    <w:rsid w:val="000E6B4E"/>
    <w:rsid w:val="000E7BF7"/>
    <w:rsid w:val="000E7E55"/>
    <w:rsid w:val="000F176F"/>
    <w:rsid w:val="000F19D1"/>
    <w:rsid w:val="000F252B"/>
    <w:rsid w:val="000F2731"/>
    <w:rsid w:val="000F2B8C"/>
    <w:rsid w:val="000F4B81"/>
    <w:rsid w:val="000F51FD"/>
    <w:rsid w:val="000F58B4"/>
    <w:rsid w:val="000F61A2"/>
    <w:rsid w:val="001004C2"/>
    <w:rsid w:val="00100AA7"/>
    <w:rsid w:val="0010127F"/>
    <w:rsid w:val="00101B7B"/>
    <w:rsid w:val="00102642"/>
    <w:rsid w:val="00102B03"/>
    <w:rsid w:val="0010307B"/>
    <w:rsid w:val="0010324C"/>
    <w:rsid w:val="00105550"/>
    <w:rsid w:val="001068AD"/>
    <w:rsid w:val="00107EA0"/>
    <w:rsid w:val="00110531"/>
    <w:rsid w:val="00110556"/>
    <w:rsid w:val="001107E7"/>
    <w:rsid w:val="00111ED1"/>
    <w:rsid w:val="001123B3"/>
    <w:rsid w:val="00112699"/>
    <w:rsid w:val="00112846"/>
    <w:rsid w:val="00112978"/>
    <w:rsid w:val="001130CF"/>
    <w:rsid w:val="001135E1"/>
    <w:rsid w:val="00113737"/>
    <w:rsid w:val="00113AE7"/>
    <w:rsid w:val="00114101"/>
    <w:rsid w:val="00114A85"/>
    <w:rsid w:val="00114E63"/>
    <w:rsid w:val="00115639"/>
    <w:rsid w:val="00115A56"/>
    <w:rsid w:val="00117161"/>
    <w:rsid w:val="00117D29"/>
    <w:rsid w:val="0012000C"/>
    <w:rsid w:val="001200CD"/>
    <w:rsid w:val="001203FB"/>
    <w:rsid w:val="00120726"/>
    <w:rsid w:val="00120AF0"/>
    <w:rsid w:val="00120E8B"/>
    <w:rsid w:val="0012241B"/>
    <w:rsid w:val="00122CF1"/>
    <w:rsid w:val="00123BC6"/>
    <w:rsid w:val="00124336"/>
    <w:rsid w:val="001245B5"/>
    <w:rsid w:val="001248CE"/>
    <w:rsid w:val="00125669"/>
    <w:rsid w:val="00125AD8"/>
    <w:rsid w:val="001269B2"/>
    <w:rsid w:val="00126BEC"/>
    <w:rsid w:val="00127274"/>
    <w:rsid w:val="00127FA6"/>
    <w:rsid w:val="00131374"/>
    <w:rsid w:val="00132A14"/>
    <w:rsid w:val="00133D78"/>
    <w:rsid w:val="00133DBF"/>
    <w:rsid w:val="0013413E"/>
    <w:rsid w:val="00134FA1"/>
    <w:rsid w:val="0013537F"/>
    <w:rsid w:val="001357AB"/>
    <w:rsid w:val="001357ED"/>
    <w:rsid w:val="0013647C"/>
    <w:rsid w:val="00136726"/>
    <w:rsid w:val="0013694E"/>
    <w:rsid w:val="00136A85"/>
    <w:rsid w:val="00136D1C"/>
    <w:rsid w:val="001406C1"/>
    <w:rsid w:val="001408B9"/>
    <w:rsid w:val="001435C0"/>
    <w:rsid w:val="0014371E"/>
    <w:rsid w:val="001437B4"/>
    <w:rsid w:val="00143970"/>
    <w:rsid w:val="00143CDA"/>
    <w:rsid w:val="0014459E"/>
    <w:rsid w:val="00144631"/>
    <w:rsid w:val="00144DDA"/>
    <w:rsid w:val="001461D3"/>
    <w:rsid w:val="001463D4"/>
    <w:rsid w:val="00146400"/>
    <w:rsid w:val="00147081"/>
    <w:rsid w:val="0015038A"/>
    <w:rsid w:val="0015048D"/>
    <w:rsid w:val="00150ADD"/>
    <w:rsid w:val="00150BDC"/>
    <w:rsid w:val="0015140A"/>
    <w:rsid w:val="00151998"/>
    <w:rsid w:val="00152945"/>
    <w:rsid w:val="00152AB0"/>
    <w:rsid w:val="0015371E"/>
    <w:rsid w:val="00153D27"/>
    <w:rsid w:val="00154564"/>
    <w:rsid w:val="001556E7"/>
    <w:rsid w:val="00155809"/>
    <w:rsid w:val="0015589A"/>
    <w:rsid w:val="001559F2"/>
    <w:rsid w:val="00155A0C"/>
    <w:rsid w:val="00155BA3"/>
    <w:rsid w:val="00156509"/>
    <w:rsid w:val="00157D06"/>
    <w:rsid w:val="00160085"/>
    <w:rsid w:val="00160266"/>
    <w:rsid w:val="0016070C"/>
    <w:rsid w:val="001607AA"/>
    <w:rsid w:val="001607F9"/>
    <w:rsid w:val="00160A66"/>
    <w:rsid w:val="0016279C"/>
    <w:rsid w:val="00162CB4"/>
    <w:rsid w:val="001634E6"/>
    <w:rsid w:val="001639FC"/>
    <w:rsid w:val="00163EE9"/>
    <w:rsid w:val="001648C2"/>
    <w:rsid w:val="00170177"/>
    <w:rsid w:val="001710DF"/>
    <w:rsid w:val="001728CC"/>
    <w:rsid w:val="00172A0C"/>
    <w:rsid w:val="00172A27"/>
    <w:rsid w:val="001732F2"/>
    <w:rsid w:val="0017361E"/>
    <w:rsid w:val="00173648"/>
    <w:rsid w:val="00173846"/>
    <w:rsid w:val="0017439E"/>
    <w:rsid w:val="00174482"/>
    <w:rsid w:val="0017450E"/>
    <w:rsid w:val="00175855"/>
    <w:rsid w:val="00175AD6"/>
    <w:rsid w:val="00175BF1"/>
    <w:rsid w:val="00177061"/>
    <w:rsid w:val="00177204"/>
    <w:rsid w:val="001772F2"/>
    <w:rsid w:val="00177916"/>
    <w:rsid w:val="001807D7"/>
    <w:rsid w:val="001807E3"/>
    <w:rsid w:val="001816E0"/>
    <w:rsid w:val="00181F73"/>
    <w:rsid w:val="0018263E"/>
    <w:rsid w:val="001839E5"/>
    <w:rsid w:val="0018481D"/>
    <w:rsid w:val="00184B7E"/>
    <w:rsid w:val="00185BB2"/>
    <w:rsid w:val="0018615C"/>
    <w:rsid w:val="001870E1"/>
    <w:rsid w:val="001872C9"/>
    <w:rsid w:val="0019032F"/>
    <w:rsid w:val="00190CCA"/>
    <w:rsid w:val="001913A5"/>
    <w:rsid w:val="001919A8"/>
    <w:rsid w:val="00192316"/>
    <w:rsid w:val="0019257A"/>
    <w:rsid w:val="001927D1"/>
    <w:rsid w:val="0019281F"/>
    <w:rsid w:val="00192962"/>
    <w:rsid w:val="00192A65"/>
    <w:rsid w:val="001933A4"/>
    <w:rsid w:val="00193BAF"/>
    <w:rsid w:val="00193E14"/>
    <w:rsid w:val="00194351"/>
    <w:rsid w:val="001958B5"/>
    <w:rsid w:val="00197AD2"/>
    <w:rsid w:val="001A036B"/>
    <w:rsid w:val="001A0C4C"/>
    <w:rsid w:val="001A0FDE"/>
    <w:rsid w:val="001A1640"/>
    <w:rsid w:val="001A192B"/>
    <w:rsid w:val="001A2C6B"/>
    <w:rsid w:val="001A3BDF"/>
    <w:rsid w:val="001A3E77"/>
    <w:rsid w:val="001A4CDB"/>
    <w:rsid w:val="001A542C"/>
    <w:rsid w:val="001A601A"/>
    <w:rsid w:val="001A6976"/>
    <w:rsid w:val="001A6DDB"/>
    <w:rsid w:val="001A76FE"/>
    <w:rsid w:val="001A7812"/>
    <w:rsid w:val="001A7FED"/>
    <w:rsid w:val="001B01BE"/>
    <w:rsid w:val="001B02C4"/>
    <w:rsid w:val="001B134E"/>
    <w:rsid w:val="001B1507"/>
    <w:rsid w:val="001B1A63"/>
    <w:rsid w:val="001B208E"/>
    <w:rsid w:val="001B2889"/>
    <w:rsid w:val="001B3323"/>
    <w:rsid w:val="001B33DC"/>
    <w:rsid w:val="001B348F"/>
    <w:rsid w:val="001B3A26"/>
    <w:rsid w:val="001B5376"/>
    <w:rsid w:val="001B6979"/>
    <w:rsid w:val="001B7C5C"/>
    <w:rsid w:val="001C0020"/>
    <w:rsid w:val="001C03EB"/>
    <w:rsid w:val="001C0A80"/>
    <w:rsid w:val="001C0C38"/>
    <w:rsid w:val="001C0D5D"/>
    <w:rsid w:val="001C10DD"/>
    <w:rsid w:val="001C16A4"/>
    <w:rsid w:val="001C188F"/>
    <w:rsid w:val="001C1E46"/>
    <w:rsid w:val="001C23B2"/>
    <w:rsid w:val="001C2A6C"/>
    <w:rsid w:val="001C2D91"/>
    <w:rsid w:val="001C3DB5"/>
    <w:rsid w:val="001C4328"/>
    <w:rsid w:val="001C4AD6"/>
    <w:rsid w:val="001C4F5C"/>
    <w:rsid w:val="001C5312"/>
    <w:rsid w:val="001C55F6"/>
    <w:rsid w:val="001C6D6A"/>
    <w:rsid w:val="001D00CA"/>
    <w:rsid w:val="001D0712"/>
    <w:rsid w:val="001D0D76"/>
    <w:rsid w:val="001D1854"/>
    <w:rsid w:val="001D1B9D"/>
    <w:rsid w:val="001D1FF5"/>
    <w:rsid w:val="001D3042"/>
    <w:rsid w:val="001D3553"/>
    <w:rsid w:val="001D4E45"/>
    <w:rsid w:val="001D5144"/>
    <w:rsid w:val="001D514B"/>
    <w:rsid w:val="001D531E"/>
    <w:rsid w:val="001D59E1"/>
    <w:rsid w:val="001D5B97"/>
    <w:rsid w:val="001D67F4"/>
    <w:rsid w:val="001D6B1F"/>
    <w:rsid w:val="001D7AFD"/>
    <w:rsid w:val="001E0199"/>
    <w:rsid w:val="001E05CF"/>
    <w:rsid w:val="001E066A"/>
    <w:rsid w:val="001E1FD3"/>
    <w:rsid w:val="001E2736"/>
    <w:rsid w:val="001E320C"/>
    <w:rsid w:val="001E33FF"/>
    <w:rsid w:val="001E3585"/>
    <w:rsid w:val="001E3B47"/>
    <w:rsid w:val="001E51A8"/>
    <w:rsid w:val="001E721A"/>
    <w:rsid w:val="001E74DC"/>
    <w:rsid w:val="001E7B41"/>
    <w:rsid w:val="001F014C"/>
    <w:rsid w:val="001F057D"/>
    <w:rsid w:val="001F09E5"/>
    <w:rsid w:val="001F0B94"/>
    <w:rsid w:val="001F105D"/>
    <w:rsid w:val="001F3129"/>
    <w:rsid w:val="001F3829"/>
    <w:rsid w:val="001F3983"/>
    <w:rsid w:val="001F3A24"/>
    <w:rsid w:val="001F3ADB"/>
    <w:rsid w:val="001F3D63"/>
    <w:rsid w:val="001F4F8B"/>
    <w:rsid w:val="001F5946"/>
    <w:rsid w:val="001F62ED"/>
    <w:rsid w:val="001F6919"/>
    <w:rsid w:val="001F711D"/>
    <w:rsid w:val="001F71A3"/>
    <w:rsid w:val="00200C7A"/>
    <w:rsid w:val="00200FBE"/>
    <w:rsid w:val="002010FF"/>
    <w:rsid w:val="002023BB"/>
    <w:rsid w:val="00202DBD"/>
    <w:rsid w:val="00202F2F"/>
    <w:rsid w:val="002032AE"/>
    <w:rsid w:val="0020338E"/>
    <w:rsid w:val="00203F09"/>
    <w:rsid w:val="002055D1"/>
    <w:rsid w:val="00205B0A"/>
    <w:rsid w:val="0020642E"/>
    <w:rsid w:val="002070EC"/>
    <w:rsid w:val="00207819"/>
    <w:rsid w:val="002104CE"/>
    <w:rsid w:val="0021057B"/>
    <w:rsid w:val="00210DC3"/>
    <w:rsid w:val="00211AD2"/>
    <w:rsid w:val="00211AF2"/>
    <w:rsid w:val="00212866"/>
    <w:rsid w:val="00213CDA"/>
    <w:rsid w:val="0021428B"/>
    <w:rsid w:val="002144CA"/>
    <w:rsid w:val="00214DD7"/>
    <w:rsid w:val="002157B0"/>
    <w:rsid w:val="00216075"/>
    <w:rsid w:val="0021637D"/>
    <w:rsid w:val="002163D9"/>
    <w:rsid w:val="002165A2"/>
    <w:rsid w:val="002168A9"/>
    <w:rsid w:val="00217AD2"/>
    <w:rsid w:val="00217CC8"/>
    <w:rsid w:val="00220621"/>
    <w:rsid w:val="00222773"/>
    <w:rsid w:val="002238AE"/>
    <w:rsid w:val="00223F6B"/>
    <w:rsid w:val="0022485C"/>
    <w:rsid w:val="0022520B"/>
    <w:rsid w:val="0022563C"/>
    <w:rsid w:val="00225D79"/>
    <w:rsid w:val="00226512"/>
    <w:rsid w:val="00227DA7"/>
    <w:rsid w:val="00227FCC"/>
    <w:rsid w:val="00230313"/>
    <w:rsid w:val="002308F8"/>
    <w:rsid w:val="00230FF7"/>
    <w:rsid w:val="00231592"/>
    <w:rsid w:val="002323C7"/>
    <w:rsid w:val="00232ACA"/>
    <w:rsid w:val="00233783"/>
    <w:rsid w:val="00233FEC"/>
    <w:rsid w:val="00234039"/>
    <w:rsid w:val="002346DE"/>
    <w:rsid w:val="002347B4"/>
    <w:rsid w:val="002357D5"/>
    <w:rsid w:val="002368A5"/>
    <w:rsid w:val="00237045"/>
    <w:rsid w:val="00237CA9"/>
    <w:rsid w:val="00240817"/>
    <w:rsid w:val="00240A76"/>
    <w:rsid w:val="002425DB"/>
    <w:rsid w:val="00242BAB"/>
    <w:rsid w:val="0024338C"/>
    <w:rsid w:val="00243D10"/>
    <w:rsid w:val="00244AF2"/>
    <w:rsid w:val="002450C8"/>
    <w:rsid w:val="002454AC"/>
    <w:rsid w:val="00245898"/>
    <w:rsid w:val="00245B89"/>
    <w:rsid w:val="00245E32"/>
    <w:rsid w:val="00246478"/>
    <w:rsid w:val="002479E6"/>
    <w:rsid w:val="00247AB8"/>
    <w:rsid w:val="00250069"/>
    <w:rsid w:val="002500DD"/>
    <w:rsid w:val="002504D1"/>
    <w:rsid w:val="00250552"/>
    <w:rsid w:val="00251DF8"/>
    <w:rsid w:val="00253642"/>
    <w:rsid w:val="002539BB"/>
    <w:rsid w:val="00253C5F"/>
    <w:rsid w:val="002550BC"/>
    <w:rsid w:val="00256590"/>
    <w:rsid w:val="0025726B"/>
    <w:rsid w:val="00257CF1"/>
    <w:rsid w:val="002605D6"/>
    <w:rsid w:val="002614E3"/>
    <w:rsid w:val="00261D7A"/>
    <w:rsid w:val="00261F63"/>
    <w:rsid w:val="00262AAB"/>
    <w:rsid w:val="0026353C"/>
    <w:rsid w:val="00263C78"/>
    <w:rsid w:val="002648C3"/>
    <w:rsid w:val="00264A46"/>
    <w:rsid w:val="002650A7"/>
    <w:rsid w:val="00266CE4"/>
    <w:rsid w:val="002673BB"/>
    <w:rsid w:val="00267668"/>
    <w:rsid w:val="002705A1"/>
    <w:rsid w:val="0027063E"/>
    <w:rsid w:val="00270A1B"/>
    <w:rsid w:val="00270C71"/>
    <w:rsid w:val="00271059"/>
    <w:rsid w:val="002717BA"/>
    <w:rsid w:val="002717C8"/>
    <w:rsid w:val="00271C4B"/>
    <w:rsid w:val="00271FB5"/>
    <w:rsid w:val="002725F1"/>
    <w:rsid w:val="002733B8"/>
    <w:rsid w:val="00273C12"/>
    <w:rsid w:val="0027472B"/>
    <w:rsid w:val="0027479A"/>
    <w:rsid w:val="00274F37"/>
    <w:rsid w:val="00275456"/>
    <w:rsid w:val="002757DA"/>
    <w:rsid w:val="002765AA"/>
    <w:rsid w:val="00277495"/>
    <w:rsid w:val="002775DA"/>
    <w:rsid w:val="002800D0"/>
    <w:rsid w:val="00281197"/>
    <w:rsid w:val="0028205B"/>
    <w:rsid w:val="00282AA8"/>
    <w:rsid w:val="00283CD4"/>
    <w:rsid w:val="00284112"/>
    <w:rsid w:val="002844B3"/>
    <w:rsid w:val="0028501B"/>
    <w:rsid w:val="00285480"/>
    <w:rsid w:val="0028555A"/>
    <w:rsid w:val="002872F2"/>
    <w:rsid w:val="0029091A"/>
    <w:rsid w:val="00291241"/>
    <w:rsid w:val="0029195A"/>
    <w:rsid w:val="0029354D"/>
    <w:rsid w:val="00293885"/>
    <w:rsid w:val="0029407A"/>
    <w:rsid w:val="00294A70"/>
    <w:rsid w:val="0029603C"/>
    <w:rsid w:val="002967FF"/>
    <w:rsid w:val="002A0475"/>
    <w:rsid w:val="002A05F7"/>
    <w:rsid w:val="002A1739"/>
    <w:rsid w:val="002A211F"/>
    <w:rsid w:val="002A3130"/>
    <w:rsid w:val="002A4113"/>
    <w:rsid w:val="002A48C8"/>
    <w:rsid w:val="002A4EBE"/>
    <w:rsid w:val="002A57CC"/>
    <w:rsid w:val="002A6CD9"/>
    <w:rsid w:val="002A7E82"/>
    <w:rsid w:val="002A7F5B"/>
    <w:rsid w:val="002B089D"/>
    <w:rsid w:val="002B0B3A"/>
    <w:rsid w:val="002B1B2C"/>
    <w:rsid w:val="002B3A99"/>
    <w:rsid w:val="002B3C5B"/>
    <w:rsid w:val="002B3F97"/>
    <w:rsid w:val="002B4797"/>
    <w:rsid w:val="002B4D2E"/>
    <w:rsid w:val="002B5ED0"/>
    <w:rsid w:val="002B5ED8"/>
    <w:rsid w:val="002B5FAE"/>
    <w:rsid w:val="002B5FF1"/>
    <w:rsid w:val="002B6532"/>
    <w:rsid w:val="002B65B7"/>
    <w:rsid w:val="002B6E18"/>
    <w:rsid w:val="002B7757"/>
    <w:rsid w:val="002B780E"/>
    <w:rsid w:val="002C0446"/>
    <w:rsid w:val="002C0A81"/>
    <w:rsid w:val="002C1266"/>
    <w:rsid w:val="002C12CD"/>
    <w:rsid w:val="002C2AC1"/>
    <w:rsid w:val="002C2BFC"/>
    <w:rsid w:val="002C3530"/>
    <w:rsid w:val="002C3A8B"/>
    <w:rsid w:val="002C42A3"/>
    <w:rsid w:val="002C521E"/>
    <w:rsid w:val="002C68DB"/>
    <w:rsid w:val="002C7885"/>
    <w:rsid w:val="002C7CBD"/>
    <w:rsid w:val="002D03CA"/>
    <w:rsid w:val="002D0691"/>
    <w:rsid w:val="002D089E"/>
    <w:rsid w:val="002D12EA"/>
    <w:rsid w:val="002D17CE"/>
    <w:rsid w:val="002D18BA"/>
    <w:rsid w:val="002D1C79"/>
    <w:rsid w:val="002D1FCF"/>
    <w:rsid w:val="002D20D5"/>
    <w:rsid w:val="002D246B"/>
    <w:rsid w:val="002D2543"/>
    <w:rsid w:val="002D2687"/>
    <w:rsid w:val="002D2E19"/>
    <w:rsid w:val="002D36F0"/>
    <w:rsid w:val="002D384D"/>
    <w:rsid w:val="002D4464"/>
    <w:rsid w:val="002D4D85"/>
    <w:rsid w:val="002D521D"/>
    <w:rsid w:val="002D560D"/>
    <w:rsid w:val="002D6D69"/>
    <w:rsid w:val="002D7663"/>
    <w:rsid w:val="002E0168"/>
    <w:rsid w:val="002E0A4C"/>
    <w:rsid w:val="002E1402"/>
    <w:rsid w:val="002E1B63"/>
    <w:rsid w:val="002E23BD"/>
    <w:rsid w:val="002E2401"/>
    <w:rsid w:val="002E2AE8"/>
    <w:rsid w:val="002E2F99"/>
    <w:rsid w:val="002E36B6"/>
    <w:rsid w:val="002E4365"/>
    <w:rsid w:val="002E4C5F"/>
    <w:rsid w:val="002E4F1C"/>
    <w:rsid w:val="002E5290"/>
    <w:rsid w:val="002E5F2A"/>
    <w:rsid w:val="002E65B7"/>
    <w:rsid w:val="002E69E0"/>
    <w:rsid w:val="002E714A"/>
    <w:rsid w:val="002E73D9"/>
    <w:rsid w:val="002E7D03"/>
    <w:rsid w:val="002F17E3"/>
    <w:rsid w:val="002F2CA1"/>
    <w:rsid w:val="002F3081"/>
    <w:rsid w:val="002F38DF"/>
    <w:rsid w:val="002F3CE0"/>
    <w:rsid w:val="002F3F89"/>
    <w:rsid w:val="002F4057"/>
    <w:rsid w:val="002F416D"/>
    <w:rsid w:val="002F4AB1"/>
    <w:rsid w:val="002F52D1"/>
    <w:rsid w:val="002F7B4C"/>
    <w:rsid w:val="0030036E"/>
    <w:rsid w:val="00300D18"/>
    <w:rsid w:val="00302960"/>
    <w:rsid w:val="00302C24"/>
    <w:rsid w:val="003035E6"/>
    <w:rsid w:val="0030360B"/>
    <w:rsid w:val="00303762"/>
    <w:rsid w:val="003037F8"/>
    <w:rsid w:val="00303884"/>
    <w:rsid w:val="00303B77"/>
    <w:rsid w:val="003045CF"/>
    <w:rsid w:val="00304929"/>
    <w:rsid w:val="00304F31"/>
    <w:rsid w:val="003050DB"/>
    <w:rsid w:val="00305194"/>
    <w:rsid w:val="00305473"/>
    <w:rsid w:val="00305A0E"/>
    <w:rsid w:val="00305EFE"/>
    <w:rsid w:val="00305EFF"/>
    <w:rsid w:val="00306551"/>
    <w:rsid w:val="003068C3"/>
    <w:rsid w:val="00306FCB"/>
    <w:rsid w:val="00307ADF"/>
    <w:rsid w:val="003113F0"/>
    <w:rsid w:val="0031142F"/>
    <w:rsid w:val="00311BC1"/>
    <w:rsid w:val="00312DA7"/>
    <w:rsid w:val="003130CD"/>
    <w:rsid w:val="003134E8"/>
    <w:rsid w:val="00313983"/>
    <w:rsid w:val="003146C9"/>
    <w:rsid w:val="00315C09"/>
    <w:rsid w:val="00315CE1"/>
    <w:rsid w:val="00316115"/>
    <w:rsid w:val="00317177"/>
    <w:rsid w:val="00317D64"/>
    <w:rsid w:val="003204E2"/>
    <w:rsid w:val="0032076E"/>
    <w:rsid w:val="00320972"/>
    <w:rsid w:val="00323712"/>
    <w:rsid w:val="00323DA6"/>
    <w:rsid w:val="00324567"/>
    <w:rsid w:val="00324D27"/>
    <w:rsid w:val="0032559B"/>
    <w:rsid w:val="00325606"/>
    <w:rsid w:val="003266F4"/>
    <w:rsid w:val="00326D56"/>
    <w:rsid w:val="0032716D"/>
    <w:rsid w:val="00330F5B"/>
    <w:rsid w:val="003313ED"/>
    <w:rsid w:val="003314CB"/>
    <w:rsid w:val="003317FC"/>
    <w:rsid w:val="00331C5E"/>
    <w:rsid w:val="00334645"/>
    <w:rsid w:val="00334A39"/>
    <w:rsid w:val="00335809"/>
    <w:rsid w:val="0033605E"/>
    <w:rsid w:val="00337572"/>
    <w:rsid w:val="00337B5D"/>
    <w:rsid w:val="00337DB8"/>
    <w:rsid w:val="0034001A"/>
    <w:rsid w:val="00342265"/>
    <w:rsid w:val="003426F5"/>
    <w:rsid w:val="00342AD4"/>
    <w:rsid w:val="00342C32"/>
    <w:rsid w:val="00342C5C"/>
    <w:rsid w:val="00344494"/>
    <w:rsid w:val="00344649"/>
    <w:rsid w:val="00344CEC"/>
    <w:rsid w:val="00344FF2"/>
    <w:rsid w:val="003465B8"/>
    <w:rsid w:val="0034758D"/>
    <w:rsid w:val="00347ACD"/>
    <w:rsid w:val="00347ACF"/>
    <w:rsid w:val="00347AE2"/>
    <w:rsid w:val="00350021"/>
    <w:rsid w:val="00350F7C"/>
    <w:rsid w:val="0035154B"/>
    <w:rsid w:val="0035175F"/>
    <w:rsid w:val="0035187C"/>
    <w:rsid w:val="00351BA7"/>
    <w:rsid w:val="00351DCF"/>
    <w:rsid w:val="00352554"/>
    <w:rsid w:val="003526E1"/>
    <w:rsid w:val="00352A45"/>
    <w:rsid w:val="00352C2D"/>
    <w:rsid w:val="00353D71"/>
    <w:rsid w:val="00353DE9"/>
    <w:rsid w:val="00354223"/>
    <w:rsid w:val="00354674"/>
    <w:rsid w:val="00354A7D"/>
    <w:rsid w:val="00356248"/>
    <w:rsid w:val="00356781"/>
    <w:rsid w:val="003567B2"/>
    <w:rsid w:val="00357E0C"/>
    <w:rsid w:val="0036008A"/>
    <w:rsid w:val="003611DF"/>
    <w:rsid w:val="003613FD"/>
    <w:rsid w:val="003620D5"/>
    <w:rsid w:val="00362571"/>
    <w:rsid w:val="003625D1"/>
    <w:rsid w:val="00363B2B"/>
    <w:rsid w:val="00364177"/>
    <w:rsid w:val="00364A53"/>
    <w:rsid w:val="003666ED"/>
    <w:rsid w:val="00366F37"/>
    <w:rsid w:val="003670A2"/>
    <w:rsid w:val="0036726A"/>
    <w:rsid w:val="00367618"/>
    <w:rsid w:val="00370607"/>
    <w:rsid w:val="00371FD2"/>
    <w:rsid w:val="0037205A"/>
    <w:rsid w:val="003726B1"/>
    <w:rsid w:val="0037366B"/>
    <w:rsid w:val="00373B81"/>
    <w:rsid w:val="00374E21"/>
    <w:rsid w:val="00375CB4"/>
    <w:rsid w:val="00375F01"/>
    <w:rsid w:val="00376C36"/>
    <w:rsid w:val="00377EEA"/>
    <w:rsid w:val="00377F82"/>
    <w:rsid w:val="00380991"/>
    <w:rsid w:val="003813A1"/>
    <w:rsid w:val="0038170C"/>
    <w:rsid w:val="00381ED4"/>
    <w:rsid w:val="003827A1"/>
    <w:rsid w:val="00383B77"/>
    <w:rsid w:val="003852D0"/>
    <w:rsid w:val="00385652"/>
    <w:rsid w:val="00386B57"/>
    <w:rsid w:val="00387531"/>
    <w:rsid w:val="003877FE"/>
    <w:rsid w:val="0039361C"/>
    <w:rsid w:val="00393F62"/>
    <w:rsid w:val="003943C6"/>
    <w:rsid w:val="00397E1E"/>
    <w:rsid w:val="003A06B5"/>
    <w:rsid w:val="003A097E"/>
    <w:rsid w:val="003A1ECB"/>
    <w:rsid w:val="003A221D"/>
    <w:rsid w:val="003A239E"/>
    <w:rsid w:val="003A26CF"/>
    <w:rsid w:val="003A300E"/>
    <w:rsid w:val="003A4819"/>
    <w:rsid w:val="003A56D3"/>
    <w:rsid w:val="003A6520"/>
    <w:rsid w:val="003A6A34"/>
    <w:rsid w:val="003A6C85"/>
    <w:rsid w:val="003A72EA"/>
    <w:rsid w:val="003B046E"/>
    <w:rsid w:val="003B0B41"/>
    <w:rsid w:val="003B0CA4"/>
    <w:rsid w:val="003B0DDF"/>
    <w:rsid w:val="003B2003"/>
    <w:rsid w:val="003B596E"/>
    <w:rsid w:val="003B66F6"/>
    <w:rsid w:val="003B6B60"/>
    <w:rsid w:val="003B71B1"/>
    <w:rsid w:val="003B7519"/>
    <w:rsid w:val="003B79A7"/>
    <w:rsid w:val="003C0CFD"/>
    <w:rsid w:val="003C11BB"/>
    <w:rsid w:val="003C151C"/>
    <w:rsid w:val="003C164F"/>
    <w:rsid w:val="003C1D79"/>
    <w:rsid w:val="003C2040"/>
    <w:rsid w:val="003C3398"/>
    <w:rsid w:val="003C3E1A"/>
    <w:rsid w:val="003C4E40"/>
    <w:rsid w:val="003C5976"/>
    <w:rsid w:val="003C5C2E"/>
    <w:rsid w:val="003C5FB5"/>
    <w:rsid w:val="003C6207"/>
    <w:rsid w:val="003C7D9F"/>
    <w:rsid w:val="003C7F0A"/>
    <w:rsid w:val="003D00D3"/>
    <w:rsid w:val="003D03A9"/>
    <w:rsid w:val="003D07A3"/>
    <w:rsid w:val="003D0B0A"/>
    <w:rsid w:val="003D0DA9"/>
    <w:rsid w:val="003D2B65"/>
    <w:rsid w:val="003D2E12"/>
    <w:rsid w:val="003D2F49"/>
    <w:rsid w:val="003D50B2"/>
    <w:rsid w:val="003D5837"/>
    <w:rsid w:val="003D5CBF"/>
    <w:rsid w:val="003D6129"/>
    <w:rsid w:val="003D62E2"/>
    <w:rsid w:val="003D69C2"/>
    <w:rsid w:val="003D6FF9"/>
    <w:rsid w:val="003D79DE"/>
    <w:rsid w:val="003E0135"/>
    <w:rsid w:val="003E0556"/>
    <w:rsid w:val="003E2628"/>
    <w:rsid w:val="003E27BF"/>
    <w:rsid w:val="003E3571"/>
    <w:rsid w:val="003E39F8"/>
    <w:rsid w:val="003E4173"/>
    <w:rsid w:val="003E41C2"/>
    <w:rsid w:val="003E426D"/>
    <w:rsid w:val="003E6A90"/>
    <w:rsid w:val="003E7DDE"/>
    <w:rsid w:val="003E7ECB"/>
    <w:rsid w:val="003F0573"/>
    <w:rsid w:val="003F2314"/>
    <w:rsid w:val="003F2926"/>
    <w:rsid w:val="003F29E7"/>
    <w:rsid w:val="003F3DE3"/>
    <w:rsid w:val="003F3F06"/>
    <w:rsid w:val="003F4613"/>
    <w:rsid w:val="003F49A5"/>
    <w:rsid w:val="003F533D"/>
    <w:rsid w:val="003F6149"/>
    <w:rsid w:val="003F6D76"/>
    <w:rsid w:val="0040047D"/>
    <w:rsid w:val="004004A2"/>
    <w:rsid w:val="00400526"/>
    <w:rsid w:val="00401BC6"/>
    <w:rsid w:val="00402C8F"/>
    <w:rsid w:val="00404420"/>
    <w:rsid w:val="00405168"/>
    <w:rsid w:val="004057EF"/>
    <w:rsid w:val="00405942"/>
    <w:rsid w:val="0041192E"/>
    <w:rsid w:val="00411DF7"/>
    <w:rsid w:val="00411E35"/>
    <w:rsid w:val="004121DE"/>
    <w:rsid w:val="004137B5"/>
    <w:rsid w:val="00413CD8"/>
    <w:rsid w:val="00414511"/>
    <w:rsid w:val="00414AC2"/>
    <w:rsid w:val="004156F1"/>
    <w:rsid w:val="00415EDD"/>
    <w:rsid w:val="0041611D"/>
    <w:rsid w:val="00416765"/>
    <w:rsid w:val="00417EE5"/>
    <w:rsid w:val="00417F2D"/>
    <w:rsid w:val="00420401"/>
    <w:rsid w:val="00420A97"/>
    <w:rsid w:val="00422072"/>
    <w:rsid w:val="004222B7"/>
    <w:rsid w:val="00422417"/>
    <w:rsid w:val="0042427F"/>
    <w:rsid w:val="00425997"/>
    <w:rsid w:val="0042695C"/>
    <w:rsid w:val="00426E8E"/>
    <w:rsid w:val="00427475"/>
    <w:rsid w:val="0042748F"/>
    <w:rsid w:val="004313C1"/>
    <w:rsid w:val="0043252D"/>
    <w:rsid w:val="00432A4D"/>
    <w:rsid w:val="004340A2"/>
    <w:rsid w:val="00434CA3"/>
    <w:rsid w:val="00434CDD"/>
    <w:rsid w:val="00435522"/>
    <w:rsid w:val="00436CF2"/>
    <w:rsid w:val="004370CA"/>
    <w:rsid w:val="00437206"/>
    <w:rsid w:val="00437F8D"/>
    <w:rsid w:val="00440232"/>
    <w:rsid w:val="004402E6"/>
    <w:rsid w:val="00440786"/>
    <w:rsid w:val="004408D5"/>
    <w:rsid w:val="0044136F"/>
    <w:rsid w:val="0044138F"/>
    <w:rsid w:val="004415B5"/>
    <w:rsid w:val="00441B52"/>
    <w:rsid w:val="004433AF"/>
    <w:rsid w:val="00443CA2"/>
    <w:rsid w:val="00444B75"/>
    <w:rsid w:val="00444CF5"/>
    <w:rsid w:val="004453A0"/>
    <w:rsid w:val="00445CF4"/>
    <w:rsid w:val="00445F6B"/>
    <w:rsid w:val="00446C61"/>
    <w:rsid w:val="004471CF"/>
    <w:rsid w:val="004473E3"/>
    <w:rsid w:val="00447E17"/>
    <w:rsid w:val="004502E4"/>
    <w:rsid w:val="00450C63"/>
    <w:rsid w:val="00451AD9"/>
    <w:rsid w:val="00452460"/>
    <w:rsid w:val="00452D68"/>
    <w:rsid w:val="0045307F"/>
    <w:rsid w:val="00453D76"/>
    <w:rsid w:val="00453F99"/>
    <w:rsid w:val="00454D02"/>
    <w:rsid w:val="004553B7"/>
    <w:rsid w:val="00455447"/>
    <w:rsid w:val="004579D2"/>
    <w:rsid w:val="004633F5"/>
    <w:rsid w:val="00463F7B"/>
    <w:rsid w:val="0046529C"/>
    <w:rsid w:val="0046558E"/>
    <w:rsid w:val="00465615"/>
    <w:rsid w:val="004656AA"/>
    <w:rsid w:val="0046576E"/>
    <w:rsid w:val="004707DD"/>
    <w:rsid w:val="004707E4"/>
    <w:rsid w:val="0047096B"/>
    <w:rsid w:val="00470DC4"/>
    <w:rsid w:val="00471324"/>
    <w:rsid w:val="004717DB"/>
    <w:rsid w:val="00472C9D"/>
    <w:rsid w:val="004732DB"/>
    <w:rsid w:val="00474140"/>
    <w:rsid w:val="00475146"/>
    <w:rsid w:val="004755F6"/>
    <w:rsid w:val="00475D4B"/>
    <w:rsid w:val="0047786A"/>
    <w:rsid w:val="00477D81"/>
    <w:rsid w:val="00480D86"/>
    <w:rsid w:val="0048159A"/>
    <w:rsid w:val="004815EE"/>
    <w:rsid w:val="00481909"/>
    <w:rsid w:val="0048238D"/>
    <w:rsid w:val="0048344B"/>
    <w:rsid w:val="00483A8B"/>
    <w:rsid w:val="00483E97"/>
    <w:rsid w:val="00483ECA"/>
    <w:rsid w:val="004845E2"/>
    <w:rsid w:val="00484EBD"/>
    <w:rsid w:val="00485158"/>
    <w:rsid w:val="004878CC"/>
    <w:rsid w:val="00487F92"/>
    <w:rsid w:val="00487F96"/>
    <w:rsid w:val="00490002"/>
    <w:rsid w:val="00490C7C"/>
    <w:rsid w:val="00491450"/>
    <w:rsid w:val="0049280D"/>
    <w:rsid w:val="00493104"/>
    <w:rsid w:val="00494058"/>
    <w:rsid w:val="00494693"/>
    <w:rsid w:val="0049484C"/>
    <w:rsid w:val="00494CEC"/>
    <w:rsid w:val="004951BA"/>
    <w:rsid w:val="0049552E"/>
    <w:rsid w:val="00495ECA"/>
    <w:rsid w:val="004964C4"/>
    <w:rsid w:val="00496F41"/>
    <w:rsid w:val="0049704E"/>
    <w:rsid w:val="00497399"/>
    <w:rsid w:val="004A003E"/>
    <w:rsid w:val="004A0722"/>
    <w:rsid w:val="004A0F59"/>
    <w:rsid w:val="004A15FA"/>
    <w:rsid w:val="004A328E"/>
    <w:rsid w:val="004A3565"/>
    <w:rsid w:val="004A3C12"/>
    <w:rsid w:val="004A457A"/>
    <w:rsid w:val="004A49B1"/>
    <w:rsid w:val="004A4E3D"/>
    <w:rsid w:val="004A6878"/>
    <w:rsid w:val="004A698A"/>
    <w:rsid w:val="004A6EE0"/>
    <w:rsid w:val="004A71F8"/>
    <w:rsid w:val="004B00F0"/>
    <w:rsid w:val="004B0D04"/>
    <w:rsid w:val="004B0E27"/>
    <w:rsid w:val="004B3BBD"/>
    <w:rsid w:val="004B4F6E"/>
    <w:rsid w:val="004B522E"/>
    <w:rsid w:val="004B5243"/>
    <w:rsid w:val="004B69CD"/>
    <w:rsid w:val="004B6A61"/>
    <w:rsid w:val="004B7FB8"/>
    <w:rsid w:val="004C0038"/>
    <w:rsid w:val="004C102E"/>
    <w:rsid w:val="004C154C"/>
    <w:rsid w:val="004C1C07"/>
    <w:rsid w:val="004C24D5"/>
    <w:rsid w:val="004C2F44"/>
    <w:rsid w:val="004C3C8F"/>
    <w:rsid w:val="004C3EE2"/>
    <w:rsid w:val="004C4481"/>
    <w:rsid w:val="004C4520"/>
    <w:rsid w:val="004C4586"/>
    <w:rsid w:val="004C4631"/>
    <w:rsid w:val="004C548A"/>
    <w:rsid w:val="004C54E3"/>
    <w:rsid w:val="004C6363"/>
    <w:rsid w:val="004C7FCE"/>
    <w:rsid w:val="004D02A9"/>
    <w:rsid w:val="004D0374"/>
    <w:rsid w:val="004D09BB"/>
    <w:rsid w:val="004D0E18"/>
    <w:rsid w:val="004D1D2D"/>
    <w:rsid w:val="004D29E0"/>
    <w:rsid w:val="004D3160"/>
    <w:rsid w:val="004D3E40"/>
    <w:rsid w:val="004D52E7"/>
    <w:rsid w:val="004D54FA"/>
    <w:rsid w:val="004D79BB"/>
    <w:rsid w:val="004D7A90"/>
    <w:rsid w:val="004D7F06"/>
    <w:rsid w:val="004E0165"/>
    <w:rsid w:val="004E06D6"/>
    <w:rsid w:val="004E0BE1"/>
    <w:rsid w:val="004E114D"/>
    <w:rsid w:val="004E12B5"/>
    <w:rsid w:val="004E1ED4"/>
    <w:rsid w:val="004E3E72"/>
    <w:rsid w:val="004E3E8E"/>
    <w:rsid w:val="004E556E"/>
    <w:rsid w:val="004E6643"/>
    <w:rsid w:val="004E675E"/>
    <w:rsid w:val="004E6C9B"/>
    <w:rsid w:val="004E7013"/>
    <w:rsid w:val="004F1524"/>
    <w:rsid w:val="004F3276"/>
    <w:rsid w:val="004F3BB7"/>
    <w:rsid w:val="004F481C"/>
    <w:rsid w:val="004F5743"/>
    <w:rsid w:val="004F6EA7"/>
    <w:rsid w:val="004F720B"/>
    <w:rsid w:val="004F7EFB"/>
    <w:rsid w:val="00500202"/>
    <w:rsid w:val="005005B0"/>
    <w:rsid w:val="005009C1"/>
    <w:rsid w:val="00500C97"/>
    <w:rsid w:val="00501AA5"/>
    <w:rsid w:val="0050282C"/>
    <w:rsid w:val="00503CBE"/>
    <w:rsid w:val="00504264"/>
    <w:rsid w:val="00505D4F"/>
    <w:rsid w:val="00506F02"/>
    <w:rsid w:val="005076FE"/>
    <w:rsid w:val="00507C45"/>
    <w:rsid w:val="00507CA0"/>
    <w:rsid w:val="0051069D"/>
    <w:rsid w:val="005107B9"/>
    <w:rsid w:val="0051226E"/>
    <w:rsid w:val="005125B6"/>
    <w:rsid w:val="00512CEE"/>
    <w:rsid w:val="00512E25"/>
    <w:rsid w:val="00513DDC"/>
    <w:rsid w:val="00514020"/>
    <w:rsid w:val="005154DC"/>
    <w:rsid w:val="00515737"/>
    <w:rsid w:val="00515AE4"/>
    <w:rsid w:val="00515D23"/>
    <w:rsid w:val="00516B81"/>
    <w:rsid w:val="00517451"/>
    <w:rsid w:val="00517B03"/>
    <w:rsid w:val="00517BFA"/>
    <w:rsid w:val="00517E82"/>
    <w:rsid w:val="00520524"/>
    <w:rsid w:val="00520A2B"/>
    <w:rsid w:val="0052331E"/>
    <w:rsid w:val="0052363C"/>
    <w:rsid w:val="005239AB"/>
    <w:rsid w:val="00523B8B"/>
    <w:rsid w:val="00524B2D"/>
    <w:rsid w:val="00527E0A"/>
    <w:rsid w:val="00530786"/>
    <w:rsid w:val="00531491"/>
    <w:rsid w:val="00531A8F"/>
    <w:rsid w:val="00531B43"/>
    <w:rsid w:val="00532850"/>
    <w:rsid w:val="00534CBF"/>
    <w:rsid w:val="00536601"/>
    <w:rsid w:val="00537323"/>
    <w:rsid w:val="00537DDD"/>
    <w:rsid w:val="00537E90"/>
    <w:rsid w:val="00541093"/>
    <w:rsid w:val="0054200F"/>
    <w:rsid w:val="005424BA"/>
    <w:rsid w:val="005425AC"/>
    <w:rsid w:val="00543D56"/>
    <w:rsid w:val="00543D86"/>
    <w:rsid w:val="00543D99"/>
    <w:rsid w:val="00543E79"/>
    <w:rsid w:val="00544058"/>
    <w:rsid w:val="005443B8"/>
    <w:rsid w:val="005444D5"/>
    <w:rsid w:val="00544D8A"/>
    <w:rsid w:val="0054507E"/>
    <w:rsid w:val="0054571C"/>
    <w:rsid w:val="00545F44"/>
    <w:rsid w:val="00546048"/>
    <w:rsid w:val="005461D7"/>
    <w:rsid w:val="00546575"/>
    <w:rsid w:val="00546C2B"/>
    <w:rsid w:val="00547F98"/>
    <w:rsid w:val="005511B3"/>
    <w:rsid w:val="00551276"/>
    <w:rsid w:val="00551E40"/>
    <w:rsid w:val="00551E85"/>
    <w:rsid w:val="005520DD"/>
    <w:rsid w:val="0055252C"/>
    <w:rsid w:val="0055276B"/>
    <w:rsid w:val="00552C6E"/>
    <w:rsid w:val="005535E8"/>
    <w:rsid w:val="00553DE4"/>
    <w:rsid w:val="00556476"/>
    <w:rsid w:val="0055655B"/>
    <w:rsid w:val="0055749B"/>
    <w:rsid w:val="005576AB"/>
    <w:rsid w:val="005601F9"/>
    <w:rsid w:val="005603A7"/>
    <w:rsid w:val="0056198F"/>
    <w:rsid w:val="00561F9C"/>
    <w:rsid w:val="005621F5"/>
    <w:rsid w:val="00562C65"/>
    <w:rsid w:val="005662E5"/>
    <w:rsid w:val="00566454"/>
    <w:rsid w:val="00566F4A"/>
    <w:rsid w:val="0056743E"/>
    <w:rsid w:val="00567E17"/>
    <w:rsid w:val="00567FAE"/>
    <w:rsid w:val="00570169"/>
    <w:rsid w:val="00571F74"/>
    <w:rsid w:val="005720BC"/>
    <w:rsid w:val="0057231D"/>
    <w:rsid w:val="005728B3"/>
    <w:rsid w:val="00572C05"/>
    <w:rsid w:val="00575A23"/>
    <w:rsid w:val="00575FAF"/>
    <w:rsid w:val="0058071C"/>
    <w:rsid w:val="00581D62"/>
    <w:rsid w:val="005821E7"/>
    <w:rsid w:val="00582574"/>
    <w:rsid w:val="00582715"/>
    <w:rsid w:val="005828A1"/>
    <w:rsid w:val="00582B14"/>
    <w:rsid w:val="00582B3A"/>
    <w:rsid w:val="00585BEC"/>
    <w:rsid w:val="00586196"/>
    <w:rsid w:val="0058785D"/>
    <w:rsid w:val="00587A32"/>
    <w:rsid w:val="005928FF"/>
    <w:rsid w:val="00592B0D"/>
    <w:rsid w:val="00592B3C"/>
    <w:rsid w:val="00592D84"/>
    <w:rsid w:val="005931B1"/>
    <w:rsid w:val="00593637"/>
    <w:rsid w:val="0059460E"/>
    <w:rsid w:val="005947B4"/>
    <w:rsid w:val="00594A1A"/>
    <w:rsid w:val="0059548B"/>
    <w:rsid w:val="00597074"/>
    <w:rsid w:val="005A08B4"/>
    <w:rsid w:val="005A0DC2"/>
    <w:rsid w:val="005A1071"/>
    <w:rsid w:val="005A207B"/>
    <w:rsid w:val="005A2675"/>
    <w:rsid w:val="005A3C69"/>
    <w:rsid w:val="005A4213"/>
    <w:rsid w:val="005A4A21"/>
    <w:rsid w:val="005A4D9C"/>
    <w:rsid w:val="005A4FBC"/>
    <w:rsid w:val="005A5546"/>
    <w:rsid w:val="005A57CA"/>
    <w:rsid w:val="005A6697"/>
    <w:rsid w:val="005A6C21"/>
    <w:rsid w:val="005A6F56"/>
    <w:rsid w:val="005A76AD"/>
    <w:rsid w:val="005A7DA4"/>
    <w:rsid w:val="005B04A7"/>
    <w:rsid w:val="005B11B2"/>
    <w:rsid w:val="005B1675"/>
    <w:rsid w:val="005B1A62"/>
    <w:rsid w:val="005B281B"/>
    <w:rsid w:val="005B379F"/>
    <w:rsid w:val="005B4D8D"/>
    <w:rsid w:val="005B579D"/>
    <w:rsid w:val="005B59EF"/>
    <w:rsid w:val="005B62FA"/>
    <w:rsid w:val="005B6391"/>
    <w:rsid w:val="005B6AFB"/>
    <w:rsid w:val="005B6ED1"/>
    <w:rsid w:val="005B71D0"/>
    <w:rsid w:val="005B75A4"/>
    <w:rsid w:val="005B7707"/>
    <w:rsid w:val="005B7992"/>
    <w:rsid w:val="005B7CED"/>
    <w:rsid w:val="005B7E72"/>
    <w:rsid w:val="005C01AD"/>
    <w:rsid w:val="005C066A"/>
    <w:rsid w:val="005C11E2"/>
    <w:rsid w:val="005C199B"/>
    <w:rsid w:val="005C1B8A"/>
    <w:rsid w:val="005C252E"/>
    <w:rsid w:val="005C307E"/>
    <w:rsid w:val="005C41FA"/>
    <w:rsid w:val="005C4C33"/>
    <w:rsid w:val="005C4D70"/>
    <w:rsid w:val="005C5369"/>
    <w:rsid w:val="005C6015"/>
    <w:rsid w:val="005C653C"/>
    <w:rsid w:val="005C73DA"/>
    <w:rsid w:val="005D101F"/>
    <w:rsid w:val="005D124D"/>
    <w:rsid w:val="005D1749"/>
    <w:rsid w:val="005D1B53"/>
    <w:rsid w:val="005D1E86"/>
    <w:rsid w:val="005D25A4"/>
    <w:rsid w:val="005D2F03"/>
    <w:rsid w:val="005D30E1"/>
    <w:rsid w:val="005D32AB"/>
    <w:rsid w:val="005D3904"/>
    <w:rsid w:val="005D3C11"/>
    <w:rsid w:val="005D3D71"/>
    <w:rsid w:val="005D4004"/>
    <w:rsid w:val="005D5293"/>
    <w:rsid w:val="005D628D"/>
    <w:rsid w:val="005D672D"/>
    <w:rsid w:val="005D6A25"/>
    <w:rsid w:val="005E0505"/>
    <w:rsid w:val="005E1CC7"/>
    <w:rsid w:val="005E1FAD"/>
    <w:rsid w:val="005E22C7"/>
    <w:rsid w:val="005E463D"/>
    <w:rsid w:val="005E4BE9"/>
    <w:rsid w:val="005E544C"/>
    <w:rsid w:val="005E606D"/>
    <w:rsid w:val="005E64A4"/>
    <w:rsid w:val="005E672A"/>
    <w:rsid w:val="005E74DA"/>
    <w:rsid w:val="005E7B9B"/>
    <w:rsid w:val="005F0699"/>
    <w:rsid w:val="005F1352"/>
    <w:rsid w:val="005F1864"/>
    <w:rsid w:val="005F256C"/>
    <w:rsid w:val="005F3B61"/>
    <w:rsid w:val="005F43D4"/>
    <w:rsid w:val="005F5B3D"/>
    <w:rsid w:val="005F6D26"/>
    <w:rsid w:val="005F7189"/>
    <w:rsid w:val="005F766D"/>
    <w:rsid w:val="00600AFA"/>
    <w:rsid w:val="006022F4"/>
    <w:rsid w:val="00602A25"/>
    <w:rsid w:val="006032FB"/>
    <w:rsid w:val="00603625"/>
    <w:rsid w:val="00603B96"/>
    <w:rsid w:val="00604013"/>
    <w:rsid w:val="0060430F"/>
    <w:rsid w:val="00604901"/>
    <w:rsid w:val="00605328"/>
    <w:rsid w:val="00605522"/>
    <w:rsid w:val="00606470"/>
    <w:rsid w:val="00606E3A"/>
    <w:rsid w:val="00607D78"/>
    <w:rsid w:val="00611EDC"/>
    <w:rsid w:val="00612054"/>
    <w:rsid w:val="00612232"/>
    <w:rsid w:val="0061248D"/>
    <w:rsid w:val="006125BB"/>
    <w:rsid w:val="0061537E"/>
    <w:rsid w:val="006160F6"/>
    <w:rsid w:val="006206C6"/>
    <w:rsid w:val="00620D9C"/>
    <w:rsid w:val="00622793"/>
    <w:rsid w:val="00623FF6"/>
    <w:rsid w:val="00624504"/>
    <w:rsid w:val="0062698C"/>
    <w:rsid w:val="00627137"/>
    <w:rsid w:val="0062759F"/>
    <w:rsid w:val="00627B0E"/>
    <w:rsid w:val="00627B33"/>
    <w:rsid w:val="00627BAA"/>
    <w:rsid w:val="006304B7"/>
    <w:rsid w:val="00630F29"/>
    <w:rsid w:val="0063139B"/>
    <w:rsid w:val="00631BA4"/>
    <w:rsid w:val="00632AF9"/>
    <w:rsid w:val="00633C24"/>
    <w:rsid w:val="00634030"/>
    <w:rsid w:val="006344A5"/>
    <w:rsid w:val="00635137"/>
    <w:rsid w:val="00635796"/>
    <w:rsid w:val="00636269"/>
    <w:rsid w:val="0063688A"/>
    <w:rsid w:val="00637549"/>
    <w:rsid w:val="00641292"/>
    <w:rsid w:val="006431FB"/>
    <w:rsid w:val="0064398C"/>
    <w:rsid w:val="006467C5"/>
    <w:rsid w:val="006475F1"/>
    <w:rsid w:val="006501DE"/>
    <w:rsid w:val="00650552"/>
    <w:rsid w:val="00650AF3"/>
    <w:rsid w:val="00650D3D"/>
    <w:rsid w:val="006527B8"/>
    <w:rsid w:val="00653059"/>
    <w:rsid w:val="006531A2"/>
    <w:rsid w:val="006532C2"/>
    <w:rsid w:val="006538CA"/>
    <w:rsid w:val="006538E7"/>
    <w:rsid w:val="006539A9"/>
    <w:rsid w:val="006546A2"/>
    <w:rsid w:val="00654F7E"/>
    <w:rsid w:val="006557B6"/>
    <w:rsid w:val="00655E93"/>
    <w:rsid w:val="00656358"/>
    <w:rsid w:val="006576C5"/>
    <w:rsid w:val="0066035D"/>
    <w:rsid w:val="0066043B"/>
    <w:rsid w:val="0066135B"/>
    <w:rsid w:val="00661546"/>
    <w:rsid w:val="0066196E"/>
    <w:rsid w:val="00661E25"/>
    <w:rsid w:val="006633C5"/>
    <w:rsid w:val="0066345B"/>
    <w:rsid w:val="00663557"/>
    <w:rsid w:val="006638B4"/>
    <w:rsid w:val="00663C97"/>
    <w:rsid w:val="00664045"/>
    <w:rsid w:val="00665055"/>
    <w:rsid w:val="00665096"/>
    <w:rsid w:val="006654DB"/>
    <w:rsid w:val="00665D7B"/>
    <w:rsid w:val="00667A18"/>
    <w:rsid w:val="00667F42"/>
    <w:rsid w:val="00670507"/>
    <w:rsid w:val="00671A78"/>
    <w:rsid w:val="00673341"/>
    <w:rsid w:val="00673D90"/>
    <w:rsid w:val="006746EF"/>
    <w:rsid w:val="0067486D"/>
    <w:rsid w:val="00674DDA"/>
    <w:rsid w:val="0067582F"/>
    <w:rsid w:val="00675ABE"/>
    <w:rsid w:val="0067733C"/>
    <w:rsid w:val="00677867"/>
    <w:rsid w:val="00677A24"/>
    <w:rsid w:val="00677B27"/>
    <w:rsid w:val="00680028"/>
    <w:rsid w:val="006810BE"/>
    <w:rsid w:val="00681427"/>
    <w:rsid w:val="00681D56"/>
    <w:rsid w:val="006825AB"/>
    <w:rsid w:val="00682A9E"/>
    <w:rsid w:val="00683C77"/>
    <w:rsid w:val="00683DD5"/>
    <w:rsid w:val="00684210"/>
    <w:rsid w:val="00685362"/>
    <w:rsid w:val="006873BE"/>
    <w:rsid w:val="00687D97"/>
    <w:rsid w:val="006902F7"/>
    <w:rsid w:val="00690A2B"/>
    <w:rsid w:val="0069140E"/>
    <w:rsid w:val="00691EDA"/>
    <w:rsid w:val="00691F6D"/>
    <w:rsid w:val="00692418"/>
    <w:rsid w:val="006924B2"/>
    <w:rsid w:val="0069257C"/>
    <w:rsid w:val="00693527"/>
    <w:rsid w:val="00694EC7"/>
    <w:rsid w:val="00695E44"/>
    <w:rsid w:val="00697AB0"/>
    <w:rsid w:val="006A06D5"/>
    <w:rsid w:val="006A42D0"/>
    <w:rsid w:val="006A4EF2"/>
    <w:rsid w:val="006A5011"/>
    <w:rsid w:val="006A539B"/>
    <w:rsid w:val="006A5459"/>
    <w:rsid w:val="006A5516"/>
    <w:rsid w:val="006A5BEA"/>
    <w:rsid w:val="006A6380"/>
    <w:rsid w:val="006A73FE"/>
    <w:rsid w:val="006A74DE"/>
    <w:rsid w:val="006B08C1"/>
    <w:rsid w:val="006B0CAC"/>
    <w:rsid w:val="006B1234"/>
    <w:rsid w:val="006B1447"/>
    <w:rsid w:val="006B1E68"/>
    <w:rsid w:val="006B2980"/>
    <w:rsid w:val="006B3319"/>
    <w:rsid w:val="006B436C"/>
    <w:rsid w:val="006B4659"/>
    <w:rsid w:val="006B4C51"/>
    <w:rsid w:val="006B5770"/>
    <w:rsid w:val="006B5B3C"/>
    <w:rsid w:val="006B609A"/>
    <w:rsid w:val="006B6598"/>
    <w:rsid w:val="006B7670"/>
    <w:rsid w:val="006B7CAA"/>
    <w:rsid w:val="006C046E"/>
    <w:rsid w:val="006C068C"/>
    <w:rsid w:val="006C0E45"/>
    <w:rsid w:val="006C117E"/>
    <w:rsid w:val="006C1600"/>
    <w:rsid w:val="006C1F53"/>
    <w:rsid w:val="006C22BB"/>
    <w:rsid w:val="006C26AD"/>
    <w:rsid w:val="006C3152"/>
    <w:rsid w:val="006C45F1"/>
    <w:rsid w:val="006C45FC"/>
    <w:rsid w:val="006C4A50"/>
    <w:rsid w:val="006C5E47"/>
    <w:rsid w:val="006C6C59"/>
    <w:rsid w:val="006C7136"/>
    <w:rsid w:val="006D01DB"/>
    <w:rsid w:val="006D088F"/>
    <w:rsid w:val="006D304D"/>
    <w:rsid w:val="006D3EC1"/>
    <w:rsid w:val="006D4895"/>
    <w:rsid w:val="006D4A23"/>
    <w:rsid w:val="006D605D"/>
    <w:rsid w:val="006D62E6"/>
    <w:rsid w:val="006D6C61"/>
    <w:rsid w:val="006D72F9"/>
    <w:rsid w:val="006D746C"/>
    <w:rsid w:val="006D7766"/>
    <w:rsid w:val="006D7A02"/>
    <w:rsid w:val="006D7BB7"/>
    <w:rsid w:val="006E0401"/>
    <w:rsid w:val="006E0A29"/>
    <w:rsid w:val="006E0E82"/>
    <w:rsid w:val="006E310A"/>
    <w:rsid w:val="006E345B"/>
    <w:rsid w:val="006E3988"/>
    <w:rsid w:val="006E52B9"/>
    <w:rsid w:val="006E589C"/>
    <w:rsid w:val="006E67B5"/>
    <w:rsid w:val="006E6A6B"/>
    <w:rsid w:val="006E770E"/>
    <w:rsid w:val="006E792B"/>
    <w:rsid w:val="006E7C47"/>
    <w:rsid w:val="006E7DFF"/>
    <w:rsid w:val="006E7F67"/>
    <w:rsid w:val="006E7F75"/>
    <w:rsid w:val="006F078E"/>
    <w:rsid w:val="006F0EFD"/>
    <w:rsid w:val="006F1295"/>
    <w:rsid w:val="006F14B6"/>
    <w:rsid w:val="006F17D5"/>
    <w:rsid w:val="006F2AF4"/>
    <w:rsid w:val="006F2EC7"/>
    <w:rsid w:val="006F314E"/>
    <w:rsid w:val="006F3F8F"/>
    <w:rsid w:val="006F6070"/>
    <w:rsid w:val="006F61FB"/>
    <w:rsid w:val="006F6356"/>
    <w:rsid w:val="006F70A8"/>
    <w:rsid w:val="006F7C3E"/>
    <w:rsid w:val="00700A4E"/>
    <w:rsid w:val="00701337"/>
    <w:rsid w:val="007013BD"/>
    <w:rsid w:val="00701FE0"/>
    <w:rsid w:val="0070212A"/>
    <w:rsid w:val="0070256E"/>
    <w:rsid w:val="007040C1"/>
    <w:rsid w:val="007048A3"/>
    <w:rsid w:val="00705253"/>
    <w:rsid w:val="007060F4"/>
    <w:rsid w:val="007066A1"/>
    <w:rsid w:val="007066E5"/>
    <w:rsid w:val="00706830"/>
    <w:rsid w:val="00707656"/>
    <w:rsid w:val="007078D3"/>
    <w:rsid w:val="007101D8"/>
    <w:rsid w:val="007103C3"/>
    <w:rsid w:val="007103E4"/>
    <w:rsid w:val="007106F4"/>
    <w:rsid w:val="00710A9B"/>
    <w:rsid w:val="00712716"/>
    <w:rsid w:val="00713D10"/>
    <w:rsid w:val="00715515"/>
    <w:rsid w:val="0071581A"/>
    <w:rsid w:val="007158D1"/>
    <w:rsid w:val="00715993"/>
    <w:rsid w:val="007165CD"/>
    <w:rsid w:val="007167D5"/>
    <w:rsid w:val="00716A22"/>
    <w:rsid w:val="00716E78"/>
    <w:rsid w:val="00716FCE"/>
    <w:rsid w:val="00717171"/>
    <w:rsid w:val="007179CC"/>
    <w:rsid w:val="00717CCA"/>
    <w:rsid w:val="00720AEB"/>
    <w:rsid w:val="00720D0D"/>
    <w:rsid w:val="00721AFE"/>
    <w:rsid w:val="00721F1C"/>
    <w:rsid w:val="00722DAA"/>
    <w:rsid w:val="007244C6"/>
    <w:rsid w:val="00724A93"/>
    <w:rsid w:val="00725072"/>
    <w:rsid w:val="00725748"/>
    <w:rsid w:val="00725D06"/>
    <w:rsid w:val="00726300"/>
    <w:rsid w:val="00726381"/>
    <w:rsid w:val="007264C1"/>
    <w:rsid w:val="00727AC4"/>
    <w:rsid w:val="00727DC0"/>
    <w:rsid w:val="00730244"/>
    <w:rsid w:val="00731485"/>
    <w:rsid w:val="007315E0"/>
    <w:rsid w:val="00731815"/>
    <w:rsid w:val="00731DDB"/>
    <w:rsid w:val="00732489"/>
    <w:rsid w:val="00732612"/>
    <w:rsid w:val="00733C44"/>
    <w:rsid w:val="00733D9D"/>
    <w:rsid w:val="00737137"/>
    <w:rsid w:val="007379C7"/>
    <w:rsid w:val="00737B55"/>
    <w:rsid w:val="00740384"/>
    <w:rsid w:val="007419BD"/>
    <w:rsid w:val="00742E84"/>
    <w:rsid w:val="00745927"/>
    <w:rsid w:val="00747148"/>
    <w:rsid w:val="00747A4F"/>
    <w:rsid w:val="007509BE"/>
    <w:rsid w:val="00751794"/>
    <w:rsid w:val="007528CD"/>
    <w:rsid w:val="00753150"/>
    <w:rsid w:val="00753B63"/>
    <w:rsid w:val="007542CE"/>
    <w:rsid w:val="00754401"/>
    <w:rsid w:val="00754558"/>
    <w:rsid w:val="00754923"/>
    <w:rsid w:val="0075595D"/>
    <w:rsid w:val="0075774C"/>
    <w:rsid w:val="0075797E"/>
    <w:rsid w:val="00757C29"/>
    <w:rsid w:val="007606FD"/>
    <w:rsid w:val="0076093C"/>
    <w:rsid w:val="00760F2E"/>
    <w:rsid w:val="0076198F"/>
    <w:rsid w:val="007621A4"/>
    <w:rsid w:val="0076351E"/>
    <w:rsid w:val="007635D4"/>
    <w:rsid w:val="007642DD"/>
    <w:rsid w:val="007643BF"/>
    <w:rsid w:val="00764422"/>
    <w:rsid w:val="007645FC"/>
    <w:rsid w:val="00764EA7"/>
    <w:rsid w:val="007659E3"/>
    <w:rsid w:val="0076645C"/>
    <w:rsid w:val="00766A59"/>
    <w:rsid w:val="00770273"/>
    <w:rsid w:val="0077124F"/>
    <w:rsid w:val="00771E99"/>
    <w:rsid w:val="00771F8D"/>
    <w:rsid w:val="0077233D"/>
    <w:rsid w:val="007723E9"/>
    <w:rsid w:val="00773FF7"/>
    <w:rsid w:val="00774600"/>
    <w:rsid w:val="007754AA"/>
    <w:rsid w:val="00775981"/>
    <w:rsid w:val="00775B2A"/>
    <w:rsid w:val="0077624F"/>
    <w:rsid w:val="00777200"/>
    <w:rsid w:val="007779BE"/>
    <w:rsid w:val="00780A16"/>
    <w:rsid w:val="00780B3F"/>
    <w:rsid w:val="00781096"/>
    <w:rsid w:val="00781544"/>
    <w:rsid w:val="00781EEB"/>
    <w:rsid w:val="00782E5D"/>
    <w:rsid w:val="00783EDD"/>
    <w:rsid w:val="007844B9"/>
    <w:rsid w:val="00784B54"/>
    <w:rsid w:val="00784B7B"/>
    <w:rsid w:val="00784E2D"/>
    <w:rsid w:val="00785B2D"/>
    <w:rsid w:val="00785D9A"/>
    <w:rsid w:val="00786546"/>
    <w:rsid w:val="00786B2E"/>
    <w:rsid w:val="00786D9F"/>
    <w:rsid w:val="0078707D"/>
    <w:rsid w:val="0078731E"/>
    <w:rsid w:val="0078749E"/>
    <w:rsid w:val="00787B9C"/>
    <w:rsid w:val="00792347"/>
    <w:rsid w:val="00793148"/>
    <w:rsid w:val="007938C2"/>
    <w:rsid w:val="00793A8C"/>
    <w:rsid w:val="0079424C"/>
    <w:rsid w:val="00794F4B"/>
    <w:rsid w:val="007955BF"/>
    <w:rsid w:val="007957DC"/>
    <w:rsid w:val="00795C4D"/>
    <w:rsid w:val="00796F48"/>
    <w:rsid w:val="0079722D"/>
    <w:rsid w:val="0079792F"/>
    <w:rsid w:val="00797A50"/>
    <w:rsid w:val="00797C0F"/>
    <w:rsid w:val="007A0840"/>
    <w:rsid w:val="007A101D"/>
    <w:rsid w:val="007A1814"/>
    <w:rsid w:val="007A1B5A"/>
    <w:rsid w:val="007A1C00"/>
    <w:rsid w:val="007A2603"/>
    <w:rsid w:val="007A2DED"/>
    <w:rsid w:val="007A33BE"/>
    <w:rsid w:val="007A3D33"/>
    <w:rsid w:val="007A44EA"/>
    <w:rsid w:val="007A507C"/>
    <w:rsid w:val="007A623C"/>
    <w:rsid w:val="007A66D2"/>
    <w:rsid w:val="007B00B3"/>
    <w:rsid w:val="007B052F"/>
    <w:rsid w:val="007B0EAA"/>
    <w:rsid w:val="007B0FFC"/>
    <w:rsid w:val="007B16DD"/>
    <w:rsid w:val="007B29B1"/>
    <w:rsid w:val="007B2FA4"/>
    <w:rsid w:val="007B3638"/>
    <w:rsid w:val="007B367F"/>
    <w:rsid w:val="007B53FB"/>
    <w:rsid w:val="007B5CEF"/>
    <w:rsid w:val="007B729E"/>
    <w:rsid w:val="007C0459"/>
    <w:rsid w:val="007C0595"/>
    <w:rsid w:val="007C2D5E"/>
    <w:rsid w:val="007C310D"/>
    <w:rsid w:val="007C3B5E"/>
    <w:rsid w:val="007C3FF6"/>
    <w:rsid w:val="007C4AFB"/>
    <w:rsid w:val="007C58FC"/>
    <w:rsid w:val="007C5B41"/>
    <w:rsid w:val="007C61B2"/>
    <w:rsid w:val="007C795A"/>
    <w:rsid w:val="007C7BF2"/>
    <w:rsid w:val="007D1AE1"/>
    <w:rsid w:val="007D1DBF"/>
    <w:rsid w:val="007D2262"/>
    <w:rsid w:val="007D2D0E"/>
    <w:rsid w:val="007D590A"/>
    <w:rsid w:val="007D5A6E"/>
    <w:rsid w:val="007D6243"/>
    <w:rsid w:val="007D64DF"/>
    <w:rsid w:val="007D67E6"/>
    <w:rsid w:val="007D6A28"/>
    <w:rsid w:val="007D718B"/>
    <w:rsid w:val="007D7DD1"/>
    <w:rsid w:val="007E04D9"/>
    <w:rsid w:val="007E1C4C"/>
    <w:rsid w:val="007E1EEE"/>
    <w:rsid w:val="007E4166"/>
    <w:rsid w:val="007E43BB"/>
    <w:rsid w:val="007E49D7"/>
    <w:rsid w:val="007E69EF"/>
    <w:rsid w:val="007E795D"/>
    <w:rsid w:val="007F072A"/>
    <w:rsid w:val="007F07FA"/>
    <w:rsid w:val="007F2B9D"/>
    <w:rsid w:val="007F34FF"/>
    <w:rsid w:val="007F35A7"/>
    <w:rsid w:val="007F53C1"/>
    <w:rsid w:val="007F5441"/>
    <w:rsid w:val="007F55C4"/>
    <w:rsid w:val="007F5D3E"/>
    <w:rsid w:val="007F66CA"/>
    <w:rsid w:val="007F6DFA"/>
    <w:rsid w:val="007F78F7"/>
    <w:rsid w:val="007F79DB"/>
    <w:rsid w:val="0080011D"/>
    <w:rsid w:val="008002FE"/>
    <w:rsid w:val="00800F17"/>
    <w:rsid w:val="00801C0D"/>
    <w:rsid w:val="00802138"/>
    <w:rsid w:val="00802BD0"/>
    <w:rsid w:val="0080383E"/>
    <w:rsid w:val="0080437A"/>
    <w:rsid w:val="00804D93"/>
    <w:rsid w:val="00805571"/>
    <w:rsid w:val="00807673"/>
    <w:rsid w:val="00807AE2"/>
    <w:rsid w:val="00807D82"/>
    <w:rsid w:val="008107E4"/>
    <w:rsid w:val="00811B19"/>
    <w:rsid w:val="00812CE7"/>
    <w:rsid w:val="00814F3C"/>
    <w:rsid w:val="00815159"/>
    <w:rsid w:val="0081538F"/>
    <w:rsid w:val="00815877"/>
    <w:rsid w:val="00815FBA"/>
    <w:rsid w:val="00816010"/>
    <w:rsid w:val="00816205"/>
    <w:rsid w:val="0081779D"/>
    <w:rsid w:val="00817D5E"/>
    <w:rsid w:val="00820A1B"/>
    <w:rsid w:val="00821B08"/>
    <w:rsid w:val="00821C18"/>
    <w:rsid w:val="00822DFF"/>
    <w:rsid w:val="00823105"/>
    <w:rsid w:val="008233F7"/>
    <w:rsid w:val="00823EA4"/>
    <w:rsid w:val="008256E9"/>
    <w:rsid w:val="00826008"/>
    <w:rsid w:val="008264C0"/>
    <w:rsid w:val="00827114"/>
    <w:rsid w:val="0082738F"/>
    <w:rsid w:val="00827540"/>
    <w:rsid w:val="008275FA"/>
    <w:rsid w:val="00830A5D"/>
    <w:rsid w:val="0083117F"/>
    <w:rsid w:val="00831340"/>
    <w:rsid w:val="00831969"/>
    <w:rsid w:val="00833E98"/>
    <w:rsid w:val="008344AA"/>
    <w:rsid w:val="0083527D"/>
    <w:rsid w:val="00836B88"/>
    <w:rsid w:val="00836F7A"/>
    <w:rsid w:val="008371C1"/>
    <w:rsid w:val="00837870"/>
    <w:rsid w:val="00840228"/>
    <w:rsid w:val="00840339"/>
    <w:rsid w:val="00840B1E"/>
    <w:rsid w:val="00840F49"/>
    <w:rsid w:val="0084176F"/>
    <w:rsid w:val="00841F2E"/>
    <w:rsid w:val="008426A1"/>
    <w:rsid w:val="00842D81"/>
    <w:rsid w:val="00842EC5"/>
    <w:rsid w:val="008430ED"/>
    <w:rsid w:val="00843BE1"/>
    <w:rsid w:val="00843D07"/>
    <w:rsid w:val="00843DA8"/>
    <w:rsid w:val="00843FBF"/>
    <w:rsid w:val="00843FC4"/>
    <w:rsid w:val="008465C1"/>
    <w:rsid w:val="008466DC"/>
    <w:rsid w:val="00846B51"/>
    <w:rsid w:val="00847546"/>
    <w:rsid w:val="00847A13"/>
    <w:rsid w:val="00847A69"/>
    <w:rsid w:val="00850331"/>
    <w:rsid w:val="008509DB"/>
    <w:rsid w:val="00850CF9"/>
    <w:rsid w:val="00852365"/>
    <w:rsid w:val="008524FA"/>
    <w:rsid w:val="00852D98"/>
    <w:rsid w:val="00852FCB"/>
    <w:rsid w:val="0085316E"/>
    <w:rsid w:val="00853D99"/>
    <w:rsid w:val="00853F99"/>
    <w:rsid w:val="00854272"/>
    <w:rsid w:val="008542ED"/>
    <w:rsid w:val="00854303"/>
    <w:rsid w:val="0085473F"/>
    <w:rsid w:val="00854C0D"/>
    <w:rsid w:val="0085588B"/>
    <w:rsid w:val="0085619F"/>
    <w:rsid w:val="00856545"/>
    <w:rsid w:val="00860065"/>
    <w:rsid w:val="00860A8B"/>
    <w:rsid w:val="00860C2A"/>
    <w:rsid w:val="00861D6D"/>
    <w:rsid w:val="00861EA0"/>
    <w:rsid w:val="00862019"/>
    <w:rsid w:val="00862510"/>
    <w:rsid w:val="008635A2"/>
    <w:rsid w:val="00863A32"/>
    <w:rsid w:val="00864365"/>
    <w:rsid w:val="00864AA3"/>
    <w:rsid w:val="0086549E"/>
    <w:rsid w:val="0086581A"/>
    <w:rsid w:val="008703AF"/>
    <w:rsid w:val="00870AF2"/>
    <w:rsid w:val="00871794"/>
    <w:rsid w:val="00872FB1"/>
    <w:rsid w:val="00873623"/>
    <w:rsid w:val="00874236"/>
    <w:rsid w:val="008745CE"/>
    <w:rsid w:val="00874E41"/>
    <w:rsid w:val="00875513"/>
    <w:rsid w:val="0087580F"/>
    <w:rsid w:val="00875F73"/>
    <w:rsid w:val="00876555"/>
    <w:rsid w:val="00877B9A"/>
    <w:rsid w:val="00877D95"/>
    <w:rsid w:val="008806EF"/>
    <w:rsid w:val="00882B5B"/>
    <w:rsid w:val="00882BC7"/>
    <w:rsid w:val="00883157"/>
    <w:rsid w:val="008832CE"/>
    <w:rsid w:val="00883673"/>
    <w:rsid w:val="00883AA9"/>
    <w:rsid w:val="00883DB1"/>
    <w:rsid w:val="008841F6"/>
    <w:rsid w:val="008849C5"/>
    <w:rsid w:val="008853D0"/>
    <w:rsid w:val="00885BE4"/>
    <w:rsid w:val="00886552"/>
    <w:rsid w:val="008867CF"/>
    <w:rsid w:val="008868EA"/>
    <w:rsid w:val="00887424"/>
    <w:rsid w:val="00887E08"/>
    <w:rsid w:val="00887E26"/>
    <w:rsid w:val="00890137"/>
    <w:rsid w:val="00891F91"/>
    <w:rsid w:val="008924D2"/>
    <w:rsid w:val="00892A59"/>
    <w:rsid w:val="008931B0"/>
    <w:rsid w:val="00893483"/>
    <w:rsid w:val="0089545F"/>
    <w:rsid w:val="008963C1"/>
    <w:rsid w:val="00896487"/>
    <w:rsid w:val="00896D48"/>
    <w:rsid w:val="008979F5"/>
    <w:rsid w:val="00897BEC"/>
    <w:rsid w:val="008A197C"/>
    <w:rsid w:val="008A233F"/>
    <w:rsid w:val="008A2BE5"/>
    <w:rsid w:val="008A2D21"/>
    <w:rsid w:val="008A3583"/>
    <w:rsid w:val="008A3704"/>
    <w:rsid w:val="008A3955"/>
    <w:rsid w:val="008A397E"/>
    <w:rsid w:val="008A3E44"/>
    <w:rsid w:val="008A4BF1"/>
    <w:rsid w:val="008A516C"/>
    <w:rsid w:val="008A5259"/>
    <w:rsid w:val="008A53D7"/>
    <w:rsid w:val="008A5B5B"/>
    <w:rsid w:val="008A5CB3"/>
    <w:rsid w:val="008A6003"/>
    <w:rsid w:val="008A6B34"/>
    <w:rsid w:val="008A6E95"/>
    <w:rsid w:val="008A7899"/>
    <w:rsid w:val="008A7AC4"/>
    <w:rsid w:val="008B0336"/>
    <w:rsid w:val="008B0A06"/>
    <w:rsid w:val="008B16BA"/>
    <w:rsid w:val="008B183E"/>
    <w:rsid w:val="008B3947"/>
    <w:rsid w:val="008B42F3"/>
    <w:rsid w:val="008B5AE4"/>
    <w:rsid w:val="008B5BDD"/>
    <w:rsid w:val="008B64A3"/>
    <w:rsid w:val="008C2F9D"/>
    <w:rsid w:val="008C442F"/>
    <w:rsid w:val="008C4CF8"/>
    <w:rsid w:val="008C5F5A"/>
    <w:rsid w:val="008C6511"/>
    <w:rsid w:val="008C6602"/>
    <w:rsid w:val="008C6E91"/>
    <w:rsid w:val="008C70DF"/>
    <w:rsid w:val="008C7763"/>
    <w:rsid w:val="008D08EF"/>
    <w:rsid w:val="008D11B0"/>
    <w:rsid w:val="008D1BF6"/>
    <w:rsid w:val="008D2FFB"/>
    <w:rsid w:val="008D3089"/>
    <w:rsid w:val="008D3F6F"/>
    <w:rsid w:val="008D493A"/>
    <w:rsid w:val="008D5B31"/>
    <w:rsid w:val="008D5DB7"/>
    <w:rsid w:val="008D6EA5"/>
    <w:rsid w:val="008D75B0"/>
    <w:rsid w:val="008D7DBA"/>
    <w:rsid w:val="008E01ED"/>
    <w:rsid w:val="008E0338"/>
    <w:rsid w:val="008E08EC"/>
    <w:rsid w:val="008E2D14"/>
    <w:rsid w:val="008E4A3F"/>
    <w:rsid w:val="008E5071"/>
    <w:rsid w:val="008E6006"/>
    <w:rsid w:val="008E64DB"/>
    <w:rsid w:val="008E6533"/>
    <w:rsid w:val="008E6A22"/>
    <w:rsid w:val="008E7BD9"/>
    <w:rsid w:val="008F1421"/>
    <w:rsid w:val="008F200D"/>
    <w:rsid w:val="008F210C"/>
    <w:rsid w:val="008F26E1"/>
    <w:rsid w:val="008F351B"/>
    <w:rsid w:val="008F35EF"/>
    <w:rsid w:val="008F3E7C"/>
    <w:rsid w:val="008F428F"/>
    <w:rsid w:val="008F52F1"/>
    <w:rsid w:val="008F556A"/>
    <w:rsid w:val="008F55AD"/>
    <w:rsid w:val="008F6A9B"/>
    <w:rsid w:val="008F7DE6"/>
    <w:rsid w:val="0090040E"/>
    <w:rsid w:val="009008B2"/>
    <w:rsid w:val="009008CF"/>
    <w:rsid w:val="009011EB"/>
    <w:rsid w:val="00901202"/>
    <w:rsid w:val="0090153B"/>
    <w:rsid w:val="009020C8"/>
    <w:rsid w:val="00902D6C"/>
    <w:rsid w:val="00904967"/>
    <w:rsid w:val="00904F31"/>
    <w:rsid w:val="00904FAC"/>
    <w:rsid w:val="0090549E"/>
    <w:rsid w:val="009056BE"/>
    <w:rsid w:val="009062F9"/>
    <w:rsid w:val="00907E56"/>
    <w:rsid w:val="009105E7"/>
    <w:rsid w:val="00910989"/>
    <w:rsid w:val="009111CF"/>
    <w:rsid w:val="0091483C"/>
    <w:rsid w:val="00915BBA"/>
    <w:rsid w:val="00916F34"/>
    <w:rsid w:val="00917643"/>
    <w:rsid w:val="00917AD0"/>
    <w:rsid w:val="00917ECF"/>
    <w:rsid w:val="00920720"/>
    <w:rsid w:val="009212DB"/>
    <w:rsid w:val="00922D58"/>
    <w:rsid w:val="0092310D"/>
    <w:rsid w:val="0092313C"/>
    <w:rsid w:val="009231E1"/>
    <w:rsid w:val="00923282"/>
    <w:rsid w:val="0092370A"/>
    <w:rsid w:val="00923D26"/>
    <w:rsid w:val="009241A3"/>
    <w:rsid w:val="00924EC1"/>
    <w:rsid w:val="0092532E"/>
    <w:rsid w:val="009256E8"/>
    <w:rsid w:val="00925BB5"/>
    <w:rsid w:val="00926235"/>
    <w:rsid w:val="00926C52"/>
    <w:rsid w:val="009270B8"/>
    <w:rsid w:val="00927172"/>
    <w:rsid w:val="009271DB"/>
    <w:rsid w:val="009276D5"/>
    <w:rsid w:val="00930744"/>
    <w:rsid w:val="00930EE6"/>
    <w:rsid w:val="00931001"/>
    <w:rsid w:val="00931D99"/>
    <w:rsid w:val="0093245A"/>
    <w:rsid w:val="0093385E"/>
    <w:rsid w:val="00933F87"/>
    <w:rsid w:val="0093415D"/>
    <w:rsid w:val="009344C0"/>
    <w:rsid w:val="0093594E"/>
    <w:rsid w:val="0093632B"/>
    <w:rsid w:val="00937780"/>
    <w:rsid w:val="00937F12"/>
    <w:rsid w:val="0094032F"/>
    <w:rsid w:val="00940A7E"/>
    <w:rsid w:val="009414FE"/>
    <w:rsid w:val="00942169"/>
    <w:rsid w:val="0094221E"/>
    <w:rsid w:val="009423C7"/>
    <w:rsid w:val="009436DE"/>
    <w:rsid w:val="00943D80"/>
    <w:rsid w:val="0094487D"/>
    <w:rsid w:val="009448BB"/>
    <w:rsid w:val="0094533C"/>
    <w:rsid w:val="0094539E"/>
    <w:rsid w:val="0094603F"/>
    <w:rsid w:val="009463E3"/>
    <w:rsid w:val="0094691B"/>
    <w:rsid w:val="00946A46"/>
    <w:rsid w:val="00947CD8"/>
    <w:rsid w:val="00950885"/>
    <w:rsid w:val="00951457"/>
    <w:rsid w:val="009519AE"/>
    <w:rsid w:val="0095250F"/>
    <w:rsid w:val="00952AFC"/>
    <w:rsid w:val="00953522"/>
    <w:rsid w:val="00954C63"/>
    <w:rsid w:val="00954EFE"/>
    <w:rsid w:val="0095502F"/>
    <w:rsid w:val="009554DB"/>
    <w:rsid w:val="0095663E"/>
    <w:rsid w:val="00960253"/>
    <w:rsid w:val="00960E99"/>
    <w:rsid w:val="0096188E"/>
    <w:rsid w:val="0096232E"/>
    <w:rsid w:val="0096256C"/>
    <w:rsid w:val="00962DA0"/>
    <w:rsid w:val="009641DC"/>
    <w:rsid w:val="00964301"/>
    <w:rsid w:val="009656B4"/>
    <w:rsid w:val="0096711A"/>
    <w:rsid w:val="00967D5C"/>
    <w:rsid w:val="00971797"/>
    <w:rsid w:val="00971F8E"/>
    <w:rsid w:val="00973270"/>
    <w:rsid w:val="009735F7"/>
    <w:rsid w:val="009738A9"/>
    <w:rsid w:val="00973F87"/>
    <w:rsid w:val="009754C3"/>
    <w:rsid w:val="00975C47"/>
    <w:rsid w:val="00977091"/>
    <w:rsid w:val="009779F3"/>
    <w:rsid w:val="00977B14"/>
    <w:rsid w:val="009804AD"/>
    <w:rsid w:val="0098201D"/>
    <w:rsid w:val="0098219C"/>
    <w:rsid w:val="009827CD"/>
    <w:rsid w:val="00982C0B"/>
    <w:rsid w:val="00982F79"/>
    <w:rsid w:val="009836E4"/>
    <w:rsid w:val="00983A40"/>
    <w:rsid w:val="00984054"/>
    <w:rsid w:val="0098418F"/>
    <w:rsid w:val="0098478C"/>
    <w:rsid w:val="00984B91"/>
    <w:rsid w:val="00985490"/>
    <w:rsid w:val="0098572A"/>
    <w:rsid w:val="00986066"/>
    <w:rsid w:val="00986137"/>
    <w:rsid w:val="00986F76"/>
    <w:rsid w:val="00986FA0"/>
    <w:rsid w:val="00987554"/>
    <w:rsid w:val="00987FB5"/>
    <w:rsid w:val="00990161"/>
    <w:rsid w:val="0099025B"/>
    <w:rsid w:val="00990AF8"/>
    <w:rsid w:val="00990B2C"/>
    <w:rsid w:val="00991802"/>
    <w:rsid w:val="00991970"/>
    <w:rsid w:val="00992342"/>
    <w:rsid w:val="009926AC"/>
    <w:rsid w:val="00992998"/>
    <w:rsid w:val="00993704"/>
    <w:rsid w:val="009937AC"/>
    <w:rsid w:val="00993C16"/>
    <w:rsid w:val="00993C95"/>
    <w:rsid w:val="00993CE7"/>
    <w:rsid w:val="00993FEA"/>
    <w:rsid w:val="009947B3"/>
    <w:rsid w:val="009966B8"/>
    <w:rsid w:val="00996784"/>
    <w:rsid w:val="0099679B"/>
    <w:rsid w:val="00996C16"/>
    <w:rsid w:val="009A1857"/>
    <w:rsid w:val="009A289A"/>
    <w:rsid w:val="009A290B"/>
    <w:rsid w:val="009A43A2"/>
    <w:rsid w:val="009A5FDD"/>
    <w:rsid w:val="009A6B44"/>
    <w:rsid w:val="009A6E7F"/>
    <w:rsid w:val="009A6F41"/>
    <w:rsid w:val="009B2E0D"/>
    <w:rsid w:val="009B3337"/>
    <w:rsid w:val="009B33C2"/>
    <w:rsid w:val="009B3ACA"/>
    <w:rsid w:val="009B4790"/>
    <w:rsid w:val="009B47E9"/>
    <w:rsid w:val="009B5A97"/>
    <w:rsid w:val="009B6D05"/>
    <w:rsid w:val="009C0ED6"/>
    <w:rsid w:val="009C3005"/>
    <w:rsid w:val="009C31FF"/>
    <w:rsid w:val="009C3A18"/>
    <w:rsid w:val="009C3A48"/>
    <w:rsid w:val="009C3CC3"/>
    <w:rsid w:val="009C3ECF"/>
    <w:rsid w:val="009C50BC"/>
    <w:rsid w:val="009C59DC"/>
    <w:rsid w:val="009C5B5E"/>
    <w:rsid w:val="009C7054"/>
    <w:rsid w:val="009C7982"/>
    <w:rsid w:val="009D0421"/>
    <w:rsid w:val="009D0A5F"/>
    <w:rsid w:val="009D11B4"/>
    <w:rsid w:val="009D17B4"/>
    <w:rsid w:val="009D1849"/>
    <w:rsid w:val="009D1C7D"/>
    <w:rsid w:val="009D1D50"/>
    <w:rsid w:val="009D274C"/>
    <w:rsid w:val="009D45F8"/>
    <w:rsid w:val="009D59F6"/>
    <w:rsid w:val="009D6990"/>
    <w:rsid w:val="009D6FE9"/>
    <w:rsid w:val="009D7B85"/>
    <w:rsid w:val="009E0831"/>
    <w:rsid w:val="009E0AB3"/>
    <w:rsid w:val="009E1154"/>
    <w:rsid w:val="009E1261"/>
    <w:rsid w:val="009E1324"/>
    <w:rsid w:val="009E2231"/>
    <w:rsid w:val="009E228A"/>
    <w:rsid w:val="009E2D98"/>
    <w:rsid w:val="009E5B44"/>
    <w:rsid w:val="009E79DD"/>
    <w:rsid w:val="009F129A"/>
    <w:rsid w:val="009F12C1"/>
    <w:rsid w:val="009F1584"/>
    <w:rsid w:val="009F1FCD"/>
    <w:rsid w:val="009F2915"/>
    <w:rsid w:val="009F3B75"/>
    <w:rsid w:val="009F556D"/>
    <w:rsid w:val="009F586D"/>
    <w:rsid w:val="009F59AC"/>
    <w:rsid w:val="009F5FE5"/>
    <w:rsid w:val="009F63B8"/>
    <w:rsid w:val="009F653C"/>
    <w:rsid w:val="009F734B"/>
    <w:rsid w:val="00A007FE"/>
    <w:rsid w:val="00A0113D"/>
    <w:rsid w:val="00A012BB"/>
    <w:rsid w:val="00A01556"/>
    <w:rsid w:val="00A01A0F"/>
    <w:rsid w:val="00A026AB"/>
    <w:rsid w:val="00A02876"/>
    <w:rsid w:val="00A03073"/>
    <w:rsid w:val="00A03C2D"/>
    <w:rsid w:val="00A043BB"/>
    <w:rsid w:val="00A04B5E"/>
    <w:rsid w:val="00A04C09"/>
    <w:rsid w:val="00A04F66"/>
    <w:rsid w:val="00A04FC9"/>
    <w:rsid w:val="00A05279"/>
    <w:rsid w:val="00A05371"/>
    <w:rsid w:val="00A057D4"/>
    <w:rsid w:val="00A05DBB"/>
    <w:rsid w:val="00A066EF"/>
    <w:rsid w:val="00A06F21"/>
    <w:rsid w:val="00A07144"/>
    <w:rsid w:val="00A07C6F"/>
    <w:rsid w:val="00A101F8"/>
    <w:rsid w:val="00A10253"/>
    <w:rsid w:val="00A10C80"/>
    <w:rsid w:val="00A10F8C"/>
    <w:rsid w:val="00A11F2F"/>
    <w:rsid w:val="00A12347"/>
    <w:rsid w:val="00A12413"/>
    <w:rsid w:val="00A12DA4"/>
    <w:rsid w:val="00A15817"/>
    <w:rsid w:val="00A17336"/>
    <w:rsid w:val="00A17A0D"/>
    <w:rsid w:val="00A17A87"/>
    <w:rsid w:val="00A17B1E"/>
    <w:rsid w:val="00A2101A"/>
    <w:rsid w:val="00A212A9"/>
    <w:rsid w:val="00A21300"/>
    <w:rsid w:val="00A2173F"/>
    <w:rsid w:val="00A225F3"/>
    <w:rsid w:val="00A23BCD"/>
    <w:rsid w:val="00A246EA"/>
    <w:rsid w:val="00A319F1"/>
    <w:rsid w:val="00A31BB9"/>
    <w:rsid w:val="00A33ADA"/>
    <w:rsid w:val="00A33B10"/>
    <w:rsid w:val="00A33C56"/>
    <w:rsid w:val="00A3430A"/>
    <w:rsid w:val="00A34DDE"/>
    <w:rsid w:val="00A351A6"/>
    <w:rsid w:val="00A35289"/>
    <w:rsid w:val="00A3553A"/>
    <w:rsid w:val="00A35661"/>
    <w:rsid w:val="00A35B96"/>
    <w:rsid w:val="00A376AD"/>
    <w:rsid w:val="00A37ABD"/>
    <w:rsid w:val="00A4016B"/>
    <w:rsid w:val="00A4017A"/>
    <w:rsid w:val="00A4018F"/>
    <w:rsid w:val="00A410CC"/>
    <w:rsid w:val="00A4181E"/>
    <w:rsid w:val="00A43666"/>
    <w:rsid w:val="00A4379E"/>
    <w:rsid w:val="00A441D3"/>
    <w:rsid w:val="00A44491"/>
    <w:rsid w:val="00A44C4F"/>
    <w:rsid w:val="00A44CC0"/>
    <w:rsid w:val="00A467C1"/>
    <w:rsid w:val="00A4722C"/>
    <w:rsid w:val="00A50194"/>
    <w:rsid w:val="00A51B3C"/>
    <w:rsid w:val="00A53202"/>
    <w:rsid w:val="00A54E13"/>
    <w:rsid w:val="00A54E41"/>
    <w:rsid w:val="00A54E50"/>
    <w:rsid w:val="00A55880"/>
    <w:rsid w:val="00A55DEC"/>
    <w:rsid w:val="00A56A9E"/>
    <w:rsid w:val="00A57170"/>
    <w:rsid w:val="00A577EA"/>
    <w:rsid w:val="00A605A7"/>
    <w:rsid w:val="00A6130D"/>
    <w:rsid w:val="00A6274A"/>
    <w:rsid w:val="00A634A7"/>
    <w:rsid w:val="00A63A20"/>
    <w:rsid w:val="00A63BD4"/>
    <w:rsid w:val="00A64672"/>
    <w:rsid w:val="00A64694"/>
    <w:rsid w:val="00A64E0E"/>
    <w:rsid w:val="00A65661"/>
    <w:rsid w:val="00A65A1F"/>
    <w:rsid w:val="00A66066"/>
    <w:rsid w:val="00A66346"/>
    <w:rsid w:val="00A666F7"/>
    <w:rsid w:val="00A671CE"/>
    <w:rsid w:val="00A6720B"/>
    <w:rsid w:val="00A6798E"/>
    <w:rsid w:val="00A67BF5"/>
    <w:rsid w:val="00A705D6"/>
    <w:rsid w:val="00A7121E"/>
    <w:rsid w:val="00A72DC9"/>
    <w:rsid w:val="00A72EF9"/>
    <w:rsid w:val="00A72F99"/>
    <w:rsid w:val="00A73C80"/>
    <w:rsid w:val="00A74723"/>
    <w:rsid w:val="00A74F20"/>
    <w:rsid w:val="00A75227"/>
    <w:rsid w:val="00A75975"/>
    <w:rsid w:val="00A75F72"/>
    <w:rsid w:val="00A76178"/>
    <w:rsid w:val="00A76613"/>
    <w:rsid w:val="00A77513"/>
    <w:rsid w:val="00A800BA"/>
    <w:rsid w:val="00A8021D"/>
    <w:rsid w:val="00A80314"/>
    <w:rsid w:val="00A80460"/>
    <w:rsid w:val="00A813DE"/>
    <w:rsid w:val="00A817B1"/>
    <w:rsid w:val="00A819F8"/>
    <w:rsid w:val="00A81B3F"/>
    <w:rsid w:val="00A82061"/>
    <w:rsid w:val="00A8233C"/>
    <w:rsid w:val="00A840E5"/>
    <w:rsid w:val="00A8417F"/>
    <w:rsid w:val="00A8488F"/>
    <w:rsid w:val="00A850EE"/>
    <w:rsid w:val="00A85262"/>
    <w:rsid w:val="00A85FB6"/>
    <w:rsid w:val="00A865B0"/>
    <w:rsid w:val="00A86675"/>
    <w:rsid w:val="00A87A0C"/>
    <w:rsid w:val="00A87B04"/>
    <w:rsid w:val="00A903D3"/>
    <w:rsid w:val="00A90594"/>
    <w:rsid w:val="00A90CDF"/>
    <w:rsid w:val="00A91462"/>
    <w:rsid w:val="00A91617"/>
    <w:rsid w:val="00A92760"/>
    <w:rsid w:val="00A931A7"/>
    <w:rsid w:val="00A932EB"/>
    <w:rsid w:val="00A944CD"/>
    <w:rsid w:val="00A94CB0"/>
    <w:rsid w:val="00A94CFC"/>
    <w:rsid w:val="00A956D6"/>
    <w:rsid w:val="00A96102"/>
    <w:rsid w:val="00A969E0"/>
    <w:rsid w:val="00A97D06"/>
    <w:rsid w:val="00AA02C0"/>
    <w:rsid w:val="00AA1879"/>
    <w:rsid w:val="00AA1E37"/>
    <w:rsid w:val="00AA2070"/>
    <w:rsid w:val="00AA234D"/>
    <w:rsid w:val="00AA26BD"/>
    <w:rsid w:val="00AA2B56"/>
    <w:rsid w:val="00AA2FF2"/>
    <w:rsid w:val="00AA46AE"/>
    <w:rsid w:val="00AA4AE5"/>
    <w:rsid w:val="00AA4C17"/>
    <w:rsid w:val="00AA4CCF"/>
    <w:rsid w:val="00AA566F"/>
    <w:rsid w:val="00AA575F"/>
    <w:rsid w:val="00AA595B"/>
    <w:rsid w:val="00AA63EF"/>
    <w:rsid w:val="00AA6D49"/>
    <w:rsid w:val="00AA6F5A"/>
    <w:rsid w:val="00AA7982"/>
    <w:rsid w:val="00AA7FD2"/>
    <w:rsid w:val="00AB0610"/>
    <w:rsid w:val="00AB0A1C"/>
    <w:rsid w:val="00AB113E"/>
    <w:rsid w:val="00AB2889"/>
    <w:rsid w:val="00AB2E4E"/>
    <w:rsid w:val="00AB32B2"/>
    <w:rsid w:val="00AB358E"/>
    <w:rsid w:val="00AB38AA"/>
    <w:rsid w:val="00AB38C0"/>
    <w:rsid w:val="00AB4E92"/>
    <w:rsid w:val="00AB51AC"/>
    <w:rsid w:val="00AB5224"/>
    <w:rsid w:val="00AB789B"/>
    <w:rsid w:val="00AB7E1C"/>
    <w:rsid w:val="00AC0874"/>
    <w:rsid w:val="00AC08CE"/>
    <w:rsid w:val="00AC0DD1"/>
    <w:rsid w:val="00AC0E8F"/>
    <w:rsid w:val="00AC10B2"/>
    <w:rsid w:val="00AC3FF7"/>
    <w:rsid w:val="00AC4606"/>
    <w:rsid w:val="00AC4639"/>
    <w:rsid w:val="00AC5041"/>
    <w:rsid w:val="00AC57F5"/>
    <w:rsid w:val="00AC598F"/>
    <w:rsid w:val="00AC604E"/>
    <w:rsid w:val="00AC615F"/>
    <w:rsid w:val="00AC6A0E"/>
    <w:rsid w:val="00AC6AF4"/>
    <w:rsid w:val="00AC7854"/>
    <w:rsid w:val="00AD06A2"/>
    <w:rsid w:val="00AD0778"/>
    <w:rsid w:val="00AD1302"/>
    <w:rsid w:val="00AD41F5"/>
    <w:rsid w:val="00AD44C7"/>
    <w:rsid w:val="00AD47F6"/>
    <w:rsid w:val="00AD520D"/>
    <w:rsid w:val="00AD57E4"/>
    <w:rsid w:val="00AD5FD9"/>
    <w:rsid w:val="00AD64AD"/>
    <w:rsid w:val="00AD6D6C"/>
    <w:rsid w:val="00AD6DCD"/>
    <w:rsid w:val="00AD6F4A"/>
    <w:rsid w:val="00AD7884"/>
    <w:rsid w:val="00AD7D2F"/>
    <w:rsid w:val="00AE04D8"/>
    <w:rsid w:val="00AE1131"/>
    <w:rsid w:val="00AE1209"/>
    <w:rsid w:val="00AE1240"/>
    <w:rsid w:val="00AE1DD1"/>
    <w:rsid w:val="00AE1E3B"/>
    <w:rsid w:val="00AE2358"/>
    <w:rsid w:val="00AE279B"/>
    <w:rsid w:val="00AE2E57"/>
    <w:rsid w:val="00AE3DD9"/>
    <w:rsid w:val="00AE50A7"/>
    <w:rsid w:val="00AE517B"/>
    <w:rsid w:val="00AE521C"/>
    <w:rsid w:val="00AE5C52"/>
    <w:rsid w:val="00AE6844"/>
    <w:rsid w:val="00AE70B8"/>
    <w:rsid w:val="00AF060A"/>
    <w:rsid w:val="00AF0718"/>
    <w:rsid w:val="00AF1E5B"/>
    <w:rsid w:val="00AF2331"/>
    <w:rsid w:val="00AF4FFF"/>
    <w:rsid w:val="00AF56A0"/>
    <w:rsid w:val="00AF603A"/>
    <w:rsid w:val="00AF701D"/>
    <w:rsid w:val="00AF736B"/>
    <w:rsid w:val="00B0031A"/>
    <w:rsid w:val="00B01C7F"/>
    <w:rsid w:val="00B01E23"/>
    <w:rsid w:val="00B01EBF"/>
    <w:rsid w:val="00B0247C"/>
    <w:rsid w:val="00B02796"/>
    <w:rsid w:val="00B02DA5"/>
    <w:rsid w:val="00B03ED4"/>
    <w:rsid w:val="00B060EA"/>
    <w:rsid w:val="00B06199"/>
    <w:rsid w:val="00B06A66"/>
    <w:rsid w:val="00B06D10"/>
    <w:rsid w:val="00B075C6"/>
    <w:rsid w:val="00B07629"/>
    <w:rsid w:val="00B07980"/>
    <w:rsid w:val="00B07B0F"/>
    <w:rsid w:val="00B07E31"/>
    <w:rsid w:val="00B10ED0"/>
    <w:rsid w:val="00B11AEE"/>
    <w:rsid w:val="00B11EF1"/>
    <w:rsid w:val="00B1208E"/>
    <w:rsid w:val="00B12E5A"/>
    <w:rsid w:val="00B131BC"/>
    <w:rsid w:val="00B1323C"/>
    <w:rsid w:val="00B1359A"/>
    <w:rsid w:val="00B149A5"/>
    <w:rsid w:val="00B15170"/>
    <w:rsid w:val="00B15B82"/>
    <w:rsid w:val="00B166E8"/>
    <w:rsid w:val="00B17271"/>
    <w:rsid w:val="00B17731"/>
    <w:rsid w:val="00B20DF2"/>
    <w:rsid w:val="00B21116"/>
    <w:rsid w:val="00B228FA"/>
    <w:rsid w:val="00B2291D"/>
    <w:rsid w:val="00B22B8F"/>
    <w:rsid w:val="00B24856"/>
    <w:rsid w:val="00B24936"/>
    <w:rsid w:val="00B2519F"/>
    <w:rsid w:val="00B259BC"/>
    <w:rsid w:val="00B266F9"/>
    <w:rsid w:val="00B26F8E"/>
    <w:rsid w:val="00B274C9"/>
    <w:rsid w:val="00B27DDB"/>
    <w:rsid w:val="00B3080F"/>
    <w:rsid w:val="00B3095F"/>
    <w:rsid w:val="00B30F3F"/>
    <w:rsid w:val="00B31098"/>
    <w:rsid w:val="00B31163"/>
    <w:rsid w:val="00B318CE"/>
    <w:rsid w:val="00B31F5A"/>
    <w:rsid w:val="00B3234C"/>
    <w:rsid w:val="00B32CE3"/>
    <w:rsid w:val="00B32F54"/>
    <w:rsid w:val="00B33A94"/>
    <w:rsid w:val="00B33E4B"/>
    <w:rsid w:val="00B33F30"/>
    <w:rsid w:val="00B3504B"/>
    <w:rsid w:val="00B35FED"/>
    <w:rsid w:val="00B37122"/>
    <w:rsid w:val="00B37701"/>
    <w:rsid w:val="00B4127E"/>
    <w:rsid w:val="00B424BE"/>
    <w:rsid w:val="00B43556"/>
    <w:rsid w:val="00B439EA"/>
    <w:rsid w:val="00B44FC7"/>
    <w:rsid w:val="00B450F7"/>
    <w:rsid w:val="00B454F5"/>
    <w:rsid w:val="00B4636B"/>
    <w:rsid w:val="00B465EC"/>
    <w:rsid w:val="00B46763"/>
    <w:rsid w:val="00B46A97"/>
    <w:rsid w:val="00B472E0"/>
    <w:rsid w:val="00B473AF"/>
    <w:rsid w:val="00B47622"/>
    <w:rsid w:val="00B476E6"/>
    <w:rsid w:val="00B51B25"/>
    <w:rsid w:val="00B51BCB"/>
    <w:rsid w:val="00B5248B"/>
    <w:rsid w:val="00B53BB5"/>
    <w:rsid w:val="00B5402A"/>
    <w:rsid w:val="00B54472"/>
    <w:rsid w:val="00B556FF"/>
    <w:rsid w:val="00B560DA"/>
    <w:rsid w:val="00B566C9"/>
    <w:rsid w:val="00B60020"/>
    <w:rsid w:val="00B6048E"/>
    <w:rsid w:val="00B61A47"/>
    <w:rsid w:val="00B62260"/>
    <w:rsid w:val="00B62DAD"/>
    <w:rsid w:val="00B63A60"/>
    <w:rsid w:val="00B63FD6"/>
    <w:rsid w:val="00B6463D"/>
    <w:rsid w:val="00B6488F"/>
    <w:rsid w:val="00B6591E"/>
    <w:rsid w:val="00B65B25"/>
    <w:rsid w:val="00B6633D"/>
    <w:rsid w:val="00B66AD8"/>
    <w:rsid w:val="00B67EFB"/>
    <w:rsid w:val="00B70D2D"/>
    <w:rsid w:val="00B70E38"/>
    <w:rsid w:val="00B7211A"/>
    <w:rsid w:val="00B7214B"/>
    <w:rsid w:val="00B7228A"/>
    <w:rsid w:val="00B72430"/>
    <w:rsid w:val="00B7271B"/>
    <w:rsid w:val="00B72B81"/>
    <w:rsid w:val="00B73215"/>
    <w:rsid w:val="00B7343E"/>
    <w:rsid w:val="00B73A1F"/>
    <w:rsid w:val="00B76163"/>
    <w:rsid w:val="00B76542"/>
    <w:rsid w:val="00B76682"/>
    <w:rsid w:val="00B7671B"/>
    <w:rsid w:val="00B76F9A"/>
    <w:rsid w:val="00B80681"/>
    <w:rsid w:val="00B807DC"/>
    <w:rsid w:val="00B80CEF"/>
    <w:rsid w:val="00B80E1E"/>
    <w:rsid w:val="00B814DE"/>
    <w:rsid w:val="00B8166B"/>
    <w:rsid w:val="00B817FE"/>
    <w:rsid w:val="00B82971"/>
    <w:rsid w:val="00B83B1A"/>
    <w:rsid w:val="00B83B4E"/>
    <w:rsid w:val="00B85AB6"/>
    <w:rsid w:val="00B866D7"/>
    <w:rsid w:val="00B873E1"/>
    <w:rsid w:val="00B87BDB"/>
    <w:rsid w:val="00B90240"/>
    <w:rsid w:val="00B9046A"/>
    <w:rsid w:val="00B9120A"/>
    <w:rsid w:val="00B91DA4"/>
    <w:rsid w:val="00B91DF0"/>
    <w:rsid w:val="00B91EBF"/>
    <w:rsid w:val="00B91ED0"/>
    <w:rsid w:val="00B91F10"/>
    <w:rsid w:val="00B92735"/>
    <w:rsid w:val="00B92C93"/>
    <w:rsid w:val="00B94CB6"/>
    <w:rsid w:val="00B9572A"/>
    <w:rsid w:val="00B9610B"/>
    <w:rsid w:val="00B961EF"/>
    <w:rsid w:val="00B9706E"/>
    <w:rsid w:val="00BA030E"/>
    <w:rsid w:val="00BA09A2"/>
    <w:rsid w:val="00BA0E2B"/>
    <w:rsid w:val="00BA1D8E"/>
    <w:rsid w:val="00BA2142"/>
    <w:rsid w:val="00BA75E2"/>
    <w:rsid w:val="00BA79A0"/>
    <w:rsid w:val="00BB0BD9"/>
    <w:rsid w:val="00BB106F"/>
    <w:rsid w:val="00BB18D5"/>
    <w:rsid w:val="00BB1D21"/>
    <w:rsid w:val="00BB2929"/>
    <w:rsid w:val="00BB2D32"/>
    <w:rsid w:val="00BB3D0A"/>
    <w:rsid w:val="00BB4366"/>
    <w:rsid w:val="00BB48A0"/>
    <w:rsid w:val="00BB53E2"/>
    <w:rsid w:val="00BB5C04"/>
    <w:rsid w:val="00BB6B70"/>
    <w:rsid w:val="00BB6EA2"/>
    <w:rsid w:val="00BB6FED"/>
    <w:rsid w:val="00BC00E6"/>
    <w:rsid w:val="00BC01EB"/>
    <w:rsid w:val="00BC0A15"/>
    <w:rsid w:val="00BC2524"/>
    <w:rsid w:val="00BC3917"/>
    <w:rsid w:val="00BC3C5A"/>
    <w:rsid w:val="00BC4024"/>
    <w:rsid w:val="00BC570A"/>
    <w:rsid w:val="00BC5718"/>
    <w:rsid w:val="00BC5845"/>
    <w:rsid w:val="00BC59D4"/>
    <w:rsid w:val="00BC6BC9"/>
    <w:rsid w:val="00BC71C5"/>
    <w:rsid w:val="00BC782F"/>
    <w:rsid w:val="00BC7999"/>
    <w:rsid w:val="00BC7B21"/>
    <w:rsid w:val="00BD3272"/>
    <w:rsid w:val="00BD3E87"/>
    <w:rsid w:val="00BD4026"/>
    <w:rsid w:val="00BD5EE0"/>
    <w:rsid w:val="00BD5F01"/>
    <w:rsid w:val="00BD7874"/>
    <w:rsid w:val="00BD78F4"/>
    <w:rsid w:val="00BD7A63"/>
    <w:rsid w:val="00BE08BB"/>
    <w:rsid w:val="00BE0C55"/>
    <w:rsid w:val="00BE0D14"/>
    <w:rsid w:val="00BE1BF3"/>
    <w:rsid w:val="00BE1EC8"/>
    <w:rsid w:val="00BE2029"/>
    <w:rsid w:val="00BE247B"/>
    <w:rsid w:val="00BE4830"/>
    <w:rsid w:val="00BE5621"/>
    <w:rsid w:val="00BE5A55"/>
    <w:rsid w:val="00BE6DC9"/>
    <w:rsid w:val="00BE7058"/>
    <w:rsid w:val="00BE7C32"/>
    <w:rsid w:val="00BF0033"/>
    <w:rsid w:val="00BF2223"/>
    <w:rsid w:val="00BF37D7"/>
    <w:rsid w:val="00BF415C"/>
    <w:rsid w:val="00BF4517"/>
    <w:rsid w:val="00BF49F7"/>
    <w:rsid w:val="00BF4A1B"/>
    <w:rsid w:val="00BF502A"/>
    <w:rsid w:val="00BF69E9"/>
    <w:rsid w:val="00BF7537"/>
    <w:rsid w:val="00C00A20"/>
    <w:rsid w:val="00C00FFD"/>
    <w:rsid w:val="00C01465"/>
    <w:rsid w:val="00C019D6"/>
    <w:rsid w:val="00C01EC5"/>
    <w:rsid w:val="00C0218F"/>
    <w:rsid w:val="00C027A8"/>
    <w:rsid w:val="00C02C3A"/>
    <w:rsid w:val="00C02CFA"/>
    <w:rsid w:val="00C036FC"/>
    <w:rsid w:val="00C03AEA"/>
    <w:rsid w:val="00C03F72"/>
    <w:rsid w:val="00C044E2"/>
    <w:rsid w:val="00C0721C"/>
    <w:rsid w:val="00C07F75"/>
    <w:rsid w:val="00C10982"/>
    <w:rsid w:val="00C10CA4"/>
    <w:rsid w:val="00C12B32"/>
    <w:rsid w:val="00C13689"/>
    <w:rsid w:val="00C1456E"/>
    <w:rsid w:val="00C15217"/>
    <w:rsid w:val="00C169D9"/>
    <w:rsid w:val="00C17EC2"/>
    <w:rsid w:val="00C206C5"/>
    <w:rsid w:val="00C217F3"/>
    <w:rsid w:val="00C21C61"/>
    <w:rsid w:val="00C221EA"/>
    <w:rsid w:val="00C22ADE"/>
    <w:rsid w:val="00C24362"/>
    <w:rsid w:val="00C25389"/>
    <w:rsid w:val="00C2557D"/>
    <w:rsid w:val="00C26110"/>
    <w:rsid w:val="00C27E7C"/>
    <w:rsid w:val="00C30040"/>
    <w:rsid w:val="00C305C3"/>
    <w:rsid w:val="00C30909"/>
    <w:rsid w:val="00C309D6"/>
    <w:rsid w:val="00C316CC"/>
    <w:rsid w:val="00C33FE0"/>
    <w:rsid w:val="00C34275"/>
    <w:rsid w:val="00C353E0"/>
    <w:rsid w:val="00C3567A"/>
    <w:rsid w:val="00C366D3"/>
    <w:rsid w:val="00C3698D"/>
    <w:rsid w:val="00C370E1"/>
    <w:rsid w:val="00C3718D"/>
    <w:rsid w:val="00C40319"/>
    <w:rsid w:val="00C403C2"/>
    <w:rsid w:val="00C40BF3"/>
    <w:rsid w:val="00C41779"/>
    <w:rsid w:val="00C417D0"/>
    <w:rsid w:val="00C41A2E"/>
    <w:rsid w:val="00C4241E"/>
    <w:rsid w:val="00C44FD6"/>
    <w:rsid w:val="00C458CD"/>
    <w:rsid w:val="00C463CC"/>
    <w:rsid w:val="00C47943"/>
    <w:rsid w:val="00C47C9A"/>
    <w:rsid w:val="00C47E4E"/>
    <w:rsid w:val="00C505F4"/>
    <w:rsid w:val="00C50806"/>
    <w:rsid w:val="00C53778"/>
    <w:rsid w:val="00C5417F"/>
    <w:rsid w:val="00C548A1"/>
    <w:rsid w:val="00C54A76"/>
    <w:rsid w:val="00C54ABC"/>
    <w:rsid w:val="00C54E8D"/>
    <w:rsid w:val="00C55B65"/>
    <w:rsid w:val="00C560F8"/>
    <w:rsid w:val="00C56B38"/>
    <w:rsid w:val="00C56C89"/>
    <w:rsid w:val="00C57318"/>
    <w:rsid w:val="00C5765C"/>
    <w:rsid w:val="00C57DF1"/>
    <w:rsid w:val="00C6128E"/>
    <w:rsid w:val="00C61453"/>
    <w:rsid w:val="00C6172A"/>
    <w:rsid w:val="00C62245"/>
    <w:rsid w:val="00C6420B"/>
    <w:rsid w:val="00C648D2"/>
    <w:rsid w:val="00C64C0A"/>
    <w:rsid w:val="00C64E99"/>
    <w:rsid w:val="00C65532"/>
    <w:rsid w:val="00C65EB4"/>
    <w:rsid w:val="00C66B72"/>
    <w:rsid w:val="00C66B8A"/>
    <w:rsid w:val="00C66BD3"/>
    <w:rsid w:val="00C671BF"/>
    <w:rsid w:val="00C6760A"/>
    <w:rsid w:val="00C70191"/>
    <w:rsid w:val="00C70807"/>
    <w:rsid w:val="00C70FF9"/>
    <w:rsid w:val="00C71C3F"/>
    <w:rsid w:val="00C729B4"/>
    <w:rsid w:val="00C74EE2"/>
    <w:rsid w:val="00C75031"/>
    <w:rsid w:val="00C752E7"/>
    <w:rsid w:val="00C76393"/>
    <w:rsid w:val="00C7670C"/>
    <w:rsid w:val="00C767B4"/>
    <w:rsid w:val="00C76A9F"/>
    <w:rsid w:val="00C76BDF"/>
    <w:rsid w:val="00C76C68"/>
    <w:rsid w:val="00C76D64"/>
    <w:rsid w:val="00C771DE"/>
    <w:rsid w:val="00C77432"/>
    <w:rsid w:val="00C77535"/>
    <w:rsid w:val="00C77D1E"/>
    <w:rsid w:val="00C80001"/>
    <w:rsid w:val="00C818F2"/>
    <w:rsid w:val="00C820FE"/>
    <w:rsid w:val="00C82B11"/>
    <w:rsid w:val="00C830BF"/>
    <w:rsid w:val="00C85430"/>
    <w:rsid w:val="00C8675D"/>
    <w:rsid w:val="00C879B4"/>
    <w:rsid w:val="00C902CA"/>
    <w:rsid w:val="00C908F2"/>
    <w:rsid w:val="00C9254A"/>
    <w:rsid w:val="00C925EF"/>
    <w:rsid w:val="00C9385A"/>
    <w:rsid w:val="00C939E6"/>
    <w:rsid w:val="00C93CBD"/>
    <w:rsid w:val="00C947B3"/>
    <w:rsid w:val="00C94CC0"/>
    <w:rsid w:val="00C95459"/>
    <w:rsid w:val="00C95568"/>
    <w:rsid w:val="00C95BCB"/>
    <w:rsid w:val="00C969E2"/>
    <w:rsid w:val="00C96D56"/>
    <w:rsid w:val="00C9763F"/>
    <w:rsid w:val="00CA10F4"/>
    <w:rsid w:val="00CA1DD9"/>
    <w:rsid w:val="00CA21F5"/>
    <w:rsid w:val="00CA22E6"/>
    <w:rsid w:val="00CA2906"/>
    <w:rsid w:val="00CA3B2D"/>
    <w:rsid w:val="00CA3E64"/>
    <w:rsid w:val="00CA47D0"/>
    <w:rsid w:val="00CA4CC5"/>
    <w:rsid w:val="00CA4EC2"/>
    <w:rsid w:val="00CA5475"/>
    <w:rsid w:val="00CA5AC7"/>
    <w:rsid w:val="00CA6311"/>
    <w:rsid w:val="00CA7053"/>
    <w:rsid w:val="00CB0195"/>
    <w:rsid w:val="00CB04D9"/>
    <w:rsid w:val="00CB075C"/>
    <w:rsid w:val="00CB0886"/>
    <w:rsid w:val="00CB0DF0"/>
    <w:rsid w:val="00CB106D"/>
    <w:rsid w:val="00CB16D4"/>
    <w:rsid w:val="00CB1902"/>
    <w:rsid w:val="00CB2A87"/>
    <w:rsid w:val="00CB3162"/>
    <w:rsid w:val="00CB3496"/>
    <w:rsid w:val="00CB3EB8"/>
    <w:rsid w:val="00CB4888"/>
    <w:rsid w:val="00CB49B7"/>
    <w:rsid w:val="00CB4DF0"/>
    <w:rsid w:val="00CB70C8"/>
    <w:rsid w:val="00CB7B3F"/>
    <w:rsid w:val="00CC0FA6"/>
    <w:rsid w:val="00CC162B"/>
    <w:rsid w:val="00CC1A72"/>
    <w:rsid w:val="00CC1AB0"/>
    <w:rsid w:val="00CC1AB1"/>
    <w:rsid w:val="00CC27FA"/>
    <w:rsid w:val="00CC27FC"/>
    <w:rsid w:val="00CC3DB7"/>
    <w:rsid w:val="00CC410C"/>
    <w:rsid w:val="00CC4660"/>
    <w:rsid w:val="00CC59C8"/>
    <w:rsid w:val="00CC6908"/>
    <w:rsid w:val="00CC7399"/>
    <w:rsid w:val="00CD08FA"/>
    <w:rsid w:val="00CD1530"/>
    <w:rsid w:val="00CD154D"/>
    <w:rsid w:val="00CD1742"/>
    <w:rsid w:val="00CD18F3"/>
    <w:rsid w:val="00CD2BE1"/>
    <w:rsid w:val="00CD2BFB"/>
    <w:rsid w:val="00CD3041"/>
    <w:rsid w:val="00CD4970"/>
    <w:rsid w:val="00CD5EBE"/>
    <w:rsid w:val="00CD6BE2"/>
    <w:rsid w:val="00CD73D3"/>
    <w:rsid w:val="00CE08F0"/>
    <w:rsid w:val="00CE191B"/>
    <w:rsid w:val="00CE1D05"/>
    <w:rsid w:val="00CE2D55"/>
    <w:rsid w:val="00CE2E29"/>
    <w:rsid w:val="00CE3764"/>
    <w:rsid w:val="00CE42CB"/>
    <w:rsid w:val="00CE43E1"/>
    <w:rsid w:val="00CE4938"/>
    <w:rsid w:val="00CE50B9"/>
    <w:rsid w:val="00CE559F"/>
    <w:rsid w:val="00CE6276"/>
    <w:rsid w:val="00CE6F90"/>
    <w:rsid w:val="00CE744C"/>
    <w:rsid w:val="00CE7A33"/>
    <w:rsid w:val="00CF04A3"/>
    <w:rsid w:val="00CF0EE5"/>
    <w:rsid w:val="00CF29ED"/>
    <w:rsid w:val="00CF2DA7"/>
    <w:rsid w:val="00CF440D"/>
    <w:rsid w:val="00CF5458"/>
    <w:rsid w:val="00CF5D2C"/>
    <w:rsid w:val="00CF5E67"/>
    <w:rsid w:val="00CF7338"/>
    <w:rsid w:val="00D03C54"/>
    <w:rsid w:val="00D04113"/>
    <w:rsid w:val="00D05DC4"/>
    <w:rsid w:val="00D05F5F"/>
    <w:rsid w:val="00D072F6"/>
    <w:rsid w:val="00D07455"/>
    <w:rsid w:val="00D07B7B"/>
    <w:rsid w:val="00D07EF3"/>
    <w:rsid w:val="00D104B1"/>
    <w:rsid w:val="00D10E70"/>
    <w:rsid w:val="00D1114A"/>
    <w:rsid w:val="00D117C1"/>
    <w:rsid w:val="00D12543"/>
    <w:rsid w:val="00D127D0"/>
    <w:rsid w:val="00D13510"/>
    <w:rsid w:val="00D13E00"/>
    <w:rsid w:val="00D13EB5"/>
    <w:rsid w:val="00D144A4"/>
    <w:rsid w:val="00D15A49"/>
    <w:rsid w:val="00D1640F"/>
    <w:rsid w:val="00D177D5"/>
    <w:rsid w:val="00D17B1B"/>
    <w:rsid w:val="00D21083"/>
    <w:rsid w:val="00D22D1A"/>
    <w:rsid w:val="00D235D3"/>
    <w:rsid w:val="00D23A4D"/>
    <w:rsid w:val="00D23EC1"/>
    <w:rsid w:val="00D24469"/>
    <w:rsid w:val="00D24DEB"/>
    <w:rsid w:val="00D24F36"/>
    <w:rsid w:val="00D26A5E"/>
    <w:rsid w:val="00D26D5E"/>
    <w:rsid w:val="00D27A2F"/>
    <w:rsid w:val="00D27ADB"/>
    <w:rsid w:val="00D30299"/>
    <w:rsid w:val="00D317BA"/>
    <w:rsid w:val="00D32254"/>
    <w:rsid w:val="00D32D58"/>
    <w:rsid w:val="00D33116"/>
    <w:rsid w:val="00D33567"/>
    <w:rsid w:val="00D33D93"/>
    <w:rsid w:val="00D3534D"/>
    <w:rsid w:val="00D35B67"/>
    <w:rsid w:val="00D35C0C"/>
    <w:rsid w:val="00D367E4"/>
    <w:rsid w:val="00D37BE3"/>
    <w:rsid w:val="00D37DD7"/>
    <w:rsid w:val="00D37F26"/>
    <w:rsid w:val="00D406CB"/>
    <w:rsid w:val="00D40B12"/>
    <w:rsid w:val="00D41E3C"/>
    <w:rsid w:val="00D43F71"/>
    <w:rsid w:val="00D448C7"/>
    <w:rsid w:val="00D4500C"/>
    <w:rsid w:val="00D450F8"/>
    <w:rsid w:val="00D4549B"/>
    <w:rsid w:val="00D454CC"/>
    <w:rsid w:val="00D45BE7"/>
    <w:rsid w:val="00D4610C"/>
    <w:rsid w:val="00D4635F"/>
    <w:rsid w:val="00D463FE"/>
    <w:rsid w:val="00D47B0A"/>
    <w:rsid w:val="00D47DF4"/>
    <w:rsid w:val="00D5002A"/>
    <w:rsid w:val="00D5097F"/>
    <w:rsid w:val="00D5152E"/>
    <w:rsid w:val="00D52AB1"/>
    <w:rsid w:val="00D52E6E"/>
    <w:rsid w:val="00D53616"/>
    <w:rsid w:val="00D53EA7"/>
    <w:rsid w:val="00D542D8"/>
    <w:rsid w:val="00D548F7"/>
    <w:rsid w:val="00D56276"/>
    <w:rsid w:val="00D56CFE"/>
    <w:rsid w:val="00D56D96"/>
    <w:rsid w:val="00D573A1"/>
    <w:rsid w:val="00D620FE"/>
    <w:rsid w:val="00D62248"/>
    <w:rsid w:val="00D62899"/>
    <w:rsid w:val="00D62905"/>
    <w:rsid w:val="00D62FE5"/>
    <w:rsid w:val="00D64695"/>
    <w:rsid w:val="00D649D7"/>
    <w:rsid w:val="00D6525D"/>
    <w:rsid w:val="00D65ACC"/>
    <w:rsid w:val="00D65B12"/>
    <w:rsid w:val="00D6687C"/>
    <w:rsid w:val="00D66E62"/>
    <w:rsid w:val="00D67EBA"/>
    <w:rsid w:val="00D711CB"/>
    <w:rsid w:val="00D71C18"/>
    <w:rsid w:val="00D71CE2"/>
    <w:rsid w:val="00D71E9F"/>
    <w:rsid w:val="00D7223F"/>
    <w:rsid w:val="00D7227E"/>
    <w:rsid w:val="00D723B1"/>
    <w:rsid w:val="00D731C9"/>
    <w:rsid w:val="00D731EF"/>
    <w:rsid w:val="00D734D3"/>
    <w:rsid w:val="00D73C70"/>
    <w:rsid w:val="00D74F15"/>
    <w:rsid w:val="00D752DA"/>
    <w:rsid w:val="00D75737"/>
    <w:rsid w:val="00D76174"/>
    <w:rsid w:val="00D7768E"/>
    <w:rsid w:val="00D77777"/>
    <w:rsid w:val="00D77AA2"/>
    <w:rsid w:val="00D803DD"/>
    <w:rsid w:val="00D8089B"/>
    <w:rsid w:val="00D80A0D"/>
    <w:rsid w:val="00D81820"/>
    <w:rsid w:val="00D81D27"/>
    <w:rsid w:val="00D81F3E"/>
    <w:rsid w:val="00D820D7"/>
    <w:rsid w:val="00D8362E"/>
    <w:rsid w:val="00D8367E"/>
    <w:rsid w:val="00D86793"/>
    <w:rsid w:val="00D877BF"/>
    <w:rsid w:val="00D90411"/>
    <w:rsid w:val="00D91233"/>
    <w:rsid w:val="00D9327F"/>
    <w:rsid w:val="00D94725"/>
    <w:rsid w:val="00D95EA6"/>
    <w:rsid w:val="00D9620E"/>
    <w:rsid w:val="00D968BC"/>
    <w:rsid w:val="00D96A81"/>
    <w:rsid w:val="00D96DF5"/>
    <w:rsid w:val="00D96F9A"/>
    <w:rsid w:val="00D9745A"/>
    <w:rsid w:val="00D974EE"/>
    <w:rsid w:val="00D97E10"/>
    <w:rsid w:val="00DA0036"/>
    <w:rsid w:val="00DA0E66"/>
    <w:rsid w:val="00DA1467"/>
    <w:rsid w:val="00DA2020"/>
    <w:rsid w:val="00DA2152"/>
    <w:rsid w:val="00DA2578"/>
    <w:rsid w:val="00DA3628"/>
    <w:rsid w:val="00DA3771"/>
    <w:rsid w:val="00DA3BE4"/>
    <w:rsid w:val="00DA4160"/>
    <w:rsid w:val="00DA4672"/>
    <w:rsid w:val="00DA5290"/>
    <w:rsid w:val="00DA589C"/>
    <w:rsid w:val="00DA6BD2"/>
    <w:rsid w:val="00DA6C8E"/>
    <w:rsid w:val="00DB01C4"/>
    <w:rsid w:val="00DB033E"/>
    <w:rsid w:val="00DB078D"/>
    <w:rsid w:val="00DB30BA"/>
    <w:rsid w:val="00DB3403"/>
    <w:rsid w:val="00DB3AFD"/>
    <w:rsid w:val="00DB3CF5"/>
    <w:rsid w:val="00DB40EC"/>
    <w:rsid w:val="00DB414D"/>
    <w:rsid w:val="00DB42A4"/>
    <w:rsid w:val="00DB4850"/>
    <w:rsid w:val="00DB54DA"/>
    <w:rsid w:val="00DB6221"/>
    <w:rsid w:val="00DB7725"/>
    <w:rsid w:val="00DB79C0"/>
    <w:rsid w:val="00DB7AE9"/>
    <w:rsid w:val="00DC0DB1"/>
    <w:rsid w:val="00DC0FD1"/>
    <w:rsid w:val="00DC193D"/>
    <w:rsid w:val="00DC19CB"/>
    <w:rsid w:val="00DC1F36"/>
    <w:rsid w:val="00DC2054"/>
    <w:rsid w:val="00DC3063"/>
    <w:rsid w:val="00DC3787"/>
    <w:rsid w:val="00DC3D5E"/>
    <w:rsid w:val="00DC3F9B"/>
    <w:rsid w:val="00DC4FA0"/>
    <w:rsid w:val="00DC5248"/>
    <w:rsid w:val="00DC7147"/>
    <w:rsid w:val="00DD113C"/>
    <w:rsid w:val="00DD11E8"/>
    <w:rsid w:val="00DD19C4"/>
    <w:rsid w:val="00DD1C1F"/>
    <w:rsid w:val="00DD2813"/>
    <w:rsid w:val="00DD285A"/>
    <w:rsid w:val="00DD2CCC"/>
    <w:rsid w:val="00DD3374"/>
    <w:rsid w:val="00DD3CE4"/>
    <w:rsid w:val="00DD3D44"/>
    <w:rsid w:val="00DD3F16"/>
    <w:rsid w:val="00DD4C1D"/>
    <w:rsid w:val="00DD4E01"/>
    <w:rsid w:val="00DD4F7C"/>
    <w:rsid w:val="00DD62F0"/>
    <w:rsid w:val="00DD6BC6"/>
    <w:rsid w:val="00DD6D53"/>
    <w:rsid w:val="00DD76E7"/>
    <w:rsid w:val="00DE18D9"/>
    <w:rsid w:val="00DE1F9E"/>
    <w:rsid w:val="00DE1FD1"/>
    <w:rsid w:val="00DE1FF8"/>
    <w:rsid w:val="00DE21E9"/>
    <w:rsid w:val="00DE2584"/>
    <w:rsid w:val="00DE2D03"/>
    <w:rsid w:val="00DE317E"/>
    <w:rsid w:val="00DE36E0"/>
    <w:rsid w:val="00DE387D"/>
    <w:rsid w:val="00DE4235"/>
    <w:rsid w:val="00DE4328"/>
    <w:rsid w:val="00DE43D0"/>
    <w:rsid w:val="00DE4445"/>
    <w:rsid w:val="00DE4B5F"/>
    <w:rsid w:val="00DE6123"/>
    <w:rsid w:val="00DE69C6"/>
    <w:rsid w:val="00DE6FA8"/>
    <w:rsid w:val="00DE7532"/>
    <w:rsid w:val="00DE7F68"/>
    <w:rsid w:val="00DF0AF4"/>
    <w:rsid w:val="00DF11AA"/>
    <w:rsid w:val="00DF1704"/>
    <w:rsid w:val="00DF1748"/>
    <w:rsid w:val="00DF1FD8"/>
    <w:rsid w:val="00DF27A0"/>
    <w:rsid w:val="00DF29BF"/>
    <w:rsid w:val="00DF317D"/>
    <w:rsid w:val="00DF38F9"/>
    <w:rsid w:val="00DF426E"/>
    <w:rsid w:val="00DF5FF0"/>
    <w:rsid w:val="00DF6627"/>
    <w:rsid w:val="00DF688D"/>
    <w:rsid w:val="00DF79C0"/>
    <w:rsid w:val="00E00F4A"/>
    <w:rsid w:val="00E01129"/>
    <w:rsid w:val="00E01A14"/>
    <w:rsid w:val="00E01D30"/>
    <w:rsid w:val="00E03814"/>
    <w:rsid w:val="00E04620"/>
    <w:rsid w:val="00E05C1F"/>
    <w:rsid w:val="00E0602F"/>
    <w:rsid w:val="00E079FC"/>
    <w:rsid w:val="00E100DE"/>
    <w:rsid w:val="00E10AA1"/>
    <w:rsid w:val="00E10B04"/>
    <w:rsid w:val="00E11685"/>
    <w:rsid w:val="00E12AE5"/>
    <w:rsid w:val="00E13076"/>
    <w:rsid w:val="00E133F2"/>
    <w:rsid w:val="00E13F97"/>
    <w:rsid w:val="00E1400E"/>
    <w:rsid w:val="00E140C2"/>
    <w:rsid w:val="00E146CB"/>
    <w:rsid w:val="00E14876"/>
    <w:rsid w:val="00E15381"/>
    <w:rsid w:val="00E172C3"/>
    <w:rsid w:val="00E17DB8"/>
    <w:rsid w:val="00E202A3"/>
    <w:rsid w:val="00E207A0"/>
    <w:rsid w:val="00E21A85"/>
    <w:rsid w:val="00E22D50"/>
    <w:rsid w:val="00E2300F"/>
    <w:rsid w:val="00E23122"/>
    <w:rsid w:val="00E2315D"/>
    <w:rsid w:val="00E23456"/>
    <w:rsid w:val="00E244C1"/>
    <w:rsid w:val="00E2498C"/>
    <w:rsid w:val="00E24FDB"/>
    <w:rsid w:val="00E25DA3"/>
    <w:rsid w:val="00E2635D"/>
    <w:rsid w:val="00E265BB"/>
    <w:rsid w:val="00E27396"/>
    <w:rsid w:val="00E27CE1"/>
    <w:rsid w:val="00E30C00"/>
    <w:rsid w:val="00E3206F"/>
    <w:rsid w:val="00E32A9A"/>
    <w:rsid w:val="00E330F6"/>
    <w:rsid w:val="00E3343A"/>
    <w:rsid w:val="00E33908"/>
    <w:rsid w:val="00E341B8"/>
    <w:rsid w:val="00E342CF"/>
    <w:rsid w:val="00E34B3B"/>
    <w:rsid w:val="00E3585F"/>
    <w:rsid w:val="00E35B41"/>
    <w:rsid w:val="00E36CAC"/>
    <w:rsid w:val="00E37904"/>
    <w:rsid w:val="00E404B7"/>
    <w:rsid w:val="00E4104B"/>
    <w:rsid w:val="00E42151"/>
    <w:rsid w:val="00E42F70"/>
    <w:rsid w:val="00E431ED"/>
    <w:rsid w:val="00E43C2D"/>
    <w:rsid w:val="00E44648"/>
    <w:rsid w:val="00E45931"/>
    <w:rsid w:val="00E4706B"/>
    <w:rsid w:val="00E47CA3"/>
    <w:rsid w:val="00E52EC3"/>
    <w:rsid w:val="00E53398"/>
    <w:rsid w:val="00E5368A"/>
    <w:rsid w:val="00E53858"/>
    <w:rsid w:val="00E55AAA"/>
    <w:rsid w:val="00E56574"/>
    <w:rsid w:val="00E56CC7"/>
    <w:rsid w:val="00E57444"/>
    <w:rsid w:val="00E5753B"/>
    <w:rsid w:val="00E57AA1"/>
    <w:rsid w:val="00E60024"/>
    <w:rsid w:val="00E607A6"/>
    <w:rsid w:val="00E6089B"/>
    <w:rsid w:val="00E6093B"/>
    <w:rsid w:val="00E61A1F"/>
    <w:rsid w:val="00E61FC9"/>
    <w:rsid w:val="00E6298C"/>
    <w:rsid w:val="00E634CE"/>
    <w:rsid w:val="00E63F35"/>
    <w:rsid w:val="00E646C5"/>
    <w:rsid w:val="00E653E2"/>
    <w:rsid w:val="00E65932"/>
    <w:rsid w:val="00E65EA3"/>
    <w:rsid w:val="00E66080"/>
    <w:rsid w:val="00E66386"/>
    <w:rsid w:val="00E663F1"/>
    <w:rsid w:val="00E676BD"/>
    <w:rsid w:val="00E67C8F"/>
    <w:rsid w:val="00E67D6E"/>
    <w:rsid w:val="00E702A5"/>
    <w:rsid w:val="00E712F0"/>
    <w:rsid w:val="00E725F3"/>
    <w:rsid w:val="00E748DF"/>
    <w:rsid w:val="00E74D4B"/>
    <w:rsid w:val="00E75302"/>
    <w:rsid w:val="00E76AB3"/>
    <w:rsid w:val="00E77281"/>
    <w:rsid w:val="00E77AC0"/>
    <w:rsid w:val="00E77C0C"/>
    <w:rsid w:val="00E803E1"/>
    <w:rsid w:val="00E80A56"/>
    <w:rsid w:val="00E80C62"/>
    <w:rsid w:val="00E81252"/>
    <w:rsid w:val="00E813CD"/>
    <w:rsid w:val="00E829FB"/>
    <w:rsid w:val="00E83360"/>
    <w:rsid w:val="00E8415F"/>
    <w:rsid w:val="00E84886"/>
    <w:rsid w:val="00E85E08"/>
    <w:rsid w:val="00E86119"/>
    <w:rsid w:val="00E864A4"/>
    <w:rsid w:val="00E90EFE"/>
    <w:rsid w:val="00E91100"/>
    <w:rsid w:val="00E913B0"/>
    <w:rsid w:val="00E91650"/>
    <w:rsid w:val="00E919C5"/>
    <w:rsid w:val="00E920E6"/>
    <w:rsid w:val="00E92C6F"/>
    <w:rsid w:val="00E9331C"/>
    <w:rsid w:val="00E93B53"/>
    <w:rsid w:val="00E93EDC"/>
    <w:rsid w:val="00E95326"/>
    <w:rsid w:val="00E95B19"/>
    <w:rsid w:val="00E96037"/>
    <w:rsid w:val="00E97395"/>
    <w:rsid w:val="00EA0F0D"/>
    <w:rsid w:val="00EA1B87"/>
    <w:rsid w:val="00EA27AD"/>
    <w:rsid w:val="00EA3A5F"/>
    <w:rsid w:val="00EA3CBA"/>
    <w:rsid w:val="00EA43B2"/>
    <w:rsid w:val="00EA5220"/>
    <w:rsid w:val="00EA56ED"/>
    <w:rsid w:val="00EA589F"/>
    <w:rsid w:val="00EA7363"/>
    <w:rsid w:val="00EA7527"/>
    <w:rsid w:val="00EA7A27"/>
    <w:rsid w:val="00EB0730"/>
    <w:rsid w:val="00EB0D05"/>
    <w:rsid w:val="00EB0E3D"/>
    <w:rsid w:val="00EB1559"/>
    <w:rsid w:val="00EB1B91"/>
    <w:rsid w:val="00EB2B51"/>
    <w:rsid w:val="00EB3B5D"/>
    <w:rsid w:val="00EB3FCE"/>
    <w:rsid w:val="00EB4097"/>
    <w:rsid w:val="00EB48E7"/>
    <w:rsid w:val="00EB4A56"/>
    <w:rsid w:val="00EB4DD1"/>
    <w:rsid w:val="00EB5472"/>
    <w:rsid w:val="00EB57E0"/>
    <w:rsid w:val="00EB5D05"/>
    <w:rsid w:val="00EB63BF"/>
    <w:rsid w:val="00EB7BD8"/>
    <w:rsid w:val="00EB7F70"/>
    <w:rsid w:val="00EC01C4"/>
    <w:rsid w:val="00EC15B1"/>
    <w:rsid w:val="00EC190B"/>
    <w:rsid w:val="00EC272B"/>
    <w:rsid w:val="00EC2BF5"/>
    <w:rsid w:val="00EC3F26"/>
    <w:rsid w:val="00EC43BC"/>
    <w:rsid w:val="00EC4463"/>
    <w:rsid w:val="00EC53F4"/>
    <w:rsid w:val="00EC5465"/>
    <w:rsid w:val="00EC5874"/>
    <w:rsid w:val="00EC628F"/>
    <w:rsid w:val="00EC6E62"/>
    <w:rsid w:val="00EC7AEE"/>
    <w:rsid w:val="00EC7BF7"/>
    <w:rsid w:val="00ED0737"/>
    <w:rsid w:val="00ED0D20"/>
    <w:rsid w:val="00ED16BC"/>
    <w:rsid w:val="00ED279D"/>
    <w:rsid w:val="00ED2D74"/>
    <w:rsid w:val="00ED2FDE"/>
    <w:rsid w:val="00ED3994"/>
    <w:rsid w:val="00ED420A"/>
    <w:rsid w:val="00ED4A8E"/>
    <w:rsid w:val="00ED56B6"/>
    <w:rsid w:val="00ED5E0D"/>
    <w:rsid w:val="00ED6093"/>
    <w:rsid w:val="00ED6845"/>
    <w:rsid w:val="00ED7368"/>
    <w:rsid w:val="00ED76ED"/>
    <w:rsid w:val="00EE115E"/>
    <w:rsid w:val="00EE13A4"/>
    <w:rsid w:val="00EE163C"/>
    <w:rsid w:val="00EE16FC"/>
    <w:rsid w:val="00EE1AAA"/>
    <w:rsid w:val="00EE27DB"/>
    <w:rsid w:val="00EE31A7"/>
    <w:rsid w:val="00EE33AE"/>
    <w:rsid w:val="00EE47F0"/>
    <w:rsid w:val="00EE48A1"/>
    <w:rsid w:val="00EE57EC"/>
    <w:rsid w:val="00EE5B45"/>
    <w:rsid w:val="00EE5C44"/>
    <w:rsid w:val="00EE5E03"/>
    <w:rsid w:val="00EE5E65"/>
    <w:rsid w:val="00EE6253"/>
    <w:rsid w:val="00EE6731"/>
    <w:rsid w:val="00EE70EC"/>
    <w:rsid w:val="00EE728D"/>
    <w:rsid w:val="00EE73A0"/>
    <w:rsid w:val="00EF39E9"/>
    <w:rsid w:val="00EF3DE1"/>
    <w:rsid w:val="00EF3FD1"/>
    <w:rsid w:val="00EF40AD"/>
    <w:rsid w:val="00EF4C89"/>
    <w:rsid w:val="00EF4FD5"/>
    <w:rsid w:val="00EF5168"/>
    <w:rsid w:val="00EF5DB9"/>
    <w:rsid w:val="00EF61CF"/>
    <w:rsid w:val="00EF72BD"/>
    <w:rsid w:val="00EF7483"/>
    <w:rsid w:val="00F0013B"/>
    <w:rsid w:val="00F00350"/>
    <w:rsid w:val="00F00400"/>
    <w:rsid w:val="00F00E62"/>
    <w:rsid w:val="00F0190D"/>
    <w:rsid w:val="00F01EED"/>
    <w:rsid w:val="00F020EB"/>
    <w:rsid w:val="00F021E1"/>
    <w:rsid w:val="00F0250A"/>
    <w:rsid w:val="00F02BD6"/>
    <w:rsid w:val="00F0305D"/>
    <w:rsid w:val="00F0398A"/>
    <w:rsid w:val="00F03BD2"/>
    <w:rsid w:val="00F043E3"/>
    <w:rsid w:val="00F04640"/>
    <w:rsid w:val="00F04B3B"/>
    <w:rsid w:val="00F051FD"/>
    <w:rsid w:val="00F067E3"/>
    <w:rsid w:val="00F06ECD"/>
    <w:rsid w:val="00F06FD3"/>
    <w:rsid w:val="00F078BC"/>
    <w:rsid w:val="00F07935"/>
    <w:rsid w:val="00F10AE3"/>
    <w:rsid w:val="00F10C0D"/>
    <w:rsid w:val="00F117E6"/>
    <w:rsid w:val="00F12713"/>
    <w:rsid w:val="00F129FA"/>
    <w:rsid w:val="00F1304A"/>
    <w:rsid w:val="00F139E2"/>
    <w:rsid w:val="00F13C1F"/>
    <w:rsid w:val="00F14106"/>
    <w:rsid w:val="00F1462E"/>
    <w:rsid w:val="00F14676"/>
    <w:rsid w:val="00F15056"/>
    <w:rsid w:val="00F15144"/>
    <w:rsid w:val="00F15FB6"/>
    <w:rsid w:val="00F16849"/>
    <w:rsid w:val="00F16D90"/>
    <w:rsid w:val="00F174C8"/>
    <w:rsid w:val="00F1772F"/>
    <w:rsid w:val="00F17D60"/>
    <w:rsid w:val="00F200FB"/>
    <w:rsid w:val="00F2042A"/>
    <w:rsid w:val="00F20A22"/>
    <w:rsid w:val="00F20E4E"/>
    <w:rsid w:val="00F21483"/>
    <w:rsid w:val="00F21817"/>
    <w:rsid w:val="00F21826"/>
    <w:rsid w:val="00F21AFB"/>
    <w:rsid w:val="00F221EB"/>
    <w:rsid w:val="00F23AA5"/>
    <w:rsid w:val="00F241B9"/>
    <w:rsid w:val="00F25BE4"/>
    <w:rsid w:val="00F25E10"/>
    <w:rsid w:val="00F25E7C"/>
    <w:rsid w:val="00F2669A"/>
    <w:rsid w:val="00F2765C"/>
    <w:rsid w:val="00F279EB"/>
    <w:rsid w:val="00F30F43"/>
    <w:rsid w:val="00F319B0"/>
    <w:rsid w:val="00F32579"/>
    <w:rsid w:val="00F33E44"/>
    <w:rsid w:val="00F349A3"/>
    <w:rsid w:val="00F34BC5"/>
    <w:rsid w:val="00F36058"/>
    <w:rsid w:val="00F3627A"/>
    <w:rsid w:val="00F366A3"/>
    <w:rsid w:val="00F3706F"/>
    <w:rsid w:val="00F37350"/>
    <w:rsid w:val="00F37C30"/>
    <w:rsid w:val="00F408EC"/>
    <w:rsid w:val="00F40E5A"/>
    <w:rsid w:val="00F41573"/>
    <w:rsid w:val="00F42167"/>
    <w:rsid w:val="00F4230E"/>
    <w:rsid w:val="00F423E5"/>
    <w:rsid w:val="00F42D4F"/>
    <w:rsid w:val="00F438BE"/>
    <w:rsid w:val="00F442B5"/>
    <w:rsid w:val="00F45221"/>
    <w:rsid w:val="00F45918"/>
    <w:rsid w:val="00F46205"/>
    <w:rsid w:val="00F46BE1"/>
    <w:rsid w:val="00F47C85"/>
    <w:rsid w:val="00F50393"/>
    <w:rsid w:val="00F50B23"/>
    <w:rsid w:val="00F511BD"/>
    <w:rsid w:val="00F52284"/>
    <w:rsid w:val="00F5237D"/>
    <w:rsid w:val="00F5253F"/>
    <w:rsid w:val="00F5262D"/>
    <w:rsid w:val="00F535F5"/>
    <w:rsid w:val="00F5398F"/>
    <w:rsid w:val="00F5418A"/>
    <w:rsid w:val="00F54627"/>
    <w:rsid w:val="00F5464D"/>
    <w:rsid w:val="00F55116"/>
    <w:rsid w:val="00F56152"/>
    <w:rsid w:val="00F564DA"/>
    <w:rsid w:val="00F5678A"/>
    <w:rsid w:val="00F56910"/>
    <w:rsid w:val="00F5748F"/>
    <w:rsid w:val="00F60034"/>
    <w:rsid w:val="00F6062E"/>
    <w:rsid w:val="00F6236B"/>
    <w:rsid w:val="00F646AC"/>
    <w:rsid w:val="00F65101"/>
    <w:rsid w:val="00F65589"/>
    <w:rsid w:val="00F660FF"/>
    <w:rsid w:val="00F66D28"/>
    <w:rsid w:val="00F67A29"/>
    <w:rsid w:val="00F67F0D"/>
    <w:rsid w:val="00F71FD5"/>
    <w:rsid w:val="00F7215E"/>
    <w:rsid w:val="00F72E46"/>
    <w:rsid w:val="00F733AE"/>
    <w:rsid w:val="00F73B10"/>
    <w:rsid w:val="00F73B15"/>
    <w:rsid w:val="00F7676D"/>
    <w:rsid w:val="00F777B7"/>
    <w:rsid w:val="00F77871"/>
    <w:rsid w:val="00F77D85"/>
    <w:rsid w:val="00F77EB0"/>
    <w:rsid w:val="00F80163"/>
    <w:rsid w:val="00F80D78"/>
    <w:rsid w:val="00F80EA6"/>
    <w:rsid w:val="00F81F47"/>
    <w:rsid w:val="00F8239D"/>
    <w:rsid w:val="00F83022"/>
    <w:rsid w:val="00F830EE"/>
    <w:rsid w:val="00F83816"/>
    <w:rsid w:val="00F83946"/>
    <w:rsid w:val="00F843D7"/>
    <w:rsid w:val="00F843D8"/>
    <w:rsid w:val="00F84409"/>
    <w:rsid w:val="00F8467E"/>
    <w:rsid w:val="00F84A3C"/>
    <w:rsid w:val="00F84DFD"/>
    <w:rsid w:val="00F8533B"/>
    <w:rsid w:val="00F854C1"/>
    <w:rsid w:val="00F8608A"/>
    <w:rsid w:val="00F866A8"/>
    <w:rsid w:val="00F87592"/>
    <w:rsid w:val="00F87637"/>
    <w:rsid w:val="00F87A20"/>
    <w:rsid w:val="00F87CEB"/>
    <w:rsid w:val="00F9006E"/>
    <w:rsid w:val="00F90E84"/>
    <w:rsid w:val="00F92FF2"/>
    <w:rsid w:val="00F941D5"/>
    <w:rsid w:val="00F945D0"/>
    <w:rsid w:val="00F95CA9"/>
    <w:rsid w:val="00F96443"/>
    <w:rsid w:val="00F96609"/>
    <w:rsid w:val="00F96AF2"/>
    <w:rsid w:val="00F97552"/>
    <w:rsid w:val="00F97A02"/>
    <w:rsid w:val="00F97A33"/>
    <w:rsid w:val="00FA0531"/>
    <w:rsid w:val="00FA062A"/>
    <w:rsid w:val="00FA0829"/>
    <w:rsid w:val="00FA0B20"/>
    <w:rsid w:val="00FA1EA1"/>
    <w:rsid w:val="00FA2308"/>
    <w:rsid w:val="00FA2C3D"/>
    <w:rsid w:val="00FA367F"/>
    <w:rsid w:val="00FA47EA"/>
    <w:rsid w:val="00FA4813"/>
    <w:rsid w:val="00FA5E0F"/>
    <w:rsid w:val="00FA69F7"/>
    <w:rsid w:val="00FA7303"/>
    <w:rsid w:val="00FA75F9"/>
    <w:rsid w:val="00FB0682"/>
    <w:rsid w:val="00FB0DFD"/>
    <w:rsid w:val="00FB0F7C"/>
    <w:rsid w:val="00FB10FF"/>
    <w:rsid w:val="00FB15E8"/>
    <w:rsid w:val="00FB1F0C"/>
    <w:rsid w:val="00FB384D"/>
    <w:rsid w:val="00FB3CB7"/>
    <w:rsid w:val="00FB46DF"/>
    <w:rsid w:val="00FB4912"/>
    <w:rsid w:val="00FB5A70"/>
    <w:rsid w:val="00FB6D8B"/>
    <w:rsid w:val="00FB6FB7"/>
    <w:rsid w:val="00FB6FBB"/>
    <w:rsid w:val="00FB7887"/>
    <w:rsid w:val="00FB7CCD"/>
    <w:rsid w:val="00FC05B3"/>
    <w:rsid w:val="00FC0D24"/>
    <w:rsid w:val="00FC1C9F"/>
    <w:rsid w:val="00FC2264"/>
    <w:rsid w:val="00FC22CF"/>
    <w:rsid w:val="00FC26FA"/>
    <w:rsid w:val="00FC33B7"/>
    <w:rsid w:val="00FC3B1B"/>
    <w:rsid w:val="00FC53F5"/>
    <w:rsid w:val="00FC5B43"/>
    <w:rsid w:val="00FC7101"/>
    <w:rsid w:val="00FC7570"/>
    <w:rsid w:val="00FC7B6B"/>
    <w:rsid w:val="00FD0770"/>
    <w:rsid w:val="00FD090C"/>
    <w:rsid w:val="00FD2592"/>
    <w:rsid w:val="00FD26AA"/>
    <w:rsid w:val="00FD29BC"/>
    <w:rsid w:val="00FD2FA4"/>
    <w:rsid w:val="00FD389F"/>
    <w:rsid w:val="00FD41E9"/>
    <w:rsid w:val="00FD4CD2"/>
    <w:rsid w:val="00FD57A5"/>
    <w:rsid w:val="00FD5A3D"/>
    <w:rsid w:val="00FD5EEF"/>
    <w:rsid w:val="00FD6421"/>
    <w:rsid w:val="00FD6A60"/>
    <w:rsid w:val="00FD7CFA"/>
    <w:rsid w:val="00FE1A19"/>
    <w:rsid w:val="00FE1AFE"/>
    <w:rsid w:val="00FE34C9"/>
    <w:rsid w:val="00FE3542"/>
    <w:rsid w:val="00FE372A"/>
    <w:rsid w:val="00FE3CC8"/>
    <w:rsid w:val="00FE494D"/>
    <w:rsid w:val="00FE4CE4"/>
    <w:rsid w:val="00FE4CFA"/>
    <w:rsid w:val="00FE53FB"/>
    <w:rsid w:val="00FE6AF8"/>
    <w:rsid w:val="00FE6FD7"/>
    <w:rsid w:val="00FE778F"/>
    <w:rsid w:val="00FF0F71"/>
    <w:rsid w:val="00FF205E"/>
    <w:rsid w:val="00FF2D5F"/>
    <w:rsid w:val="00FF377D"/>
    <w:rsid w:val="00FF3B73"/>
    <w:rsid w:val="00FF446B"/>
    <w:rsid w:val="00FF4502"/>
    <w:rsid w:val="00FF550F"/>
    <w:rsid w:val="00FF600E"/>
    <w:rsid w:val="00FF6971"/>
    <w:rsid w:val="00FF6AFD"/>
    <w:rsid w:val="00FF6C18"/>
    <w:rsid w:val="00FF6D1F"/>
    <w:rsid w:val="00FF7715"/>
    <w:rsid w:val="00FF7756"/>
    <w:rsid w:val="00FF77FD"/>
    <w:rsid w:val="00FF7C5C"/>
    <w:rsid w:val="010A2FEF"/>
    <w:rsid w:val="010B405F"/>
    <w:rsid w:val="01241919"/>
    <w:rsid w:val="01347A59"/>
    <w:rsid w:val="01687703"/>
    <w:rsid w:val="01705BA7"/>
    <w:rsid w:val="01726C99"/>
    <w:rsid w:val="017A716C"/>
    <w:rsid w:val="018067FB"/>
    <w:rsid w:val="018E701C"/>
    <w:rsid w:val="01927CB8"/>
    <w:rsid w:val="01A7022B"/>
    <w:rsid w:val="01BB3CD7"/>
    <w:rsid w:val="01CE3A0A"/>
    <w:rsid w:val="01DD1E9F"/>
    <w:rsid w:val="01E70628"/>
    <w:rsid w:val="01E77E55"/>
    <w:rsid w:val="01EB1C9E"/>
    <w:rsid w:val="01F01BD2"/>
    <w:rsid w:val="01FE26B3"/>
    <w:rsid w:val="020C62E0"/>
    <w:rsid w:val="02370149"/>
    <w:rsid w:val="024C0C1C"/>
    <w:rsid w:val="025F725B"/>
    <w:rsid w:val="026773F7"/>
    <w:rsid w:val="026B2F60"/>
    <w:rsid w:val="0277649D"/>
    <w:rsid w:val="028265A2"/>
    <w:rsid w:val="0298454D"/>
    <w:rsid w:val="02A824AD"/>
    <w:rsid w:val="02B4308A"/>
    <w:rsid w:val="02BE1F13"/>
    <w:rsid w:val="02BF3CB3"/>
    <w:rsid w:val="02D94BDC"/>
    <w:rsid w:val="02E05980"/>
    <w:rsid w:val="02E10158"/>
    <w:rsid w:val="02E33B11"/>
    <w:rsid w:val="02E82CFF"/>
    <w:rsid w:val="02E90CED"/>
    <w:rsid w:val="02FF7BF3"/>
    <w:rsid w:val="03100052"/>
    <w:rsid w:val="031200E5"/>
    <w:rsid w:val="03147647"/>
    <w:rsid w:val="031B44D3"/>
    <w:rsid w:val="032F25B7"/>
    <w:rsid w:val="034355F6"/>
    <w:rsid w:val="03451AAA"/>
    <w:rsid w:val="034C108A"/>
    <w:rsid w:val="034D095E"/>
    <w:rsid w:val="03626918"/>
    <w:rsid w:val="03630182"/>
    <w:rsid w:val="03693B71"/>
    <w:rsid w:val="03790224"/>
    <w:rsid w:val="03822CFE"/>
    <w:rsid w:val="03A8028B"/>
    <w:rsid w:val="03A82039"/>
    <w:rsid w:val="03C30C20"/>
    <w:rsid w:val="03E219EE"/>
    <w:rsid w:val="03FA7BD8"/>
    <w:rsid w:val="04017E0F"/>
    <w:rsid w:val="040629FE"/>
    <w:rsid w:val="040A684F"/>
    <w:rsid w:val="04212517"/>
    <w:rsid w:val="042711AF"/>
    <w:rsid w:val="042F07BA"/>
    <w:rsid w:val="0454051D"/>
    <w:rsid w:val="04560DA6"/>
    <w:rsid w:val="04625B87"/>
    <w:rsid w:val="04641C3D"/>
    <w:rsid w:val="046D74CC"/>
    <w:rsid w:val="047168CE"/>
    <w:rsid w:val="04785EAF"/>
    <w:rsid w:val="047B14FB"/>
    <w:rsid w:val="04826D2E"/>
    <w:rsid w:val="04846602"/>
    <w:rsid w:val="04AA43B1"/>
    <w:rsid w:val="04AC7907"/>
    <w:rsid w:val="04C03310"/>
    <w:rsid w:val="04C27C6B"/>
    <w:rsid w:val="04C5725A"/>
    <w:rsid w:val="04DC01EC"/>
    <w:rsid w:val="04E61A3C"/>
    <w:rsid w:val="04F03492"/>
    <w:rsid w:val="04F965FD"/>
    <w:rsid w:val="04FF037E"/>
    <w:rsid w:val="05030EBC"/>
    <w:rsid w:val="050538AA"/>
    <w:rsid w:val="050B287F"/>
    <w:rsid w:val="05131C44"/>
    <w:rsid w:val="05173208"/>
    <w:rsid w:val="051E25B2"/>
    <w:rsid w:val="05243941"/>
    <w:rsid w:val="052D0A47"/>
    <w:rsid w:val="052E40A0"/>
    <w:rsid w:val="05373674"/>
    <w:rsid w:val="05404C1F"/>
    <w:rsid w:val="054D1F0A"/>
    <w:rsid w:val="05504736"/>
    <w:rsid w:val="055661F0"/>
    <w:rsid w:val="056326BB"/>
    <w:rsid w:val="05791EDF"/>
    <w:rsid w:val="057E5747"/>
    <w:rsid w:val="05812B41"/>
    <w:rsid w:val="058F4C45"/>
    <w:rsid w:val="05982A2A"/>
    <w:rsid w:val="059E6A53"/>
    <w:rsid w:val="05AE51B5"/>
    <w:rsid w:val="05BB6053"/>
    <w:rsid w:val="05C9773C"/>
    <w:rsid w:val="05D1588D"/>
    <w:rsid w:val="05E355AA"/>
    <w:rsid w:val="05F36630"/>
    <w:rsid w:val="05F5326C"/>
    <w:rsid w:val="06054992"/>
    <w:rsid w:val="061B3CEF"/>
    <w:rsid w:val="06287BE0"/>
    <w:rsid w:val="06383B48"/>
    <w:rsid w:val="06565D7C"/>
    <w:rsid w:val="06652463"/>
    <w:rsid w:val="06712BB6"/>
    <w:rsid w:val="06835717"/>
    <w:rsid w:val="06835E10"/>
    <w:rsid w:val="068573EE"/>
    <w:rsid w:val="06864D29"/>
    <w:rsid w:val="068B6266"/>
    <w:rsid w:val="068C7AAD"/>
    <w:rsid w:val="068F128E"/>
    <w:rsid w:val="068F5C58"/>
    <w:rsid w:val="069114AA"/>
    <w:rsid w:val="069F3BC7"/>
    <w:rsid w:val="06B659C8"/>
    <w:rsid w:val="06BC6527"/>
    <w:rsid w:val="06D66EBD"/>
    <w:rsid w:val="06E2427F"/>
    <w:rsid w:val="06F537E7"/>
    <w:rsid w:val="06F80AEE"/>
    <w:rsid w:val="06FD4286"/>
    <w:rsid w:val="070614A8"/>
    <w:rsid w:val="07081152"/>
    <w:rsid w:val="07177C67"/>
    <w:rsid w:val="071874D5"/>
    <w:rsid w:val="071C4BDF"/>
    <w:rsid w:val="07207745"/>
    <w:rsid w:val="072440CC"/>
    <w:rsid w:val="07261E96"/>
    <w:rsid w:val="073C0D88"/>
    <w:rsid w:val="073D0313"/>
    <w:rsid w:val="075528FF"/>
    <w:rsid w:val="077706A0"/>
    <w:rsid w:val="078608E3"/>
    <w:rsid w:val="0789573B"/>
    <w:rsid w:val="07CC09EB"/>
    <w:rsid w:val="07DE427B"/>
    <w:rsid w:val="07FB6BDB"/>
    <w:rsid w:val="080D4B60"/>
    <w:rsid w:val="08147C9D"/>
    <w:rsid w:val="08174184"/>
    <w:rsid w:val="08194EF9"/>
    <w:rsid w:val="083418BD"/>
    <w:rsid w:val="087150EF"/>
    <w:rsid w:val="08793FA4"/>
    <w:rsid w:val="08912130"/>
    <w:rsid w:val="08A1265A"/>
    <w:rsid w:val="08A13C26"/>
    <w:rsid w:val="08A2174C"/>
    <w:rsid w:val="08B913BC"/>
    <w:rsid w:val="08CD2B89"/>
    <w:rsid w:val="08D538D0"/>
    <w:rsid w:val="08D85547"/>
    <w:rsid w:val="08E007C9"/>
    <w:rsid w:val="08E72D92"/>
    <w:rsid w:val="08F655F4"/>
    <w:rsid w:val="08FF26FB"/>
    <w:rsid w:val="091245C6"/>
    <w:rsid w:val="09153CCC"/>
    <w:rsid w:val="09164C4A"/>
    <w:rsid w:val="092C7268"/>
    <w:rsid w:val="0935611C"/>
    <w:rsid w:val="09691C08"/>
    <w:rsid w:val="096B4234"/>
    <w:rsid w:val="096D03BE"/>
    <w:rsid w:val="09727371"/>
    <w:rsid w:val="09812741"/>
    <w:rsid w:val="0988070A"/>
    <w:rsid w:val="099E0166"/>
    <w:rsid w:val="09AD65FB"/>
    <w:rsid w:val="09C5637B"/>
    <w:rsid w:val="09C92BA8"/>
    <w:rsid w:val="09D50EA4"/>
    <w:rsid w:val="09DC0C8E"/>
    <w:rsid w:val="09E55964"/>
    <w:rsid w:val="09E55D95"/>
    <w:rsid w:val="09ED0D1D"/>
    <w:rsid w:val="09F45FD8"/>
    <w:rsid w:val="09F9539C"/>
    <w:rsid w:val="0A00497C"/>
    <w:rsid w:val="0A0A16AF"/>
    <w:rsid w:val="0A1026E6"/>
    <w:rsid w:val="0A2C5771"/>
    <w:rsid w:val="0A3349B3"/>
    <w:rsid w:val="0A3563A4"/>
    <w:rsid w:val="0A3979D6"/>
    <w:rsid w:val="0A3B7763"/>
    <w:rsid w:val="0A6A44EC"/>
    <w:rsid w:val="0A73514E"/>
    <w:rsid w:val="0A747118"/>
    <w:rsid w:val="0A791C35"/>
    <w:rsid w:val="0A7C4068"/>
    <w:rsid w:val="0A934BA1"/>
    <w:rsid w:val="0AA250D3"/>
    <w:rsid w:val="0AC51722"/>
    <w:rsid w:val="0ACE4A7B"/>
    <w:rsid w:val="0ACE533A"/>
    <w:rsid w:val="0AD62F0B"/>
    <w:rsid w:val="0AF51BE5"/>
    <w:rsid w:val="0B074084"/>
    <w:rsid w:val="0B204BAA"/>
    <w:rsid w:val="0B440899"/>
    <w:rsid w:val="0B494101"/>
    <w:rsid w:val="0B4E5BBB"/>
    <w:rsid w:val="0B554854"/>
    <w:rsid w:val="0B740C9C"/>
    <w:rsid w:val="0B756CA4"/>
    <w:rsid w:val="0B7849E6"/>
    <w:rsid w:val="0B7A075E"/>
    <w:rsid w:val="0B9A495D"/>
    <w:rsid w:val="0BA96CFF"/>
    <w:rsid w:val="0BBF2615"/>
    <w:rsid w:val="0BD1195E"/>
    <w:rsid w:val="0BE107DE"/>
    <w:rsid w:val="0BE43E2A"/>
    <w:rsid w:val="0C0078D3"/>
    <w:rsid w:val="0C061FF2"/>
    <w:rsid w:val="0C123C63"/>
    <w:rsid w:val="0C300E1D"/>
    <w:rsid w:val="0C3B7A34"/>
    <w:rsid w:val="0C3C3C66"/>
    <w:rsid w:val="0C4C20FB"/>
    <w:rsid w:val="0C7156BE"/>
    <w:rsid w:val="0C722844"/>
    <w:rsid w:val="0C7F54FE"/>
    <w:rsid w:val="0C84056D"/>
    <w:rsid w:val="0C93493F"/>
    <w:rsid w:val="0CCE08D6"/>
    <w:rsid w:val="0CE506AC"/>
    <w:rsid w:val="0CFA1B57"/>
    <w:rsid w:val="0CFF0F1B"/>
    <w:rsid w:val="0D03428C"/>
    <w:rsid w:val="0D054058"/>
    <w:rsid w:val="0D0C62A1"/>
    <w:rsid w:val="0D0E13B7"/>
    <w:rsid w:val="0D173BE7"/>
    <w:rsid w:val="0D213465"/>
    <w:rsid w:val="0D2E35AF"/>
    <w:rsid w:val="0D4508F8"/>
    <w:rsid w:val="0D49488C"/>
    <w:rsid w:val="0D6945E7"/>
    <w:rsid w:val="0D694CC1"/>
    <w:rsid w:val="0D735FEE"/>
    <w:rsid w:val="0D752E99"/>
    <w:rsid w:val="0D7E4AD3"/>
    <w:rsid w:val="0D817B82"/>
    <w:rsid w:val="0D8408F5"/>
    <w:rsid w:val="0D846158"/>
    <w:rsid w:val="0D887163"/>
    <w:rsid w:val="0D894C89"/>
    <w:rsid w:val="0D8B27AF"/>
    <w:rsid w:val="0D944E97"/>
    <w:rsid w:val="0D994639"/>
    <w:rsid w:val="0DEB3C90"/>
    <w:rsid w:val="0DF84ABB"/>
    <w:rsid w:val="0E041A04"/>
    <w:rsid w:val="0E1868F3"/>
    <w:rsid w:val="0E356BBF"/>
    <w:rsid w:val="0E435125"/>
    <w:rsid w:val="0E4522A7"/>
    <w:rsid w:val="0E4A266A"/>
    <w:rsid w:val="0E4F57CD"/>
    <w:rsid w:val="0E517564"/>
    <w:rsid w:val="0E59465B"/>
    <w:rsid w:val="0E5957C8"/>
    <w:rsid w:val="0E625C06"/>
    <w:rsid w:val="0E634B8E"/>
    <w:rsid w:val="0E65630C"/>
    <w:rsid w:val="0E7F0710"/>
    <w:rsid w:val="0E884F40"/>
    <w:rsid w:val="0E8F3B67"/>
    <w:rsid w:val="0E9476AA"/>
    <w:rsid w:val="0EB372B5"/>
    <w:rsid w:val="0EBC360E"/>
    <w:rsid w:val="0ECC15A3"/>
    <w:rsid w:val="0EEE2CF1"/>
    <w:rsid w:val="0F0F11BE"/>
    <w:rsid w:val="0F1C7046"/>
    <w:rsid w:val="0F1D6ACA"/>
    <w:rsid w:val="0F211204"/>
    <w:rsid w:val="0F2D011C"/>
    <w:rsid w:val="0F566DED"/>
    <w:rsid w:val="0F5D5599"/>
    <w:rsid w:val="0F5F2145"/>
    <w:rsid w:val="0F6C03BE"/>
    <w:rsid w:val="0F7E3EF4"/>
    <w:rsid w:val="0F933B9D"/>
    <w:rsid w:val="0FA70F62"/>
    <w:rsid w:val="0FA77648"/>
    <w:rsid w:val="0FA86C95"/>
    <w:rsid w:val="0FB019A6"/>
    <w:rsid w:val="0FB029A1"/>
    <w:rsid w:val="0FB14527"/>
    <w:rsid w:val="0FB6788B"/>
    <w:rsid w:val="0FB71F81"/>
    <w:rsid w:val="0FB72085"/>
    <w:rsid w:val="0FB97EEB"/>
    <w:rsid w:val="0FC02D3A"/>
    <w:rsid w:val="0FD26C91"/>
    <w:rsid w:val="0FDA5C70"/>
    <w:rsid w:val="0FDE750E"/>
    <w:rsid w:val="0FE34B24"/>
    <w:rsid w:val="0FE95EB3"/>
    <w:rsid w:val="100625C1"/>
    <w:rsid w:val="100867D6"/>
    <w:rsid w:val="10093E5F"/>
    <w:rsid w:val="100F3B6B"/>
    <w:rsid w:val="10122C84"/>
    <w:rsid w:val="10191BD6"/>
    <w:rsid w:val="101B7472"/>
    <w:rsid w:val="10372324"/>
    <w:rsid w:val="10465AF9"/>
    <w:rsid w:val="104B6726"/>
    <w:rsid w:val="10611EED"/>
    <w:rsid w:val="10615A49"/>
    <w:rsid w:val="10645539"/>
    <w:rsid w:val="107444AE"/>
    <w:rsid w:val="10763440"/>
    <w:rsid w:val="107E07D5"/>
    <w:rsid w:val="107F536F"/>
    <w:rsid w:val="109628B6"/>
    <w:rsid w:val="10A02A15"/>
    <w:rsid w:val="10A36062"/>
    <w:rsid w:val="10AD0C8E"/>
    <w:rsid w:val="10C21920"/>
    <w:rsid w:val="10D84E44"/>
    <w:rsid w:val="10ED552F"/>
    <w:rsid w:val="10EF4E57"/>
    <w:rsid w:val="11056D1C"/>
    <w:rsid w:val="111C1411"/>
    <w:rsid w:val="111C6228"/>
    <w:rsid w:val="112C42A9"/>
    <w:rsid w:val="112F5B47"/>
    <w:rsid w:val="113E5D8A"/>
    <w:rsid w:val="11405FA6"/>
    <w:rsid w:val="11423ACC"/>
    <w:rsid w:val="115E356C"/>
    <w:rsid w:val="116C04DB"/>
    <w:rsid w:val="117B2B3A"/>
    <w:rsid w:val="1185512F"/>
    <w:rsid w:val="118C679D"/>
    <w:rsid w:val="1191235E"/>
    <w:rsid w:val="11963E18"/>
    <w:rsid w:val="119903C7"/>
    <w:rsid w:val="119F4A7B"/>
    <w:rsid w:val="11A26319"/>
    <w:rsid w:val="11A976A8"/>
    <w:rsid w:val="11BF511D"/>
    <w:rsid w:val="11D54941"/>
    <w:rsid w:val="11DE6DFA"/>
    <w:rsid w:val="11E174E6"/>
    <w:rsid w:val="11E46932"/>
    <w:rsid w:val="11EB1D92"/>
    <w:rsid w:val="11EC57E6"/>
    <w:rsid w:val="11EE155E"/>
    <w:rsid w:val="11FA7F03"/>
    <w:rsid w:val="1202500A"/>
    <w:rsid w:val="121644DB"/>
    <w:rsid w:val="121E60C8"/>
    <w:rsid w:val="12226944"/>
    <w:rsid w:val="124D097B"/>
    <w:rsid w:val="124E1DE3"/>
    <w:rsid w:val="12505D75"/>
    <w:rsid w:val="12554D36"/>
    <w:rsid w:val="12577104"/>
    <w:rsid w:val="126E2D03"/>
    <w:rsid w:val="12704669"/>
    <w:rsid w:val="128B7392"/>
    <w:rsid w:val="128D0D77"/>
    <w:rsid w:val="128F3F92"/>
    <w:rsid w:val="1299538A"/>
    <w:rsid w:val="129C0FBA"/>
    <w:rsid w:val="12BE5715"/>
    <w:rsid w:val="12C64289"/>
    <w:rsid w:val="12DB1D83"/>
    <w:rsid w:val="12F62DC0"/>
    <w:rsid w:val="12FC48FE"/>
    <w:rsid w:val="13077AC7"/>
    <w:rsid w:val="130B3CE1"/>
    <w:rsid w:val="131D659F"/>
    <w:rsid w:val="132058E6"/>
    <w:rsid w:val="13301B1C"/>
    <w:rsid w:val="136715C8"/>
    <w:rsid w:val="136B2F62"/>
    <w:rsid w:val="13806B2E"/>
    <w:rsid w:val="138403CC"/>
    <w:rsid w:val="13840CD1"/>
    <w:rsid w:val="13A20852"/>
    <w:rsid w:val="13A66595"/>
    <w:rsid w:val="13B710FA"/>
    <w:rsid w:val="13BF1404"/>
    <w:rsid w:val="13CB7DA9"/>
    <w:rsid w:val="13DD186B"/>
    <w:rsid w:val="13DF5635"/>
    <w:rsid w:val="13EC4F4C"/>
    <w:rsid w:val="13F14FFF"/>
    <w:rsid w:val="13F35AFE"/>
    <w:rsid w:val="140137CB"/>
    <w:rsid w:val="14190F6A"/>
    <w:rsid w:val="141F7479"/>
    <w:rsid w:val="142B7F2C"/>
    <w:rsid w:val="14657C81"/>
    <w:rsid w:val="14733F9D"/>
    <w:rsid w:val="14953182"/>
    <w:rsid w:val="14A34882"/>
    <w:rsid w:val="14A95C11"/>
    <w:rsid w:val="14C60571"/>
    <w:rsid w:val="14D31857"/>
    <w:rsid w:val="14EF3F6B"/>
    <w:rsid w:val="14F346E2"/>
    <w:rsid w:val="14F876B9"/>
    <w:rsid w:val="15004878"/>
    <w:rsid w:val="150C73B6"/>
    <w:rsid w:val="1516022D"/>
    <w:rsid w:val="15167536"/>
    <w:rsid w:val="151A0AEB"/>
    <w:rsid w:val="151E215B"/>
    <w:rsid w:val="152461AC"/>
    <w:rsid w:val="152F2B30"/>
    <w:rsid w:val="153556E8"/>
    <w:rsid w:val="15355A80"/>
    <w:rsid w:val="154920D7"/>
    <w:rsid w:val="1577265B"/>
    <w:rsid w:val="157B135B"/>
    <w:rsid w:val="15897252"/>
    <w:rsid w:val="15910B7E"/>
    <w:rsid w:val="15962639"/>
    <w:rsid w:val="15A72150"/>
    <w:rsid w:val="15AD15B6"/>
    <w:rsid w:val="15D30B7E"/>
    <w:rsid w:val="15EB684A"/>
    <w:rsid w:val="15F15AC1"/>
    <w:rsid w:val="15F35395"/>
    <w:rsid w:val="16070E41"/>
    <w:rsid w:val="161C6D36"/>
    <w:rsid w:val="16246FDE"/>
    <w:rsid w:val="1658169C"/>
    <w:rsid w:val="165A3666"/>
    <w:rsid w:val="165B184F"/>
    <w:rsid w:val="165F0C7D"/>
    <w:rsid w:val="166B5873"/>
    <w:rsid w:val="16734728"/>
    <w:rsid w:val="167B566B"/>
    <w:rsid w:val="167E1871"/>
    <w:rsid w:val="168D7598"/>
    <w:rsid w:val="16AA7430"/>
    <w:rsid w:val="16BA5EB3"/>
    <w:rsid w:val="16DD0CDB"/>
    <w:rsid w:val="16E6314C"/>
    <w:rsid w:val="16EA2FDC"/>
    <w:rsid w:val="17063449"/>
    <w:rsid w:val="170830C2"/>
    <w:rsid w:val="17084E70"/>
    <w:rsid w:val="17107107"/>
    <w:rsid w:val="171E590A"/>
    <w:rsid w:val="17231CAA"/>
    <w:rsid w:val="17246E52"/>
    <w:rsid w:val="172B0B5F"/>
    <w:rsid w:val="172F230F"/>
    <w:rsid w:val="175207E1"/>
    <w:rsid w:val="17716EB9"/>
    <w:rsid w:val="177253D3"/>
    <w:rsid w:val="17730085"/>
    <w:rsid w:val="17806D60"/>
    <w:rsid w:val="17881E6C"/>
    <w:rsid w:val="17A042FF"/>
    <w:rsid w:val="17A71141"/>
    <w:rsid w:val="17A96653"/>
    <w:rsid w:val="17B236B5"/>
    <w:rsid w:val="17BD5C5B"/>
    <w:rsid w:val="17C0399D"/>
    <w:rsid w:val="17F13B56"/>
    <w:rsid w:val="17F92043"/>
    <w:rsid w:val="18046306"/>
    <w:rsid w:val="180E0EC8"/>
    <w:rsid w:val="180E295A"/>
    <w:rsid w:val="181E2C19"/>
    <w:rsid w:val="183323C1"/>
    <w:rsid w:val="183773AF"/>
    <w:rsid w:val="183D6D9C"/>
    <w:rsid w:val="185F401D"/>
    <w:rsid w:val="18633A4B"/>
    <w:rsid w:val="18664544"/>
    <w:rsid w:val="18685440"/>
    <w:rsid w:val="186F2311"/>
    <w:rsid w:val="18A830AD"/>
    <w:rsid w:val="18C26371"/>
    <w:rsid w:val="18D53797"/>
    <w:rsid w:val="18FE29CF"/>
    <w:rsid w:val="19257F5C"/>
    <w:rsid w:val="19271C70"/>
    <w:rsid w:val="19285DF4"/>
    <w:rsid w:val="197467ED"/>
    <w:rsid w:val="197832BB"/>
    <w:rsid w:val="199C7F6E"/>
    <w:rsid w:val="19C57049"/>
    <w:rsid w:val="1A0010FD"/>
    <w:rsid w:val="1A035C59"/>
    <w:rsid w:val="1A0A7151"/>
    <w:rsid w:val="1A0B515B"/>
    <w:rsid w:val="1A193DA8"/>
    <w:rsid w:val="1A226249"/>
    <w:rsid w:val="1A242396"/>
    <w:rsid w:val="1A254FB4"/>
    <w:rsid w:val="1A255D39"/>
    <w:rsid w:val="1A276E32"/>
    <w:rsid w:val="1A3366A8"/>
    <w:rsid w:val="1A3B6A10"/>
    <w:rsid w:val="1A625F46"/>
    <w:rsid w:val="1A693E78"/>
    <w:rsid w:val="1A7A42D7"/>
    <w:rsid w:val="1A8769F4"/>
    <w:rsid w:val="1A9F5490"/>
    <w:rsid w:val="1AA95BD9"/>
    <w:rsid w:val="1AAD51D0"/>
    <w:rsid w:val="1AC90DBB"/>
    <w:rsid w:val="1ACB1E03"/>
    <w:rsid w:val="1ACB68E1"/>
    <w:rsid w:val="1ADF413A"/>
    <w:rsid w:val="1AE14082"/>
    <w:rsid w:val="1AE15AD0"/>
    <w:rsid w:val="1AEE25CF"/>
    <w:rsid w:val="1AFF2A2E"/>
    <w:rsid w:val="1B0048AC"/>
    <w:rsid w:val="1B0458F0"/>
    <w:rsid w:val="1B1C3FDE"/>
    <w:rsid w:val="1B1D6BE9"/>
    <w:rsid w:val="1B3F2E2B"/>
    <w:rsid w:val="1B43291B"/>
    <w:rsid w:val="1B470047"/>
    <w:rsid w:val="1B544B28"/>
    <w:rsid w:val="1B59213E"/>
    <w:rsid w:val="1B632FBD"/>
    <w:rsid w:val="1B697EA8"/>
    <w:rsid w:val="1B6D7998"/>
    <w:rsid w:val="1B7D6308"/>
    <w:rsid w:val="1B836DFE"/>
    <w:rsid w:val="1B8371BB"/>
    <w:rsid w:val="1BAB4E16"/>
    <w:rsid w:val="1BAD248A"/>
    <w:rsid w:val="1BAF6202"/>
    <w:rsid w:val="1BB0266F"/>
    <w:rsid w:val="1BB53BDC"/>
    <w:rsid w:val="1BBA23FE"/>
    <w:rsid w:val="1BD27C1A"/>
    <w:rsid w:val="1BD44279"/>
    <w:rsid w:val="1BDE07FE"/>
    <w:rsid w:val="1BDE24B0"/>
    <w:rsid w:val="1BE40CBC"/>
    <w:rsid w:val="1BE834C2"/>
    <w:rsid w:val="1BEA2DA4"/>
    <w:rsid w:val="1BF105C9"/>
    <w:rsid w:val="1BF73705"/>
    <w:rsid w:val="1C0025BA"/>
    <w:rsid w:val="1C030CB5"/>
    <w:rsid w:val="1C0A51E7"/>
    <w:rsid w:val="1C13053F"/>
    <w:rsid w:val="1C136791"/>
    <w:rsid w:val="1C1E6EE4"/>
    <w:rsid w:val="1C2344FA"/>
    <w:rsid w:val="1C2362A8"/>
    <w:rsid w:val="1C24592E"/>
    <w:rsid w:val="1C4C6A2E"/>
    <w:rsid w:val="1C5D784B"/>
    <w:rsid w:val="1C6A743B"/>
    <w:rsid w:val="1C760ACE"/>
    <w:rsid w:val="1C821675"/>
    <w:rsid w:val="1C8247FD"/>
    <w:rsid w:val="1C914B11"/>
    <w:rsid w:val="1C921ADF"/>
    <w:rsid w:val="1CB8192D"/>
    <w:rsid w:val="1CD6156D"/>
    <w:rsid w:val="1CD777BF"/>
    <w:rsid w:val="1CD852E5"/>
    <w:rsid w:val="1CDF6673"/>
    <w:rsid w:val="1CF87735"/>
    <w:rsid w:val="1CFD2F9D"/>
    <w:rsid w:val="1D04432C"/>
    <w:rsid w:val="1D0B56BA"/>
    <w:rsid w:val="1D0E0D07"/>
    <w:rsid w:val="1D1125A5"/>
    <w:rsid w:val="1D1C3424"/>
    <w:rsid w:val="1D223145"/>
    <w:rsid w:val="1D2B18B9"/>
    <w:rsid w:val="1D3C3AC6"/>
    <w:rsid w:val="1D4604A0"/>
    <w:rsid w:val="1D53441A"/>
    <w:rsid w:val="1D5F77B4"/>
    <w:rsid w:val="1D716283"/>
    <w:rsid w:val="1D7C2114"/>
    <w:rsid w:val="1D8100B5"/>
    <w:rsid w:val="1DA13704"/>
    <w:rsid w:val="1DB96EC4"/>
    <w:rsid w:val="1DC2652B"/>
    <w:rsid w:val="1DD106B2"/>
    <w:rsid w:val="1E042043"/>
    <w:rsid w:val="1E37428D"/>
    <w:rsid w:val="1E430E84"/>
    <w:rsid w:val="1E50111D"/>
    <w:rsid w:val="1E517B20"/>
    <w:rsid w:val="1E6122A1"/>
    <w:rsid w:val="1E6432D4"/>
    <w:rsid w:val="1E7B1B3B"/>
    <w:rsid w:val="1E825AED"/>
    <w:rsid w:val="1E93323C"/>
    <w:rsid w:val="1E9F39E5"/>
    <w:rsid w:val="1EA11E30"/>
    <w:rsid w:val="1EB06519"/>
    <w:rsid w:val="1EB37DB8"/>
    <w:rsid w:val="1EB8717C"/>
    <w:rsid w:val="1EC41FC5"/>
    <w:rsid w:val="1ECE67C5"/>
    <w:rsid w:val="1EE06428"/>
    <w:rsid w:val="1EEA3FFB"/>
    <w:rsid w:val="1EF67CA4"/>
    <w:rsid w:val="1F204D21"/>
    <w:rsid w:val="1F296D49"/>
    <w:rsid w:val="1F301408"/>
    <w:rsid w:val="1F37702B"/>
    <w:rsid w:val="1F400353"/>
    <w:rsid w:val="1F43738D"/>
    <w:rsid w:val="1F546A64"/>
    <w:rsid w:val="1F552C1D"/>
    <w:rsid w:val="1F672950"/>
    <w:rsid w:val="1F8B663F"/>
    <w:rsid w:val="1F8E3152"/>
    <w:rsid w:val="1F925C1F"/>
    <w:rsid w:val="1F953480"/>
    <w:rsid w:val="1F9976C1"/>
    <w:rsid w:val="1FB97650"/>
    <w:rsid w:val="1FC23AE2"/>
    <w:rsid w:val="1FC40D46"/>
    <w:rsid w:val="1FC82B6F"/>
    <w:rsid w:val="1FCA5B9A"/>
    <w:rsid w:val="1FDF3A0E"/>
    <w:rsid w:val="1FE16BA6"/>
    <w:rsid w:val="1FFB1A16"/>
    <w:rsid w:val="2019069B"/>
    <w:rsid w:val="201B5C14"/>
    <w:rsid w:val="201C3D2B"/>
    <w:rsid w:val="202076CF"/>
    <w:rsid w:val="202A699D"/>
    <w:rsid w:val="202C0B6D"/>
    <w:rsid w:val="202E1591"/>
    <w:rsid w:val="202F6D94"/>
    <w:rsid w:val="20316A84"/>
    <w:rsid w:val="204C13D7"/>
    <w:rsid w:val="20531852"/>
    <w:rsid w:val="205D447F"/>
    <w:rsid w:val="20646E41"/>
    <w:rsid w:val="20692E24"/>
    <w:rsid w:val="206F7D0E"/>
    <w:rsid w:val="20734975"/>
    <w:rsid w:val="20796AF4"/>
    <w:rsid w:val="20884B98"/>
    <w:rsid w:val="20A46ED6"/>
    <w:rsid w:val="20AA51EA"/>
    <w:rsid w:val="20C935A5"/>
    <w:rsid w:val="20CE0ED9"/>
    <w:rsid w:val="20DC6F73"/>
    <w:rsid w:val="20DF7E26"/>
    <w:rsid w:val="20E03073"/>
    <w:rsid w:val="20E60986"/>
    <w:rsid w:val="20F12E19"/>
    <w:rsid w:val="20F90787"/>
    <w:rsid w:val="210F6034"/>
    <w:rsid w:val="21134B3E"/>
    <w:rsid w:val="21155B71"/>
    <w:rsid w:val="21194F67"/>
    <w:rsid w:val="212B4CD1"/>
    <w:rsid w:val="21566265"/>
    <w:rsid w:val="2159748B"/>
    <w:rsid w:val="215A276C"/>
    <w:rsid w:val="215E1C5B"/>
    <w:rsid w:val="21630CD5"/>
    <w:rsid w:val="21823A71"/>
    <w:rsid w:val="218B19D5"/>
    <w:rsid w:val="219B1AE5"/>
    <w:rsid w:val="21CB5EC8"/>
    <w:rsid w:val="21CF315A"/>
    <w:rsid w:val="21D25D41"/>
    <w:rsid w:val="21EA38E6"/>
    <w:rsid w:val="21EB385C"/>
    <w:rsid w:val="21EB4C83"/>
    <w:rsid w:val="22091F11"/>
    <w:rsid w:val="220D1DB7"/>
    <w:rsid w:val="221649C2"/>
    <w:rsid w:val="22235254"/>
    <w:rsid w:val="22243D75"/>
    <w:rsid w:val="22450F11"/>
    <w:rsid w:val="22455F55"/>
    <w:rsid w:val="22463EE2"/>
    <w:rsid w:val="224C7674"/>
    <w:rsid w:val="22521649"/>
    <w:rsid w:val="225E003A"/>
    <w:rsid w:val="22682187"/>
    <w:rsid w:val="22867836"/>
    <w:rsid w:val="228D26CE"/>
    <w:rsid w:val="229B5DD9"/>
    <w:rsid w:val="22AC349C"/>
    <w:rsid w:val="22D622C7"/>
    <w:rsid w:val="22DD5403"/>
    <w:rsid w:val="22DF3107"/>
    <w:rsid w:val="22EE5862"/>
    <w:rsid w:val="23243032"/>
    <w:rsid w:val="234F6187"/>
    <w:rsid w:val="23655234"/>
    <w:rsid w:val="236E24FF"/>
    <w:rsid w:val="237A5348"/>
    <w:rsid w:val="238B5388"/>
    <w:rsid w:val="239F3FF0"/>
    <w:rsid w:val="23A70A99"/>
    <w:rsid w:val="23A83C63"/>
    <w:rsid w:val="23B75C54"/>
    <w:rsid w:val="23BF71FF"/>
    <w:rsid w:val="23C71C0F"/>
    <w:rsid w:val="23FB0972"/>
    <w:rsid w:val="24015121"/>
    <w:rsid w:val="24077B63"/>
    <w:rsid w:val="242E1C8E"/>
    <w:rsid w:val="24393CCB"/>
    <w:rsid w:val="245E07C6"/>
    <w:rsid w:val="24617A32"/>
    <w:rsid w:val="246758CC"/>
    <w:rsid w:val="24715930"/>
    <w:rsid w:val="247F0F03"/>
    <w:rsid w:val="249E3FA1"/>
    <w:rsid w:val="24A26904"/>
    <w:rsid w:val="24C45B67"/>
    <w:rsid w:val="24CC1BD3"/>
    <w:rsid w:val="24CD14A7"/>
    <w:rsid w:val="24D51090"/>
    <w:rsid w:val="24DE1906"/>
    <w:rsid w:val="24E80B31"/>
    <w:rsid w:val="24F20F0E"/>
    <w:rsid w:val="24F7481F"/>
    <w:rsid w:val="24FC10C0"/>
    <w:rsid w:val="24FF3D57"/>
    <w:rsid w:val="250635A1"/>
    <w:rsid w:val="251F4612"/>
    <w:rsid w:val="25264295"/>
    <w:rsid w:val="253D0353"/>
    <w:rsid w:val="25411DF7"/>
    <w:rsid w:val="254E47E0"/>
    <w:rsid w:val="255F119C"/>
    <w:rsid w:val="256226AE"/>
    <w:rsid w:val="256242E5"/>
    <w:rsid w:val="256D3A84"/>
    <w:rsid w:val="259750E6"/>
    <w:rsid w:val="25A16D81"/>
    <w:rsid w:val="25B12B77"/>
    <w:rsid w:val="25C063ED"/>
    <w:rsid w:val="25C222B7"/>
    <w:rsid w:val="25CD5C03"/>
    <w:rsid w:val="25D70626"/>
    <w:rsid w:val="25E371D4"/>
    <w:rsid w:val="25EB0CCD"/>
    <w:rsid w:val="25EE7C35"/>
    <w:rsid w:val="260B5FB3"/>
    <w:rsid w:val="260E3EFC"/>
    <w:rsid w:val="261906FB"/>
    <w:rsid w:val="26262DF1"/>
    <w:rsid w:val="26325A66"/>
    <w:rsid w:val="263D2762"/>
    <w:rsid w:val="264A1001"/>
    <w:rsid w:val="264D464E"/>
    <w:rsid w:val="26501462"/>
    <w:rsid w:val="26543C2E"/>
    <w:rsid w:val="265E7E4A"/>
    <w:rsid w:val="267D3321"/>
    <w:rsid w:val="269E134D"/>
    <w:rsid w:val="26BA1789"/>
    <w:rsid w:val="26E01966"/>
    <w:rsid w:val="26E52F4A"/>
    <w:rsid w:val="26F6393B"/>
    <w:rsid w:val="26F663A5"/>
    <w:rsid w:val="26FD42C6"/>
    <w:rsid w:val="26FD7255"/>
    <w:rsid w:val="271A330B"/>
    <w:rsid w:val="27280C17"/>
    <w:rsid w:val="272D1A36"/>
    <w:rsid w:val="272F6449"/>
    <w:rsid w:val="27335F39"/>
    <w:rsid w:val="273B4DEE"/>
    <w:rsid w:val="27432E2C"/>
    <w:rsid w:val="27441883"/>
    <w:rsid w:val="274E4B21"/>
    <w:rsid w:val="274F43F6"/>
    <w:rsid w:val="275639D6"/>
    <w:rsid w:val="27745F0A"/>
    <w:rsid w:val="277928A1"/>
    <w:rsid w:val="277976C4"/>
    <w:rsid w:val="277D5407"/>
    <w:rsid w:val="27872954"/>
    <w:rsid w:val="27910EB2"/>
    <w:rsid w:val="27B207DF"/>
    <w:rsid w:val="27B36FE8"/>
    <w:rsid w:val="27D37F2A"/>
    <w:rsid w:val="27E965F8"/>
    <w:rsid w:val="28173165"/>
    <w:rsid w:val="281E7C90"/>
    <w:rsid w:val="2839734E"/>
    <w:rsid w:val="28444955"/>
    <w:rsid w:val="2858761E"/>
    <w:rsid w:val="285B580A"/>
    <w:rsid w:val="287C746C"/>
    <w:rsid w:val="288051AE"/>
    <w:rsid w:val="28812CD5"/>
    <w:rsid w:val="28886CCF"/>
    <w:rsid w:val="288A69DC"/>
    <w:rsid w:val="28962568"/>
    <w:rsid w:val="289F676F"/>
    <w:rsid w:val="28BE5CD7"/>
    <w:rsid w:val="28E00E19"/>
    <w:rsid w:val="28E13773"/>
    <w:rsid w:val="28E31299"/>
    <w:rsid w:val="290A2CCA"/>
    <w:rsid w:val="291458F7"/>
    <w:rsid w:val="29192F0D"/>
    <w:rsid w:val="292148E0"/>
    <w:rsid w:val="292D48E1"/>
    <w:rsid w:val="293A5EAD"/>
    <w:rsid w:val="2942068D"/>
    <w:rsid w:val="294B3401"/>
    <w:rsid w:val="29501D76"/>
    <w:rsid w:val="29567CBD"/>
    <w:rsid w:val="29634188"/>
    <w:rsid w:val="298C36DF"/>
    <w:rsid w:val="29BC13EC"/>
    <w:rsid w:val="29BD1AEA"/>
    <w:rsid w:val="29C7492B"/>
    <w:rsid w:val="29CA4207"/>
    <w:rsid w:val="29CF4F42"/>
    <w:rsid w:val="29D46EC4"/>
    <w:rsid w:val="29EB325A"/>
    <w:rsid w:val="29EF4C68"/>
    <w:rsid w:val="2A005E7B"/>
    <w:rsid w:val="2A070CD0"/>
    <w:rsid w:val="2A1F4553"/>
    <w:rsid w:val="2A28518E"/>
    <w:rsid w:val="2A3428A6"/>
    <w:rsid w:val="2A457DE6"/>
    <w:rsid w:val="2A5074A7"/>
    <w:rsid w:val="2A5741BB"/>
    <w:rsid w:val="2A5F2BA2"/>
    <w:rsid w:val="2A677CA8"/>
    <w:rsid w:val="2A82394C"/>
    <w:rsid w:val="2A8E3487"/>
    <w:rsid w:val="2A92586B"/>
    <w:rsid w:val="2A9C2048"/>
    <w:rsid w:val="2AA44A58"/>
    <w:rsid w:val="2AB24713"/>
    <w:rsid w:val="2AB257F0"/>
    <w:rsid w:val="2ABA7960"/>
    <w:rsid w:val="2ABB462F"/>
    <w:rsid w:val="2AD66330"/>
    <w:rsid w:val="2AD9739F"/>
    <w:rsid w:val="2AE207DD"/>
    <w:rsid w:val="2AE5579D"/>
    <w:rsid w:val="2AE632C3"/>
    <w:rsid w:val="2AE81EBB"/>
    <w:rsid w:val="2AF83048"/>
    <w:rsid w:val="2B011EAB"/>
    <w:rsid w:val="2B0C0F7B"/>
    <w:rsid w:val="2B0F6376"/>
    <w:rsid w:val="2B116592"/>
    <w:rsid w:val="2B1C4F36"/>
    <w:rsid w:val="2B283C48"/>
    <w:rsid w:val="2B285689"/>
    <w:rsid w:val="2B34402E"/>
    <w:rsid w:val="2B3D3D8A"/>
    <w:rsid w:val="2B4176EA"/>
    <w:rsid w:val="2B511DC9"/>
    <w:rsid w:val="2B53711C"/>
    <w:rsid w:val="2B7526C8"/>
    <w:rsid w:val="2B7D7783"/>
    <w:rsid w:val="2B7F799F"/>
    <w:rsid w:val="2B82332B"/>
    <w:rsid w:val="2B830B12"/>
    <w:rsid w:val="2B9845BD"/>
    <w:rsid w:val="2BA2368E"/>
    <w:rsid w:val="2BC216D4"/>
    <w:rsid w:val="2BC36FC5"/>
    <w:rsid w:val="2BDA1145"/>
    <w:rsid w:val="2C0E6B61"/>
    <w:rsid w:val="2C11611D"/>
    <w:rsid w:val="2C1300E8"/>
    <w:rsid w:val="2C1440F5"/>
    <w:rsid w:val="2C164D3E"/>
    <w:rsid w:val="2C3F7E49"/>
    <w:rsid w:val="2C49650C"/>
    <w:rsid w:val="2C58214E"/>
    <w:rsid w:val="2C621DC4"/>
    <w:rsid w:val="2C7A3207"/>
    <w:rsid w:val="2C836EED"/>
    <w:rsid w:val="2C8535B1"/>
    <w:rsid w:val="2C8903AA"/>
    <w:rsid w:val="2C8D1C48"/>
    <w:rsid w:val="2CA3527E"/>
    <w:rsid w:val="2CA46F92"/>
    <w:rsid w:val="2CE1321F"/>
    <w:rsid w:val="2CEA67A1"/>
    <w:rsid w:val="2CFF066C"/>
    <w:rsid w:val="2D0263E5"/>
    <w:rsid w:val="2D223DB9"/>
    <w:rsid w:val="2D232CD4"/>
    <w:rsid w:val="2D23435A"/>
    <w:rsid w:val="2D2C5236"/>
    <w:rsid w:val="2D4A1FFF"/>
    <w:rsid w:val="2D6505E1"/>
    <w:rsid w:val="2D7042AF"/>
    <w:rsid w:val="2D7E0B4D"/>
    <w:rsid w:val="2D81006B"/>
    <w:rsid w:val="2DC8120A"/>
    <w:rsid w:val="2DC84F02"/>
    <w:rsid w:val="2DD04474"/>
    <w:rsid w:val="2DD764F6"/>
    <w:rsid w:val="2DE3095E"/>
    <w:rsid w:val="2E020414"/>
    <w:rsid w:val="2E24038A"/>
    <w:rsid w:val="2E36630F"/>
    <w:rsid w:val="2E56075F"/>
    <w:rsid w:val="2E5B7B24"/>
    <w:rsid w:val="2E8B762B"/>
    <w:rsid w:val="2E9D1EEA"/>
    <w:rsid w:val="2EA43279"/>
    <w:rsid w:val="2EA748D4"/>
    <w:rsid w:val="2EB94543"/>
    <w:rsid w:val="2EBA2A9C"/>
    <w:rsid w:val="2EBC05C2"/>
    <w:rsid w:val="2ECA7EA6"/>
    <w:rsid w:val="2ED40D31"/>
    <w:rsid w:val="2ED5277E"/>
    <w:rsid w:val="2ED94C9B"/>
    <w:rsid w:val="2EE02321"/>
    <w:rsid w:val="2EED0B60"/>
    <w:rsid w:val="2EF106DD"/>
    <w:rsid w:val="2EFE4A55"/>
    <w:rsid w:val="2F06465A"/>
    <w:rsid w:val="2F15723F"/>
    <w:rsid w:val="2F2B1B51"/>
    <w:rsid w:val="2F476200"/>
    <w:rsid w:val="2F6B46F6"/>
    <w:rsid w:val="2F7075FF"/>
    <w:rsid w:val="2F7775F3"/>
    <w:rsid w:val="2F8D56DC"/>
    <w:rsid w:val="2F9E5F1A"/>
    <w:rsid w:val="2FA7473E"/>
    <w:rsid w:val="2FAE5BC7"/>
    <w:rsid w:val="2FB46134"/>
    <w:rsid w:val="2FC55B9D"/>
    <w:rsid w:val="2FC811E9"/>
    <w:rsid w:val="2FD656B4"/>
    <w:rsid w:val="300278EC"/>
    <w:rsid w:val="302734B6"/>
    <w:rsid w:val="302C79CA"/>
    <w:rsid w:val="303D1BD7"/>
    <w:rsid w:val="3050190A"/>
    <w:rsid w:val="30505040"/>
    <w:rsid w:val="30550F51"/>
    <w:rsid w:val="3062163D"/>
    <w:rsid w:val="30705B08"/>
    <w:rsid w:val="307D642B"/>
    <w:rsid w:val="30896BCA"/>
    <w:rsid w:val="308B46F0"/>
    <w:rsid w:val="308D49C9"/>
    <w:rsid w:val="309F40C7"/>
    <w:rsid w:val="30A66662"/>
    <w:rsid w:val="30C41B9E"/>
    <w:rsid w:val="30E15A07"/>
    <w:rsid w:val="30E67B79"/>
    <w:rsid w:val="30F10F49"/>
    <w:rsid w:val="30F53E09"/>
    <w:rsid w:val="312B4AB9"/>
    <w:rsid w:val="3143335C"/>
    <w:rsid w:val="3154630A"/>
    <w:rsid w:val="31744942"/>
    <w:rsid w:val="317B29B7"/>
    <w:rsid w:val="318241E8"/>
    <w:rsid w:val="31837ABD"/>
    <w:rsid w:val="318C6694"/>
    <w:rsid w:val="318E3D40"/>
    <w:rsid w:val="31992E3D"/>
    <w:rsid w:val="319B6819"/>
    <w:rsid w:val="31B8238D"/>
    <w:rsid w:val="31B9528D"/>
    <w:rsid w:val="31BA5F3E"/>
    <w:rsid w:val="31C854D0"/>
    <w:rsid w:val="31D73965"/>
    <w:rsid w:val="31E16592"/>
    <w:rsid w:val="31E72DD1"/>
    <w:rsid w:val="31EE0715"/>
    <w:rsid w:val="32194E3A"/>
    <w:rsid w:val="321C75CA"/>
    <w:rsid w:val="324870FD"/>
    <w:rsid w:val="324923DF"/>
    <w:rsid w:val="324C4E2B"/>
    <w:rsid w:val="324F174E"/>
    <w:rsid w:val="325154C6"/>
    <w:rsid w:val="325309FC"/>
    <w:rsid w:val="326D0B59"/>
    <w:rsid w:val="32713DBA"/>
    <w:rsid w:val="32715B68"/>
    <w:rsid w:val="32747406"/>
    <w:rsid w:val="32812F19"/>
    <w:rsid w:val="32843AED"/>
    <w:rsid w:val="328D30F8"/>
    <w:rsid w:val="3292316E"/>
    <w:rsid w:val="32A25D21"/>
    <w:rsid w:val="32B220AC"/>
    <w:rsid w:val="32BA5020"/>
    <w:rsid w:val="32D14858"/>
    <w:rsid w:val="32E52AE4"/>
    <w:rsid w:val="32F04CDF"/>
    <w:rsid w:val="32F56799"/>
    <w:rsid w:val="32FB34B7"/>
    <w:rsid w:val="32FE34A1"/>
    <w:rsid w:val="33042866"/>
    <w:rsid w:val="330864CC"/>
    <w:rsid w:val="331065D7"/>
    <w:rsid w:val="331B032F"/>
    <w:rsid w:val="331C30AD"/>
    <w:rsid w:val="33294694"/>
    <w:rsid w:val="33451189"/>
    <w:rsid w:val="335D1995"/>
    <w:rsid w:val="337E22EA"/>
    <w:rsid w:val="3387262B"/>
    <w:rsid w:val="339305F5"/>
    <w:rsid w:val="339935C8"/>
    <w:rsid w:val="339A10EE"/>
    <w:rsid w:val="33A04EA1"/>
    <w:rsid w:val="33A647EE"/>
    <w:rsid w:val="33AF3E18"/>
    <w:rsid w:val="33BA52ED"/>
    <w:rsid w:val="33C00B55"/>
    <w:rsid w:val="33C62382"/>
    <w:rsid w:val="33D770C1"/>
    <w:rsid w:val="33F1507D"/>
    <w:rsid w:val="34072C17"/>
    <w:rsid w:val="34086058"/>
    <w:rsid w:val="340C39BA"/>
    <w:rsid w:val="343B3845"/>
    <w:rsid w:val="34512AC2"/>
    <w:rsid w:val="345E48BF"/>
    <w:rsid w:val="34675474"/>
    <w:rsid w:val="346B46B8"/>
    <w:rsid w:val="346D235F"/>
    <w:rsid w:val="349B7004"/>
    <w:rsid w:val="34A044E2"/>
    <w:rsid w:val="34AF2977"/>
    <w:rsid w:val="34B74DF8"/>
    <w:rsid w:val="34BC1EA5"/>
    <w:rsid w:val="34C401D1"/>
    <w:rsid w:val="34C957E7"/>
    <w:rsid w:val="34CB5812"/>
    <w:rsid w:val="34CE1050"/>
    <w:rsid w:val="34D4418C"/>
    <w:rsid w:val="34F52C48"/>
    <w:rsid w:val="34FB0D4E"/>
    <w:rsid w:val="35066A3B"/>
    <w:rsid w:val="352E1AEE"/>
    <w:rsid w:val="353941D9"/>
    <w:rsid w:val="353A4937"/>
    <w:rsid w:val="353E5826"/>
    <w:rsid w:val="35581A08"/>
    <w:rsid w:val="355C665B"/>
    <w:rsid w:val="355D1C4A"/>
    <w:rsid w:val="355E7D31"/>
    <w:rsid w:val="357F1C79"/>
    <w:rsid w:val="35904557"/>
    <w:rsid w:val="359202CF"/>
    <w:rsid w:val="35A60286"/>
    <w:rsid w:val="35A713CC"/>
    <w:rsid w:val="35B00934"/>
    <w:rsid w:val="35C0618F"/>
    <w:rsid w:val="35CA43D7"/>
    <w:rsid w:val="35CA4885"/>
    <w:rsid w:val="35D526C8"/>
    <w:rsid w:val="35D94150"/>
    <w:rsid w:val="35DE1766"/>
    <w:rsid w:val="35E320C6"/>
    <w:rsid w:val="35E84393"/>
    <w:rsid w:val="360A4F67"/>
    <w:rsid w:val="360F22D8"/>
    <w:rsid w:val="3619342C"/>
    <w:rsid w:val="361B56A7"/>
    <w:rsid w:val="36227506"/>
    <w:rsid w:val="362C24D2"/>
    <w:rsid w:val="363B0CA5"/>
    <w:rsid w:val="3647730B"/>
    <w:rsid w:val="364A22F5"/>
    <w:rsid w:val="3651559C"/>
    <w:rsid w:val="36905963"/>
    <w:rsid w:val="369B7657"/>
    <w:rsid w:val="36A6151F"/>
    <w:rsid w:val="36B10C29"/>
    <w:rsid w:val="36B1398D"/>
    <w:rsid w:val="36B50719"/>
    <w:rsid w:val="36BD312A"/>
    <w:rsid w:val="36EE3C2B"/>
    <w:rsid w:val="36F22CB5"/>
    <w:rsid w:val="370B4277"/>
    <w:rsid w:val="370C3F45"/>
    <w:rsid w:val="37103BA1"/>
    <w:rsid w:val="37111AA6"/>
    <w:rsid w:val="37113D06"/>
    <w:rsid w:val="372B6CED"/>
    <w:rsid w:val="37620335"/>
    <w:rsid w:val="37643EED"/>
    <w:rsid w:val="378679C0"/>
    <w:rsid w:val="37936580"/>
    <w:rsid w:val="379F6CD3"/>
    <w:rsid w:val="37F76B0F"/>
    <w:rsid w:val="37FA215C"/>
    <w:rsid w:val="381276B3"/>
    <w:rsid w:val="383B4C4E"/>
    <w:rsid w:val="383F28D9"/>
    <w:rsid w:val="38602911"/>
    <w:rsid w:val="386B4E07"/>
    <w:rsid w:val="38877050"/>
    <w:rsid w:val="389D11D5"/>
    <w:rsid w:val="38A80D36"/>
    <w:rsid w:val="38AD71CE"/>
    <w:rsid w:val="38C62455"/>
    <w:rsid w:val="38D023C8"/>
    <w:rsid w:val="38D23B23"/>
    <w:rsid w:val="38D330D8"/>
    <w:rsid w:val="38D34E86"/>
    <w:rsid w:val="38D8249D"/>
    <w:rsid w:val="38F65F5D"/>
    <w:rsid w:val="391921C1"/>
    <w:rsid w:val="392F38B8"/>
    <w:rsid w:val="39304BFD"/>
    <w:rsid w:val="393A22E6"/>
    <w:rsid w:val="395138E3"/>
    <w:rsid w:val="39636ACC"/>
    <w:rsid w:val="396C52DB"/>
    <w:rsid w:val="397074B2"/>
    <w:rsid w:val="39750984"/>
    <w:rsid w:val="39872778"/>
    <w:rsid w:val="3995213C"/>
    <w:rsid w:val="39A16D33"/>
    <w:rsid w:val="39AF0FA6"/>
    <w:rsid w:val="39D07618"/>
    <w:rsid w:val="39D2513E"/>
    <w:rsid w:val="39E76710"/>
    <w:rsid w:val="39F41558"/>
    <w:rsid w:val="39FC0411"/>
    <w:rsid w:val="3A047098"/>
    <w:rsid w:val="3A0472C2"/>
    <w:rsid w:val="3A316CBF"/>
    <w:rsid w:val="3A380917"/>
    <w:rsid w:val="3A3B1BB8"/>
    <w:rsid w:val="3A63223A"/>
    <w:rsid w:val="3A6D4E67"/>
    <w:rsid w:val="3A8A13BB"/>
    <w:rsid w:val="3AB331C1"/>
    <w:rsid w:val="3AD416D0"/>
    <w:rsid w:val="3ADB1A23"/>
    <w:rsid w:val="3ADB6274"/>
    <w:rsid w:val="3ADC1AD0"/>
    <w:rsid w:val="3AEA0DEB"/>
    <w:rsid w:val="3B20637D"/>
    <w:rsid w:val="3B23087F"/>
    <w:rsid w:val="3B251B47"/>
    <w:rsid w:val="3B2E7CD6"/>
    <w:rsid w:val="3B2F036E"/>
    <w:rsid w:val="3B3360B0"/>
    <w:rsid w:val="3B3F4A55"/>
    <w:rsid w:val="3B5740B9"/>
    <w:rsid w:val="3B5D4EDB"/>
    <w:rsid w:val="3B6647A0"/>
    <w:rsid w:val="3B6F4C0F"/>
    <w:rsid w:val="3B92483B"/>
    <w:rsid w:val="3BA62E05"/>
    <w:rsid w:val="3BAD27FE"/>
    <w:rsid w:val="3BB6283D"/>
    <w:rsid w:val="3BD762A9"/>
    <w:rsid w:val="3C016D29"/>
    <w:rsid w:val="3C1F6635"/>
    <w:rsid w:val="3C200CD6"/>
    <w:rsid w:val="3C2123AD"/>
    <w:rsid w:val="3C333E8E"/>
    <w:rsid w:val="3C3814A4"/>
    <w:rsid w:val="3C4147FD"/>
    <w:rsid w:val="3C5938F5"/>
    <w:rsid w:val="3C8F37BA"/>
    <w:rsid w:val="3C922955"/>
    <w:rsid w:val="3CB93556"/>
    <w:rsid w:val="3CBC240D"/>
    <w:rsid w:val="3CC05722"/>
    <w:rsid w:val="3CD63D5A"/>
    <w:rsid w:val="3CDD7510"/>
    <w:rsid w:val="3CF941F2"/>
    <w:rsid w:val="3CF950D8"/>
    <w:rsid w:val="3D1D5407"/>
    <w:rsid w:val="3D1F4A23"/>
    <w:rsid w:val="3D297EFF"/>
    <w:rsid w:val="3D2E3638"/>
    <w:rsid w:val="3D3E022D"/>
    <w:rsid w:val="3D4273AB"/>
    <w:rsid w:val="3D4A76E1"/>
    <w:rsid w:val="3D562148"/>
    <w:rsid w:val="3D602371"/>
    <w:rsid w:val="3D6469F5"/>
    <w:rsid w:val="3D65451B"/>
    <w:rsid w:val="3D6F3DF7"/>
    <w:rsid w:val="3D8C7CFA"/>
    <w:rsid w:val="3DA507C9"/>
    <w:rsid w:val="3DAC097E"/>
    <w:rsid w:val="3DBB413B"/>
    <w:rsid w:val="3DF10550"/>
    <w:rsid w:val="3DF5376E"/>
    <w:rsid w:val="3DF979E5"/>
    <w:rsid w:val="3E063608"/>
    <w:rsid w:val="3E0C0F5E"/>
    <w:rsid w:val="3E1C7671"/>
    <w:rsid w:val="3E286A6D"/>
    <w:rsid w:val="3E3A41D2"/>
    <w:rsid w:val="3E412892"/>
    <w:rsid w:val="3E4443DC"/>
    <w:rsid w:val="3E6C709A"/>
    <w:rsid w:val="3E7265F8"/>
    <w:rsid w:val="3E77440F"/>
    <w:rsid w:val="3E7F0C70"/>
    <w:rsid w:val="3E806B79"/>
    <w:rsid w:val="3E8135D7"/>
    <w:rsid w:val="3E8310FD"/>
    <w:rsid w:val="3E854E75"/>
    <w:rsid w:val="3E9451C2"/>
    <w:rsid w:val="3E967C46"/>
    <w:rsid w:val="3E977D54"/>
    <w:rsid w:val="3E9B6380"/>
    <w:rsid w:val="3EA846BF"/>
    <w:rsid w:val="3EBA43F3"/>
    <w:rsid w:val="3EC2339D"/>
    <w:rsid w:val="3EC711C7"/>
    <w:rsid w:val="3EC84B25"/>
    <w:rsid w:val="3ED25BE0"/>
    <w:rsid w:val="3EF92944"/>
    <w:rsid w:val="3EFC2417"/>
    <w:rsid w:val="3F0E378D"/>
    <w:rsid w:val="3F197FC7"/>
    <w:rsid w:val="3F3032DC"/>
    <w:rsid w:val="3F32667F"/>
    <w:rsid w:val="3F36616F"/>
    <w:rsid w:val="3F4A6C32"/>
    <w:rsid w:val="3F4B7CBB"/>
    <w:rsid w:val="3F5F00BD"/>
    <w:rsid w:val="3F604604"/>
    <w:rsid w:val="3F650C5E"/>
    <w:rsid w:val="3F673237"/>
    <w:rsid w:val="3F6B5943"/>
    <w:rsid w:val="3F775368"/>
    <w:rsid w:val="3F7D0346"/>
    <w:rsid w:val="3F8E30CA"/>
    <w:rsid w:val="3FA21386"/>
    <w:rsid w:val="3FA56E51"/>
    <w:rsid w:val="3FAD65F2"/>
    <w:rsid w:val="3FAE3C04"/>
    <w:rsid w:val="3FBD17C8"/>
    <w:rsid w:val="3FDF7CCB"/>
    <w:rsid w:val="3FE536F1"/>
    <w:rsid w:val="3FF1653A"/>
    <w:rsid w:val="3FF4770F"/>
    <w:rsid w:val="3FF56C74"/>
    <w:rsid w:val="400E245B"/>
    <w:rsid w:val="40155D85"/>
    <w:rsid w:val="401F4E55"/>
    <w:rsid w:val="403F4829"/>
    <w:rsid w:val="40490124"/>
    <w:rsid w:val="404A56AB"/>
    <w:rsid w:val="405F16F6"/>
    <w:rsid w:val="40621303"/>
    <w:rsid w:val="40640B2E"/>
    <w:rsid w:val="40642868"/>
    <w:rsid w:val="40737B03"/>
    <w:rsid w:val="408565DF"/>
    <w:rsid w:val="40864ED4"/>
    <w:rsid w:val="40890B13"/>
    <w:rsid w:val="40A37834"/>
    <w:rsid w:val="40A67324"/>
    <w:rsid w:val="40AB0497"/>
    <w:rsid w:val="40CF23D7"/>
    <w:rsid w:val="40D16144"/>
    <w:rsid w:val="40D52974"/>
    <w:rsid w:val="40DE4F05"/>
    <w:rsid w:val="40ED0D70"/>
    <w:rsid w:val="41006A35"/>
    <w:rsid w:val="41017D38"/>
    <w:rsid w:val="41052F15"/>
    <w:rsid w:val="4125649B"/>
    <w:rsid w:val="412716C0"/>
    <w:rsid w:val="412D73AF"/>
    <w:rsid w:val="4135614B"/>
    <w:rsid w:val="41394620"/>
    <w:rsid w:val="414A04D7"/>
    <w:rsid w:val="41532E93"/>
    <w:rsid w:val="416F3BBA"/>
    <w:rsid w:val="4171348E"/>
    <w:rsid w:val="417B5C65"/>
    <w:rsid w:val="418109C5"/>
    <w:rsid w:val="41861158"/>
    <w:rsid w:val="41A5138A"/>
    <w:rsid w:val="41AE6491"/>
    <w:rsid w:val="41AF2209"/>
    <w:rsid w:val="41B33AA7"/>
    <w:rsid w:val="41C10458"/>
    <w:rsid w:val="41D13D4D"/>
    <w:rsid w:val="41E2613A"/>
    <w:rsid w:val="41E579D9"/>
    <w:rsid w:val="41F145CF"/>
    <w:rsid w:val="41F161F5"/>
    <w:rsid w:val="42077704"/>
    <w:rsid w:val="422057F5"/>
    <w:rsid w:val="422618CD"/>
    <w:rsid w:val="42264FE9"/>
    <w:rsid w:val="42333A14"/>
    <w:rsid w:val="423B5B60"/>
    <w:rsid w:val="42462B6D"/>
    <w:rsid w:val="42537038"/>
    <w:rsid w:val="425828A0"/>
    <w:rsid w:val="425B4F53"/>
    <w:rsid w:val="427C658F"/>
    <w:rsid w:val="4288177A"/>
    <w:rsid w:val="428C60A6"/>
    <w:rsid w:val="428D21DA"/>
    <w:rsid w:val="429D02B3"/>
    <w:rsid w:val="42A258CA"/>
    <w:rsid w:val="42A9584F"/>
    <w:rsid w:val="42B42005"/>
    <w:rsid w:val="42C817D4"/>
    <w:rsid w:val="42E66E8B"/>
    <w:rsid w:val="42FB68A1"/>
    <w:rsid w:val="430D1E4F"/>
    <w:rsid w:val="430D2998"/>
    <w:rsid w:val="430F6DC9"/>
    <w:rsid w:val="432751FF"/>
    <w:rsid w:val="43291B47"/>
    <w:rsid w:val="433E6644"/>
    <w:rsid w:val="43512CB3"/>
    <w:rsid w:val="43562DC3"/>
    <w:rsid w:val="435A1B44"/>
    <w:rsid w:val="439829C4"/>
    <w:rsid w:val="439B47F3"/>
    <w:rsid w:val="43A147C3"/>
    <w:rsid w:val="43A81949"/>
    <w:rsid w:val="43B753A5"/>
    <w:rsid w:val="43BC36FB"/>
    <w:rsid w:val="43DF7138"/>
    <w:rsid w:val="43E97C54"/>
    <w:rsid w:val="43F42F2D"/>
    <w:rsid w:val="43FB34E3"/>
    <w:rsid w:val="44077B8C"/>
    <w:rsid w:val="44337121"/>
    <w:rsid w:val="44375AAB"/>
    <w:rsid w:val="443D1D4E"/>
    <w:rsid w:val="444A7F72"/>
    <w:rsid w:val="44555484"/>
    <w:rsid w:val="44626529"/>
    <w:rsid w:val="447A4D50"/>
    <w:rsid w:val="44823C05"/>
    <w:rsid w:val="44847E27"/>
    <w:rsid w:val="448C733E"/>
    <w:rsid w:val="4496320C"/>
    <w:rsid w:val="44A13B07"/>
    <w:rsid w:val="44A604BE"/>
    <w:rsid w:val="44AD6158"/>
    <w:rsid w:val="44B05695"/>
    <w:rsid w:val="44B32010"/>
    <w:rsid w:val="44B57B36"/>
    <w:rsid w:val="44BA339E"/>
    <w:rsid w:val="44C22253"/>
    <w:rsid w:val="44C9538F"/>
    <w:rsid w:val="44F22B38"/>
    <w:rsid w:val="45085EB8"/>
    <w:rsid w:val="45187E2F"/>
    <w:rsid w:val="45232CF2"/>
    <w:rsid w:val="454F2282"/>
    <w:rsid w:val="455307FA"/>
    <w:rsid w:val="45603F46"/>
    <w:rsid w:val="456301CB"/>
    <w:rsid w:val="456B28EB"/>
    <w:rsid w:val="45732C54"/>
    <w:rsid w:val="457E261E"/>
    <w:rsid w:val="458B6D53"/>
    <w:rsid w:val="458F476F"/>
    <w:rsid w:val="459271BB"/>
    <w:rsid w:val="45A178F6"/>
    <w:rsid w:val="45AA3FA1"/>
    <w:rsid w:val="45B575C4"/>
    <w:rsid w:val="45BE3AF7"/>
    <w:rsid w:val="45DB35CC"/>
    <w:rsid w:val="45DE7238"/>
    <w:rsid w:val="460B5E22"/>
    <w:rsid w:val="460D5750"/>
    <w:rsid w:val="460E39A2"/>
    <w:rsid w:val="4631359B"/>
    <w:rsid w:val="463C35B8"/>
    <w:rsid w:val="463E2A74"/>
    <w:rsid w:val="464C6278"/>
    <w:rsid w:val="46627EB8"/>
    <w:rsid w:val="46987E28"/>
    <w:rsid w:val="46A92D0D"/>
    <w:rsid w:val="46DA3884"/>
    <w:rsid w:val="46E91D19"/>
    <w:rsid w:val="46EB783F"/>
    <w:rsid w:val="46ED024E"/>
    <w:rsid w:val="46FA742D"/>
    <w:rsid w:val="46FF778E"/>
    <w:rsid w:val="47017063"/>
    <w:rsid w:val="47060B1D"/>
    <w:rsid w:val="47276FB2"/>
    <w:rsid w:val="472C7391"/>
    <w:rsid w:val="47382D2F"/>
    <w:rsid w:val="473C453F"/>
    <w:rsid w:val="47413903"/>
    <w:rsid w:val="47505B9C"/>
    <w:rsid w:val="47507355"/>
    <w:rsid w:val="475F1FDB"/>
    <w:rsid w:val="47650740"/>
    <w:rsid w:val="4766336A"/>
    <w:rsid w:val="476A326E"/>
    <w:rsid w:val="476F5BD3"/>
    <w:rsid w:val="4779309D"/>
    <w:rsid w:val="477C41B9"/>
    <w:rsid w:val="477C493B"/>
    <w:rsid w:val="477D2019"/>
    <w:rsid w:val="4780267D"/>
    <w:rsid w:val="47902AE8"/>
    <w:rsid w:val="479162DE"/>
    <w:rsid w:val="47A10846"/>
    <w:rsid w:val="47AA76FA"/>
    <w:rsid w:val="47AB3CBC"/>
    <w:rsid w:val="47BD7CE5"/>
    <w:rsid w:val="47CA6E65"/>
    <w:rsid w:val="47CC2C93"/>
    <w:rsid w:val="480F57AF"/>
    <w:rsid w:val="48111527"/>
    <w:rsid w:val="481952B5"/>
    <w:rsid w:val="48403BBB"/>
    <w:rsid w:val="48410EC1"/>
    <w:rsid w:val="484A4A39"/>
    <w:rsid w:val="484A67E7"/>
    <w:rsid w:val="48644951"/>
    <w:rsid w:val="486A10B0"/>
    <w:rsid w:val="486D749A"/>
    <w:rsid w:val="486F1D0F"/>
    <w:rsid w:val="487335A0"/>
    <w:rsid w:val="487675DC"/>
    <w:rsid w:val="48802C01"/>
    <w:rsid w:val="48826229"/>
    <w:rsid w:val="4884619D"/>
    <w:rsid w:val="48864939"/>
    <w:rsid w:val="48895562"/>
    <w:rsid w:val="48897310"/>
    <w:rsid w:val="488E4926"/>
    <w:rsid w:val="489068E9"/>
    <w:rsid w:val="489733D4"/>
    <w:rsid w:val="489D325F"/>
    <w:rsid w:val="489E49A7"/>
    <w:rsid w:val="48A241E7"/>
    <w:rsid w:val="48A91760"/>
    <w:rsid w:val="48B301AB"/>
    <w:rsid w:val="48C47A30"/>
    <w:rsid w:val="48CA6296"/>
    <w:rsid w:val="48CE11C6"/>
    <w:rsid w:val="48DD765B"/>
    <w:rsid w:val="48E0744C"/>
    <w:rsid w:val="48F82DE8"/>
    <w:rsid w:val="490746D8"/>
    <w:rsid w:val="491D214E"/>
    <w:rsid w:val="493059DD"/>
    <w:rsid w:val="493265F8"/>
    <w:rsid w:val="49366D6C"/>
    <w:rsid w:val="49496A9F"/>
    <w:rsid w:val="494E4363"/>
    <w:rsid w:val="495A0CAC"/>
    <w:rsid w:val="49615D42"/>
    <w:rsid w:val="49647D7D"/>
    <w:rsid w:val="496623AD"/>
    <w:rsid w:val="496D09DF"/>
    <w:rsid w:val="49761EC9"/>
    <w:rsid w:val="49771AF9"/>
    <w:rsid w:val="49837F9E"/>
    <w:rsid w:val="49A047B8"/>
    <w:rsid w:val="49AF22EA"/>
    <w:rsid w:val="49B44860"/>
    <w:rsid w:val="49C56A6D"/>
    <w:rsid w:val="49D62C9D"/>
    <w:rsid w:val="49E10F14"/>
    <w:rsid w:val="49FC1D63"/>
    <w:rsid w:val="49FE3165"/>
    <w:rsid w:val="4A007C4A"/>
    <w:rsid w:val="4A0B1FA6"/>
    <w:rsid w:val="4A1B7422"/>
    <w:rsid w:val="4A2160D4"/>
    <w:rsid w:val="4A220012"/>
    <w:rsid w:val="4A2F25C1"/>
    <w:rsid w:val="4A3414FD"/>
    <w:rsid w:val="4A352D71"/>
    <w:rsid w:val="4A3B526E"/>
    <w:rsid w:val="4A3E366D"/>
    <w:rsid w:val="4A5B6FCD"/>
    <w:rsid w:val="4A5D0A54"/>
    <w:rsid w:val="4A69564B"/>
    <w:rsid w:val="4A817D56"/>
    <w:rsid w:val="4A8561FD"/>
    <w:rsid w:val="4A965D14"/>
    <w:rsid w:val="4A9C3C2A"/>
    <w:rsid w:val="4AA15CDF"/>
    <w:rsid w:val="4AA8732E"/>
    <w:rsid w:val="4AAC7872"/>
    <w:rsid w:val="4AB60164"/>
    <w:rsid w:val="4ABA5EA6"/>
    <w:rsid w:val="4AD435BE"/>
    <w:rsid w:val="4ADB3B7F"/>
    <w:rsid w:val="4AE10180"/>
    <w:rsid w:val="4AF173EE"/>
    <w:rsid w:val="4B161097"/>
    <w:rsid w:val="4B19711F"/>
    <w:rsid w:val="4B272E10"/>
    <w:rsid w:val="4B4007A0"/>
    <w:rsid w:val="4B5856BF"/>
    <w:rsid w:val="4B6039CA"/>
    <w:rsid w:val="4B6F757C"/>
    <w:rsid w:val="4B7579F5"/>
    <w:rsid w:val="4B915592"/>
    <w:rsid w:val="4B927ADB"/>
    <w:rsid w:val="4BE1137A"/>
    <w:rsid w:val="4BE470E3"/>
    <w:rsid w:val="4BE8236B"/>
    <w:rsid w:val="4C1E5B7B"/>
    <w:rsid w:val="4C211F55"/>
    <w:rsid w:val="4C325F10"/>
    <w:rsid w:val="4C43011D"/>
    <w:rsid w:val="4C455C43"/>
    <w:rsid w:val="4C4D4AF8"/>
    <w:rsid w:val="4C5B72A6"/>
    <w:rsid w:val="4C5C44A8"/>
    <w:rsid w:val="4C6360CA"/>
    <w:rsid w:val="4C647F8B"/>
    <w:rsid w:val="4C79261D"/>
    <w:rsid w:val="4C9E7102"/>
    <w:rsid w:val="4CB66E06"/>
    <w:rsid w:val="4CC76FA6"/>
    <w:rsid w:val="4CD9658D"/>
    <w:rsid w:val="4CEC2563"/>
    <w:rsid w:val="4CF03E01"/>
    <w:rsid w:val="4CF30DFC"/>
    <w:rsid w:val="4D111FE3"/>
    <w:rsid w:val="4D113D78"/>
    <w:rsid w:val="4D1F33AF"/>
    <w:rsid w:val="4D255833"/>
    <w:rsid w:val="4D27359B"/>
    <w:rsid w:val="4D512157"/>
    <w:rsid w:val="4D7022CF"/>
    <w:rsid w:val="4D7A36CB"/>
    <w:rsid w:val="4D810EFD"/>
    <w:rsid w:val="4D836E6B"/>
    <w:rsid w:val="4D88228C"/>
    <w:rsid w:val="4D956757"/>
    <w:rsid w:val="4DAA7220"/>
    <w:rsid w:val="4DB0533F"/>
    <w:rsid w:val="4DB43B53"/>
    <w:rsid w:val="4DBD60A1"/>
    <w:rsid w:val="4DC73CEB"/>
    <w:rsid w:val="4DEA2DBD"/>
    <w:rsid w:val="4DF47921"/>
    <w:rsid w:val="4DFC0584"/>
    <w:rsid w:val="4E086F29"/>
    <w:rsid w:val="4E0956EA"/>
    <w:rsid w:val="4E17716C"/>
    <w:rsid w:val="4E191136"/>
    <w:rsid w:val="4E197388"/>
    <w:rsid w:val="4E235B10"/>
    <w:rsid w:val="4E2918B5"/>
    <w:rsid w:val="4E3B72FE"/>
    <w:rsid w:val="4E41243B"/>
    <w:rsid w:val="4E4576D0"/>
    <w:rsid w:val="4E4647AF"/>
    <w:rsid w:val="4E6B29FE"/>
    <w:rsid w:val="4E712D20"/>
    <w:rsid w:val="4E7C03B8"/>
    <w:rsid w:val="4E7D20D1"/>
    <w:rsid w:val="4E9071DC"/>
    <w:rsid w:val="4E9D56E7"/>
    <w:rsid w:val="4EA273A7"/>
    <w:rsid w:val="4EA931C9"/>
    <w:rsid w:val="4EB726FD"/>
    <w:rsid w:val="4EBB1D33"/>
    <w:rsid w:val="4EBD7738"/>
    <w:rsid w:val="4EBE1CDD"/>
    <w:rsid w:val="4ECF7A46"/>
    <w:rsid w:val="4ED15F4A"/>
    <w:rsid w:val="4ED92673"/>
    <w:rsid w:val="4EE566FA"/>
    <w:rsid w:val="4EF3605B"/>
    <w:rsid w:val="4EFB4CDF"/>
    <w:rsid w:val="4EFE20DA"/>
    <w:rsid w:val="4F0C0C9A"/>
    <w:rsid w:val="4F111E0D"/>
    <w:rsid w:val="4F18319B"/>
    <w:rsid w:val="4F1B66EA"/>
    <w:rsid w:val="4F1D1FFB"/>
    <w:rsid w:val="4F4169B1"/>
    <w:rsid w:val="4F49434E"/>
    <w:rsid w:val="4F4F2935"/>
    <w:rsid w:val="4F524790"/>
    <w:rsid w:val="4F59011D"/>
    <w:rsid w:val="4F710BA2"/>
    <w:rsid w:val="4F781E8C"/>
    <w:rsid w:val="4F8E7901"/>
    <w:rsid w:val="4FB01626"/>
    <w:rsid w:val="4FC123A3"/>
    <w:rsid w:val="4FCB46B2"/>
    <w:rsid w:val="4FD317B8"/>
    <w:rsid w:val="4FDC241B"/>
    <w:rsid w:val="4FE6647D"/>
    <w:rsid w:val="4FE722BC"/>
    <w:rsid w:val="500E3561"/>
    <w:rsid w:val="502618E8"/>
    <w:rsid w:val="50291026"/>
    <w:rsid w:val="503C25D7"/>
    <w:rsid w:val="50493828"/>
    <w:rsid w:val="50516642"/>
    <w:rsid w:val="50597F0F"/>
    <w:rsid w:val="505B0F00"/>
    <w:rsid w:val="50615016"/>
    <w:rsid w:val="50792360"/>
    <w:rsid w:val="50830AE8"/>
    <w:rsid w:val="508B5BEF"/>
    <w:rsid w:val="50A63B01"/>
    <w:rsid w:val="50A95C1F"/>
    <w:rsid w:val="50C07DA6"/>
    <w:rsid w:val="50C07F8E"/>
    <w:rsid w:val="50C40C05"/>
    <w:rsid w:val="50D17AA6"/>
    <w:rsid w:val="50E708D0"/>
    <w:rsid w:val="50EA09D4"/>
    <w:rsid w:val="50FC0C08"/>
    <w:rsid w:val="5101521E"/>
    <w:rsid w:val="5106568F"/>
    <w:rsid w:val="5118746F"/>
    <w:rsid w:val="51275918"/>
    <w:rsid w:val="512978E2"/>
    <w:rsid w:val="513A6742"/>
    <w:rsid w:val="513B0E77"/>
    <w:rsid w:val="51451F85"/>
    <w:rsid w:val="5151508A"/>
    <w:rsid w:val="51613259"/>
    <w:rsid w:val="516967C4"/>
    <w:rsid w:val="517448D5"/>
    <w:rsid w:val="51792461"/>
    <w:rsid w:val="517C5E04"/>
    <w:rsid w:val="51874608"/>
    <w:rsid w:val="518C1C1F"/>
    <w:rsid w:val="518E1E3B"/>
    <w:rsid w:val="51A21442"/>
    <w:rsid w:val="51B015D8"/>
    <w:rsid w:val="51B01DB1"/>
    <w:rsid w:val="51BF3DA2"/>
    <w:rsid w:val="51C615D4"/>
    <w:rsid w:val="51DF4586"/>
    <w:rsid w:val="51E6689E"/>
    <w:rsid w:val="51F15F26"/>
    <w:rsid w:val="520366C7"/>
    <w:rsid w:val="52044063"/>
    <w:rsid w:val="520C673C"/>
    <w:rsid w:val="5210793F"/>
    <w:rsid w:val="521F208E"/>
    <w:rsid w:val="52393CD4"/>
    <w:rsid w:val="52426781"/>
    <w:rsid w:val="524E1B19"/>
    <w:rsid w:val="524E5126"/>
    <w:rsid w:val="525F396D"/>
    <w:rsid w:val="526130AB"/>
    <w:rsid w:val="526B2321"/>
    <w:rsid w:val="526C4169"/>
    <w:rsid w:val="5288688A"/>
    <w:rsid w:val="528F074A"/>
    <w:rsid w:val="528F1686"/>
    <w:rsid w:val="52AE49EE"/>
    <w:rsid w:val="52BE22AC"/>
    <w:rsid w:val="52C214F6"/>
    <w:rsid w:val="52CD015B"/>
    <w:rsid w:val="52CD0E5C"/>
    <w:rsid w:val="52CF3EB4"/>
    <w:rsid w:val="52EB2411"/>
    <w:rsid w:val="531B14AC"/>
    <w:rsid w:val="53205058"/>
    <w:rsid w:val="53277E51"/>
    <w:rsid w:val="532C753B"/>
    <w:rsid w:val="53392927"/>
    <w:rsid w:val="5342045D"/>
    <w:rsid w:val="53424C8B"/>
    <w:rsid w:val="53434A77"/>
    <w:rsid w:val="53486019"/>
    <w:rsid w:val="5359147A"/>
    <w:rsid w:val="53733096"/>
    <w:rsid w:val="537B1F4B"/>
    <w:rsid w:val="539D6365"/>
    <w:rsid w:val="53AF7E46"/>
    <w:rsid w:val="53C2401E"/>
    <w:rsid w:val="53EC109A"/>
    <w:rsid w:val="53F65A75"/>
    <w:rsid w:val="53F8359B"/>
    <w:rsid w:val="540E566C"/>
    <w:rsid w:val="54176117"/>
    <w:rsid w:val="542E520F"/>
    <w:rsid w:val="543547EF"/>
    <w:rsid w:val="543F741C"/>
    <w:rsid w:val="54484523"/>
    <w:rsid w:val="545B2183"/>
    <w:rsid w:val="5460247A"/>
    <w:rsid w:val="546219CD"/>
    <w:rsid w:val="54686973"/>
    <w:rsid w:val="5492579E"/>
    <w:rsid w:val="54977793"/>
    <w:rsid w:val="54A13C33"/>
    <w:rsid w:val="54A31759"/>
    <w:rsid w:val="54B5148C"/>
    <w:rsid w:val="54C44BDE"/>
    <w:rsid w:val="54D11704"/>
    <w:rsid w:val="54D1276A"/>
    <w:rsid w:val="54EF499E"/>
    <w:rsid w:val="55063CA9"/>
    <w:rsid w:val="55344B3D"/>
    <w:rsid w:val="554A42CB"/>
    <w:rsid w:val="554A6079"/>
    <w:rsid w:val="555D5DAC"/>
    <w:rsid w:val="5568004D"/>
    <w:rsid w:val="556C5FEF"/>
    <w:rsid w:val="55702BA5"/>
    <w:rsid w:val="557F21C6"/>
    <w:rsid w:val="557F2612"/>
    <w:rsid w:val="55906AA8"/>
    <w:rsid w:val="559D1CF3"/>
    <w:rsid w:val="559D66D5"/>
    <w:rsid w:val="55A91E9E"/>
    <w:rsid w:val="55AE6607"/>
    <w:rsid w:val="55C82FEE"/>
    <w:rsid w:val="55CB4E15"/>
    <w:rsid w:val="55CF78BA"/>
    <w:rsid w:val="55F21A73"/>
    <w:rsid w:val="561F5FBF"/>
    <w:rsid w:val="56551CBC"/>
    <w:rsid w:val="565948FE"/>
    <w:rsid w:val="565B0BFE"/>
    <w:rsid w:val="56680EAC"/>
    <w:rsid w:val="56726DE3"/>
    <w:rsid w:val="5679285B"/>
    <w:rsid w:val="567A0BDF"/>
    <w:rsid w:val="56A93273"/>
    <w:rsid w:val="56AD2D63"/>
    <w:rsid w:val="56C3779F"/>
    <w:rsid w:val="56C47BCE"/>
    <w:rsid w:val="56D06A51"/>
    <w:rsid w:val="570D3802"/>
    <w:rsid w:val="570F1328"/>
    <w:rsid w:val="571E77BD"/>
    <w:rsid w:val="572B1BB7"/>
    <w:rsid w:val="572B1EDA"/>
    <w:rsid w:val="572D7A00"/>
    <w:rsid w:val="57311600"/>
    <w:rsid w:val="574B0427"/>
    <w:rsid w:val="57802582"/>
    <w:rsid w:val="5797131D"/>
    <w:rsid w:val="579730CB"/>
    <w:rsid w:val="57996E43"/>
    <w:rsid w:val="57A2433B"/>
    <w:rsid w:val="57DB745C"/>
    <w:rsid w:val="57E6062E"/>
    <w:rsid w:val="57E718ED"/>
    <w:rsid w:val="57FE0694"/>
    <w:rsid w:val="58022D77"/>
    <w:rsid w:val="58056FCA"/>
    <w:rsid w:val="5813309A"/>
    <w:rsid w:val="58136BF6"/>
    <w:rsid w:val="58256929"/>
    <w:rsid w:val="582E7C78"/>
    <w:rsid w:val="5838665C"/>
    <w:rsid w:val="58423FB0"/>
    <w:rsid w:val="58466FCB"/>
    <w:rsid w:val="58615BB3"/>
    <w:rsid w:val="58620987"/>
    <w:rsid w:val="58627B7D"/>
    <w:rsid w:val="58767185"/>
    <w:rsid w:val="587A0060"/>
    <w:rsid w:val="588A0052"/>
    <w:rsid w:val="58A3441E"/>
    <w:rsid w:val="58BC103B"/>
    <w:rsid w:val="58CC62EF"/>
    <w:rsid w:val="58D04AE7"/>
    <w:rsid w:val="58DF795E"/>
    <w:rsid w:val="58E12FD2"/>
    <w:rsid w:val="59062F98"/>
    <w:rsid w:val="5906675A"/>
    <w:rsid w:val="590C1835"/>
    <w:rsid w:val="591744C4"/>
    <w:rsid w:val="59266DFD"/>
    <w:rsid w:val="592733D1"/>
    <w:rsid w:val="59301A29"/>
    <w:rsid w:val="59411541"/>
    <w:rsid w:val="59594ADC"/>
    <w:rsid w:val="59606B56"/>
    <w:rsid w:val="598B5EF6"/>
    <w:rsid w:val="59B63CDD"/>
    <w:rsid w:val="59BB5797"/>
    <w:rsid w:val="59C52172"/>
    <w:rsid w:val="59CC5B1E"/>
    <w:rsid w:val="59CF30D9"/>
    <w:rsid w:val="59D547F8"/>
    <w:rsid w:val="59E65034"/>
    <w:rsid w:val="59E92304"/>
    <w:rsid w:val="59EC3BA2"/>
    <w:rsid w:val="59F8471F"/>
    <w:rsid w:val="5A0C1B4F"/>
    <w:rsid w:val="5A107D10"/>
    <w:rsid w:val="5A111AD4"/>
    <w:rsid w:val="5A1C320C"/>
    <w:rsid w:val="5A201A9E"/>
    <w:rsid w:val="5A274783"/>
    <w:rsid w:val="5A450BD8"/>
    <w:rsid w:val="5A455061"/>
    <w:rsid w:val="5A64226E"/>
    <w:rsid w:val="5A6E293F"/>
    <w:rsid w:val="5A9964F2"/>
    <w:rsid w:val="5A9A1E11"/>
    <w:rsid w:val="5A9F29C3"/>
    <w:rsid w:val="5AA63D51"/>
    <w:rsid w:val="5AB521E6"/>
    <w:rsid w:val="5AD84127"/>
    <w:rsid w:val="5ADA34F9"/>
    <w:rsid w:val="5AE605F2"/>
    <w:rsid w:val="5AED1980"/>
    <w:rsid w:val="5AEE394A"/>
    <w:rsid w:val="5AF44415"/>
    <w:rsid w:val="5B0647F0"/>
    <w:rsid w:val="5B145EC9"/>
    <w:rsid w:val="5B494DB1"/>
    <w:rsid w:val="5B57329D"/>
    <w:rsid w:val="5B5C08B4"/>
    <w:rsid w:val="5B5E462C"/>
    <w:rsid w:val="5B90055D"/>
    <w:rsid w:val="5B904974"/>
    <w:rsid w:val="5B94004E"/>
    <w:rsid w:val="5B9A60B4"/>
    <w:rsid w:val="5B9F27AC"/>
    <w:rsid w:val="5BA02E96"/>
    <w:rsid w:val="5BB573A6"/>
    <w:rsid w:val="5BBB1A7E"/>
    <w:rsid w:val="5BBC5A3F"/>
    <w:rsid w:val="5BCC6EA0"/>
    <w:rsid w:val="5BCD26B9"/>
    <w:rsid w:val="5BF46D3E"/>
    <w:rsid w:val="5BFB6679"/>
    <w:rsid w:val="5C1251FE"/>
    <w:rsid w:val="5C1473E0"/>
    <w:rsid w:val="5C2A5D46"/>
    <w:rsid w:val="5C2F3E66"/>
    <w:rsid w:val="5C371191"/>
    <w:rsid w:val="5C4750C0"/>
    <w:rsid w:val="5C4C26D6"/>
    <w:rsid w:val="5C58551F"/>
    <w:rsid w:val="5C6F7CA5"/>
    <w:rsid w:val="5C7560D1"/>
    <w:rsid w:val="5C8F54C2"/>
    <w:rsid w:val="5C9A499D"/>
    <w:rsid w:val="5CBA4308"/>
    <w:rsid w:val="5CCB3F43"/>
    <w:rsid w:val="5CCE57E1"/>
    <w:rsid w:val="5CD22D09"/>
    <w:rsid w:val="5CE24888"/>
    <w:rsid w:val="5CEE378D"/>
    <w:rsid w:val="5CEF513C"/>
    <w:rsid w:val="5CF31684"/>
    <w:rsid w:val="5CF80AB0"/>
    <w:rsid w:val="5CFF56F6"/>
    <w:rsid w:val="5CFF7D4D"/>
    <w:rsid w:val="5D042FB1"/>
    <w:rsid w:val="5D165EC3"/>
    <w:rsid w:val="5D1D206F"/>
    <w:rsid w:val="5D2343FC"/>
    <w:rsid w:val="5D2F578B"/>
    <w:rsid w:val="5D30024A"/>
    <w:rsid w:val="5D4D6706"/>
    <w:rsid w:val="5D5970AF"/>
    <w:rsid w:val="5D5C2A54"/>
    <w:rsid w:val="5D5D06DD"/>
    <w:rsid w:val="5D610403"/>
    <w:rsid w:val="5D614AB8"/>
    <w:rsid w:val="5D731EE5"/>
    <w:rsid w:val="5D777C27"/>
    <w:rsid w:val="5D7853B2"/>
    <w:rsid w:val="5D7E063F"/>
    <w:rsid w:val="5D8031A1"/>
    <w:rsid w:val="5D8161DE"/>
    <w:rsid w:val="5DA13230"/>
    <w:rsid w:val="5DA7079C"/>
    <w:rsid w:val="5DC43BA3"/>
    <w:rsid w:val="5DCA0508"/>
    <w:rsid w:val="5DCD60E6"/>
    <w:rsid w:val="5DD62B9F"/>
    <w:rsid w:val="5DDB6408"/>
    <w:rsid w:val="5DED613B"/>
    <w:rsid w:val="5DED6DCE"/>
    <w:rsid w:val="5DF23751"/>
    <w:rsid w:val="5DFB43B4"/>
    <w:rsid w:val="5E0019CA"/>
    <w:rsid w:val="5E2E29DB"/>
    <w:rsid w:val="5E34444A"/>
    <w:rsid w:val="5E542629"/>
    <w:rsid w:val="5E5566D3"/>
    <w:rsid w:val="5E6F573C"/>
    <w:rsid w:val="5E7D301B"/>
    <w:rsid w:val="5E816F6E"/>
    <w:rsid w:val="5E895E64"/>
    <w:rsid w:val="5E9A3C9E"/>
    <w:rsid w:val="5EA06FE9"/>
    <w:rsid w:val="5EAA191B"/>
    <w:rsid w:val="5EBF1885"/>
    <w:rsid w:val="5EC2169E"/>
    <w:rsid w:val="5EC40C4A"/>
    <w:rsid w:val="5F0C439F"/>
    <w:rsid w:val="5F492559"/>
    <w:rsid w:val="5F522D59"/>
    <w:rsid w:val="5F525AB3"/>
    <w:rsid w:val="5F750196"/>
    <w:rsid w:val="5F893C41"/>
    <w:rsid w:val="5F8D2F9F"/>
    <w:rsid w:val="5F921251"/>
    <w:rsid w:val="5F9A19AB"/>
    <w:rsid w:val="5FA402FE"/>
    <w:rsid w:val="5FA82790"/>
    <w:rsid w:val="5FBF5463"/>
    <w:rsid w:val="5FC058B5"/>
    <w:rsid w:val="5FD0361E"/>
    <w:rsid w:val="5FE07D05"/>
    <w:rsid w:val="5FE1582B"/>
    <w:rsid w:val="5FE5531C"/>
    <w:rsid w:val="5FED6312"/>
    <w:rsid w:val="5FF4084B"/>
    <w:rsid w:val="5FF60176"/>
    <w:rsid w:val="600B3C7F"/>
    <w:rsid w:val="600E6652"/>
    <w:rsid w:val="60181FFC"/>
    <w:rsid w:val="601D0F10"/>
    <w:rsid w:val="601E438A"/>
    <w:rsid w:val="60274F50"/>
    <w:rsid w:val="603E67DA"/>
    <w:rsid w:val="60487659"/>
    <w:rsid w:val="605827C8"/>
    <w:rsid w:val="60606348"/>
    <w:rsid w:val="60620E36"/>
    <w:rsid w:val="606561F6"/>
    <w:rsid w:val="60735001"/>
    <w:rsid w:val="6074623A"/>
    <w:rsid w:val="60787B35"/>
    <w:rsid w:val="6079499F"/>
    <w:rsid w:val="60803E85"/>
    <w:rsid w:val="608D7E06"/>
    <w:rsid w:val="60950F7E"/>
    <w:rsid w:val="60A122FD"/>
    <w:rsid w:val="60AC0BE2"/>
    <w:rsid w:val="60AF76D8"/>
    <w:rsid w:val="60B44CEE"/>
    <w:rsid w:val="60B620E5"/>
    <w:rsid w:val="60B85BEE"/>
    <w:rsid w:val="60CC6DA9"/>
    <w:rsid w:val="60D14CD0"/>
    <w:rsid w:val="60E27AAD"/>
    <w:rsid w:val="60E530F9"/>
    <w:rsid w:val="60F35816"/>
    <w:rsid w:val="61300ED6"/>
    <w:rsid w:val="61395C4A"/>
    <w:rsid w:val="613C540F"/>
    <w:rsid w:val="61420686"/>
    <w:rsid w:val="61477910"/>
    <w:rsid w:val="614B6011"/>
    <w:rsid w:val="615745A0"/>
    <w:rsid w:val="61750921"/>
    <w:rsid w:val="61796E59"/>
    <w:rsid w:val="61797930"/>
    <w:rsid w:val="619008D3"/>
    <w:rsid w:val="61A94127"/>
    <w:rsid w:val="61AD3B10"/>
    <w:rsid w:val="61BC20AC"/>
    <w:rsid w:val="61E46FAC"/>
    <w:rsid w:val="61F47A98"/>
    <w:rsid w:val="62216F59"/>
    <w:rsid w:val="62257C51"/>
    <w:rsid w:val="622814F0"/>
    <w:rsid w:val="622A170C"/>
    <w:rsid w:val="622D6B06"/>
    <w:rsid w:val="623138CC"/>
    <w:rsid w:val="62327A2D"/>
    <w:rsid w:val="62487DE4"/>
    <w:rsid w:val="624C1682"/>
    <w:rsid w:val="624D5629"/>
    <w:rsid w:val="625016FC"/>
    <w:rsid w:val="62650996"/>
    <w:rsid w:val="62781058"/>
    <w:rsid w:val="627C183B"/>
    <w:rsid w:val="628A21AA"/>
    <w:rsid w:val="62A0377C"/>
    <w:rsid w:val="62AF65BD"/>
    <w:rsid w:val="62CC4571"/>
    <w:rsid w:val="62CF77C4"/>
    <w:rsid w:val="62D566B4"/>
    <w:rsid w:val="62DB6800"/>
    <w:rsid w:val="62F45876"/>
    <w:rsid w:val="62F47CB4"/>
    <w:rsid w:val="6300246C"/>
    <w:rsid w:val="6314609A"/>
    <w:rsid w:val="631B1054"/>
    <w:rsid w:val="632F5D03"/>
    <w:rsid w:val="63392767"/>
    <w:rsid w:val="634A5110"/>
    <w:rsid w:val="634E4F7A"/>
    <w:rsid w:val="63576530"/>
    <w:rsid w:val="63594F2B"/>
    <w:rsid w:val="63743881"/>
    <w:rsid w:val="637A3EE3"/>
    <w:rsid w:val="63892193"/>
    <w:rsid w:val="639332E1"/>
    <w:rsid w:val="63B55005"/>
    <w:rsid w:val="63B907A9"/>
    <w:rsid w:val="63BA261B"/>
    <w:rsid w:val="63CB2868"/>
    <w:rsid w:val="63CD433E"/>
    <w:rsid w:val="63D7141F"/>
    <w:rsid w:val="63DC6B7F"/>
    <w:rsid w:val="63DD27EB"/>
    <w:rsid w:val="63E32A9B"/>
    <w:rsid w:val="63F83144"/>
    <w:rsid w:val="641C32D6"/>
    <w:rsid w:val="642A77A1"/>
    <w:rsid w:val="643A5C4C"/>
    <w:rsid w:val="64516165"/>
    <w:rsid w:val="645E744B"/>
    <w:rsid w:val="64746C6E"/>
    <w:rsid w:val="648669A1"/>
    <w:rsid w:val="64923598"/>
    <w:rsid w:val="64927107"/>
    <w:rsid w:val="649732A7"/>
    <w:rsid w:val="64A21A2D"/>
    <w:rsid w:val="64A928D5"/>
    <w:rsid w:val="64A940DF"/>
    <w:rsid w:val="64B259E8"/>
    <w:rsid w:val="64B34B87"/>
    <w:rsid w:val="64B673DB"/>
    <w:rsid w:val="64C722AA"/>
    <w:rsid w:val="64C819BC"/>
    <w:rsid w:val="64D21BE7"/>
    <w:rsid w:val="64D26807"/>
    <w:rsid w:val="64DE2339"/>
    <w:rsid w:val="64E72545"/>
    <w:rsid w:val="6520105E"/>
    <w:rsid w:val="653F54CE"/>
    <w:rsid w:val="65577E37"/>
    <w:rsid w:val="656F13A8"/>
    <w:rsid w:val="659D3FA3"/>
    <w:rsid w:val="65AA3B2F"/>
    <w:rsid w:val="65BE3CBE"/>
    <w:rsid w:val="65CC7B39"/>
    <w:rsid w:val="65CF20CA"/>
    <w:rsid w:val="65D0496A"/>
    <w:rsid w:val="65D348F1"/>
    <w:rsid w:val="65D700DA"/>
    <w:rsid w:val="65D73958"/>
    <w:rsid w:val="65F52C9E"/>
    <w:rsid w:val="65FA7647"/>
    <w:rsid w:val="66065FEC"/>
    <w:rsid w:val="660D737A"/>
    <w:rsid w:val="6611070F"/>
    <w:rsid w:val="66287D10"/>
    <w:rsid w:val="664D7BFF"/>
    <w:rsid w:val="66891654"/>
    <w:rsid w:val="669058B5"/>
    <w:rsid w:val="66967370"/>
    <w:rsid w:val="66990C0E"/>
    <w:rsid w:val="66A840DC"/>
    <w:rsid w:val="66A91E93"/>
    <w:rsid w:val="66AB26EF"/>
    <w:rsid w:val="66B53CFC"/>
    <w:rsid w:val="66BB6DD6"/>
    <w:rsid w:val="66BF5B1D"/>
    <w:rsid w:val="66D9725C"/>
    <w:rsid w:val="6716225F"/>
    <w:rsid w:val="673426E5"/>
    <w:rsid w:val="67671BD5"/>
    <w:rsid w:val="676A25AA"/>
    <w:rsid w:val="676F7BC1"/>
    <w:rsid w:val="677713C4"/>
    <w:rsid w:val="677961F6"/>
    <w:rsid w:val="677E46A7"/>
    <w:rsid w:val="678330E3"/>
    <w:rsid w:val="679145A9"/>
    <w:rsid w:val="67974E21"/>
    <w:rsid w:val="67AC2BC3"/>
    <w:rsid w:val="67BD26DA"/>
    <w:rsid w:val="67C151DC"/>
    <w:rsid w:val="67E91CAE"/>
    <w:rsid w:val="67F775A7"/>
    <w:rsid w:val="68081D73"/>
    <w:rsid w:val="68132097"/>
    <w:rsid w:val="681D05D9"/>
    <w:rsid w:val="68201541"/>
    <w:rsid w:val="68234CFE"/>
    <w:rsid w:val="682A04A6"/>
    <w:rsid w:val="685409F3"/>
    <w:rsid w:val="68583F9F"/>
    <w:rsid w:val="685C6D93"/>
    <w:rsid w:val="68646FFA"/>
    <w:rsid w:val="68686AEA"/>
    <w:rsid w:val="686F69B9"/>
    <w:rsid w:val="687A4A6F"/>
    <w:rsid w:val="688E4077"/>
    <w:rsid w:val="68C301C4"/>
    <w:rsid w:val="68D7196A"/>
    <w:rsid w:val="68DC1286"/>
    <w:rsid w:val="68E1766A"/>
    <w:rsid w:val="69097162"/>
    <w:rsid w:val="691111A8"/>
    <w:rsid w:val="69146A70"/>
    <w:rsid w:val="6916476C"/>
    <w:rsid w:val="691651C1"/>
    <w:rsid w:val="691B1DAE"/>
    <w:rsid w:val="691C1682"/>
    <w:rsid w:val="69342FA7"/>
    <w:rsid w:val="695A7804"/>
    <w:rsid w:val="69601B67"/>
    <w:rsid w:val="6965288D"/>
    <w:rsid w:val="696A4AE4"/>
    <w:rsid w:val="697119CE"/>
    <w:rsid w:val="698414AB"/>
    <w:rsid w:val="698D54E0"/>
    <w:rsid w:val="69A408DE"/>
    <w:rsid w:val="69AC0C58"/>
    <w:rsid w:val="69AF24F6"/>
    <w:rsid w:val="69B97ACD"/>
    <w:rsid w:val="69D65CD5"/>
    <w:rsid w:val="69E14DA6"/>
    <w:rsid w:val="69FA14D3"/>
    <w:rsid w:val="6A1A02B8"/>
    <w:rsid w:val="6A1C16A7"/>
    <w:rsid w:val="6A1F4B15"/>
    <w:rsid w:val="6A2C3B47"/>
    <w:rsid w:val="6A33462B"/>
    <w:rsid w:val="6A3824EC"/>
    <w:rsid w:val="6A3B2632"/>
    <w:rsid w:val="6A436A18"/>
    <w:rsid w:val="6A445335"/>
    <w:rsid w:val="6A4E03B1"/>
    <w:rsid w:val="6A554CDF"/>
    <w:rsid w:val="6A647785"/>
    <w:rsid w:val="6A674FEC"/>
    <w:rsid w:val="6A9A309D"/>
    <w:rsid w:val="6A9A4F55"/>
    <w:rsid w:val="6A9A6D03"/>
    <w:rsid w:val="6AAF047B"/>
    <w:rsid w:val="6AC41FD2"/>
    <w:rsid w:val="6AC43C37"/>
    <w:rsid w:val="6AD466B8"/>
    <w:rsid w:val="6ADC10B1"/>
    <w:rsid w:val="6ADC4B37"/>
    <w:rsid w:val="6AE12B83"/>
    <w:rsid w:val="6AFB1E97"/>
    <w:rsid w:val="6B064398"/>
    <w:rsid w:val="6B240C6F"/>
    <w:rsid w:val="6B2A5A31"/>
    <w:rsid w:val="6B301415"/>
    <w:rsid w:val="6B5039E9"/>
    <w:rsid w:val="6B6A5E09"/>
    <w:rsid w:val="6B735ED1"/>
    <w:rsid w:val="6B797260"/>
    <w:rsid w:val="6B7B6B34"/>
    <w:rsid w:val="6B805FCF"/>
    <w:rsid w:val="6B99520C"/>
    <w:rsid w:val="6BA211AC"/>
    <w:rsid w:val="6BA936A1"/>
    <w:rsid w:val="6BB72327"/>
    <w:rsid w:val="6BCD082C"/>
    <w:rsid w:val="6BD054C3"/>
    <w:rsid w:val="6BD34BC2"/>
    <w:rsid w:val="6BEE7306"/>
    <w:rsid w:val="6C0511C8"/>
    <w:rsid w:val="6C0528A2"/>
    <w:rsid w:val="6C164D0F"/>
    <w:rsid w:val="6C3D05F2"/>
    <w:rsid w:val="6C3E7B5D"/>
    <w:rsid w:val="6C57134F"/>
    <w:rsid w:val="6C594EB0"/>
    <w:rsid w:val="6C711CE5"/>
    <w:rsid w:val="6C8E0AE9"/>
    <w:rsid w:val="6C907AF0"/>
    <w:rsid w:val="6C9D2ADA"/>
    <w:rsid w:val="6CBA7B30"/>
    <w:rsid w:val="6CC85DA9"/>
    <w:rsid w:val="6CC87F7F"/>
    <w:rsid w:val="6CC9583C"/>
    <w:rsid w:val="6CDA5ADC"/>
    <w:rsid w:val="6CDF3CC7"/>
    <w:rsid w:val="6CE10C19"/>
    <w:rsid w:val="6CE64481"/>
    <w:rsid w:val="6CEA3B0A"/>
    <w:rsid w:val="6CFD4F85"/>
    <w:rsid w:val="6CFE3957"/>
    <w:rsid w:val="6CFE7A1D"/>
    <w:rsid w:val="6D042B59"/>
    <w:rsid w:val="6D045811"/>
    <w:rsid w:val="6D09086D"/>
    <w:rsid w:val="6D0A3999"/>
    <w:rsid w:val="6D145B52"/>
    <w:rsid w:val="6D1534FA"/>
    <w:rsid w:val="6D205BE5"/>
    <w:rsid w:val="6D282CEC"/>
    <w:rsid w:val="6D3965D5"/>
    <w:rsid w:val="6D3C6797"/>
    <w:rsid w:val="6D3E606B"/>
    <w:rsid w:val="6D420251"/>
    <w:rsid w:val="6D486EEA"/>
    <w:rsid w:val="6D5034EE"/>
    <w:rsid w:val="6D6C46CA"/>
    <w:rsid w:val="6D7D3CE2"/>
    <w:rsid w:val="6D7F48FC"/>
    <w:rsid w:val="6D892132"/>
    <w:rsid w:val="6D9143ED"/>
    <w:rsid w:val="6DA52C21"/>
    <w:rsid w:val="6DAE1443"/>
    <w:rsid w:val="6DB36A59"/>
    <w:rsid w:val="6DB75882"/>
    <w:rsid w:val="6DCE5641"/>
    <w:rsid w:val="6DCF3167"/>
    <w:rsid w:val="6DE63408"/>
    <w:rsid w:val="6E0C37E6"/>
    <w:rsid w:val="6E19797F"/>
    <w:rsid w:val="6E336A33"/>
    <w:rsid w:val="6E387FCC"/>
    <w:rsid w:val="6E46167B"/>
    <w:rsid w:val="6E5B02EA"/>
    <w:rsid w:val="6E5D0773"/>
    <w:rsid w:val="6E6545B7"/>
    <w:rsid w:val="6E726417"/>
    <w:rsid w:val="6E7B6E4B"/>
    <w:rsid w:val="6E934195"/>
    <w:rsid w:val="6E9431F9"/>
    <w:rsid w:val="6E945FD6"/>
    <w:rsid w:val="6EA77C40"/>
    <w:rsid w:val="6EAE0FCF"/>
    <w:rsid w:val="6EB71F26"/>
    <w:rsid w:val="6EBB692D"/>
    <w:rsid w:val="6EBC7B8F"/>
    <w:rsid w:val="6EC32CCC"/>
    <w:rsid w:val="6EE01A7E"/>
    <w:rsid w:val="6EE737F4"/>
    <w:rsid w:val="6EEB4AD9"/>
    <w:rsid w:val="6EF409EC"/>
    <w:rsid w:val="6EFA06B8"/>
    <w:rsid w:val="6EFE3D04"/>
    <w:rsid w:val="6F053549"/>
    <w:rsid w:val="6F057F92"/>
    <w:rsid w:val="6F1572A0"/>
    <w:rsid w:val="6F4C5515"/>
    <w:rsid w:val="6F591BF5"/>
    <w:rsid w:val="6F5E62B5"/>
    <w:rsid w:val="6F6111F3"/>
    <w:rsid w:val="6F745D74"/>
    <w:rsid w:val="6F7658C4"/>
    <w:rsid w:val="6F787F25"/>
    <w:rsid w:val="6F8A37EA"/>
    <w:rsid w:val="6F8C4889"/>
    <w:rsid w:val="6F9603E0"/>
    <w:rsid w:val="6F9B2765"/>
    <w:rsid w:val="6FC8420E"/>
    <w:rsid w:val="6FD0152A"/>
    <w:rsid w:val="6FD9207B"/>
    <w:rsid w:val="6FE96CA5"/>
    <w:rsid w:val="6FEC6252"/>
    <w:rsid w:val="6FF375E1"/>
    <w:rsid w:val="70047E10"/>
    <w:rsid w:val="700D7F77"/>
    <w:rsid w:val="70117A67"/>
    <w:rsid w:val="702B13DC"/>
    <w:rsid w:val="702C48A1"/>
    <w:rsid w:val="70455963"/>
    <w:rsid w:val="70515232"/>
    <w:rsid w:val="7064228D"/>
    <w:rsid w:val="706B7746"/>
    <w:rsid w:val="70746BE0"/>
    <w:rsid w:val="70822713"/>
    <w:rsid w:val="708779A8"/>
    <w:rsid w:val="708E10B8"/>
    <w:rsid w:val="70C85D3E"/>
    <w:rsid w:val="70DC0075"/>
    <w:rsid w:val="70E350C5"/>
    <w:rsid w:val="7107048E"/>
    <w:rsid w:val="711E32B9"/>
    <w:rsid w:val="713A33C9"/>
    <w:rsid w:val="713F5E68"/>
    <w:rsid w:val="71461992"/>
    <w:rsid w:val="7148395C"/>
    <w:rsid w:val="71922E29"/>
    <w:rsid w:val="7199726F"/>
    <w:rsid w:val="71997D14"/>
    <w:rsid w:val="71A036D8"/>
    <w:rsid w:val="71A5490B"/>
    <w:rsid w:val="71A57384"/>
    <w:rsid w:val="71A779C5"/>
    <w:rsid w:val="71B03B86"/>
    <w:rsid w:val="71B2527A"/>
    <w:rsid w:val="71B765EA"/>
    <w:rsid w:val="71BE59CD"/>
    <w:rsid w:val="71F66F14"/>
    <w:rsid w:val="72250A67"/>
    <w:rsid w:val="7242215A"/>
    <w:rsid w:val="724834E8"/>
    <w:rsid w:val="72560746"/>
    <w:rsid w:val="726F6CC7"/>
    <w:rsid w:val="72816F46"/>
    <w:rsid w:val="728A0CAB"/>
    <w:rsid w:val="7295497F"/>
    <w:rsid w:val="72AB407C"/>
    <w:rsid w:val="72AF7656"/>
    <w:rsid w:val="72B666A4"/>
    <w:rsid w:val="72BC3A65"/>
    <w:rsid w:val="72BD68E4"/>
    <w:rsid w:val="72BF7C4E"/>
    <w:rsid w:val="72F21DD2"/>
    <w:rsid w:val="73107C6E"/>
    <w:rsid w:val="73140457"/>
    <w:rsid w:val="731863FE"/>
    <w:rsid w:val="73192BD4"/>
    <w:rsid w:val="73222DF8"/>
    <w:rsid w:val="73245D03"/>
    <w:rsid w:val="732E26DE"/>
    <w:rsid w:val="733777E5"/>
    <w:rsid w:val="733C1C94"/>
    <w:rsid w:val="733C4DFB"/>
    <w:rsid w:val="73513899"/>
    <w:rsid w:val="73614FE8"/>
    <w:rsid w:val="736F601A"/>
    <w:rsid w:val="73752EEA"/>
    <w:rsid w:val="7385546E"/>
    <w:rsid w:val="73932B7E"/>
    <w:rsid w:val="739A3CF2"/>
    <w:rsid w:val="73C619D4"/>
    <w:rsid w:val="73C86AE9"/>
    <w:rsid w:val="73CD639B"/>
    <w:rsid w:val="73D92058"/>
    <w:rsid w:val="73DA2FF7"/>
    <w:rsid w:val="73DF50CC"/>
    <w:rsid w:val="73E865B5"/>
    <w:rsid w:val="73FC20CF"/>
    <w:rsid w:val="74024296"/>
    <w:rsid w:val="740C6EC3"/>
    <w:rsid w:val="7416389E"/>
    <w:rsid w:val="741F0B61"/>
    <w:rsid w:val="7436183E"/>
    <w:rsid w:val="7444535A"/>
    <w:rsid w:val="744C72C0"/>
    <w:rsid w:val="7455605D"/>
    <w:rsid w:val="74615EF1"/>
    <w:rsid w:val="747D56CB"/>
    <w:rsid w:val="74C57072"/>
    <w:rsid w:val="74CC6652"/>
    <w:rsid w:val="74D15347"/>
    <w:rsid w:val="751037B1"/>
    <w:rsid w:val="75153B55"/>
    <w:rsid w:val="751701B2"/>
    <w:rsid w:val="751B5F8E"/>
    <w:rsid w:val="75243D99"/>
    <w:rsid w:val="75287D2D"/>
    <w:rsid w:val="753072F9"/>
    <w:rsid w:val="753A35BC"/>
    <w:rsid w:val="75482E52"/>
    <w:rsid w:val="755F282A"/>
    <w:rsid w:val="75681E42"/>
    <w:rsid w:val="756B3188"/>
    <w:rsid w:val="758B61E4"/>
    <w:rsid w:val="758E56B6"/>
    <w:rsid w:val="75946553"/>
    <w:rsid w:val="759E3B4B"/>
    <w:rsid w:val="75A31161"/>
    <w:rsid w:val="75A629FF"/>
    <w:rsid w:val="75AE7B06"/>
    <w:rsid w:val="75B07D22"/>
    <w:rsid w:val="75D0529F"/>
    <w:rsid w:val="75D9184B"/>
    <w:rsid w:val="75E06B6D"/>
    <w:rsid w:val="75E07C85"/>
    <w:rsid w:val="75E579CC"/>
    <w:rsid w:val="760019A6"/>
    <w:rsid w:val="760F2B58"/>
    <w:rsid w:val="761C0F14"/>
    <w:rsid w:val="762027B2"/>
    <w:rsid w:val="762360A2"/>
    <w:rsid w:val="764826C0"/>
    <w:rsid w:val="765C7562"/>
    <w:rsid w:val="766A1C7F"/>
    <w:rsid w:val="766F195A"/>
    <w:rsid w:val="76790114"/>
    <w:rsid w:val="767A3C2C"/>
    <w:rsid w:val="76840B78"/>
    <w:rsid w:val="768F7938"/>
    <w:rsid w:val="76911902"/>
    <w:rsid w:val="76A92585"/>
    <w:rsid w:val="76B735B1"/>
    <w:rsid w:val="76EB253D"/>
    <w:rsid w:val="76FD2AF3"/>
    <w:rsid w:val="77055407"/>
    <w:rsid w:val="7709593C"/>
    <w:rsid w:val="771D3195"/>
    <w:rsid w:val="772A45DB"/>
    <w:rsid w:val="772C162A"/>
    <w:rsid w:val="77334EF4"/>
    <w:rsid w:val="7739506D"/>
    <w:rsid w:val="77811976"/>
    <w:rsid w:val="77980A6E"/>
    <w:rsid w:val="77A45665"/>
    <w:rsid w:val="77A730D4"/>
    <w:rsid w:val="77AE203F"/>
    <w:rsid w:val="77AF2665"/>
    <w:rsid w:val="77B201E1"/>
    <w:rsid w:val="77B558F3"/>
    <w:rsid w:val="77F71C38"/>
    <w:rsid w:val="780C04A0"/>
    <w:rsid w:val="780D6D66"/>
    <w:rsid w:val="7821297D"/>
    <w:rsid w:val="7825729B"/>
    <w:rsid w:val="783F0EE9"/>
    <w:rsid w:val="785539FA"/>
    <w:rsid w:val="7863107C"/>
    <w:rsid w:val="78940BCA"/>
    <w:rsid w:val="789A5089"/>
    <w:rsid w:val="78A5233F"/>
    <w:rsid w:val="78AE3571"/>
    <w:rsid w:val="78B62B41"/>
    <w:rsid w:val="78BB62A9"/>
    <w:rsid w:val="78C23FF4"/>
    <w:rsid w:val="78C26EF8"/>
    <w:rsid w:val="78C37D6C"/>
    <w:rsid w:val="78C46BA9"/>
    <w:rsid w:val="78E36A5E"/>
    <w:rsid w:val="78EC72C3"/>
    <w:rsid w:val="78F148D9"/>
    <w:rsid w:val="790F548F"/>
    <w:rsid w:val="79142376"/>
    <w:rsid w:val="79216AE0"/>
    <w:rsid w:val="792B2DD7"/>
    <w:rsid w:val="7933454C"/>
    <w:rsid w:val="795243C3"/>
    <w:rsid w:val="79570BE0"/>
    <w:rsid w:val="7967120D"/>
    <w:rsid w:val="797177C8"/>
    <w:rsid w:val="797846B3"/>
    <w:rsid w:val="797E032C"/>
    <w:rsid w:val="79860794"/>
    <w:rsid w:val="79895ACD"/>
    <w:rsid w:val="799A1165"/>
    <w:rsid w:val="799B3AC4"/>
    <w:rsid w:val="79AB70C1"/>
    <w:rsid w:val="79B048E0"/>
    <w:rsid w:val="79E53793"/>
    <w:rsid w:val="79EE1281"/>
    <w:rsid w:val="79F321D6"/>
    <w:rsid w:val="79FD0D9B"/>
    <w:rsid w:val="79FE467B"/>
    <w:rsid w:val="7A0D04B6"/>
    <w:rsid w:val="7A0D5219"/>
    <w:rsid w:val="7A1563A6"/>
    <w:rsid w:val="7A396538"/>
    <w:rsid w:val="7A3C1B84"/>
    <w:rsid w:val="7A3F1126"/>
    <w:rsid w:val="7A3F6D91"/>
    <w:rsid w:val="7A74131E"/>
    <w:rsid w:val="7A791FF5"/>
    <w:rsid w:val="7A832770"/>
    <w:rsid w:val="7A8C39CB"/>
    <w:rsid w:val="7A930092"/>
    <w:rsid w:val="7AAC5C8A"/>
    <w:rsid w:val="7ABD4419"/>
    <w:rsid w:val="7AC64AAB"/>
    <w:rsid w:val="7ACF4F3D"/>
    <w:rsid w:val="7AD46261"/>
    <w:rsid w:val="7ADC0E43"/>
    <w:rsid w:val="7AE4031C"/>
    <w:rsid w:val="7AE53FCA"/>
    <w:rsid w:val="7AF406B1"/>
    <w:rsid w:val="7AFD1314"/>
    <w:rsid w:val="7AFD5BF0"/>
    <w:rsid w:val="7B002BB2"/>
    <w:rsid w:val="7B021315"/>
    <w:rsid w:val="7B0E1773"/>
    <w:rsid w:val="7B116B6D"/>
    <w:rsid w:val="7B3210CE"/>
    <w:rsid w:val="7B450F0D"/>
    <w:rsid w:val="7B7B66DC"/>
    <w:rsid w:val="7B804ED2"/>
    <w:rsid w:val="7B85274D"/>
    <w:rsid w:val="7B8B2DC3"/>
    <w:rsid w:val="7B8E5C58"/>
    <w:rsid w:val="7BA05E2A"/>
    <w:rsid w:val="7BA507E9"/>
    <w:rsid w:val="7BAB579E"/>
    <w:rsid w:val="7BBF481B"/>
    <w:rsid w:val="7BC63E76"/>
    <w:rsid w:val="7BD0702B"/>
    <w:rsid w:val="7BDB74F4"/>
    <w:rsid w:val="7BF3687C"/>
    <w:rsid w:val="7BF64489"/>
    <w:rsid w:val="7C086CD3"/>
    <w:rsid w:val="7C0B180E"/>
    <w:rsid w:val="7C4B3371"/>
    <w:rsid w:val="7C4B60AF"/>
    <w:rsid w:val="7C556F2D"/>
    <w:rsid w:val="7C7C44BA"/>
    <w:rsid w:val="7C8415C1"/>
    <w:rsid w:val="7C9C0C76"/>
    <w:rsid w:val="7CAF634A"/>
    <w:rsid w:val="7CFE6D4A"/>
    <w:rsid w:val="7D065078"/>
    <w:rsid w:val="7D0D2838"/>
    <w:rsid w:val="7D0F17D2"/>
    <w:rsid w:val="7D1D1A49"/>
    <w:rsid w:val="7D200A3B"/>
    <w:rsid w:val="7D2166EE"/>
    <w:rsid w:val="7D2A2168"/>
    <w:rsid w:val="7D2C1618"/>
    <w:rsid w:val="7D3A7DD3"/>
    <w:rsid w:val="7D413226"/>
    <w:rsid w:val="7D4437A8"/>
    <w:rsid w:val="7D4966F9"/>
    <w:rsid w:val="7D4D5E56"/>
    <w:rsid w:val="7D694BF3"/>
    <w:rsid w:val="7D7647F8"/>
    <w:rsid w:val="7D787377"/>
    <w:rsid w:val="7D80447E"/>
    <w:rsid w:val="7D871368"/>
    <w:rsid w:val="7D8A2C07"/>
    <w:rsid w:val="7D8D126E"/>
    <w:rsid w:val="7D9977F8"/>
    <w:rsid w:val="7D9F66B2"/>
    <w:rsid w:val="7DA0242A"/>
    <w:rsid w:val="7DA138EB"/>
    <w:rsid w:val="7DA41F1A"/>
    <w:rsid w:val="7DB3128F"/>
    <w:rsid w:val="7DC1636D"/>
    <w:rsid w:val="7DC26903"/>
    <w:rsid w:val="7DC51E91"/>
    <w:rsid w:val="7DE71E07"/>
    <w:rsid w:val="7DED32BA"/>
    <w:rsid w:val="7E156974"/>
    <w:rsid w:val="7E212035"/>
    <w:rsid w:val="7E244E09"/>
    <w:rsid w:val="7E3037AE"/>
    <w:rsid w:val="7E32395E"/>
    <w:rsid w:val="7E324180"/>
    <w:rsid w:val="7E571A69"/>
    <w:rsid w:val="7E630C55"/>
    <w:rsid w:val="7E663674"/>
    <w:rsid w:val="7E8D29AE"/>
    <w:rsid w:val="7EAC5292"/>
    <w:rsid w:val="7EBC3294"/>
    <w:rsid w:val="7EBE6AE9"/>
    <w:rsid w:val="7EDD16E6"/>
    <w:rsid w:val="7EE011E6"/>
    <w:rsid w:val="7EEC1DCB"/>
    <w:rsid w:val="7EF02F3D"/>
    <w:rsid w:val="7EF26CB5"/>
    <w:rsid w:val="7F03733F"/>
    <w:rsid w:val="7F23270D"/>
    <w:rsid w:val="7F2350C1"/>
    <w:rsid w:val="7F2552DD"/>
    <w:rsid w:val="7F280929"/>
    <w:rsid w:val="7F2F3A1E"/>
    <w:rsid w:val="7F313C82"/>
    <w:rsid w:val="7F320F9E"/>
    <w:rsid w:val="7F3320BA"/>
    <w:rsid w:val="7F5644EE"/>
    <w:rsid w:val="7F593BCF"/>
    <w:rsid w:val="7F683953"/>
    <w:rsid w:val="7F6851CA"/>
    <w:rsid w:val="7F736048"/>
    <w:rsid w:val="7F9333A9"/>
    <w:rsid w:val="7FB421BD"/>
    <w:rsid w:val="7FC71EF0"/>
    <w:rsid w:val="7FCC39AA"/>
    <w:rsid w:val="7FD91C23"/>
    <w:rsid w:val="7FE30069"/>
    <w:rsid w:val="7FE64A6C"/>
    <w:rsid w:val="7FEC5DFB"/>
    <w:rsid w:val="7FFD5912"/>
    <w:rsid w:val="7FFF1C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name="Body Text"/>
    <w:lsdException w:qFormat="1"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name="Hyperlink"/>
    <w:lsdException w:uiPriority="99"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qFormat="1" w:unhideWhenUsed="0" w:uiPriority="0" w:semiHidden="0" w:name="Table Simple 1"/>
    <w:lsdException w:uiPriority="0" w:name="Table Simple 2"/>
    <w:lsdException w:uiPriority="0" w:name="Table Simple 3"/>
    <w:lsdException w:uiPriority="0" w:name="Table Classic 1"/>
    <w:lsdException w:qFormat="1" w:unhideWhenUsed="0" w:uiPriority="0" w:semiHidden="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35"/>
    <w:qFormat/>
    <w:uiPriority w:val="0"/>
    <w:pPr>
      <w:spacing w:before="50" w:beforeLines="50" w:after="50" w:afterLines="50"/>
      <w:ind w:firstLine="0" w:firstLineChars="0"/>
      <w:jc w:val="center"/>
      <w:outlineLvl w:val="0"/>
    </w:pPr>
    <w:rPr>
      <w:b/>
      <w:bCs/>
      <w:kern w:val="44"/>
      <w:sz w:val="32"/>
      <w:szCs w:val="36"/>
    </w:rPr>
  </w:style>
  <w:style w:type="paragraph" w:styleId="3">
    <w:name w:val="heading 2"/>
    <w:basedOn w:val="1"/>
    <w:next w:val="1"/>
    <w:link w:val="30"/>
    <w:qFormat/>
    <w:uiPriority w:val="0"/>
    <w:pPr>
      <w:tabs>
        <w:tab w:val="left" w:pos="5400"/>
      </w:tabs>
      <w:spacing w:before="50" w:beforeLines="50" w:after="50" w:afterLines="50"/>
      <w:ind w:firstLine="0" w:firstLineChars="0"/>
      <w:outlineLvl w:val="1"/>
    </w:pPr>
    <w:rPr>
      <w:b/>
      <w:bCs/>
      <w:kern w:val="0"/>
      <w:sz w:val="30"/>
      <w:szCs w:val="30"/>
    </w:rPr>
  </w:style>
  <w:style w:type="paragraph" w:styleId="4">
    <w:name w:val="heading 3"/>
    <w:basedOn w:val="5"/>
    <w:next w:val="1"/>
    <w:autoRedefine/>
    <w:qFormat/>
    <w:uiPriority w:val="0"/>
    <w:pPr>
      <w:tabs>
        <w:tab w:val="left" w:pos="5400"/>
      </w:tabs>
      <w:spacing w:before="50" w:beforeLines="50" w:after="50" w:afterLines="50"/>
      <w:ind w:firstLine="0" w:firstLineChars="0"/>
      <w:outlineLvl w:val="2"/>
    </w:pPr>
    <w:rPr>
      <w:b/>
      <w:bCs/>
      <w:sz w:val="28"/>
    </w:rPr>
  </w:style>
  <w:style w:type="paragraph" w:styleId="6">
    <w:name w:val="heading 4"/>
    <w:basedOn w:val="1"/>
    <w:next w:val="1"/>
    <w:link w:val="36"/>
    <w:qFormat/>
    <w:uiPriority w:val="0"/>
    <w:pPr>
      <w:tabs>
        <w:tab w:val="left" w:pos="5400"/>
      </w:tabs>
      <w:ind w:firstLine="0" w:firstLineChars="0"/>
      <w:outlineLvl w:val="3"/>
    </w:pPr>
    <w:rPr>
      <w:b/>
      <w:bCs/>
    </w:rPr>
  </w:style>
  <w:style w:type="paragraph" w:styleId="7">
    <w:name w:val="heading 5"/>
    <w:next w:val="1"/>
    <w:autoRedefine/>
    <w:qFormat/>
    <w:uiPriority w:val="0"/>
    <w:pPr>
      <w:keepLines/>
      <w:adjustRightInd w:val="0"/>
      <w:snapToGrid w:val="0"/>
      <w:jc w:val="center"/>
      <w:outlineLvl w:val="4"/>
    </w:pPr>
    <w:rPr>
      <w:rFonts w:ascii="Times New Roman" w:hAnsi="Times New Roman" w:eastAsia="宋体" w:cs="Times New Roman"/>
      <w:b/>
      <w:bCs/>
      <w:kern w:val="2"/>
      <w:sz w:val="24"/>
      <w:szCs w:val="28"/>
      <w:lang w:val="en-US" w:eastAsia="zh-CN" w:bidi="ar-SA"/>
    </w:rPr>
  </w:style>
  <w:style w:type="character" w:default="1" w:styleId="25">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5">
    <w:name w:val="标题3"/>
    <w:basedOn w:val="1"/>
    <w:qFormat/>
    <w:uiPriority w:val="0"/>
  </w:style>
  <w:style w:type="paragraph" w:styleId="8">
    <w:name w:val="Normal Indent"/>
    <w:basedOn w:val="1"/>
    <w:qFormat/>
    <w:uiPriority w:val="0"/>
    <w:pPr>
      <w:ind w:firstLine="420"/>
    </w:pPr>
  </w:style>
  <w:style w:type="paragraph" w:styleId="9">
    <w:name w:val="annotation text"/>
    <w:basedOn w:val="1"/>
    <w:link w:val="29"/>
    <w:unhideWhenUsed/>
    <w:qFormat/>
    <w:uiPriority w:val="0"/>
    <w:pPr>
      <w:jc w:val="left"/>
    </w:pPr>
  </w:style>
  <w:style w:type="paragraph" w:styleId="10">
    <w:name w:val="Body Text"/>
    <w:basedOn w:val="1"/>
    <w:link w:val="106"/>
    <w:autoRedefine/>
    <w:semiHidden/>
    <w:unhideWhenUsed/>
    <w:qFormat/>
    <w:uiPriority w:val="0"/>
    <w:pPr>
      <w:spacing w:after="120"/>
    </w:pPr>
  </w:style>
  <w:style w:type="paragraph" w:styleId="11">
    <w:name w:val="Body Text Indent"/>
    <w:basedOn w:val="1"/>
    <w:link w:val="102"/>
    <w:autoRedefine/>
    <w:semiHidden/>
    <w:unhideWhenUsed/>
    <w:qFormat/>
    <w:uiPriority w:val="0"/>
    <w:pPr>
      <w:spacing w:after="120"/>
      <w:ind w:left="420" w:leftChars="200"/>
    </w:pPr>
  </w:style>
  <w:style w:type="paragraph" w:styleId="12">
    <w:name w:val="Balloon Text"/>
    <w:basedOn w:val="1"/>
    <w:link w:val="37"/>
    <w:unhideWhenUsed/>
    <w:qFormat/>
    <w:uiPriority w:val="0"/>
    <w:pPr>
      <w:spacing w:line="240" w:lineRule="auto"/>
    </w:pPr>
    <w:rPr>
      <w:sz w:val="18"/>
      <w:szCs w:val="18"/>
    </w:rPr>
  </w:style>
  <w:style w:type="paragraph" w:styleId="13">
    <w:name w:val="footer"/>
    <w:basedOn w:val="1"/>
    <w:qFormat/>
    <w:uiPriority w:val="0"/>
    <w:pPr>
      <w:tabs>
        <w:tab w:val="center" w:pos="4153"/>
        <w:tab w:val="right" w:pos="8306"/>
      </w:tabs>
      <w:snapToGrid w:val="0"/>
      <w:jc w:val="left"/>
    </w:pPr>
    <w:rPr>
      <w:rFonts w:ascii="宋体" w:hAnsi="宋体"/>
      <w:sz w:val="18"/>
      <w:szCs w:val="18"/>
    </w:rPr>
  </w:style>
  <w:style w:type="paragraph" w:styleId="14">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5">
    <w:name w:val="toc 1"/>
    <w:basedOn w:val="1"/>
    <w:next w:val="1"/>
    <w:autoRedefine/>
    <w:qFormat/>
    <w:uiPriority w:val="0"/>
    <w:pPr>
      <w:ind w:firstLine="0" w:firstLineChars="0"/>
    </w:pPr>
    <w:rPr>
      <w:b/>
      <w:sz w:val="28"/>
    </w:rPr>
  </w:style>
  <w:style w:type="paragraph" w:styleId="16">
    <w:name w:val="toc 2"/>
    <w:basedOn w:val="1"/>
    <w:next w:val="1"/>
    <w:autoRedefine/>
    <w:qFormat/>
    <w:uiPriority w:val="0"/>
    <w:pPr>
      <w:ind w:firstLine="0" w:firstLineChars="0"/>
    </w:pPr>
  </w:style>
  <w:style w:type="paragraph" w:styleId="17">
    <w:name w:val="Normal (Web)"/>
    <w:basedOn w:val="1"/>
    <w:link w:val="49"/>
    <w:autoRedefine/>
    <w:qFormat/>
    <w:uiPriority w:val="0"/>
    <w:pPr>
      <w:widowControl/>
      <w:spacing w:before="100" w:beforeAutospacing="1" w:after="100" w:afterAutospacing="1" w:line="240" w:lineRule="auto"/>
      <w:ind w:firstLine="0" w:firstLineChars="0"/>
      <w:jc w:val="left"/>
    </w:pPr>
    <w:rPr>
      <w:rFonts w:ascii="宋体" w:hAnsi="宋体"/>
      <w:kern w:val="0"/>
      <w:szCs w:val="20"/>
    </w:rPr>
  </w:style>
  <w:style w:type="paragraph" w:styleId="18">
    <w:name w:val="Title"/>
    <w:basedOn w:val="1"/>
    <w:next w:val="1"/>
    <w:link w:val="38"/>
    <w:autoRedefine/>
    <w:qFormat/>
    <w:uiPriority w:val="0"/>
    <w:pPr>
      <w:spacing w:before="10" w:after="10"/>
      <w:ind w:firstLine="0" w:firstLineChars="0"/>
      <w:jc w:val="center"/>
      <w:outlineLvl w:val="0"/>
    </w:pPr>
    <w:rPr>
      <w:rFonts w:ascii="Arial" w:hAnsi="Arial" w:cs="Arial"/>
      <w:b/>
      <w:bCs/>
      <w:sz w:val="32"/>
      <w:szCs w:val="32"/>
    </w:rPr>
  </w:style>
  <w:style w:type="paragraph" w:styleId="19">
    <w:name w:val="annotation subject"/>
    <w:basedOn w:val="9"/>
    <w:next w:val="9"/>
    <w:link w:val="39"/>
    <w:autoRedefine/>
    <w:unhideWhenUsed/>
    <w:qFormat/>
    <w:uiPriority w:val="0"/>
    <w:rPr>
      <w:b/>
      <w:bCs/>
    </w:rPr>
  </w:style>
  <w:style w:type="paragraph" w:styleId="20">
    <w:name w:val="Body Text First Indent"/>
    <w:basedOn w:val="10"/>
    <w:link w:val="107"/>
    <w:autoRedefine/>
    <w:qFormat/>
    <w:uiPriority w:val="0"/>
    <w:pPr>
      <w:ind w:firstLine="420" w:firstLineChars="100"/>
    </w:p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3">
    <w:name w:val="Table Classic 2"/>
    <w:basedOn w:val="21"/>
    <w:autoRedefine/>
    <w:qFormat/>
    <w:uiPriority w:val="0"/>
    <w:pPr>
      <w:widowControl w:val="0"/>
      <w:jc w:val="both"/>
    </w:pPr>
    <w:tblPr>
      <w:tblBorders>
        <w:top w:val="single" w:color="000000" w:sz="12" w:space="0"/>
        <w:bottom w:val="single" w:color="000000" w:sz="12" w:space="0"/>
        <w:insideH w:val="single" w:color="auto" w:sz="4" w:space="0"/>
        <w:insideV w:val="single" w:color="auto" w:sz="4"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4">
    <w:name w:val="Table Simple 1"/>
    <w:basedOn w:val="21"/>
    <w:autoRedefine/>
    <w:qFormat/>
    <w:uiPriority w:val="0"/>
    <w:pPr>
      <w:widowControl w:val="0"/>
      <w:spacing w:line="360" w:lineRule="auto"/>
      <w:ind w:firstLine="200" w:firstLineChars="200"/>
      <w:jc w:val="both"/>
    </w:p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character" w:styleId="26">
    <w:name w:val="page number"/>
    <w:basedOn w:val="25"/>
    <w:autoRedefine/>
    <w:qFormat/>
    <w:uiPriority w:val="0"/>
    <w:rPr>
      <w:rFonts w:ascii="Times New Roman" w:hAnsi="Times New Roman" w:eastAsia="宋体"/>
      <w:sz w:val="18"/>
    </w:rPr>
  </w:style>
  <w:style w:type="character" w:styleId="27">
    <w:name w:val="Hyperlink"/>
    <w:basedOn w:val="25"/>
    <w:autoRedefine/>
    <w:semiHidden/>
    <w:unhideWhenUsed/>
    <w:qFormat/>
    <w:uiPriority w:val="99"/>
    <w:rPr>
      <w:color w:val="0000FF"/>
      <w:u w:val="single"/>
    </w:rPr>
  </w:style>
  <w:style w:type="character" w:styleId="28">
    <w:name w:val="annotation reference"/>
    <w:autoRedefine/>
    <w:unhideWhenUsed/>
    <w:qFormat/>
    <w:uiPriority w:val="0"/>
    <w:rPr>
      <w:sz w:val="21"/>
      <w:szCs w:val="21"/>
    </w:rPr>
  </w:style>
  <w:style w:type="character" w:customStyle="1" w:styleId="29">
    <w:name w:val="批注文字 字符"/>
    <w:link w:val="9"/>
    <w:autoRedefine/>
    <w:qFormat/>
    <w:uiPriority w:val="0"/>
    <w:rPr>
      <w:kern w:val="2"/>
      <w:sz w:val="24"/>
      <w:szCs w:val="24"/>
    </w:rPr>
  </w:style>
  <w:style w:type="character" w:customStyle="1" w:styleId="30">
    <w:name w:val="标题 2 字符"/>
    <w:link w:val="3"/>
    <w:autoRedefine/>
    <w:qFormat/>
    <w:uiPriority w:val="0"/>
    <w:rPr>
      <w:rFonts w:ascii="Times New Roman" w:hAnsi="Times New Roman" w:eastAsia="宋体"/>
      <w:b/>
      <w:bCs/>
      <w:sz w:val="30"/>
      <w:szCs w:val="30"/>
      <w:lang w:bidi="ar-SA"/>
    </w:rPr>
  </w:style>
  <w:style w:type="character" w:customStyle="1" w:styleId="31">
    <w:name w:val="表格标题QQ Char"/>
    <w:link w:val="32"/>
    <w:autoRedefine/>
    <w:qFormat/>
    <w:uiPriority w:val="0"/>
    <w:rPr>
      <w:rFonts w:ascii="Times New Roman" w:hAnsi="Times New Roman" w:eastAsia="宋体"/>
      <w:b/>
      <w:sz w:val="24"/>
    </w:rPr>
  </w:style>
  <w:style w:type="paragraph" w:customStyle="1" w:styleId="32">
    <w:name w:val="表格标题QQ"/>
    <w:basedOn w:val="1"/>
    <w:link w:val="31"/>
    <w:autoRedefine/>
    <w:qFormat/>
    <w:uiPriority w:val="0"/>
    <w:pPr>
      <w:ind w:firstLine="0" w:firstLineChars="0"/>
      <w:jc w:val="center"/>
      <w:outlineLvl w:val="4"/>
    </w:pPr>
    <w:rPr>
      <w:b/>
    </w:rPr>
  </w:style>
  <w:style w:type="character" w:customStyle="1" w:styleId="33">
    <w:name w:val="1.表格标题CM 字符"/>
    <w:link w:val="34"/>
    <w:autoRedefine/>
    <w:qFormat/>
    <w:uiPriority w:val="0"/>
    <w:rPr>
      <w:b/>
      <w:kern w:val="2"/>
      <w:sz w:val="24"/>
      <w:szCs w:val="24"/>
      <w:lang w:val="zh-CN" w:eastAsia="zh-CN"/>
    </w:rPr>
  </w:style>
  <w:style w:type="paragraph" w:customStyle="1" w:styleId="34">
    <w:name w:val="1.表格标题CM"/>
    <w:basedOn w:val="1"/>
    <w:link w:val="33"/>
    <w:autoRedefine/>
    <w:qFormat/>
    <w:uiPriority w:val="0"/>
    <w:pPr>
      <w:adjustRightInd w:val="0"/>
      <w:snapToGrid w:val="0"/>
      <w:ind w:firstLine="0" w:firstLineChars="0"/>
      <w:jc w:val="center"/>
      <w:outlineLvl w:val="6"/>
    </w:pPr>
    <w:rPr>
      <w:b/>
      <w:lang w:val="zh-CN"/>
    </w:rPr>
  </w:style>
  <w:style w:type="character" w:customStyle="1" w:styleId="35">
    <w:name w:val="标题 1 字符"/>
    <w:link w:val="2"/>
    <w:autoRedefine/>
    <w:qFormat/>
    <w:uiPriority w:val="0"/>
    <w:rPr>
      <w:rFonts w:ascii="Times New Roman" w:hAnsi="Times New Roman" w:eastAsia="宋体"/>
      <w:b/>
      <w:kern w:val="44"/>
      <w:sz w:val="32"/>
      <w:szCs w:val="36"/>
      <w:lang w:bidi="ar-SA"/>
    </w:rPr>
  </w:style>
  <w:style w:type="character" w:customStyle="1" w:styleId="36">
    <w:name w:val="标题 4 字符"/>
    <w:link w:val="6"/>
    <w:autoRedefine/>
    <w:qFormat/>
    <w:uiPriority w:val="0"/>
    <w:rPr>
      <w:rFonts w:ascii="Times New Roman" w:hAnsi="Times New Roman" w:eastAsia="宋体"/>
      <w:b/>
      <w:bCs/>
      <w:szCs w:val="24"/>
    </w:rPr>
  </w:style>
  <w:style w:type="character" w:customStyle="1" w:styleId="37">
    <w:name w:val="批注框文本 字符"/>
    <w:link w:val="12"/>
    <w:autoRedefine/>
    <w:semiHidden/>
    <w:qFormat/>
    <w:uiPriority w:val="0"/>
    <w:rPr>
      <w:kern w:val="2"/>
      <w:sz w:val="18"/>
      <w:szCs w:val="18"/>
    </w:rPr>
  </w:style>
  <w:style w:type="character" w:customStyle="1" w:styleId="38">
    <w:name w:val="标题 字符"/>
    <w:link w:val="18"/>
    <w:autoRedefine/>
    <w:qFormat/>
    <w:uiPriority w:val="0"/>
    <w:rPr>
      <w:rFonts w:ascii="Arial" w:hAnsi="Arial" w:eastAsia="宋体" w:cs="Arial"/>
      <w:b/>
      <w:bCs/>
      <w:sz w:val="32"/>
      <w:szCs w:val="32"/>
    </w:rPr>
  </w:style>
  <w:style w:type="character" w:customStyle="1" w:styleId="39">
    <w:name w:val="批注主题 字符"/>
    <w:link w:val="19"/>
    <w:autoRedefine/>
    <w:semiHidden/>
    <w:qFormat/>
    <w:uiPriority w:val="0"/>
    <w:rPr>
      <w:b/>
      <w:bCs/>
      <w:kern w:val="2"/>
      <w:sz w:val="24"/>
      <w:szCs w:val="24"/>
    </w:rPr>
  </w:style>
  <w:style w:type="character" w:customStyle="1" w:styleId="40">
    <w:name w:val="[表格内容] Char"/>
    <w:link w:val="41"/>
    <w:autoRedefine/>
    <w:qFormat/>
    <w:uiPriority w:val="0"/>
    <w:rPr>
      <w:kern w:val="2"/>
      <w:sz w:val="21"/>
      <w:szCs w:val="21"/>
    </w:rPr>
  </w:style>
  <w:style w:type="paragraph" w:customStyle="1" w:styleId="41">
    <w:name w:val="[表格内容]"/>
    <w:link w:val="40"/>
    <w:autoRedefine/>
    <w:qFormat/>
    <w:uiPriority w:val="0"/>
    <w:pPr>
      <w:widowControl w:val="0"/>
      <w:jc w:val="center"/>
    </w:pPr>
    <w:rPr>
      <w:rFonts w:ascii="Times New Roman" w:hAnsi="Times New Roman" w:eastAsia="宋体" w:cs="Times New Roman"/>
      <w:kern w:val="2"/>
      <w:sz w:val="21"/>
      <w:szCs w:val="21"/>
      <w:lang w:val="en-US" w:eastAsia="zh-CN" w:bidi="ar-SA"/>
    </w:rPr>
  </w:style>
  <w:style w:type="character" w:customStyle="1" w:styleId="42">
    <w:name w:val="表格标题Q Char"/>
    <w:link w:val="43"/>
    <w:autoRedefine/>
    <w:qFormat/>
    <w:uiPriority w:val="0"/>
    <w:rPr>
      <w:b/>
    </w:rPr>
  </w:style>
  <w:style w:type="paragraph" w:customStyle="1" w:styleId="43">
    <w:name w:val="表格标题Q"/>
    <w:basedOn w:val="1"/>
    <w:link w:val="42"/>
    <w:autoRedefine/>
    <w:qFormat/>
    <w:uiPriority w:val="0"/>
    <w:pPr>
      <w:ind w:firstLine="0" w:firstLineChars="0"/>
      <w:jc w:val="center"/>
    </w:pPr>
    <w:rPr>
      <w:b/>
      <w:kern w:val="0"/>
      <w:sz w:val="20"/>
      <w:szCs w:val="20"/>
    </w:rPr>
  </w:style>
  <w:style w:type="character" w:customStyle="1" w:styleId="44">
    <w:name w:val="表格内容CCW Char"/>
    <w:link w:val="45"/>
    <w:autoRedefine/>
    <w:qFormat/>
    <w:uiPriority w:val="0"/>
    <w:rPr>
      <w:sz w:val="21"/>
    </w:rPr>
  </w:style>
  <w:style w:type="paragraph" w:customStyle="1" w:styleId="45">
    <w:name w:val="表格内容CCW"/>
    <w:basedOn w:val="1"/>
    <w:link w:val="44"/>
    <w:autoRedefine/>
    <w:qFormat/>
    <w:uiPriority w:val="0"/>
    <w:pPr>
      <w:spacing w:line="240" w:lineRule="auto"/>
      <w:ind w:firstLine="0" w:firstLineChars="0"/>
      <w:jc w:val="center"/>
    </w:pPr>
    <w:rPr>
      <w:kern w:val="0"/>
      <w:sz w:val="21"/>
      <w:szCs w:val="20"/>
    </w:rPr>
  </w:style>
  <w:style w:type="character" w:customStyle="1" w:styleId="46">
    <w:name w:val="表格标题CCW Char"/>
    <w:link w:val="47"/>
    <w:autoRedefine/>
    <w:qFormat/>
    <w:uiPriority w:val="0"/>
    <w:rPr>
      <w:b/>
      <w:sz w:val="24"/>
    </w:rPr>
  </w:style>
  <w:style w:type="paragraph" w:customStyle="1" w:styleId="47">
    <w:name w:val="表格标题CCW"/>
    <w:basedOn w:val="1"/>
    <w:next w:val="1"/>
    <w:link w:val="46"/>
    <w:autoRedefine/>
    <w:qFormat/>
    <w:uiPriority w:val="0"/>
    <w:pPr>
      <w:ind w:firstLine="0" w:firstLineChars="0"/>
      <w:jc w:val="center"/>
      <w:outlineLvl w:val="4"/>
    </w:pPr>
    <w:rPr>
      <w:b/>
      <w:kern w:val="0"/>
      <w:szCs w:val="20"/>
    </w:rPr>
  </w:style>
  <w:style w:type="character" w:customStyle="1" w:styleId="48">
    <w:name w:val="页脚 字符"/>
    <w:basedOn w:val="25"/>
    <w:autoRedefine/>
    <w:qFormat/>
    <w:uiPriority w:val="99"/>
  </w:style>
  <w:style w:type="character" w:customStyle="1" w:styleId="49">
    <w:name w:val="普通(网站) 字符"/>
    <w:link w:val="17"/>
    <w:autoRedefine/>
    <w:qFormat/>
    <w:locked/>
    <w:uiPriority w:val="0"/>
    <w:rPr>
      <w:rFonts w:ascii="宋体" w:hAnsi="宋体"/>
      <w:sz w:val="24"/>
    </w:rPr>
  </w:style>
  <w:style w:type="paragraph" w:customStyle="1" w:styleId="50">
    <w:name w:val="xl8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51">
    <w:name w:val="xl80"/>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rPr>
  </w:style>
  <w:style w:type="paragraph" w:customStyle="1" w:styleId="52">
    <w:name w:val="xl7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53">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4">
    <w:name w:val="xl8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55">
    <w:name w:val="xl7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56">
    <w:name w:val="修订1"/>
    <w:autoRedefine/>
    <w:unhideWhenUsed/>
    <w:qFormat/>
    <w:uiPriority w:val="99"/>
    <w:rPr>
      <w:rFonts w:ascii="Times New Roman" w:hAnsi="Times New Roman" w:eastAsia="宋体" w:cs="Times New Roman"/>
      <w:kern w:val="2"/>
      <w:sz w:val="24"/>
      <w:szCs w:val="24"/>
      <w:lang w:val="en-US" w:eastAsia="zh-CN" w:bidi="ar-SA"/>
    </w:rPr>
  </w:style>
  <w:style w:type="paragraph" w:customStyle="1" w:styleId="57">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58">
    <w:name w:val="xl77"/>
    <w:basedOn w:val="1"/>
    <w:autoRedefine/>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59">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rPr>
  </w:style>
  <w:style w:type="paragraph" w:customStyle="1" w:styleId="60">
    <w:name w:val="font5"/>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61">
    <w:name w:val="表内容"/>
    <w:autoRedefine/>
    <w:qFormat/>
    <w:uiPriority w:val="0"/>
    <w:pPr>
      <w:adjustRightInd w:val="0"/>
      <w:jc w:val="center"/>
    </w:pPr>
    <w:rPr>
      <w:rFonts w:ascii="Times New Roman" w:hAnsi="Times New Roman" w:eastAsia="宋体" w:cs="Times New Roman"/>
      <w:kern w:val="2"/>
      <w:sz w:val="21"/>
      <w:szCs w:val="21"/>
      <w:lang w:val="en-US" w:eastAsia="zh-CN" w:bidi="ar-SA"/>
    </w:rPr>
  </w:style>
  <w:style w:type="paragraph" w:customStyle="1" w:styleId="62">
    <w:name w:val="xl85"/>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63">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rPr>
  </w:style>
  <w:style w:type="paragraph" w:customStyle="1" w:styleId="64">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65">
    <w:name w:val="xl82"/>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66">
    <w:name w:val="Char Char"/>
    <w:basedOn w:val="1"/>
    <w:autoRedefine/>
    <w:qFormat/>
    <w:uiPriority w:val="0"/>
    <w:pPr>
      <w:spacing w:line="240" w:lineRule="auto"/>
      <w:ind w:firstLine="0" w:firstLineChars="0"/>
    </w:pPr>
    <w:rPr>
      <w:rFonts w:ascii="仿宋_GB2312" w:eastAsia="仿宋_GB2312"/>
      <w:b/>
      <w:sz w:val="32"/>
      <w:szCs w:val="32"/>
    </w:rPr>
  </w:style>
  <w:style w:type="paragraph" w:customStyle="1" w:styleId="67">
    <w:name w:val="修订2"/>
    <w:autoRedefine/>
    <w:semiHidden/>
    <w:qFormat/>
    <w:uiPriority w:val="99"/>
    <w:rPr>
      <w:rFonts w:ascii="Times New Roman" w:hAnsi="Times New Roman" w:eastAsia="宋体" w:cs="Times New Roman"/>
      <w:kern w:val="2"/>
      <w:sz w:val="24"/>
      <w:szCs w:val="24"/>
      <w:lang w:val="en-US" w:eastAsia="zh-CN" w:bidi="ar-SA"/>
    </w:rPr>
  </w:style>
  <w:style w:type="paragraph" w:customStyle="1" w:styleId="68">
    <w:name w:val="xl83"/>
    <w:basedOn w:val="1"/>
    <w:autoRedefine/>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69">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70">
    <w:name w:val="font8"/>
    <w:basedOn w:val="1"/>
    <w:autoRedefine/>
    <w:qFormat/>
    <w:uiPriority w:val="0"/>
    <w:pPr>
      <w:widowControl/>
      <w:spacing w:before="100" w:beforeAutospacing="1" w:after="100" w:afterAutospacing="1" w:line="240" w:lineRule="auto"/>
      <w:ind w:firstLine="0" w:firstLineChars="0"/>
      <w:jc w:val="left"/>
    </w:pPr>
    <w:rPr>
      <w:color w:val="000000"/>
      <w:kern w:val="0"/>
      <w:sz w:val="21"/>
      <w:szCs w:val="21"/>
    </w:rPr>
  </w:style>
  <w:style w:type="paragraph" w:customStyle="1" w:styleId="71">
    <w:name w:val="font7"/>
    <w:basedOn w:val="1"/>
    <w:autoRedefine/>
    <w:qFormat/>
    <w:uiPriority w:val="0"/>
    <w:pPr>
      <w:widowControl/>
      <w:spacing w:before="100" w:beforeAutospacing="1" w:after="100" w:afterAutospacing="1" w:line="240" w:lineRule="auto"/>
      <w:ind w:firstLine="0" w:firstLineChars="0"/>
      <w:jc w:val="left"/>
    </w:pPr>
    <w:rPr>
      <w:color w:val="000000"/>
      <w:kern w:val="0"/>
      <w:sz w:val="22"/>
      <w:szCs w:val="22"/>
    </w:rPr>
  </w:style>
  <w:style w:type="paragraph" w:customStyle="1" w:styleId="72">
    <w:name w:val="font6"/>
    <w:basedOn w:val="1"/>
    <w:autoRedefine/>
    <w:qFormat/>
    <w:uiPriority w:val="0"/>
    <w:pPr>
      <w:widowControl/>
      <w:spacing w:before="100" w:beforeAutospacing="1" w:after="100" w:afterAutospacing="1" w:line="240" w:lineRule="auto"/>
      <w:ind w:firstLine="0" w:firstLineChars="0"/>
      <w:jc w:val="left"/>
    </w:pPr>
    <w:rPr>
      <w:rFonts w:ascii="宋体" w:hAnsi="宋体" w:cs="宋体"/>
      <w:color w:val="000000"/>
      <w:kern w:val="0"/>
      <w:sz w:val="22"/>
      <w:szCs w:val="22"/>
    </w:rPr>
  </w:style>
  <w:style w:type="paragraph" w:customStyle="1" w:styleId="73">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74">
    <w:name w:val="font9"/>
    <w:basedOn w:val="1"/>
    <w:autoRedefine/>
    <w:qFormat/>
    <w:uiPriority w:val="0"/>
    <w:pPr>
      <w:widowControl/>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75">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76">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77">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rPr>
  </w:style>
  <w:style w:type="paragraph" w:customStyle="1" w:styleId="78">
    <w:name w:val="font10"/>
    <w:basedOn w:val="1"/>
    <w:autoRedefine/>
    <w:qFormat/>
    <w:uiPriority w:val="0"/>
    <w:pPr>
      <w:widowControl/>
      <w:spacing w:before="100" w:beforeAutospacing="1" w:after="100" w:afterAutospacing="1" w:line="240" w:lineRule="auto"/>
      <w:ind w:firstLine="0" w:firstLineChars="0"/>
      <w:jc w:val="left"/>
    </w:pPr>
    <w:rPr>
      <w:color w:val="000000"/>
      <w:kern w:val="0"/>
      <w:sz w:val="21"/>
      <w:szCs w:val="21"/>
    </w:rPr>
  </w:style>
  <w:style w:type="paragraph" w:customStyle="1" w:styleId="79">
    <w:name w:val="font11"/>
    <w:basedOn w:val="1"/>
    <w:autoRedefine/>
    <w:qFormat/>
    <w:uiPriority w:val="0"/>
    <w:pPr>
      <w:widowControl/>
      <w:spacing w:before="100" w:beforeAutospacing="1" w:after="100" w:afterAutospacing="1" w:line="240" w:lineRule="auto"/>
      <w:ind w:firstLine="0" w:firstLineChars="0"/>
      <w:jc w:val="left"/>
    </w:pPr>
    <w:rPr>
      <w:rFonts w:ascii="宋体" w:hAnsi="宋体" w:cs="宋体"/>
      <w:color w:val="000000"/>
      <w:kern w:val="0"/>
      <w:sz w:val="22"/>
      <w:szCs w:val="22"/>
    </w:rPr>
  </w:style>
  <w:style w:type="paragraph" w:customStyle="1" w:styleId="80">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81">
    <w:name w:val="font12"/>
    <w:basedOn w:val="1"/>
    <w:autoRedefine/>
    <w:qFormat/>
    <w:uiPriority w:val="0"/>
    <w:pPr>
      <w:widowControl/>
      <w:spacing w:before="100" w:beforeAutospacing="1" w:after="100" w:afterAutospacing="1" w:line="240" w:lineRule="auto"/>
      <w:ind w:firstLine="0" w:firstLineChars="0"/>
      <w:jc w:val="left"/>
    </w:pPr>
    <w:rPr>
      <w:color w:val="000000"/>
      <w:kern w:val="0"/>
      <w:sz w:val="22"/>
      <w:szCs w:val="22"/>
    </w:rPr>
  </w:style>
  <w:style w:type="paragraph" w:customStyle="1" w:styleId="82">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8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84">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85">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sz w:val="21"/>
      <w:szCs w:val="21"/>
    </w:rPr>
  </w:style>
  <w:style w:type="paragraph" w:customStyle="1" w:styleId="86">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table" w:customStyle="1" w:styleId="87">
    <w:name w:val="网格型7"/>
    <w:basedOn w:val="21"/>
    <w:autoRedefine/>
    <w:qFormat/>
    <w:uiPriority w:val="0"/>
    <w:pPr>
      <w:widowControl w:val="0"/>
      <w:jc w:val="both"/>
    </w:pPr>
    <w:rPr>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88">
    <w:name w:val="报告表 小段"/>
    <w:basedOn w:val="1"/>
    <w:autoRedefine/>
    <w:qFormat/>
    <w:uiPriority w:val="0"/>
    <w:pPr>
      <w:wordWrap w:val="0"/>
      <w:overflowPunct w:val="0"/>
      <w:topLinePunct/>
      <w:adjustRightInd w:val="0"/>
      <w:spacing w:before="120"/>
      <w:ind w:firstLine="470" w:firstLineChars="196"/>
    </w:pPr>
    <w:rPr>
      <w:rFonts w:ascii="宋体"/>
      <w:kern w:val="28"/>
      <w:szCs w:val="20"/>
    </w:rPr>
  </w:style>
  <w:style w:type="paragraph" w:customStyle="1" w:styleId="89">
    <w:name w:val="表格"/>
    <w:basedOn w:val="1"/>
    <w:next w:val="1"/>
    <w:autoRedefine/>
    <w:qFormat/>
    <w:uiPriority w:val="0"/>
    <w:pPr>
      <w:adjustRightInd w:val="0"/>
      <w:snapToGrid w:val="0"/>
      <w:spacing w:line="240" w:lineRule="auto"/>
      <w:ind w:firstLine="0" w:firstLineChars="0"/>
      <w:jc w:val="center"/>
      <w:textAlignment w:val="center"/>
    </w:pPr>
    <w:rPr>
      <w:snapToGrid w:val="0"/>
      <w:kern w:val="0"/>
      <w:sz w:val="21"/>
      <w:szCs w:val="21"/>
    </w:rPr>
  </w:style>
  <w:style w:type="paragraph" w:customStyle="1" w:styleId="90">
    <w:name w:val="Table Paragraph"/>
    <w:basedOn w:val="1"/>
    <w:autoRedefine/>
    <w:qFormat/>
    <w:uiPriority w:val="1"/>
    <w:pPr>
      <w:autoSpaceDE w:val="0"/>
      <w:autoSpaceDN w:val="0"/>
      <w:spacing w:line="240" w:lineRule="auto"/>
      <w:ind w:firstLine="0" w:firstLineChars="0"/>
      <w:jc w:val="left"/>
    </w:pPr>
    <w:rPr>
      <w:rFonts w:ascii="宋体" w:hAnsi="宋体" w:cs="宋体"/>
      <w:kern w:val="0"/>
      <w:sz w:val="22"/>
      <w:szCs w:val="22"/>
      <w:lang w:eastAsia="en-US"/>
    </w:rPr>
  </w:style>
  <w:style w:type="table" w:customStyle="1" w:styleId="91">
    <w:name w:val="Table Normal"/>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92">
    <w:name w:val="[表头]"/>
    <w:autoRedefine/>
    <w:qFormat/>
    <w:uiPriority w:val="0"/>
    <w:pPr>
      <w:widowControl w:val="0"/>
      <w:spacing w:before="50" w:beforeLines="50"/>
      <w:jc w:val="center"/>
    </w:pPr>
    <w:rPr>
      <w:rFonts w:ascii="Times New Roman" w:hAnsi="Times New Roman" w:cs="宋体" w:eastAsiaTheme="minorEastAsia"/>
      <w:b/>
      <w:color w:val="000000"/>
      <w:spacing w:val="6"/>
      <w:kern w:val="2"/>
      <w:sz w:val="24"/>
      <w:lang w:val="en-US" w:eastAsia="zh-CN" w:bidi="ar-SA"/>
    </w:rPr>
  </w:style>
  <w:style w:type="paragraph" w:customStyle="1" w:styleId="93">
    <w:name w:val="样式 黑色 行距: 最小值 26 磅"/>
    <w:basedOn w:val="1"/>
    <w:autoRedefine/>
    <w:qFormat/>
    <w:uiPriority w:val="0"/>
    <w:pPr>
      <w:spacing w:line="240" w:lineRule="auto"/>
      <w:jc w:val="left"/>
    </w:pPr>
    <w:rPr>
      <w:rFonts w:eastAsia="楷体_GB2312" w:cs="宋体"/>
      <w:color w:val="000000"/>
      <w:spacing w:val="6"/>
      <w:sz w:val="28"/>
      <w:szCs w:val="20"/>
    </w:rPr>
  </w:style>
  <w:style w:type="character" w:customStyle="1" w:styleId="94">
    <w:name w:val="表格内容Q Char"/>
    <w:link w:val="95"/>
    <w:autoRedefine/>
    <w:qFormat/>
    <w:uiPriority w:val="0"/>
    <w:rPr>
      <w:sz w:val="21"/>
      <w:szCs w:val="21"/>
    </w:rPr>
  </w:style>
  <w:style w:type="paragraph" w:customStyle="1" w:styleId="95">
    <w:name w:val="表格内容Q"/>
    <w:basedOn w:val="1"/>
    <w:link w:val="94"/>
    <w:autoRedefine/>
    <w:qFormat/>
    <w:uiPriority w:val="0"/>
    <w:pPr>
      <w:spacing w:line="240" w:lineRule="auto"/>
      <w:ind w:firstLine="0" w:firstLineChars="0"/>
      <w:jc w:val="center"/>
    </w:pPr>
    <w:rPr>
      <w:kern w:val="0"/>
      <w:sz w:val="21"/>
      <w:szCs w:val="21"/>
    </w:rPr>
  </w:style>
  <w:style w:type="paragraph" w:customStyle="1" w:styleId="96">
    <w:name w:val="【图】"/>
    <w:qFormat/>
    <w:uiPriority w:val="0"/>
    <w:pPr>
      <w:spacing w:line="360" w:lineRule="auto"/>
      <w:contextualSpacing/>
      <w:jc w:val="center"/>
    </w:pPr>
    <w:rPr>
      <w:rFonts w:ascii="Times New Roman" w:hAnsi="Times New Roman" w:eastAsia="宋体" w:cs="Times New Roman"/>
      <w:b/>
      <w:sz w:val="24"/>
      <w:szCs w:val="24"/>
      <w:lang w:val="en-US" w:eastAsia="zh-CN" w:bidi="ar-SA"/>
    </w:rPr>
  </w:style>
  <w:style w:type="paragraph" w:customStyle="1" w:styleId="97">
    <w:name w:val="Char Char Char Char Char Char"/>
    <w:basedOn w:val="1"/>
    <w:autoRedefine/>
    <w:qFormat/>
    <w:uiPriority w:val="0"/>
    <w:pPr>
      <w:spacing w:line="240" w:lineRule="auto"/>
      <w:ind w:firstLine="0" w:firstLineChars="0"/>
    </w:pPr>
    <w:rPr>
      <w:sz w:val="21"/>
    </w:rPr>
  </w:style>
  <w:style w:type="paragraph" w:customStyle="1" w:styleId="98">
    <w:name w:val="表格式"/>
    <w:basedOn w:val="1"/>
    <w:autoRedefine/>
    <w:qFormat/>
    <w:uiPriority w:val="0"/>
    <w:pPr>
      <w:spacing w:line="240" w:lineRule="auto"/>
      <w:ind w:firstLine="0" w:firstLineChars="0"/>
      <w:jc w:val="center"/>
    </w:pPr>
    <w:rPr>
      <w:kern w:val="0"/>
      <w:sz w:val="21"/>
      <w:szCs w:val="21"/>
      <w:lang w:val="en-GB"/>
    </w:rPr>
  </w:style>
  <w:style w:type="paragraph" w:customStyle="1" w:styleId="99">
    <w:name w:val="表头"/>
    <w:basedOn w:val="1"/>
    <w:link w:val="100"/>
    <w:autoRedefine/>
    <w:qFormat/>
    <w:uiPriority w:val="0"/>
    <w:pPr>
      <w:spacing w:before="120" w:beforeLines="50" w:line="240" w:lineRule="auto"/>
      <w:ind w:firstLine="0" w:firstLineChars="0"/>
      <w:jc w:val="center"/>
    </w:pPr>
    <w:rPr>
      <w:rFonts w:cs="宋体"/>
      <w:b/>
      <w:kern w:val="0"/>
      <w:szCs w:val="21"/>
    </w:rPr>
  </w:style>
  <w:style w:type="character" w:customStyle="1" w:styleId="100">
    <w:name w:val="表头 Char"/>
    <w:link w:val="99"/>
    <w:autoRedefine/>
    <w:qFormat/>
    <w:uiPriority w:val="0"/>
    <w:rPr>
      <w:rFonts w:cs="宋体"/>
      <w:b/>
      <w:sz w:val="24"/>
      <w:szCs w:val="21"/>
    </w:rPr>
  </w:style>
  <w:style w:type="paragraph" w:customStyle="1" w:styleId="101">
    <w:name w:val="zhang正文"/>
    <w:basedOn w:val="11"/>
    <w:autoRedefine/>
    <w:qFormat/>
    <w:uiPriority w:val="0"/>
    <w:pPr>
      <w:autoSpaceDE w:val="0"/>
      <w:autoSpaceDN w:val="0"/>
      <w:adjustRightInd w:val="0"/>
      <w:spacing w:after="0"/>
      <w:ind w:left="0" w:leftChars="0"/>
      <w:textAlignment w:val="baseline"/>
    </w:pPr>
    <w:rPr>
      <w:rFonts w:ascii="Courier New" w:hAnsi="Courier New"/>
      <w:sz w:val="21"/>
    </w:rPr>
  </w:style>
  <w:style w:type="character" w:customStyle="1" w:styleId="102">
    <w:name w:val="正文文本缩进 字符"/>
    <w:basedOn w:val="25"/>
    <w:link w:val="11"/>
    <w:autoRedefine/>
    <w:semiHidden/>
    <w:qFormat/>
    <w:uiPriority w:val="0"/>
    <w:rPr>
      <w:kern w:val="2"/>
      <w:sz w:val="24"/>
      <w:szCs w:val="24"/>
    </w:rPr>
  </w:style>
  <w:style w:type="paragraph" w:customStyle="1" w:styleId="103">
    <w:name w:val="_Style 5"/>
    <w:autoRedefine/>
    <w:unhideWhenUsed/>
    <w:qFormat/>
    <w:uiPriority w:val="0"/>
    <w:pPr>
      <w:widowControl w:val="0"/>
      <w:spacing w:line="320" w:lineRule="exact"/>
      <w:jc w:val="both"/>
    </w:pPr>
    <w:rPr>
      <w:rFonts w:hint="eastAsia" w:ascii="Times New Roman" w:hAnsi="Times New Roman" w:eastAsia="Times New Roman" w:cs="Times New Roman"/>
      <w:kern w:val="2"/>
      <w:sz w:val="21"/>
      <w:lang w:val="en-US" w:eastAsia="zh-CN" w:bidi="ar-SA"/>
    </w:rPr>
  </w:style>
  <w:style w:type="paragraph" w:customStyle="1" w:styleId="104">
    <w:name w:val="表号"/>
    <w:basedOn w:val="1"/>
    <w:autoRedefine/>
    <w:qFormat/>
    <w:uiPriority w:val="0"/>
    <w:pPr>
      <w:spacing w:line="320" w:lineRule="exact"/>
      <w:jc w:val="left"/>
    </w:pPr>
    <w:rPr>
      <w:rFonts w:eastAsia="黑体"/>
    </w:rPr>
  </w:style>
  <w:style w:type="paragraph" w:customStyle="1" w:styleId="105">
    <w:name w:val="这才是正文"/>
    <w:basedOn w:val="1"/>
    <w:autoRedefine/>
    <w:qFormat/>
    <w:uiPriority w:val="0"/>
    <w:pPr>
      <w:ind w:firstLine="0" w:firstLineChars="0"/>
    </w:pPr>
  </w:style>
  <w:style w:type="character" w:customStyle="1" w:styleId="106">
    <w:name w:val="正文文本 字符"/>
    <w:basedOn w:val="25"/>
    <w:link w:val="10"/>
    <w:autoRedefine/>
    <w:semiHidden/>
    <w:qFormat/>
    <w:uiPriority w:val="0"/>
    <w:rPr>
      <w:kern w:val="2"/>
      <w:sz w:val="24"/>
      <w:szCs w:val="24"/>
    </w:rPr>
  </w:style>
  <w:style w:type="character" w:customStyle="1" w:styleId="107">
    <w:name w:val="正文文本首行缩进 字符"/>
    <w:basedOn w:val="106"/>
    <w:link w:val="20"/>
    <w:autoRedefine/>
    <w:qFormat/>
    <w:uiPriority w:val="0"/>
    <w:rPr>
      <w:kern w:val="2"/>
      <w:sz w:val="24"/>
      <w:szCs w:val="24"/>
    </w:rPr>
  </w:style>
  <w:style w:type="paragraph" w:customStyle="1" w:styleId="108">
    <w:name w:val="报告书正文"/>
    <w:basedOn w:val="1"/>
    <w:autoRedefine/>
    <w:qFormat/>
    <w:uiPriority w:val="0"/>
    <w:pPr>
      <w:widowControl/>
      <w:snapToGrid w:val="0"/>
    </w:pPr>
    <w:rPr>
      <w:kern w:val="24"/>
    </w:rPr>
  </w:style>
  <w:style w:type="paragraph" w:customStyle="1" w:styleId="109">
    <w:name w:val="D正文"/>
    <w:basedOn w:val="1"/>
    <w:autoRedefine/>
    <w:qFormat/>
    <w:uiPriority w:val="0"/>
    <w:pPr>
      <w:adjustRightInd w:val="0"/>
      <w:snapToGrid w:val="0"/>
      <w:spacing w:before="120" w:beforeLines="50"/>
      <w:ind w:firstLine="480"/>
    </w:pPr>
    <w:rPr>
      <w:rFonts w:ascii="宋体" w:hAnsi="宋体" w:cs="宋体"/>
      <w:bCs/>
      <w:szCs w:val="21"/>
    </w:rPr>
  </w:style>
  <w:style w:type="paragraph" w:customStyle="1" w:styleId="110">
    <w:name w:val="样式5"/>
    <w:basedOn w:val="3"/>
    <w:autoRedefine/>
    <w:qFormat/>
    <w:uiPriority w:val="0"/>
    <w:pPr>
      <w:adjustRightInd w:val="0"/>
      <w:snapToGrid w:val="0"/>
      <w:spacing w:before="156" w:after="156" w:line="460" w:lineRule="exact"/>
      <w:ind w:firstLine="200" w:firstLineChars="200"/>
      <w:jc w:val="left"/>
    </w:pPr>
    <w:rPr>
      <w:rFonts w:ascii="黑体"/>
      <w:b w:val="0"/>
      <w:snapToGrid w:val="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0" Type="http://schemas.openxmlformats.org/officeDocument/2006/relationships/fontTable" Target="fontTable.xml"/><Relationship Id="rId6" Type="http://schemas.openxmlformats.org/officeDocument/2006/relationships/header" Target="head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32.jpeg"/><Relationship Id="rId56" Type="http://schemas.openxmlformats.org/officeDocument/2006/relationships/image" Target="media/image31.png"/><Relationship Id="rId55" Type="http://schemas.openxmlformats.org/officeDocument/2006/relationships/image" Target="media/image30.jpeg"/><Relationship Id="rId54" Type="http://schemas.openxmlformats.org/officeDocument/2006/relationships/image" Target="media/image29.jpeg"/><Relationship Id="rId53" Type="http://schemas.openxmlformats.org/officeDocument/2006/relationships/image" Target="media/image28.png"/><Relationship Id="rId52" Type="http://schemas.openxmlformats.org/officeDocument/2006/relationships/image" Target="media/image27.jpeg"/><Relationship Id="rId51" Type="http://schemas.openxmlformats.org/officeDocument/2006/relationships/image" Target="media/image26.jpeg"/><Relationship Id="rId50" Type="http://schemas.openxmlformats.org/officeDocument/2006/relationships/image" Target="media/image25.png"/><Relationship Id="rId5" Type="http://schemas.openxmlformats.org/officeDocument/2006/relationships/header" Target="header1.xml"/><Relationship Id="rId49" Type="http://schemas.openxmlformats.org/officeDocument/2006/relationships/image" Target="media/image24.jpeg"/><Relationship Id="rId48" Type="http://schemas.openxmlformats.org/officeDocument/2006/relationships/image" Target="media/image23.jpeg"/><Relationship Id="rId47" Type="http://schemas.openxmlformats.org/officeDocument/2006/relationships/image" Target="media/image22.jpeg"/><Relationship Id="rId46" Type="http://schemas.openxmlformats.org/officeDocument/2006/relationships/image" Target="media/image21.jpeg"/><Relationship Id="rId45" Type="http://schemas.openxmlformats.org/officeDocument/2006/relationships/image" Target="media/image20.jpeg"/><Relationship Id="rId44" Type="http://schemas.openxmlformats.org/officeDocument/2006/relationships/image" Target="media/image19.jpeg"/><Relationship Id="rId43" Type="http://schemas.openxmlformats.org/officeDocument/2006/relationships/image" Target="media/image18.jpeg"/><Relationship Id="rId42" Type="http://schemas.openxmlformats.org/officeDocument/2006/relationships/image" Target="media/image17.jpe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endnotes" Target="endnotes.xml"/><Relationship Id="rId39" Type="http://schemas.openxmlformats.org/officeDocument/2006/relationships/image" Target="media/image14.png"/><Relationship Id="rId38" Type="http://schemas.openxmlformats.org/officeDocument/2006/relationships/image" Target="media/image13.jpe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footnotes" Target="footnotes.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7.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footer" Target="footer6.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footer" Target="footer5.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67</Pages>
  <Words>5637</Words>
  <Characters>32132</Characters>
  <Lines>267</Lines>
  <Paragraphs>75</Paragraphs>
  <TotalTime>16</TotalTime>
  <ScaleCrop>false</ScaleCrop>
  <LinksUpToDate>false</LinksUpToDate>
  <CharactersWithSpaces>37694</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2025-04-24T08:29:00Z</dcterms:created>
  <dc:creator>曹昌炜</dc:creator>
  <cp:lastModifiedBy>admin</cp:lastModifiedBy>
  <cp:lastPrinted>2024-01-26T08:40:00Z</cp:lastPrinted>
  <dcterms:modified xsi:type="dcterms:W3CDTF">2025-04-29T06:54:54Z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29385B12D8734B68BFF18E5550968BD4_13</vt:lpwstr>
  </property>
  <property fmtid="{D5CDD505-2E9C-101B-9397-08002B2CF9AE}" pid="4" name="MSIP_Label_defa4170-0d19-0005-0004-bc88714345d2_Enabled">
    <vt:lpwstr>true</vt:lpwstr>
  </property>
  <property fmtid="{D5CDD505-2E9C-101B-9397-08002B2CF9AE}" pid="5" name="MSIP_Label_defa4170-0d19-0005-0004-bc88714345d2_SetDate">
    <vt:lpwstr>2024-02-06T03:07:46Z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f5fc9c0b-f80e-4bcc-bb1f-03e97bc2c076</vt:lpwstr>
  </property>
  <property fmtid="{D5CDD505-2E9C-101B-9397-08002B2CF9AE}" pid="9" name="MSIP_Label_defa4170-0d19-0005-0004-bc88714345d2_ActionId">
    <vt:lpwstr>3a7c3e94-daa1-441b-8a32-6a620da09751</vt:lpwstr>
  </property>
  <property fmtid="{D5CDD505-2E9C-101B-9397-08002B2CF9AE}" pid="10" name="MSIP_Label_defa4170-0d19-0005-0004-bc88714345d2_ContentBits">
    <vt:lpwstr>0</vt:lpwstr>
  </property>
  <property fmtid="{D5CDD505-2E9C-101B-9397-08002B2CF9AE}" pid="11" name="hmcheck_markmode">
    <vt:i4>0</vt:i4>
  </property>
  <property fmtid="{D5CDD505-2E9C-101B-9397-08002B2CF9AE}" pid="12" name="hmcheck_taskpanetype">
    <vt:i4>1</vt:i4>
  </property>
</Properties>
</file>