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Autospacing="1" w:afterAutospacing="1"/>
        <w:ind w:left="0" w:right="0"/>
        <w:jc w:val="center"/>
      </w:pPr>
      <w:bookmarkStart w:id="0" w:name="_GoBack"/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财政资金预算绩效工作开展情况说明</w:t>
      </w:r>
    </w:p>
    <w:bookmarkEnd w:id="0"/>
    <w:p>
      <w:pPr>
        <w:keepNext w:val="0"/>
        <w:keepLines w:val="0"/>
        <w:widowControl/>
        <w:suppressLineNumbers w:val="0"/>
        <w:spacing w:beforeAutospacing="1" w:afterAutospacing="1"/>
        <w:ind w:right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2016年，福清市财政局组织各预算部门对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>2015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年度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 xml:space="preserve">43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个项目进行绩效自评，项目资金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 xml:space="preserve">5.21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亿元。在此基础上选择教育、卫生医疗、污水污泥处理、农业、公安办案专项经费、储备粮利费补贴、生活垃圾处理等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个项目进行了财政重点绩效评价，涉及财政资金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>3.89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亿元，其中，绩效等级达到“优秀”的有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项，达到“良”的有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项，评为“合格”的有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项。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C73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2017-11-14T09:07:50Z</dcterms:modified>
  <dc:title>财政资金预算绩效工作开展情况说明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