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jc w:val="center"/>
        <w:rPr>
          <w:rFonts w:ascii="黑体" w:hAnsi="黑体" w:eastAsia="黑体" w:cs="黑体"/>
          <w:color w:val="auto"/>
          <w:sz w:val="44"/>
          <w:szCs w:val="44"/>
        </w:rPr>
      </w:pPr>
    </w:p>
    <w:p>
      <w:pPr>
        <w:ind w:right="-313" w:rightChars="-149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福清市2024年政府预算相关重要事项的说明</w:t>
      </w:r>
    </w:p>
    <w:p>
      <w:pPr>
        <w:rPr>
          <w:color w:val="auto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??" w:eastAsia="黑体" w:cs="黑体"/>
          <w:color w:val="auto"/>
          <w:kern w:val="0"/>
          <w:sz w:val="32"/>
          <w:szCs w:val="32"/>
        </w:rPr>
        <w:t>市本级支出预算说明</w:t>
      </w:r>
    </w:p>
    <w:p>
      <w:pPr>
        <w:spacing w:line="600" w:lineRule="exact"/>
        <w:ind w:firstLine="640" w:firstLineChars="200"/>
        <w:rPr>
          <w:rFonts w:ascii="仿宋_GB2312" w:hAnsi="??" w:eastAsia="仿宋_GB2312" w:cs="Times New Roman"/>
          <w:color w:val="auto"/>
          <w:kern w:val="0"/>
          <w:sz w:val="32"/>
          <w:szCs w:val="32"/>
        </w:rPr>
      </w:pP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24年度福清市本级一般公共预算支出数为1231172万元，比2023年度预算数增加137002万元，增长12.5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。具体情况如下：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一般公共服务支出45594万元，较2023年预算数增加3817万元，增长9.1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。主要原因是办公场所维修、更换设备等运行费用增加。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国防支出684万元，与2023年预算数持平。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（三）公共安全支出76168万元，较2023年预算数增加26044万元，增长52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。主要原因是公安派出所等建设资金改由一般公共预算收入中安排。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（四）教育支出338237万元，较2023年预算数增加6706万元，增长2%。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（五）科学技术支出17567万元，较2023年预算数增加1646万元，增长10.3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。主要原因是增加科技专项经费。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（六）文化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  <w:lang w:val="en-US" w:eastAsia="zh-CN"/>
        </w:rPr>
        <w:t>旅游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体育与传媒支出12386万元，较2023年预算数增加894万元，增长7.8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。主要原因增加群众文化经费投入。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（七）社会保障和就业支出235086万元，较2023年预算数增加11141万元，增长5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。主要原因是增加人才引进经费投入。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（八）卫生健康支出147032万元，较2023年预算数增加1871万元，增长1.3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（九）节能环保支出2397万元，较2023年预算数增加724万元，增长43.3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。主要原因是增加环保管理事务投入及污染防治经费投入。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（十）城乡社区支出94062万元，较2023年预算数增加50585万元，增长116.3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。主要原因是增加了城乡供水、人居环境建设经费及增加对市属国有企业投入。</w:t>
      </w:r>
    </w:p>
    <w:p>
      <w:pPr>
        <w:spacing w:line="600" w:lineRule="exact"/>
        <w:ind w:firstLine="640" w:firstLineChars="200"/>
        <w:rPr>
          <w:rFonts w:ascii="仿宋_GB2312" w:hAnsi="??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（十一）农林水支出50650万元，较2023年预算数增加10716万元，增长26.8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。主要原因是增加农村综合改革经费支出。</w:t>
      </w:r>
    </w:p>
    <w:p>
      <w:pPr>
        <w:spacing w:line="600" w:lineRule="exact"/>
        <w:ind w:firstLine="640" w:firstLineChars="200"/>
        <w:rPr>
          <w:rFonts w:ascii="仿宋_GB2312" w:hAnsi="??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（十二）交通运输支出11018万元，较2023年预算数减少31万元，下降0.3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（十三）  资源勘探工业信息等支出29457万元，较2023年预算数增加10789万元，增长57.8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。主要原因是增加对企业的补助。</w:t>
      </w:r>
    </w:p>
    <w:p>
      <w:pPr>
        <w:spacing w:line="600" w:lineRule="exact"/>
        <w:ind w:firstLine="640" w:firstLineChars="200"/>
        <w:rPr>
          <w:rFonts w:ascii="仿宋_GB2312" w:hAnsi="??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（十四）商业服务业等支出17990万元，较2023年预算数增加3237万元，增长21.9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。主要原因是增加内贸外贸等商业服务业支出。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（十五）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金融支出913万元，较2023年预算数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  <w:lang w:val="en-US" w:eastAsia="zh-CN"/>
        </w:rPr>
        <w:t>减少1087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  <w:lang w:val="en-US" w:eastAsia="zh-CN"/>
        </w:rPr>
        <w:t>减少54.4%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  <w:lang w:val="en-US" w:eastAsia="zh-CN"/>
        </w:rPr>
        <w:t>减少了对金融企业的支出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（十六）自然资源海洋气象等支出7634万元，较2023年预算数增加1207万元，增长18.8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。主要原因是自然资源和规划部门非税收入增加相应安排支出增加。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（十七）住房保障支出47848万元，较2023年预算数增加1127万元，增长2.4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（十八）粮油物资储备支出4507万元，较2023年预算数减少891万元，下降16.5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。主要原因是粮库信息化建设项目已完成。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灾害防治及应急管理支出5012万元，较2023年预算数增加283万元，增长6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。主要原因是增加防汛应急保障支出。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预备费24500万元，较2023年预算数增加500万元，增长2.1%。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其他支出33075万元，较2023年预算数增加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219万元，增长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  <w:lang w:val="en-US" w:eastAsia="zh-CN"/>
        </w:rPr>
        <w:t>23.</w:t>
      </w:r>
      <w:bookmarkStart w:id="0" w:name="_GoBack"/>
      <w:bookmarkEnd w:id="0"/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。主要原因是财政供养人数增加从而增加预留增人增资经费。</w:t>
      </w:r>
    </w:p>
    <w:p>
      <w:pPr>
        <w:spacing w:line="600" w:lineRule="exact"/>
        <w:ind w:firstLine="640" w:firstLineChars="200"/>
        <w:rPr>
          <w:rFonts w:ascii="仿宋_GB2312" w:hAnsi="??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（二十一）债务付息及发行费支出29355万元，较2023年预算数增加1505万元，增长5.4</w:t>
      </w:r>
      <w:r>
        <w:rPr>
          <w:rFonts w:ascii="仿宋_GB2312" w:hAnsi="??" w:eastAsia="仿宋_GB2312" w:cs="仿宋_GB2312"/>
          <w:color w:val="auto"/>
          <w:kern w:val="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left="638" w:leftChars="304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二、财政转移支付安排情况</w:t>
      </w:r>
    </w:p>
    <w:p>
      <w:pPr>
        <w:ind w:firstLine="640" w:firstLineChars="200"/>
        <w:rPr>
          <w:rFonts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2024年度福清市对下税收返还和转移支付预算数为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17086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万元，比2023年度预算数增加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86万元，增长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7.46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auto"/>
          <w:kern w:val="0"/>
          <w:sz w:val="32"/>
          <w:szCs w:val="32"/>
        </w:rPr>
        <w:t>。主要原因是增加农村综合改革转移支付及农村公益事业奖补。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三、举借政府债务情况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2023年，福清市新增政府债务限额739164万元，实际发行新增债券739164万元（一般债券30061万元，专项债券709103万元）。截至2023年底，全市政府债务余额2472011.73万元（一般债务835534.73万元，专项债务1636477万元）；债务余额严格控制在上级核定的限额2589192万元内。</w:t>
      </w:r>
    </w:p>
    <w:p>
      <w:pPr>
        <w:ind w:firstLine="537" w:firstLineChars="168"/>
        <w:rPr>
          <w:rFonts w:asci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ind w:firstLine="620"/>
        <w:rPr>
          <w:rFonts w:ascii="??" w:hAnsi="??" w:cs="Times New Roman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F12C0C"/>
    <w:multiLevelType w:val="singleLevel"/>
    <w:tmpl w:val="4DF12C0C"/>
    <w:lvl w:ilvl="0" w:tentative="0">
      <w:start w:val="19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1">
    <w:nsid w:val="6008D635"/>
    <w:multiLevelType w:val="singleLevel"/>
    <w:tmpl w:val="6008D63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NDdkNmVmM2U0YzRiNjU2ZTUwZDI4ODA1NDhhNTgifQ=="/>
  </w:docVars>
  <w:rsids>
    <w:rsidRoot w:val="002F0F63"/>
    <w:rsid w:val="000150E8"/>
    <w:rsid w:val="00017664"/>
    <w:rsid w:val="000716FE"/>
    <w:rsid w:val="00183A09"/>
    <w:rsid w:val="001B3F9E"/>
    <w:rsid w:val="00256467"/>
    <w:rsid w:val="00267463"/>
    <w:rsid w:val="002729A3"/>
    <w:rsid w:val="00272D4B"/>
    <w:rsid w:val="002F0F63"/>
    <w:rsid w:val="004503E9"/>
    <w:rsid w:val="004504A2"/>
    <w:rsid w:val="004D022C"/>
    <w:rsid w:val="005C7458"/>
    <w:rsid w:val="00654248"/>
    <w:rsid w:val="006825A5"/>
    <w:rsid w:val="0069527D"/>
    <w:rsid w:val="006D54C8"/>
    <w:rsid w:val="00747765"/>
    <w:rsid w:val="00861A4A"/>
    <w:rsid w:val="008E7231"/>
    <w:rsid w:val="00992367"/>
    <w:rsid w:val="009A6D1C"/>
    <w:rsid w:val="00A92F5D"/>
    <w:rsid w:val="00B0189E"/>
    <w:rsid w:val="00B436C8"/>
    <w:rsid w:val="00B5226E"/>
    <w:rsid w:val="00BB2103"/>
    <w:rsid w:val="00BD6216"/>
    <w:rsid w:val="00BF4D49"/>
    <w:rsid w:val="00C83589"/>
    <w:rsid w:val="00CF5686"/>
    <w:rsid w:val="00D42DF5"/>
    <w:rsid w:val="00DF7AA6"/>
    <w:rsid w:val="00E05622"/>
    <w:rsid w:val="00E445D1"/>
    <w:rsid w:val="00F1463D"/>
    <w:rsid w:val="00F21674"/>
    <w:rsid w:val="00F234FF"/>
    <w:rsid w:val="00FB1393"/>
    <w:rsid w:val="00FD7957"/>
    <w:rsid w:val="03F030D7"/>
    <w:rsid w:val="04BE6297"/>
    <w:rsid w:val="0C997791"/>
    <w:rsid w:val="0FB36CB3"/>
    <w:rsid w:val="0FCE5611"/>
    <w:rsid w:val="152A0AFF"/>
    <w:rsid w:val="159F1382"/>
    <w:rsid w:val="21185C40"/>
    <w:rsid w:val="24210718"/>
    <w:rsid w:val="2532062E"/>
    <w:rsid w:val="29B15DDC"/>
    <w:rsid w:val="2A5F03DD"/>
    <w:rsid w:val="34FE62CE"/>
    <w:rsid w:val="416544F1"/>
    <w:rsid w:val="457C0654"/>
    <w:rsid w:val="4D1818FF"/>
    <w:rsid w:val="56FB5906"/>
    <w:rsid w:val="65D02EEA"/>
    <w:rsid w:val="75134151"/>
    <w:rsid w:val="75DF5377"/>
    <w:rsid w:val="78D61573"/>
    <w:rsid w:val="7A527E3C"/>
    <w:rsid w:val="7FD6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246</Words>
  <Characters>1406</Characters>
  <Lines>11</Lines>
  <Paragraphs>3</Paragraphs>
  <TotalTime>132</TotalTime>
  <ScaleCrop>false</ScaleCrop>
  <LinksUpToDate>false</LinksUpToDate>
  <CharactersWithSpaces>1649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2023-01-11T12:16:00Z</dcterms:created>
  <dc:creator>Licha</dc:creator>
  <cp:lastModifiedBy>檐雨</cp:lastModifiedBy>
  <cp:lastPrinted>2024-01-10T11:32:00Z</cp:lastPrinted>
  <dcterms:modified xsi:type="dcterms:W3CDTF">2024-01-12T09:16:49Z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BD690547676C4299BF973E4176188C33_13</vt:lpwstr>
  </property>
</Properties>
</file>