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hint="eastAsia" w:ascii="黑体" w:hAnsi="黑体" w:eastAsia="黑体"/>
          <w:spacing w:val="-6"/>
          <w:kern w:val="0"/>
          <w:sz w:val="32"/>
          <w:szCs w:val="32"/>
          <w:lang w:eastAsia="zh-CN"/>
        </w:rPr>
      </w:pPr>
      <w:r>
        <w:rPr>
          <w:rFonts w:hint="eastAsia" w:ascii="黑体" w:hAnsi="黑体" w:eastAsia="黑体"/>
          <w:spacing w:val="-6"/>
          <w:kern w:val="0"/>
          <w:sz w:val="32"/>
          <w:szCs w:val="32"/>
        </w:rPr>
        <w:t>附件</w:t>
      </w:r>
      <w:r>
        <w:rPr>
          <w:rFonts w:hint="eastAsia" w:ascii="黑体" w:hAnsi="黑体" w:eastAsia="黑体"/>
          <w:spacing w:val="-6"/>
          <w:kern w:val="0"/>
          <w:sz w:val="32"/>
          <w:szCs w:val="32"/>
          <w:lang w:val="en-US" w:eastAsia="zh-CN"/>
        </w:rPr>
        <w:t>2</w:t>
      </w:r>
    </w:p>
    <w:p>
      <w:pPr>
        <w:spacing w:line="500" w:lineRule="exact"/>
        <w:jc w:val="center"/>
        <w:rPr>
          <w:rFonts w:hint="eastAsia" w:ascii="方正小标宋简体" w:hAnsi="宋体" w:eastAsia="方正小标宋简体"/>
          <w:sz w:val="44"/>
          <w:szCs w:val="44"/>
          <w:lang w:eastAsia="zh-CN"/>
        </w:rPr>
      </w:pPr>
    </w:p>
    <w:p>
      <w:pPr>
        <w:spacing w:line="5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清展路（福兴大道至侨中路段）道路</w:t>
      </w:r>
    </w:p>
    <w:p>
      <w:pPr>
        <w:spacing w:line="50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工程项目房屋征收补偿方案</w:t>
      </w:r>
    </w:p>
    <w:p>
      <w:pPr>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（适用公寓楼、集资楼部分）</w:t>
      </w:r>
    </w:p>
    <w:p>
      <w:pPr>
        <w:pStyle w:val="8"/>
        <w:shd w:val="clear" w:color="auto" w:fill="auto"/>
        <w:tabs>
          <w:tab w:val="left" w:pos="7085"/>
        </w:tabs>
        <w:spacing w:before="0" w:after="0" w:line="600" w:lineRule="exact"/>
        <w:rPr>
          <w:rFonts w:hint="eastAsia" w:ascii="宋体" w:hAnsi="宋体" w:eastAsia="宋体"/>
          <w:color w:val="auto"/>
          <w:w w:val="100"/>
          <w:sz w:val="44"/>
          <w:szCs w:val="44"/>
          <w:u w:val="none"/>
          <w:lang w:val="en-US" w:eastAsia="zh-CN"/>
        </w:rPr>
      </w:pPr>
    </w:p>
    <w:p>
      <w:pPr>
        <w:pStyle w:val="8"/>
        <w:pageBreakBefore w:val="0"/>
        <w:shd w:val="clear" w:color="auto" w:fill="auto"/>
        <w:tabs>
          <w:tab w:val="left" w:pos="7085"/>
        </w:tabs>
        <w:kinsoku/>
        <w:wordWrap/>
        <w:overflowPunct/>
        <w:topLinePunct w:val="0"/>
        <w:autoSpaceDE/>
        <w:autoSpaceDN/>
        <w:bidi w:val="0"/>
        <w:adjustRightInd/>
        <w:snapToGrid/>
        <w:spacing w:before="0" w:after="0" w:line="500" w:lineRule="exact"/>
        <w:ind w:firstLine="640" w:firstLineChars="200"/>
        <w:jc w:val="both"/>
        <w:textAlignment w:val="auto"/>
        <w:rPr>
          <w:rFonts w:hint="eastAsia" w:ascii="仿宋_GB2312" w:eastAsia="仿宋_GB2312"/>
          <w:color w:val="auto"/>
          <w:w w:val="100"/>
          <w:sz w:val="32"/>
          <w:szCs w:val="32"/>
          <w:u w:val="none"/>
        </w:rPr>
      </w:pPr>
      <w:r>
        <w:rPr>
          <w:rFonts w:hint="eastAsia" w:ascii="仿宋_GB2312" w:eastAsia="仿宋_GB2312"/>
          <w:color w:val="auto"/>
          <w:w w:val="100"/>
          <w:sz w:val="32"/>
          <w:szCs w:val="32"/>
          <w:u w:val="none"/>
        </w:rPr>
        <w:t>因清展路（福兴大道至侨中路段）道路工程项目建设需要，福清市人民政府已决定征收清展路（福兴大道至侨中路段）道路</w:t>
      </w:r>
    </w:p>
    <w:p>
      <w:pPr>
        <w:pStyle w:val="8"/>
        <w:pageBreakBefore w:val="0"/>
        <w:shd w:val="clear" w:color="auto" w:fill="auto"/>
        <w:tabs>
          <w:tab w:val="left" w:pos="7085"/>
        </w:tabs>
        <w:kinsoku/>
        <w:wordWrap/>
        <w:overflowPunct/>
        <w:topLinePunct w:val="0"/>
        <w:autoSpaceDE/>
        <w:autoSpaceDN/>
        <w:bidi w:val="0"/>
        <w:adjustRightInd/>
        <w:snapToGrid/>
        <w:spacing w:before="0" w:after="0" w:line="500" w:lineRule="exact"/>
        <w:jc w:val="both"/>
        <w:textAlignment w:val="auto"/>
        <w:rPr>
          <w:rFonts w:ascii="仿宋_GB2312" w:eastAsia="仿宋_GB2312"/>
          <w:color w:val="auto"/>
          <w:w w:val="100"/>
          <w:sz w:val="32"/>
          <w:szCs w:val="32"/>
          <w:u w:val="none"/>
          <w:lang w:eastAsia="zh-CN"/>
        </w:rPr>
      </w:pPr>
      <w:r>
        <w:rPr>
          <w:rFonts w:hint="eastAsia" w:ascii="仿宋_GB2312" w:eastAsia="仿宋_GB2312"/>
          <w:color w:val="auto"/>
          <w:w w:val="100"/>
          <w:sz w:val="32"/>
          <w:szCs w:val="32"/>
          <w:u w:val="none"/>
        </w:rPr>
        <w:t>工程项目规划红线内的</w:t>
      </w:r>
      <w:r>
        <w:rPr>
          <w:rFonts w:hint="eastAsia" w:ascii="仿宋_GB2312" w:eastAsia="仿宋_GB2312"/>
          <w:color w:val="auto"/>
          <w:w w:val="100"/>
          <w:sz w:val="32"/>
          <w:szCs w:val="32"/>
          <w:u w:val="none"/>
          <w:lang w:eastAsia="zh-CN"/>
        </w:rPr>
        <w:t>公寓楼、集资楼</w:t>
      </w:r>
      <w:r>
        <w:rPr>
          <w:rFonts w:hint="eastAsia" w:ascii="仿宋_GB2312" w:eastAsia="仿宋_GB2312"/>
          <w:color w:val="auto"/>
          <w:w w:val="100"/>
          <w:sz w:val="32"/>
          <w:szCs w:val="32"/>
          <w:u w:val="none"/>
        </w:rPr>
        <w:t>。根据《中华人民</w:t>
      </w:r>
      <w:r>
        <w:rPr>
          <w:rFonts w:hint="eastAsia" w:ascii="仿宋_GB2312" w:eastAsia="仿宋_GB2312"/>
          <w:color w:val="auto"/>
          <w:w w:val="100"/>
          <w:sz w:val="32"/>
          <w:szCs w:val="32"/>
          <w:u w:val="none"/>
          <w:lang w:eastAsia="zh-CN"/>
        </w:rPr>
        <w:t>共和国土地管理法》、《国有土地上房屋征收与补偿条例》等</w:t>
      </w:r>
      <w:r>
        <w:rPr>
          <w:rFonts w:hint="eastAsia" w:ascii="仿宋_GB2312" w:eastAsia="仿宋_GB2312"/>
          <w:color w:val="auto"/>
          <w:w w:val="100"/>
          <w:sz w:val="32"/>
          <w:szCs w:val="32"/>
          <w:u w:val="none"/>
        </w:rPr>
        <w:t>有关法律、法规及政策规定，</w:t>
      </w:r>
      <w:r>
        <w:rPr>
          <w:rFonts w:hint="eastAsia" w:ascii="仿宋_GB2312" w:eastAsia="仿宋_GB2312"/>
          <w:color w:val="auto"/>
          <w:w w:val="100"/>
          <w:sz w:val="32"/>
          <w:szCs w:val="32"/>
          <w:u w:val="none"/>
          <w:lang w:eastAsia="zh-CN"/>
        </w:rPr>
        <w:t>为规范征收补偿安置行为，维护被征收人合法权益，</w:t>
      </w:r>
      <w:r>
        <w:rPr>
          <w:rFonts w:hint="eastAsia" w:ascii="仿宋_GB2312" w:eastAsia="仿宋_GB2312"/>
          <w:color w:val="auto"/>
          <w:w w:val="100"/>
          <w:sz w:val="32"/>
          <w:szCs w:val="32"/>
          <w:u w:val="none"/>
        </w:rPr>
        <w:t>制定本征收补偿方案。</w:t>
      </w: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仿宋_GB2312" w:eastAsia="仿宋_GB2312"/>
          <w:color w:val="auto"/>
          <w:sz w:val="32"/>
          <w:szCs w:val="32"/>
          <w:u w:val="none"/>
          <w:lang w:val="zh-CN" w:eastAsia="zh-CN"/>
        </w:rPr>
      </w:pP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第一部分  总则</w:t>
      </w: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580" w:firstLineChars="200"/>
        <w:jc w:val="both"/>
        <w:textAlignment w:val="auto"/>
        <w:rPr>
          <w:rFonts w:eastAsia="宋体"/>
          <w:b w:val="0"/>
          <w:color w:val="auto"/>
          <w:u w:val="none"/>
        </w:rPr>
      </w:pP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黑体" w:hAnsi="黑体" w:eastAsia="黑体" w:cs="黑体"/>
          <w:color w:val="auto"/>
          <w:sz w:val="32"/>
          <w:szCs w:val="32"/>
          <w:u w:val="none"/>
          <w:lang w:val="zh-CN"/>
        </w:rPr>
      </w:pPr>
      <w:r>
        <w:rPr>
          <w:rFonts w:hint="eastAsia" w:ascii="黑体" w:hAnsi="黑体" w:eastAsia="黑体" w:cs="黑体"/>
          <w:b/>
          <w:bCs/>
          <w:color w:val="auto"/>
          <w:sz w:val="32"/>
          <w:szCs w:val="32"/>
          <w:u w:val="none"/>
          <w:lang w:val="zh-CN" w:eastAsia="zh-CN"/>
        </w:rPr>
        <w:t>一、基本原</w:t>
      </w:r>
      <w:r>
        <w:rPr>
          <w:rFonts w:hint="eastAsia" w:ascii="黑体" w:hAnsi="黑体" w:eastAsia="黑体" w:cs="黑体"/>
          <w:color w:val="auto"/>
          <w:sz w:val="32"/>
          <w:szCs w:val="32"/>
          <w:u w:val="none"/>
          <w:lang w:val="zh-CN"/>
        </w:rPr>
        <w:t>则</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征收工作坚持“依法依规、民主公开、以人为本、权益保障、和谐征收”的原则，征收人主动接受监督部门、被征收人及社会各界人士的监督。</w:t>
      </w: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黑体" w:hAnsi="黑体" w:eastAsia="黑体" w:cs="黑体"/>
          <w:color w:val="auto"/>
          <w:sz w:val="32"/>
          <w:szCs w:val="32"/>
          <w:u w:val="none"/>
        </w:rPr>
      </w:pPr>
      <w:bookmarkStart w:id="0" w:name="bookmark7"/>
      <w:r>
        <w:rPr>
          <w:rFonts w:hint="eastAsia" w:ascii="黑体" w:hAnsi="黑体" w:eastAsia="黑体" w:cs="黑体"/>
          <w:color w:val="auto"/>
          <w:sz w:val="32"/>
          <w:szCs w:val="32"/>
          <w:u w:val="none"/>
          <w:lang w:val="zh-CN"/>
        </w:rPr>
        <w:t>二、征收范围</w:t>
      </w:r>
      <w:bookmarkEnd w:id="0"/>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具体征收范围以清展路（福兴大道至侨中路段）道路工程项目红线图为准。</w:t>
      </w:r>
    </w:p>
    <w:p>
      <w:pPr>
        <w:pStyle w:val="9"/>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黑体" w:hAnsi="黑体" w:eastAsia="黑体" w:cs="黑体"/>
          <w:color w:val="auto"/>
          <w:sz w:val="32"/>
          <w:szCs w:val="32"/>
          <w:u w:val="none"/>
          <w:lang w:val="zh-CN"/>
        </w:rPr>
      </w:pPr>
      <w:bookmarkStart w:id="1" w:name="bookmark8"/>
      <w:r>
        <w:rPr>
          <w:rFonts w:hint="eastAsia" w:ascii="黑体" w:hAnsi="黑体" w:eastAsia="黑体" w:cs="黑体"/>
          <w:color w:val="auto"/>
          <w:sz w:val="32"/>
          <w:szCs w:val="32"/>
          <w:u w:val="none"/>
          <w:lang w:val="zh-CN"/>
        </w:rPr>
        <w:t>三、征收补偿对象及方式</w:t>
      </w:r>
      <w:bookmarkEnd w:id="1"/>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一）凡本征收范围内的被征收人均列入征收补偿对象，以被征收人的房屋所有权证、土地使用证或有权机构认证证明作为征收补偿依据。</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二）</w:t>
      </w:r>
      <w:r>
        <w:rPr>
          <w:rFonts w:hint="eastAsia" w:ascii="仿宋_GB2312" w:eastAsia="仿宋_GB2312"/>
          <w:color w:val="auto"/>
          <w:sz w:val="32"/>
          <w:szCs w:val="32"/>
          <w:u w:val="none"/>
          <w:lang w:val="en-US" w:eastAsia="zh-CN"/>
        </w:rPr>
        <w:t>对具有认定补偿安置面积的房屋，</w:t>
      </w:r>
      <w:r>
        <w:rPr>
          <w:rFonts w:hint="eastAsia" w:ascii="仿宋_GB2312" w:eastAsia="仿宋_GB2312"/>
          <w:color w:val="auto"/>
          <w:sz w:val="32"/>
          <w:szCs w:val="32"/>
          <w:u w:val="none"/>
          <w:lang w:val="zh-CN"/>
        </w:rPr>
        <w:t>被征收人可以选择以分户评估方式确定被征收房屋价值，也可以在签约期内选择按照公布的征收补偿方案进行补偿。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选择以分户评估方式确定被征收房屋价值的，不得再选择征收补偿方案进行补偿</w:t>
      </w:r>
      <w:r>
        <w:rPr>
          <w:rFonts w:hint="eastAsia" w:ascii="仿宋_GB2312" w:eastAsia="仿宋_GB2312"/>
          <w:color w:val="auto"/>
          <w:sz w:val="32"/>
          <w:szCs w:val="32"/>
          <w:u w:val="none"/>
          <w:lang w:val="en-US" w:eastAsia="zh-CN"/>
        </w:rPr>
        <w:t>,在评估价值的基础上，再给予搬迁补助费和临时过渡费，以现金一次性结算</w:t>
      </w:r>
      <w:r>
        <w:rPr>
          <w:rFonts w:hint="eastAsia" w:ascii="仿宋_GB2312" w:eastAsia="仿宋_GB2312"/>
          <w:color w:val="auto"/>
          <w:sz w:val="32"/>
          <w:szCs w:val="32"/>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u w:val="none"/>
          <w:lang w:val="zh-CN" w:eastAsia="zh-CN"/>
        </w:rPr>
        <w:t>单独</w:t>
      </w:r>
      <w:r>
        <w:rPr>
          <w:rFonts w:hint="eastAsia" w:ascii="仿宋_GB2312" w:eastAsia="仿宋_GB2312"/>
          <w:color w:val="auto"/>
          <w:sz w:val="32"/>
          <w:szCs w:val="32"/>
          <w:u w:val="none"/>
          <w:lang w:val="zh-CN"/>
        </w:rPr>
        <w:t>对装修进行评估。</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i w:val="0"/>
          <w:iCs w:val="0"/>
          <w:color w:val="auto"/>
          <w:sz w:val="32"/>
          <w:szCs w:val="32"/>
          <w:u w:val="none"/>
          <w:lang w:val="en-US" w:eastAsia="zh-CN"/>
        </w:rPr>
      </w:pPr>
      <w:r>
        <w:rPr>
          <w:rFonts w:hint="eastAsia" w:ascii="仿宋_GB2312" w:eastAsia="仿宋_GB2312"/>
          <w:i w:val="0"/>
          <w:iCs w:val="0"/>
          <w:color w:val="auto"/>
          <w:sz w:val="32"/>
          <w:szCs w:val="32"/>
          <w:u w:val="none"/>
          <w:lang w:val="en-US" w:eastAsia="zh-CN"/>
        </w:rPr>
        <w:t>被征收房屋不具有认定补偿安置面积的违章建筑，其建安造价（含房屋及二次装修重置价）的补偿不以评估为依据，一律按本补偿方案规定的标准给予补偿。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eastAsia="zh-CN"/>
        </w:rPr>
      </w:pPr>
      <w:r>
        <w:rPr>
          <w:rFonts w:hint="eastAsia" w:ascii="仿宋_GB2312" w:eastAsia="仿宋_GB2312"/>
          <w:color w:val="auto"/>
          <w:sz w:val="32"/>
          <w:szCs w:val="32"/>
          <w:u w:val="none"/>
          <w:lang w:val="zh-CN"/>
        </w:rPr>
        <w:t>（三</w:t>
      </w:r>
      <w:r>
        <w:rPr>
          <w:rFonts w:hint="eastAsia" w:ascii="仿宋_GB2312" w:hAnsi="宋体" w:eastAsia="仿宋_GB2312" w:cs="宋体"/>
          <w:color w:val="auto"/>
          <w:sz w:val="32"/>
          <w:szCs w:val="32"/>
          <w:u w:val="none"/>
          <w:lang w:val="zh-CN"/>
        </w:rPr>
        <w:t>）</w:t>
      </w:r>
      <w:r>
        <w:rPr>
          <w:rFonts w:hint="eastAsia" w:ascii="仿宋_GB2312" w:eastAsia="仿宋_GB2312"/>
          <w:color w:val="auto"/>
          <w:sz w:val="32"/>
          <w:szCs w:val="32"/>
          <w:u w:val="none"/>
          <w:lang w:val="zh-CN"/>
        </w:rPr>
        <w:t>本地块征收补偿方式：实行货币补偿</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产权调换</w:t>
      </w:r>
      <w:r>
        <w:rPr>
          <w:rFonts w:hint="eastAsia" w:ascii="仿宋_GB2312" w:eastAsia="仿宋_GB2312"/>
          <w:color w:val="auto"/>
          <w:sz w:val="32"/>
          <w:szCs w:val="32"/>
          <w:u w:val="none"/>
          <w:lang w:val="zh-CN" w:eastAsia="zh-CN"/>
        </w:rPr>
        <w:t>两种</w:t>
      </w:r>
      <w:r>
        <w:rPr>
          <w:rFonts w:hint="eastAsia" w:ascii="仿宋_GB2312" w:eastAsia="仿宋_GB2312"/>
          <w:color w:val="auto"/>
          <w:sz w:val="32"/>
          <w:szCs w:val="32"/>
          <w:u w:val="none"/>
          <w:lang w:val="zh-CN"/>
        </w:rPr>
        <w:t>方式，若被征收房屋属于本方案</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四</w:t>
      </w:r>
      <w:r>
        <w:rPr>
          <w:rFonts w:hint="eastAsia" w:ascii="仿宋_GB2312" w:eastAsia="仿宋_GB2312"/>
          <w:color w:val="auto"/>
          <w:sz w:val="32"/>
          <w:szCs w:val="32"/>
          <w:u w:val="none"/>
          <w:lang w:val="zh-CN" w:eastAsia="zh-CN"/>
        </w:rPr>
        <w:t>、补偿安置”中第</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五</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点</w:t>
      </w:r>
      <w:r>
        <w:rPr>
          <w:rFonts w:hint="eastAsia" w:ascii="仿宋_GB2312" w:eastAsia="仿宋_GB2312"/>
          <w:color w:val="auto"/>
          <w:sz w:val="32"/>
          <w:szCs w:val="32"/>
          <w:u w:val="none"/>
          <w:lang w:val="zh-CN"/>
        </w:rPr>
        <w:t>规定的，不能实行货币补偿。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（四）产权人认定</w:t>
      </w:r>
      <w:r>
        <w:rPr>
          <w:rFonts w:hint="eastAsia" w:ascii="仿宋_GB2312" w:eastAsia="仿宋_GB2312"/>
          <w:color w:val="auto"/>
          <w:sz w:val="32"/>
          <w:szCs w:val="32"/>
          <w:u w:val="none"/>
          <w:lang w:val="zh-CN" w:eastAsia="zh-CN"/>
        </w:rPr>
        <w:t>：以经相关部门审批建设办理的</w:t>
      </w:r>
      <w:r>
        <w:rPr>
          <w:rFonts w:hint="eastAsia" w:ascii="仿宋_GB2312" w:eastAsia="仿宋_GB2312"/>
          <w:color w:val="auto"/>
          <w:sz w:val="32"/>
          <w:szCs w:val="32"/>
          <w:u w:val="none"/>
          <w:lang w:val="zh-CN"/>
        </w:rPr>
        <w:t>《房屋所有权证》、《土地使用证》登记的产权人为准，或经审批的《用地申请表》、《建筑许可证》以及其他证明产权材料为认定依据。</w:t>
      </w: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rPr>
      </w:pPr>
      <w:bookmarkStart w:id="2" w:name="bookmark9"/>
      <w:r>
        <w:rPr>
          <w:rFonts w:hint="eastAsia" w:ascii="黑体" w:hAnsi="黑体" w:eastAsia="黑体" w:cs="黑体"/>
          <w:color w:val="auto"/>
          <w:sz w:val="32"/>
          <w:szCs w:val="32"/>
          <w:u w:val="none"/>
          <w:lang w:val="zh-CN"/>
        </w:rPr>
        <w:t>四、补偿安置</w:t>
      </w:r>
      <w:bookmarkEnd w:id="2"/>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zh-CN"/>
        </w:rPr>
        <w:t>（一）补偿</w:t>
      </w:r>
      <w:r>
        <w:rPr>
          <w:rFonts w:hint="eastAsia" w:ascii="楷体_GB2312" w:hAnsi="楷体_GB2312" w:eastAsia="楷体_GB2312" w:cs="楷体_GB2312"/>
          <w:color w:val="auto"/>
          <w:sz w:val="32"/>
          <w:szCs w:val="32"/>
          <w:u w:val="none"/>
          <w:lang w:val="zh-CN" w:eastAsia="zh-CN"/>
        </w:rPr>
        <w:t>安置</w:t>
      </w:r>
      <w:r>
        <w:rPr>
          <w:rFonts w:hint="eastAsia" w:ascii="楷体_GB2312" w:hAnsi="楷体_GB2312" w:eastAsia="楷体_GB2312" w:cs="楷体_GB2312"/>
          <w:color w:val="auto"/>
          <w:sz w:val="32"/>
          <w:szCs w:val="32"/>
          <w:u w:val="none"/>
          <w:lang w:val="zh-CN"/>
        </w:rPr>
        <w:t>方式。</w:t>
      </w:r>
      <w:r>
        <w:rPr>
          <w:rFonts w:hint="eastAsia" w:ascii="仿宋_GB2312" w:eastAsia="仿宋_GB2312"/>
          <w:color w:val="auto"/>
          <w:sz w:val="32"/>
          <w:szCs w:val="32"/>
          <w:u w:val="none"/>
          <w:lang w:val="zh-CN"/>
        </w:rPr>
        <w:t>分为产权调换、货币补偿两方式</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土地价值按确权的用地面积或认定补偿安置面积所占比例计算。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zh-CN"/>
        </w:rPr>
        <w:t>（二）补偿计算。</w:t>
      </w:r>
      <w:r>
        <w:rPr>
          <w:rFonts w:hint="eastAsia" w:ascii="仿宋_GB2312" w:eastAsia="仿宋_GB2312"/>
          <w:color w:val="auto"/>
          <w:sz w:val="32"/>
          <w:szCs w:val="32"/>
          <w:u w:val="none"/>
          <w:lang w:val="zh-CN" w:eastAsia="zh-CN"/>
        </w:rPr>
        <w:t>房屋</w:t>
      </w:r>
      <w:r>
        <w:rPr>
          <w:rFonts w:hint="eastAsia" w:ascii="仿宋_GB2312" w:eastAsia="仿宋_GB2312"/>
          <w:color w:val="auto"/>
          <w:sz w:val="32"/>
          <w:szCs w:val="32"/>
          <w:u w:val="none"/>
          <w:lang w:val="zh-CN"/>
        </w:rPr>
        <w:t>补偿实行土地、房屋分别计算，合并结算。土地补偿，经批准的房屋建筑占地土地补偿价格按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元/亩；房屋补偿，由房屋重置价和二次装修</w:t>
      </w:r>
      <w:r>
        <w:rPr>
          <w:rFonts w:hint="eastAsia" w:ascii="仿宋_GB2312" w:eastAsia="仿宋_GB2312"/>
          <w:color w:val="auto"/>
          <w:sz w:val="32"/>
          <w:szCs w:val="32"/>
          <w:u w:val="none"/>
          <w:lang w:val="zh-CN" w:eastAsia="zh-CN"/>
        </w:rPr>
        <w:t>重置价</w:t>
      </w:r>
      <w:r>
        <w:rPr>
          <w:rFonts w:hint="eastAsia" w:ascii="仿宋_GB2312" w:eastAsia="仿宋_GB2312"/>
          <w:color w:val="auto"/>
          <w:sz w:val="32"/>
          <w:szCs w:val="32"/>
          <w:u w:val="none"/>
          <w:lang w:val="zh-CN"/>
        </w:rPr>
        <w:t>结合成新率组成。</w:t>
      </w:r>
      <w:r>
        <w:rPr>
          <w:rFonts w:hint="eastAsia" w:ascii="仿宋_GB2312" w:eastAsia="仿宋_GB2312"/>
          <w:color w:val="auto"/>
          <w:sz w:val="32"/>
          <w:szCs w:val="32"/>
          <w:u w:val="none"/>
          <w:lang w:val="zh-CN" w:eastAsia="zh-CN"/>
        </w:rPr>
        <w:t>埕地、空地的补偿：</w:t>
      </w:r>
      <w:r>
        <w:rPr>
          <w:rFonts w:hint="eastAsia" w:ascii="仿宋_GB2312" w:eastAsia="仿宋_GB2312"/>
          <w:color w:val="auto"/>
          <w:sz w:val="32"/>
          <w:szCs w:val="32"/>
          <w:u w:val="none"/>
          <w:lang w:val="zh-CN"/>
        </w:rPr>
        <w:t>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属划拨土地</w:t>
      </w:r>
      <w:r>
        <w:rPr>
          <w:rFonts w:hint="eastAsia" w:ascii="仿宋_GB2312" w:eastAsia="仿宋_GB2312"/>
          <w:color w:val="auto"/>
          <w:sz w:val="32"/>
          <w:szCs w:val="32"/>
          <w:u w:val="none"/>
          <w:lang w:val="zh-CN" w:eastAsia="zh-CN"/>
        </w:rPr>
        <w:t>或持有集体土地使用证</w:t>
      </w:r>
      <w:r>
        <w:rPr>
          <w:rFonts w:hint="eastAsia" w:ascii="仿宋_GB2312" w:eastAsia="仿宋_GB2312"/>
          <w:color w:val="auto"/>
          <w:sz w:val="32"/>
          <w:szCs w:val="32"/>
          <w:u w:val="none"/>
          <w:lang w:val="zh-CN"/>
        </w:rPr>
        <w:t>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w:t>
      </w:r>
      <w:r>
        <w:rPr>
          <w:rFonts w:hint="eastAsia" w:ascii="仿宋_GB2312" w:eastAsia="仿宋_GB2312"/>
          <w:color w:val="auto"/>
          <w:sz w:val="32"/>
          <w:szCs w:val="32"/>
          <w:u w:val="none"/>
          <w:lang w:val="zh-CN" w:eastAsia="zh-CN"/>
        </w:rPr>
        <w:t>的</w:t>
      </w:r>
      <w:r>
        <w:rPr>
          <w:rFonts w:ascii="仿宋_GB2312" w:eastAsia="仿宋_GB2312"/>
          <w:color w:val="auto"/>
          <w:sz w:val="32"/>
          <w:szCs w:val="32"/>
          <w:u w:val="none"/>
          <w:lang w:val="zh-CN"/>
        </w:rPr>
        <w:t>60%</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经市镇（街）两级清理收费的，按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zh-CN"/>
        </w:rPr>
        <w:t>40</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其他未确权和未经市镇（街）两级清理收费的，按4</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万元/亩计算。埕地、空地是指房屋四</w:t>
      </w:r>
      <w:r>
        <w:rPr>
          <w:rFonts w:hint="eastAsia" w:ascii="仿宋_GB2312" w:eastAsia="仿宋_GB2312"/>
          <w:color w:val="auto"/>
          <w:sz w:val="32"/>
          <w:szCs w:val="32"/>
          <w:u w:val="none"/>
          <w:lang w:val="zh-CN" w:eastAsia="zh-CN"/>
        </w:rPr>
        <w:t>至</w:t>
      </w:r>
      <w:r>
        <w:rPr>
          <w:rFonts w:hint="eastAsia" w:ascii="仿宋_GB2312" w:eastAsia="仿宋_GB2312"/>
          <w:color w:val="auto"/>
          <w:sz w:val="32"/>
          <w:szCs w:val="32"/>
          <w:u w:val="none"/>
          <w:lang w:val="zh-CN"/>
        </w:rPr>
        <w:t>权属明确、界址明显范围内的用地面积扣除建筑物占地后余下的土地。</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zh-CN"/>
        </w:rPr>
        <w:t>（三）产权调换补偿方式安置</w:t>
      </w:r>
      <w:r>
        <w:rPr>
          <w:rFonts w:hint="eastAsia" w:ascii="楷体_GB2312" w:hAnsi="楷体_GB2312" w:eastAsia="楷体_GB2312" w:cs="楷体_GB2312"/>
          <w:color w:val="auto"/>
          <w:sz w:val="32"/>
          <w:szCs w:val="32"/>
          <w:u w:val="none"/>
          <w:lang w:val="zh-CN" w:eastAsia="zh-CN"/>
        </w:rPr>
        <w:t>原则</w:t>
      </w:r>
      <w:r>
        <w:rPr>
          <w:rFonts w:hint="eastAsia" w:ascii="楷体_GB2312" w:hAnsi="楷体_GB2312" w:eastAsia="楷体_GB2312" w:cs="楷体_GB2312"/>
          <w:color w:val="auto"/>
          <w:sz w:val="32"/>
          <w:szCs w:val="32"/>
          <w:u w:val="none"/>
          <w:lang w:val="zh-CN"/>
        </w:rPr>
        <w:t>。</w:t>
      </w:r>
      <w:r>
        <w:rPr>
          <w:rFonts w:hint="eastAsia" w:ascii="仿宋_GB2312" w:eastAsia="仿宋_GB2312"/>
          <w:color w:val="auto"/>
          <w:sz w:val="32"/>
          <w:szCs w:val="32"/>
          <w:u w:val="none"/>
          <w:lang w:val="zh-CN"/>
        </w:rPr>
        <w:t>住宅按照“等面积调换、差价互补、严控扩购、就近安置”的原则，采取“先签约、先</w:t>
      </w:r>
      <w:r>
        <w:rPr>
          <w:rFonts w:hint="eastAsia" w:ascii="仿宋_GB2312" w:eastAsia="仿宋_GB2312"/>
          <w:color w:val="auto"/>
          <w:sz w:val="32"/>
          <w:szCs w:val="32"/>
          <w:u w:val="none"/>
          <w:lang w:val="zh-CN" w:eastAsia="zh-CN"/>
        </w:rPr>
        <w:t>封房</w:t>
      </w:r>
      <w:r>
        <w:rPr>
          <w:rFonts w:hint="eastAsia" w:ascii="仿宋_GB2312" w:eastAsia="仿宋_GB2312"/>
          <w:color w:val="auto"/>
          <w:sz w:val="32"/>
          <w:szCs w:val="32"/>
          <w:u w:val="none"/>
          <w:lang w:val="zh-CN"/>
        </w:rPr>
        <w:t>、先选房”的办法，在相应安置区内按选房顺序号进行选房，</w:t>
      </w:r>
      <w:r>
        <w:rPr>
          <w:rFonts w:hint="eastAsia" w:ascii="仿宋_GB2312" w:eastAsia="仿宋_GB2312"/>
          <w:color w:val="auto"/>
          <w:sz w:val="32"/>
          <w:szCs w:val="32"/>
          <w:u w:val="none"/>
          <w:lang w:val="zh-CN" w:eastAsia="zh-CN"/>
        </w:rPr>
        <w:t>安置房朝向、楼层不做价格调差</w:t>
      </w:r>
      <w:r>
        <w:rPr>
          <w:rFonts w:hint="eastAsia" w:ascii="仿宋_GB2312" w:eastAsia="仿宋_GB2312"/>
          <w:color w:val="auto"/>
          <w:sz w:val="32"/>
          <w:szCs w:val="32"/>
          <w:u w:val="none"/>
          <w:lang w:val="zh-CN"/>
        </w:rPr>
        <w:t>具体详见选房细则。</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四</w:t>
      </w:r>
      <w:r>
        <w:rPr>
          <w:rFonts w:hint="eastAsia" w:ascii="仿宋_GB2312" w:eastAsia="仿宋_GB2312"/>
          <w:color w:val="auto"/>
          <w:sz w:val="32"/>
          <w:szCs w:val="32"/>
          <w:u w:val="none"/>
          <w:lang w:val="zh-CN"/>
        </w:rPr>
        <w:t>）根据本区域公寓楼、集资楼的结构状况，将房屋结构划归为</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类</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等，其重置价标准详见附</w:t>
      </w:r>
      <w:r>
        <w:rPr>
          <w:rFonts w:hint="eastAsia" w:ascii="仿宋_GB2312" w:eastAsia="仿宋_GB2312"/>
          <w:color w:val="auto"/>
          <w:sz w:val="32"/>
          <w:szCs w:val="32"/>
          <w:u w:val="none"/>
          <w:lang w:val="zh-CN" w:eastAsia="zh-CN"/>
        </w:rPr>
        <w:t>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u w:val="none"/>
          <w:lang w:val="zh-CN" w:eastAsia="zh-CN"/>
        </w:rPr>
        <w:t>表</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装修价值按附表</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补偿标准进行补偿（按实际装修面积计算），并视装修新旧程度按</w:t>
      </w:r>
      <w:r>
        <w:rPr>
          <w:rFonts w:hint="eastAsia" w:ascii="仿宋_GB2312" w:eastAsia="仿宋_GB2312"/>
          <w:color w:val="auto"/>
          <w:sz w:val="32"/>
          <w:szCs w:val="32"/>
          <w:u w:val="none"/>
          <w:lang w:val="zh-CN" w:eastAsia="zh-CN"/>
        </w:rPr>
        <w:t>附表</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折旧率计价。</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lang w:val="zh-CN"/>
        </w:rPr>
        <w:t>（</w:t>
      </w:r>
      <w:r>
        <w:rPr>
          <w:rFonts w:hint="eastAsia" w:ascii="楷体_GB2312" w:hAnsi="楷体_GB2312" w:eastAsia="楷体_GB2312" w:cs="楷体_GB2312"/>
          <w:color w:val="auto"/>
          <w:sz w:val="32"/>
          <w:szCs w:val="32"/>
          <w:u w:val="none"/>
          <w:lang w:val="zh-CN" w:eastAsia="zh-CN"/>
        </w:rPr>
        <w:t>五</w:t>
      </w:r>
      <w:r>
        <w:rPr>
          <w:rFonts w:hint="eastAsia" w:ascii="楷体_GB2312" w:hAnsi="楷体_GB2312" w:eastAsia="楷体_GB2312" w:cs="楷体_GB2312"/>
          <w:color w:val="auto"/>
          <w:sz w:val="32"/>
          <w:szCs w:val="32"/>
          <w:u w:val="none"/>
          <w:lang w:val="zh-CN"/>
        </w:rPr>
        <w:t>）被征收房屋属于以下情形的只作产权调换，不作货币补偿：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、被征收私有房屋的共有人对安置方式的选择达不成一致意见的；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ascii="仿宋_GB2312" w:eastAsia="仿宋_GB2312"/>
          <w:color w:val="auto"/>
          <w:sz w:val="32"/>
          <w:szCs w:val="32"/>
          <w:u w:val="none"/>
          <w:lang w:val="zh-CN"/>
        </w:rPr>
        <w:t>2</w:t>
      </w:r>
      <w:r>
        <w:rPr>
          <w:rFonts w:hint="eastAsia" w:ascii="仿宋_GB2312" w:eastAsia="仿宋_GB2312"/>
          <w:color w:val="auto"/>
          <w:sz w:val="32"/>
          <w:szCs w:val="32"/>
          <w:u w:val="none"/>
          <w:lang w:val="zh-CN"/>
        </w:rPr>
        <w:t>、被征收房屋产权有纠纷、权属不清或产权人下落不明的；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ascii="仿宋_GB2312" w:eastAsia="仿宋_GB2312"/>
          <w:color w:val="auto"/>
          <w:sz w:val="32"/>
          <w:szCs w:val="32"/>
          <w:u w:val="none"/>
          <w:lang w:val="zh-CN"/>
        </w:rPr>
        <w:t>3</w:t>
      </w:r>
      <w:r>
        <w:rPr>
          <w:rFonts w:hint="eastAsia" w:ascii="仿宋_GB2312" w:eastAsia="仿宋_GB2312"/>
          <w:color w:val="auto"/>
          <w:sz w:val="32"/>
          <w:szCs w:val="32"/>
          <w:u w:val="none"/>
          <w:lang w:val="zh-CN"/>
        </w:rPr>
        <w:t>、被征收房屋设有抵押权的，抵押权人和抵押人未重新设立抵押权或抵押人未清偿债务的。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4、被征收房屋被法院查封的。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（六）补偿安置及签约程序</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2、选择产权调换或享受照顾购买的被征收人进行安置房选择（详安置房选房细则）。</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3、征收人作出房屋征收补偿结果计算表，如选择安置房面积与《房屋征收补偿协议书》有出入，则由征收人与被征收人签定房屋征收补偿安置补充协议书，予以明确。</w:t>
      </w:r>
    </w:p>
    <w:p>
      <w:pPr>
        <w:pStyle w:val="10"/>
        <w:pageBreakBefore w:val="0"/>
        <w:shd w:val="clear" w:color="auto" w:fill="auto"/>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五、面积计算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shd w:val="clear" w:color="auto" w:fill="auto"/>
          <w:lang w:val="zh-CN"/>
        </w:rPr>
        <w:t>有权证的</w:t>
      </w:r>
      <w:r>
        <w:rPr>
          <w:rFonts w:hint="eastAsia" w:ascii="仿宋_GB2312" w:eastAsia="仿宋_GB2312"/>
          <w:color w:val="auto"/>
          <w:sz w:val="32"/>
          <w:szCs w:val="32"/>
          <w:u w:val="none"/>
          <w:lang w:val="zh-CN"/>
        </w:rPr>
        <w:t>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六、补偿结算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（一）选择货币补偿的，在被征收人签订协议并封房</w:t>
      </w:r>
      <w:r>
        <w:rPr>
          <w:rFonts w:hint="eastAsia" w:ascii="仿宋_GB2312" w:eastAsia="仿宋_GB2312"/>
          <w:color w:val="auto"/>
          <w:sz w:val="32"/>
          <w:szCs w:val="32"/>
          <w:u w:val="none"/>
          <w:lang w:val="zh-CN" w:eastAsia="zh-CN"/>
        </w:rPr>
        <w:t>交拆后</w:t>
      </w:r>
      <w:r>
        <w:rPr>
          <w:rFonts w:hint="eastAsia" w:ascii="仿宋_GB2312" w:eastAsia="仿宋_GB2312"/>
          <w:color w:val="auto"/>
          <w:sz w:val="32"/>
          <w:szCs w:val="32"/>
          <w:u w:val="none"/>
          <w:lang w:val="zh-CN"/>
        </w:rPr>
        <w:t>，由征收人在10个工作日内一次性付清补偿款；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（二）全部选择产权调换的，</w:t>
      </w:r>
      <w:r>
        <w:rPr>
          <w:rFonts w:hint="eastAsia" w:ascii="仿宋_GB2312" w:eastAsia="仿宋_GB2312"/>
          <w:color w:val="auto"/>
          <w:sz w:val="32"/>
          <w:szCs w:val="32"/>
          <w:u w:val="none"/>
          <w:lang w:val="zh-CN" w:eastAsia="zh-CN"/>
        </w:rPr>
        <w:t>在签约期限内</w:t>
      </w:r>
      <w:r>
        <w:rPr>
          <w:rFonts w:hint="eastAsia" w:ascii="仿宋_GB2312" w:eastAsia="仿宋_GB2312"/>
          <w:color w:val="auto"/>
          <w:sz w:val="32"/>
          <w:szCs w:val="32"/>
          <w:u w:val="none"/>
          <w:lang w:val="zh-CN"/>
        </w:rPr>
        <w:t>签订协议并封房</w:t>
      </w:r>
      <w:r>
        <w:rPr>
          <w:rFonts w:hint="eastAsia" w:ascii="仿宋_GB2312" w:eastAsia="仿宋_GB2312"/>
          <w:color w:val="auto"/>
          <w:sz w:val="32"/>
          <w:szCs w:val="32"/>
          <w:u w:val="none"/>
          <w:lang w:val="zh-CN" w:eastAsia="zh-CN"/>
        </w:rPr>
        <w:t>交拆的</w:t>
      </w:r>
      <w:r>
        <w:rPr>
          <w:rFonts w:hint="eastAsia" w:ascii="仿宋_GB2312" w:eastAsia="仿宋_GB2312"/>
          <w:color w:val="auto"/>
          <w:sz w:val="32"/>
          <w:szCs w:val="32"/>
          <w:u w:val="none"/>
          <w:lang w:val="zh-CN"/>
        </w:rPr>
        <w:t>，相关款项的发放按如下方式进行：</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选</w:t>
      </w:r>
      <w:r>
        <w:rPr>
          <w:rFonts w:hint="eastAsia" w:ascii="仿宋_GB2312" w:eastAsia="仿宋_GB2312"/>
          <w:color w:val="auto"/>
          <w:sz w:val="32"/>
          <w:szCs w:val="32"/>
          <w:u w:val="none"/>
          <w:lang w:val="zh-CN"/>
        </w:rPr>
        <w:t>房时结算的款项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1</w:t>
      </w:r>
      <w:r>
        <w:rPr>
          <w:rFonts w:hint="eastAsia" w:ascii="仿宋_GB2312" w:eastAsia="仿宋_GB2312"/>
          <w:color w:val="auto"/>
          <w:sz w:val="32"/>
          <w:szCs w:val="32"/>
          <w:u w:val="none"/>
          <w:lang w:val="zh-CN"/>
        </w:rPr>
        <w:t>)搬迁补助费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临时过渡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)低保户、五保户、孤寡老人补助款项</w:t>
      </w:r>
    </w:p>
    <w:p>
      <w:pPr>
        <w:pStyle w:val="2"/>
        <w:pageBreakBefore w:val="0"/>
        <w:shd w:val="clear" w:color="auto" w:fill="auto"/>
        <w:kinsoku/>
        <w:wordWrap/>
        <w:overflowPunct/>
        <w:topLinePunct w:val="0"/>
        <w:autoSpaceDE/>
        <w:autoSpaceDN/>
        <w:bidi w:val="0"/>
        <w:adjustRightInd/>
        <w:snapToGrid/>
        <w:spacing w:after="0" w:line="500" w:lineRule="exact"/>
        <w:ind w:firstLine="467" w:firstLineChars="146"/>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 xml:space="preserve"> (</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)二次装修补偿款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)按时签约封房奖励金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rPr>
        <w:t>)自行过渡奖励金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7</w:t>
      </w:r>
      <w:r>
        <w:rPr>
          <w:rFonts w:hint="eastAsia" w:ascii="仿宋_GB2312" w:eastAsia="仿宋_GB2312"/>
          <w:color w:val="auto"/>
          <w:sz w:val="32"/>
          <w:szCs w:val="32"/>
          <w:u w:val="none"/>
          <w:lang w:val="zh-CN"/>
        </w:rPr>
        <w:t>)附属物</w:t>
      </w:r>
      <w:r>
        <w:rPr>
          <w:rFonts w:hint="eastAsia" w:ascii="仿宋_GB2312" w:eastAsia="仿宋_GB2312"/>
          <w:color w:val="auto"/>
          <w:sz w:val="32"/>
          <w:szCs w:val="32"/>
          <w:u w:val="none"/>
          <w:lang w:val="zh-CN" w:eastAsia="zh-CN"/>
        </w:rPr>
        <w:t>（含埕地、空地及奖励）</w:t>
      </w:r>
      <w:r>
        <w:rPr>
          <w:rFonts w:hint="eastAsia" w:ascii="仿宋_GB2312" w:eastAsia="仿宋_GB2312"/>
          <w:color w:val="auto"/>
          <w:sz w:val="32"/>
          <w:szCs w:val="32"/>
          <w:u w:val="none"/>
          <w:lang w:val="zh-CN"/>
        </w:rPr>
        <w:t>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8</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建筑占地补偿款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9</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房屋重置价补偿款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)照顾购买面积应缴款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rPr>
        <w:t xml:space="preserve">)等面积产权调换应补缴款     </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rPr>
        <w:t>)选房时面积误差产生的款（面积限制原则按十一、（三）、</w:t>
      </w:r>
      <w:r>
        <w:rPr>
          <w:rFonts w:hint="eastAsia" w:ascii="仿宋_GB2312" w:eastAsia="仿宋_GB2312"/>
          <w:color w:val="auto"/>
          <w:sz w:val="32"/>
          <w:szCs w:val="32"/>
          <w:u w:val="none"/>
          <w:lang w:val="en-US" w:eastAsia="zh-CN"/>
        </w:rPr>
        <w:t>3执行</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公摊面积奖励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14</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住宅改经营性用房补助款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选择安置在未动建安置区的，以上</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面积暂按认定补偿安置面积、价格按被征收人选择的安置区相关单价进行计算。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交房时结算</w:t>
      </w:r>
      <w:r>
        <w:rPr>
          <w:rFonts w:hint="eastAsia" w:ascii="仿宋_GB2312" w:eastAsia="仿宋_GB2312"/>
          <w:color w:val="auto"/>
          <w:sz w:val="32"/>
          <w:szCs w:val="32"/>
          <w:u w:val="none"/>
          <w:lang w:val="zh-CN"/>
        </w:rPr>
        <w:t>的款项</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交房时面积误差产生的款</w:t>
      </w: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rPr>
        <w:t>第二部分  手续认定</w:t>
      </w:r>
    </w:p>
    <w:p>
      <w:pPr>
        <w:pStyle w:val="10"/>
        <w:pageBreakBefore w:val="0"/>
        <w:shd w:val="clear" w:color="auto" w:fill="auto"/>
        <w:kinsoku/>
        <w:wordWrap/>
        <w:overflowPunct/>
        <w:topLinePunct w:val="0"/>
        <w:autoSpaceDE/>
        <w:autoSpaceDN/>
        <w:bidi w:val="0"/>
        <w:adjustRightInd/>
        <w:snapToGrid/>
        <w:spacing w:line="500" w:lineRule="exact"/>
        <w:ind w:firstLine="200"/>
        <w:jc w:val="both"/>
        <w:textAlignment w:val="auto"/>
        <w:rPr>
          <w:rFonts w:hint="eastAsia" w:ascii="仿宋_GB2312" w:eastAsia="仿宋_GB2312"/>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lang w:val="zh-CN"/>
        </w:rPr>
      </w:pPr>
      <w:r>
        <w:rPr>
          <w:rFonts w:hint="eastAsia" w:ascii="黑体" w:hAnsi="黑体" w:eastAsia="黑体" w:cs="黑体"/>
          <w:color w:val="auto"/>
          <w:sz w:val="32"/>
          <w:szCs w:val="32"/>
          <w:u w:val="none"/>
          <w:lang w:val="zh-CN" w:eastAsia="zh-CN"/>
        </w:rPr>
        <w:t>七</w:t>
      </w:r>
      <w:r>
        <w:rPr>
          <w:rFonts w:hint="eastAsia" w:ascii="黑体" w:hAnsi="黑体" w:eastAsia="黑体" w:cs="黑体"/>
          <w:color w:val="auto"/>
          <w:sz w:val="32"/>
          <w:szCs w:val="32"/>
          <w:u w:val="none"/>
          <w:lang w:val="zh-CN"/>
        </w:rPr>
        <w:t>、手续完整</w:t>
      </w:r>
    </w:p>
    <w:p>
      <w:pPr>
        <w:pageBreakBefore w:val="0"/>
        <w:kinsoku/>
        <w:wordWrap/>
        <w:overflowPunct/>
        <w:topLinePunct w:val="0"/>
        <w:autoSpaceDE/>
        <w:autoSpaceDN/>
        <w:bidi w:val="0"/>
        <w:adjustRightInd/>
        <w:snapToGrid/>
        <w:spacing w:line="500" w:lineRule="exact"/>
        <w:ind w:firstLine="803" w:firstLineChars="251"/>
        <w:textAlignment w:val="auto"/>
        <w:rPr>
          <w:rFonts w:hint="eastAsia" w:ascii="仿宋_GB2312" w:eastAsia="仿宋_GB2312"/>
          <w:color w:val="auto"/>
          <w:kern w:val="0"/>
          <w:sz w:val="32"/>
          <w:szCs w:val="32"/>
          <w:u w:val="none"/>
          <w:lang w:val="zh-CN"/>
        </w:rPr>
      </w:pPr>
      <w:r>
        <w:rPr>
          <w:rFonts w:hint="eastAsia" w:ascii="仿宋_GB2312" w:eastAsia="仿宋_GB2312"/>
          <w:i w:val="0"/>
          <w:iCs w:val="0"/>
          <w:color w:val="auto"/>
          <w:kern w:val="0"/>
          <w:sz w:val="32"/>
          <w:szCs w:val="32"/>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u w:val="none"/>
          <w:lang w:val="zh-CN"/>
        </w:rPr>
        <w:t>为土地、房屋手续完整，按权证登记的</w:t>
      </w:r>
      <w:r>
        <w:rPr>
          <w:rFonts w:hint="eastAsia" w:ascii="仿宋_GB2312" w:eastAsia="仿宋_GB2312"/>
          <w:color w:val="auto"/>
          <w:sz w:val="32"/>
          <w:szCs w:val="32"/>
          <w:u w:val="none"/>
          <w:lang w:val="zh-CN"/>
        </w:rPr>
        <w:t>房屋占地及建筑面积的</w:t>
      </w:r>
      <w:r>
        <w:rPr>
          <w:rFonts w:hint="eastAsia" w:ascii="仿宋_GB2312" w:eastAsia="仿宋_GB2312"/>
          <w:color w:val="auto"/>
          <w:kern w:val="0"/>
          <w:sz w:val="32"/>
          <w:szCs w:val="32"/>
          <w:u w:val="none"/>
          <w:lang w:val="zh-CN"/>
        </w:rPr>
        <w:t>100%认定补偿安置面积。</w:t>
      </w: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八、手续不完整</w:t>
      </w:r>
    </w:p>
    <w:p>
      <w:pPr>
        <w:pageBreakBefore w:val="0"/>
        <w:kinsoku/>
        <w:wordWrap/>
        <w:overflowPunct/>
        <w:topLinePunct w:val="0"/>
        <w:autoSpaceDE/>
        <w:autoSpaceDN/>
        <w:bidi w:val="0"/>
        <w:adjustRightInd/>
        <w:snapToGrid/>
        <w:spacing w:line="500" w:lineRule="exact"/>
        <w:ind w:firstLine="803" w:firstLineChars="251"/>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下列情形属于手续不完整，被征收人在规定签约期限内签订协议并封房的，按下列规定认定补偿安置面积：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(一）</w:t>
      </w:r>
      <w:r>
        <w:rPr>
          <w:rFonts w:hint="eastAsia" w:ascii="仿宋_GB2312" w:eastAsia="仿宋_GB2312"/>
          <w:color w:val="auto"/>
          <w:sz w:val="32"/>
          <w:szCs w:val="32"/>
          <w:u w:val="none"/>
          <w:lang w:val="zh-CN"/>
        </w:rPr>
        <w:t>对年代久远的老房屋（</w:t>
      </w:r>
      <w:r>
        <w:rPr>
          <w:rFonts w:ascii="仿宋_GB2312" w:eastAsia="仿宋_GB2312"/>
          <w:color w:val="auto"/>
          <w:sz w:val="32"/>
          <w:szCs w:val="32"/>
          <w:u w:val="none"/>
          <w:lang w:val="zh-CN"/>
        </w:rPr>
        <w:t>1987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日前已建成），未经权属登记且确系本人居住使用，房屋使用人能提供建房证明等有关材料的，按房屋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100%</w:t>
      </w:r>
      <w:r>
        <w:rPr>
          <w:rFonts w:hint="eastAsia" w:ascii="仿宋_GB2312" w:eastAsia="仿宋_GB2312"/>
          <w:color w:val="auto"/>
          <w:sz w:val="32"/>
          <w:szCs w:val="32"/>
          <w:u w:val="none"/>
          <w:lang w:val="zh-CN"/>
        </w:rPr>
        <w:t>予以认定补偿安置面积</w:t>
      </w:r>
      <w:r>
        <w:rPr>
          <w:rFonts w:hint="eastAsia" w:ascii="仿宋_GB2312" w:eastAsia="仿宋_GB2312"/>
          <w:color w:val="auto"/>
          <w:sz w:val="32"/>
          <w:szCs w:val="32"/>
          <w:u w:val="none"/>
          <w:lang w:val="zh-CN" w:eastAsia="zh-CN"/>
        </w:rPr>
        <w:t>；天井及其房前进深不超过3</w:t>
      </w:r>
      <w:r>
        <w:rPr>
          <w:rFonts w:hint="eastAsia" w:ascii="仿宋_GB2312" w:eastAsia="仿宋_GB2312"/>
          <w:color w:val="auto"/>
          <w:sz w:val="32"/>
          <w:szCs w:val="32"/>
          <w:u w:val="none"/>
          <w:lang w:val="zh-CN"/>
        </w:rPr>
        <w:t>m</w:t>
      </w:r>
      <w:r>
        <w:rPr>
          <w:rFonts w:hint="eastAsia" w:ascii="仿宋_GB2312" w:eastAsia="仿宋_GB2312"/>
          <w:color w:val="auto"/>
          <w:sz w:val="32"/>
          <w:szCs w:val="32"/>
          <w:u w:val="none"/>
          <w:lang w:val="zh-CN" w:eastAsia="zh-CN"/>
        </w:rPr>
        <w:t>范围等面宽的埕地、空地按确权划拨土地认定补偿。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sz w:val="32"/>
          <w:szCs w:val="32"/>
          <w:lang w:val="zh-CN" w:eastAsia="zh-CN"/>
        </w:rPr>
        <w:t>（二）</w:t>
      </w:r>
      <w:r>
        <w:rPr>
          <w:rFonts w:ascii="仿宋_GB2312" w:eastAsia="仿宋_GB2312"/>
          <w:sz w:val="32"/>
          <w:szCs w:val="32"/>
          <w:lang w:val="zh-CN"/>
        </w:rPr>
        <w:t>1987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日《中华人民共和国土地管理法》实施以后，持有“两证”（《土地使用证》和《房屋所有权证》）之一</w:t>
      </w:r>
      <w:r>
        <w:rPr>
          <w:rFonts w:hint="eastAsia" w:ascii="仿宋_GB2312" w:eastAsia="仿宋_GB2312"/>
          <w:sz w:val="32"/>
          <w:szCs w:val="32"/>
          <w:lang w:val="zh-CN" w:eastAsia="zh-CN"/>
        </w:rPr>
        <w:t>的，同时持有镇街及以上人民政府审批的《用地申请表》或《用地通知书》和《建筑许可证》或《建设工程规划许可证》之一的，手续不完整的建房户，按权证（或表格、通知书）登记的房屋占地及</w:t>
      </w:r>
      <w:r>
        <w:rPr>
          <w:rFonts w:hint="eastAsia" w:ascii="仿宋_GB2312" w:eastAsia="仿宋_GB2312"/>
          <w:sz w:val="32"/>
          <w:szCs w:val="32"/>
          <w:lang w:val="zh-CN"/>
        </w:rPr>
        <w:t>建筑面积的</w:t>
      </w:r>
      <w:r>
        <w:rPr>
          <w:rFonts w:ascii="仿宋_GB2312" w:eastAsia="仿宋_GB2312"/>
          <w:sz w:val="32"/>
          <w:szCs w:val="32"/>
          <w:lang w:val="zh-CN"/>
        </w:rPr>
        <w:t>95%</w:t>
      </w:r>
      <w:r>
        <w:rPr>
          <w:rFonts w:hint="eastAsia" w:ascii="仿宋_GB2312" w:eastAsia="仿宋_GB2312"/>
          <w:sz w:val="32"/>
          <w:szCs w:val="32"/>
          <w:lang w:val="zh-CN"/>
        </w:rPr>
        <w:t>予以认定补偿安置面积。</w:t>
      </w:r>
    </w:p>
    <w:p>
      <w:pPr>
        <w:pageBreakBefore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color w:val="auto"/>
          <w:kern w:val="0"/>
          <w:sz w:val="32"/>
          <w:szCs w:val="32"/>
          <w:u w:val="none"/>
          <w:lang w:val="zh-CN"/>
        </w:rPr>
      </w:pPr>
      <w:r>
        <w:rPr>
          <w:rFonts w:hint="eastAsia" w:ascii="黑体" w:hAnsi="黑体" w:eastAsia="黑体" w:cs="黑体"/>
          <w:b/>
          <w:color w:val="auto"/>
          <w:kern w:val="0"/>
          <w:sz w:val="32"/>
          <w:szCs w:val="32"/>
          <w:u w:val="none"/>
          <w:lang w:val="zh-CN"/>
        </w:rPr>
        <w:t>九、无手续</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无</w:t>
      </w:r>
      <w:r>
        <w:rPr>
          <w:rFonts w:hint="eastAsia" w:ascii="仿宋_GB2312" w:eastAsia="仿宋_GB2312"/>
          <w:color w:val="auto"/>
          <w:sz w:val="32"/>
          <w:szCs w:val="32"/>
          <w:u w:val="none"/>
          <w:lang w:val="zh-CN" w:eastAsia="zh-CN"/>
        </w:rPr>
        <w:t>任何</w:t>
      </w:r>
      <w:r>
        <w:rPr>
          <w:rFonts w:hint="eastAsia" w:ascii="仿宋_GB2312" w:eastAsia="仿宋_GB2312"/>
          <w:color w:val="auto"/>
          <w:sz w:val="32"/>
          <w:szCs w:val="32"/>
          <w:u w:val="none"/>
          <w:lang w:val="zh-CN"/>
        </w:rPr>
        <w:t>手续建成的公寓楼、集资楼</w:t>
      </w:r>
      <w:r>
        <w:rPr>
          <w:rFonts w:hint="eastAsia" w:ascii="仿宋_GB2312" w:eastAsia="仿宋_GB2312"/>
          <w:color w:val="auto"/>
          <w:sz w:val="32"/>
          <w:szCs w:val="32"/>
          <w:u w:val="none"/>
          <w:lang w:val="zh-CN" w:eastAsia="zh-CN"/>
        </w:rPr>
        <w:t>，被征收人</w:t>
      </w:r>
      <w:r>
        <w:rPr>
          <w:rFonts w:hint="eastAsia" w:ascii="仿宋_GB2312" w:eastAsia="仿宋_GB2312"/>
          <w:color w:val="auto"/>
          <w:sz w:val="32"/>
          <w:szCs w:val="32"/>
          <w:u w:val="none"/>
          <w:lang w:val="zh-CN"/>
        </w:rPr>
        <w:t>在规定</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期限内签订协议并</w:t>
      </w:r>
      <w:r>
        <w:rPr>
          <w:rFonts w:hint="eastAsia" w:ascii="仿宋_GB2312" w:eastAsia="仿宋_GB2312"/>
          <w:color w:val="auto"/>
          <w:sz w:val="32"/>
          <w:szCs w:val="32"/>
          <w:u w:val="none"/>
          <w:lang w:val="zh-CN" w:eastAsia="zh-CN"/>
        </w:rPr>
        <w:t>封房交拆</w:t>
      </w:r>
      <w:r>
        <w:rPr>
          <w:rFonts w:hint="eastAsia" w:ascii="仿宋_GB2312" w:eastAsia="仿宋_GB2312"/>
          <w:color w:val="auto"/>
          <w:sz w:val="32"/>
          <w:szCs w:val="32"/>
          <w:u w:val="none"/>
          <w:lang w:val="zh-CN"/>
        </w:rPr>
        <w:t>的，可按</w:t>
      </w:r>
      <w:r>
        <w:rPr>
          <w:rFonts w:hint="eastAsia" w:ascii="仿宋_GB2312" w:eastAsia="仿宋_GB2312"/>
          <w:color w:val="auto"/>
          <w:sz w:val="32"/>
          <w:szCs w:val="32"/>
          <w:u w:val="none"/>
          <w:lang w:val="zh-CN" w:eastAsia="zh-CN"/>
        </w:rPr>
        <w:t>下列</w:t>
      </w:r>
      <w:r>
        <w:rPr>
          <w:rFonts w:hint="eastAsia" w:ascii="仿宋_GB2312" w:eastAsia="仿宋_GB2312"/>
          <w:color w:val="auto"/>
          <w:sz w:val="32"/>
          <w:szCs w:val="32"/>
          <w:u w:val="none"/>
          <w:lang w:val="zh-CN"/>
        </w:rPr>
        <w:t>规定认定补偿安置面积：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（一）</w:t>
      </w:r>
      <w:r>
        <w:rPr>
          <w:rFonts w:ascii="仿宋_GB2312" w:eastAsia="仿宋_GB2312"/>
          <w:color w:val="auto"/>
          <w:sz w:val="32"/>
          <w:szCs w:val="32"/>
          <w:u w:val="none"/>
          <w:lang w:val="zh-CN"/>
        </w:rPr>
        <w:t>1987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1992</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85%</w:t>
      </w:r>
      <w:r>
        <w:rPr>
          <w:rFonts w:hint="eastAsia" w:ascii="仿宋_GB2312" w:eastAsia="仿宋_GB2312"/>
          <w:color w:val="auto"/>
          <w:sz w:val="32"/>
          <w:szCs w:val="32"/>
          <w:u w:val="none"/>
          <w:lang w:val="zh-CN"/>
        </w:rPr>
        <w:t>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（二）</w:t>
      </w:r>
      <w:r>
        <w:rPr>
          <w:rFonts w:ascii="仿宋_GB2312" w:eastAsia="仿宋_GB2312"/>
          <w:color w:val="auto"/>
          <w:sz w:val="32"/>
          <w:szCs w:val="32"/>
          <w:u w:val="none"/>
          <w:lang w:val="zh-CN"/>
        </w:rPr>
        <w:t>1993</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1999</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hint="eastAsia" w:ascii="仿宋_GB2312" w:eastAsia="仿宋_GB2312"/>
          <w:color w:val="auto"/>
          <w:sz w:val="32"/>
          <w:szCs w:val="32"/>
          <w:u w:val="none"/>
          <w:lang w:val="zh-CN" w:eastAsia="zh-CN"/>
        </w:rPr>
        <w:t>8</w:t>
      </w:r>
      <w:r>
        <w:rPr>
          <w:rFonts w:ascii="仿宋_GB2312" w:eastAsia="仿宋_GB2312"/>
          <w:color w:val="auto"/>
          <w:sz w:val="32"/>
          <w:szCs w:val="32"/>
          <w:u w:val="none"/>
          <w:lang w:val="zh-CN"/>
        </w:rPr>
        <w:t>0%</w:t>
      </w:r>
      <w:r>
        <w:rPr>
          <w:rFonts w:hint="eastAsia" w:ascii="仿宋_GB2312" w:eastAsia="仿宋_GB2312"/>
          <w:color w:val="auto"/>
          <w:sz w:val="32"/>
          <w:szCs w:val="32"/>
          <w:u w:val="none"/>
          <w:lang w:val="zh-CN"/>
        </w:rPr>
        <w:t>认定补偿安置面积</w:t>
      </w:r>
      <w:r>
        <w:rPr>
          <w:rFonts w:hint="eastAsia" w:ascii="仿宋_GB2312" w:eastAsia="仿宋_GB2312"/>
          <w:color w:val="auto"/>
          <w:sz w:val="32"/>
          <w:szCs w:val="32"/>
          <w:u w:val="none"/>
          <w:lang w:val="zh-CN" w:eastAsia="zh-CN"/>
        </w:rPr>
        <w:t>。</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（三）</w:t>
      </w:r>
      <w:r>
        <w:rPr>
          <w:rFonts w:ascii="仿宋_GB2312" w:eastAsia="仿宋_GB2312"/>
          <w:color w:val="auto"/>
          <w:sz w:val="32"/>
          <w:szCs w:val="32"/>
          <w:u w:val="none"/>
          <w:lang w:val="zh-CN"/>
        </w:rPr>
        <w:t>2000</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日</w:t>
      </w:r>
      <w:r>
        <w:rPr>
          <w:rFonts w:hint="eastAsia" w:ascii="仿宋_GB2312" w:eastAsia="仿宋_GB2312"/>
          <w:color w:val="auto"/>
          <w:sz w:val="32"/>
          <w:szCs w:val="32"/>
          <w:u w:val="none"/>
          <w:lang w:val="zh-CN"/>
        </w:rPr>
        <w:t>至</w:t>
      </w:r>
      <w:r>
        <w:rPr>
          <w:rFonts w:ascii="仿宋_GB2312" w:eastAsia="仿宋_GB2312"/>
          <w:color w:val="auto"/>
          <w:sz w:val="32"/>
          <w:szCs w:val="32"/>
          <w:u w:val="none"/>
          <w:lang w:val="zh-CN"/>
        </w:rPr>
        <w:t>2006</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hint="eastAsia" w:ascii="仿宋_GB2312" w:eastAsia="仿宋_GB2312"/>
          <w:color w:val="auto"/>
          <w:sz w:val="32"/>
          <w:szCs w:val="32"/>
          <w:u w:val="none"/>
          <w:lang w:val="zh-CN" w:eastAsia="zh-CN"/>
        </w:rPr>
        <w:t>7</w:t>
      </w:r>
      <w:r>
        <w:rPr>
          <w:rFonts w:ascii="仿宋_GB2312" w:eastAsia="仿宋_GB2312"/>
          <w:color w:val="auto"/>
          <w:sz w:val="32"/>
          <w:szCs w:val="32"/>
          <w:u w:val="none"/>
          <w:lang w:val="zh-CN"/>
        </w:rPr>
        <w:t>0%</w:t>
      </w:r>
      <w:r>
        <w:rPr>
          <w:rFonts w:hint="eastAsia" w:ascii="仿宋_GB2312" w:eastAsia="仿宋_GB2312"/>
          <w:color w:val="auto"/>
          <w:sz w:val="32"/>
          <w:szCs w:val="32"/>
          <w:u w:val="none"/>
          <w:lang w:val="zh-CN"/>
        </w:rPr>
        <w:t>认定补偿安置面积</w:t>
      </w:r>
      <w:r>
        <w:rPr>
          <w:rFonts w:hint="eastAsia" w:ascii="仿宋_GB2312" w:eastAsia="仿宋_GB2312"/>
          <w:color w:val="auto"/>
          <w:sz w:val="32"/>
          <w:szCs w:val="32"/>
          <w:u w:val="none"/>
          <w:lang w:val="zh-CN" w:eastAsia="zh-CN"/>
        </w:rPr>
        <w:t>。</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整体有审批手续（含不完整手续），局部在原设计图纸之外私自增加的无手续建筑物，一律不予认定补偿安置面积。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以上被认定不予补偿安置的房屋占地及建筑面积（含“八、手续不完整”及“九、无手续”两部分中的情况）</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u w:val="none"/>
          <w:lang w:val="zh-CN" w:eastAsia="zh-CN"/>
        </w:rPr>
        <w:t>属2016年4月1日前建成的</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u w:val="none"/>
          <w:lang w:val="zh-CN" w:eastAsia="zh-CN"/>
        </w:rPr>
        <w:t>按征地和建安造价给予一次性货币补偿；属2016年4月1日后建成的，除征地费用外不给于任何补偿。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建房时间和建房手续由项目所在街道牵头，征迁工作组负责，国土局、规划局配合，结合审批资料、航拍图等技术资料予以审核确认。</w:t>
      </w: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color w:val="auto"/>
          <w:sz w:val="32"/>
          <w:szCs w:val="32"/>
          <w:u w:val="none"/>
          <w:lang w:val="zh-CN"/>
        </w:rPr>
        <w:t>第</w:t>
      </w:r>
      <w:r>
        <w:rPr>
          <w:rFonts w:hint="eastAsia" w:ascii="黑体" w:hAnsi="黑体" w:eastAsia="黑体" w:cs="黑体"/>
          <w:color w:val="auto"/>
          <w:sz w:val="32"/>
          <w:szCs w:val="32"/>
          <w:u w:val="none"/>
          <w:lang w:val="zh-CN" w:eastAsia="zh-CN"/>
        </w:rPr>
        <w:t>三</w:t>
      </w:r>
      <w:r>
        <w:rPr>
          <w:rFonts w:hint="eastAsia" w:ascii="黑体" w:hAnsi="黑体" w:eastAsia="黑体" w:cs="黑体"/>
          <w:color w:val="auto"/>
          <w:sz w:val="32"/>
          <w:szCs w:val="32"/>
          <w:u w:val="none"/>
          <w:lang w:val="zh-CN"/>
        </w:rPr>
        <w:t>部分  住宅补偿安置</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仿宋_GB2312" w:eastAsia="仿宋_GB2312"/>
          <w:b/>
          <w:color w:val="auto"/>
          <w:sz w:val="32"/>
          <w:szCs w:val="32"/>
          <w:u w:val="none"/>
          <w:lang w:val="zh-CN"/>
        </w:rPr>
      </w:pP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rPr>
        <w:t>十、补偿计算</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（一）</w:t>
      </w:r>
      <w:r>
        <w:rPr>
          <w:rFonts w:hint="eastAsia" w:ascii="仿宋_GB2312" w:eastAsia="仿宋_GB2312"/>
          <w:color w:val="auto"/>
          <w:sz w:val="32"/>
          <w:szCs w:val="32"/>
          <w:u w:val="none"/>
          <w:lang w:val="zh-CN"/>
        </w:rPr>
        <w:t>补偿金额实行土地、房屋</w:t>
      </w:r>
      <w:r>
        <w:rPr>
          <w:rFonts w:ascii="仿宋_GB2312" w:eastAsia="仿宋_GB2312"/>
          <w:color w:val="auto"/>
          <w:sz w:val="32"/>
          <w:szCs w:val="32"/>
          <w:u w:val="none"/>
          <w:lang w:val="zh-CN"/>
        </w:rPr>
        <w:t>分</w:t>
      </w:r>
      <w:r>
        <w:rPr>
          <w:rFonts w:hint="eastAsia" w:ascii="仿宋_GB2312" w:eastAsia="仿宋_GB2312"/>
          <w:color w:val="auto"/>
          <w:sz w:val="32"/>
          <w:szCs w:val="32"/>
          <w:u w:val="none"/>
          <w:lang w:val="zh-CN"/>
        </w:rPr>
        <w:t>别</w:t>
      </w:r>
      <w:r>
        <w:rPr>
          <w:rFonts w:ascii="仿宋_GB2312" w:eastAsia="仿宋_GB2312"/>
          <w:color w:val="auto"/>
          <w:sz w:val="32"/>
          <w:szCs w:val="32"/>
          <w:u w:val="none"/>
          <w:lang w:val="zh-CN"/>
        </w:rPr>
        <w:t>计算</w:t>
      </w:r>
      <w:r>
        <w:rPr>
          <w:rFonts w:hint="eastAsia" w:ascii="仿宋_GB2312" w:eastAsia="仿宋_GB2312"/>
          <w:color w:val="auto"/>
          <w:sz w:val="32"/>
          <w:szCs w:val="32"/>
          <w:u w:val="none"/>
          <w:lang w:val="zh-CN"/>
        </w:rPr>
        <w:t>，合并结算。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1、选择货币补偿的结算：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计算公式：公寓楼、集资楼补偿金额=</w:t>
      </w:r>
      <w:r>
        <w:rPr>
          <w:rFonts w:hint="eastAsia" w:ascii="仿宋_GB2312" w:eastAsia="仿宋_GB2312"/>
          <w:color w:val="auto"/>
          <w:sz w:val="32"/>
          <w:szCs w:val="32"/>
          <w:u w:val="none"/>
          <w:lang w:val="zh-CN" w:eastAsia="zh-CN"/>
        </w:rPr>
        <w:t>经认定可补偿安置的房屋建筑占地面积×土地补偿价</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万元/亩+埕地、空地面积（已分摊入各户建筑用地的不计）</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相应的埕地、空地补偿价（</w:t>
      </w:r>
      <w:r>
        <w:rPr>
          <w:rFonts w:hint="eastAsia" w:ascii="仿宋_GB2312" w:eastAsia="仿宋_GB2312"/>
          <w:color w:val="auto"/>
          <w:sz w:val="32"/>
          <w:szCs w:val="32"/>
          <w:u w:val="none"/>
          <w:lang w:val="zh-CN"/>
        </w:rPr>
        <w:t>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属划拨土地</w:t>
      </w:r>
      <w:r>
        <w:rPr>
          <w:rFonts w:hint="eastAsia" w:ascii="仿宋_GB2312" w:eastAsia="仿宋_GB2312"/>
          <w:color w:val="auto"/>
          <w:sz w:val="32"/>
          <w:szCs w:val="32"/>
          <w:u w:val="none"/>
          <w:lang w:val="zh-CN" w:eastAsia="zh-CN"/>
        </w:rPr>
        <w:t>或持有集体土地使用证</w:t>
      </w:r>
      <w:r>
        <w:rPr>
          <w:rFonts w:hint="eastAsia" w:ascii="仿宋_GB2312" w:eastAsia="仿宋_GB2312"/>
          <w:color w:val="auto"/>
          <w:sz w:val="32"/>
          <w:szCs w:val="32"/>
          <w:u w:val="none"/>
          <w:lang w:val="zh-CN"/>
        </w:rPr>
        <w:t>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w:t>
      </w:r>
      <w:r>
        <w:rPr>
          <w:rFonts w:hint="eastAsia" w:ascii="仿宋_GB2312" w:eastAsia="仿宋_GB2312"/>
          <w:color w:val="auto"/>
          <w:sz w:val="32"/>
          <w:szCs w:val="32"/>
          <w:u w:val="none"/>
          <w:lang w:val="zh-CN" w:eastAsia="zh-CN"/>
        </w:rPr>
        <w:t>的</w:t>
      </w:r>
      <w:r>
        <w:rPr>
          <w:rFonts w:ascii="仿宋_GB2312" w:eastAsia="仿宋_GB2312"/>
          <w:color w:val="auto"/>
          <w:sz w:val="32"/>
          <w:szCs w:val="32"/>
          <w:u w:val="none"/>
          <w:lang w:val="zh-CN"/>
        </w:rPr>
        <w:t>60%</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其他未确权的，按4</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万元/亩计算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w:t>
      </w:r>
      <w:r>
        <w:rPr>
          <w:rFonts w:hint="eastAsia" w:ascii="仿宋_GB2312" w:eastAsia="仿宋_GB2312"/>
          <w:color w:val="auto"/>
          <w:sz w:val="32"/>
          <w:szCs w:val="32"/>
          <w:u w:val="none"/>
          <w:lang w:val="zh-CN"/>
        </w:rPr>
        <w:t>补偿</w:t>
      </w:r>
      <w:r>
        <w:rPr>
          <w:rFonts w:hint="eastAsia" w:ascii="仿宋_GB2312" w:eastAsia="仿宋_GB2312"/>
          <w:color w:val="auto"/>
          <w:sz w:val="32"/>
          <w:szCs w:val="32"/>
          <w:u w:val="none"/>
          <w:lang w:val="zh-CN" w:eastAsia="zh-CN"/>
        </w:rPr>
        <w:t>安置</w:t>
      </w:r>
      <w:r>
        <w:rPr>
          <w:rFonts w:hint="eastAsia" w:ascii="仿宋_GB2312" w:eastAsia="仿宋_GB2312"/>
          <w:color w:val="auto"/>
          <w:sz w:val="32"/>
          <w:szCs w:val="32"/>
          <w:u w:val="none"/>
          <w:lang w:val="zh-CN"/>
        </w:rPr>
        <w:t>面积×（房屋重置价×房屋成新率＋室内二次装修×二次装修成新率）+</w:t>
      </w:r>
      <w:r>
        <w:rPr>
          <w:rFonts w:hint="eastAsia" w:ascii="仿宋_GB2312" w:eastAsia="仿宋_GB2312"/>
          <w:color w:val="auto"/>
          <w:sz w:val="32"/>
          <w:szCs w:val="32"/>
          <w:u w:val="none"/>
          <w:lang w:val="zh-CN" w:eastAsia="zh-CN"/>
        </w:rPr>
        <w:t>被认定不予补偿安置的土地面积×征地价格＋被认定不予补偿安置的房屋建筑面积×建安造价</w:t>
      </w:r>
      <w:r>
        <w:rPr>
          <w:rFonts w:hint="eastAsia" w:ascii="仿宋_GB2312" w:eastAsia="仿宋_GB2312"/>
          <w:color w:val="auto"/>
          <w:sz w:val="32"/>
          <w:szCs w:val="32"/>
          <w:u w:val="none"/>
          <w:lang w:val="zh-CN"/>
        </w:rPr>
        <w:t>×成新率</w:t>
      </w:r>
      <w:r>
        <w:rPr>
          <w:rFonts w:hint="eastAsia" w:ascii="仿宋_GB2312" w:eastAsia="仿宋_GB2312"/>
          <w:color w:val="auto"/>
          <w:sz w:val="32"/>
          <w:szCs w:val="32"/>
          <w:u w:val="none"/>
          <w:lang w:val="en-US" w:eastAsia="zh-CN"/>
        </w:rPr>
        <w:t>+各项奖励、补助等费用</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房屋重置价、房屋成新率、室内二次装修及成新率</w:t>
      </w:r>
      <w:r>
        <w:rPr>
          <w:rFonts w:hint="eastAsia" w:ascii="仿宋_GB2312" w:eastAsia="仿宋_GB2312"/>
          <w:color w:val="auto"/>
          <w:sz w:val="32"/>
          <w:szCs w:val="32"/>
          <w:u w:val="none"/>
          <w:lang w:val="zh-CN"/>
        </w:rPr>
        <w:t>详见附表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2、选择产权调换的结算：</w:t>
      </w:r>
    </w:p>
    <w:p>
      <w:pPr>
        <w:pStyle w:val="2"/>
        <w:pageBreakBefore w:val="0"/>
        <w:shd w:val="clear" w:color="auto" w:fill="auto"/>
        <w:kinsoku/>
        <w:wordWrap/>
        <w:overflowPunct/>
        <w:topLinePunct w:val="0"/>
        <w:autoSpaceDE/>
        <w:autoSpaceDN/>
        <w:bidi w:val="0"/>
        <w:adjustRightInd/>
        <w:snapToGrid/>
        <w:spacing w:after="0" w:line="500" w:lineRule="exact"/>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 xml:space="preserve">    </w:t>
      </w:r>
      <w:r>
        <w:rPr>
          <w:rFonts w:hint="eastAsia" w:ascii="仿宋_GB2312" w:eastAsia="仿宋_GB2312"/>
          <w:color w:val="auto"/>
          <w:sz w:val="32"/>
          <w:szCs w:val="32"/>
          <w:u w:val="none"/>
        </w:rPr>
        <w:t>在等面积产权调换的基础上，按以下计算：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被征收人领回款=</w:t>
      </w:r>
      <w:r>
        <w:rPr>
          <w:rFonts w:hint="eastAsia" w:ascii="仿宋_GB2312" w:eastAsia="仿宋_GB2312"/>
          <w:color w:val="auto"/>
          <w:sz w:val="32"/>
          <w:szCs w:val="32"/>
          <w:u w:val="none"/>
          <w:lang w:val="zh-CN" w:eastAsia="zh-CN"/>
        </w:rPr>
        <w:t>埕地、空地面积（已分摊入各户建筑用地的不计）</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相应的埕地、空地补偿价（</w:t>
      </w:r>
      <w:r>
        <w:rPr>
          <w:rFonts w:hint="eastAsia" w:ascii="仿宋_GB2312" w:eastAsia="仿宋_GB2312"/>
          <w:color w:val="auto"/>
          <w:sz w:val="32"/>
          <w:szCs w:val="32"/>
          <w:u w:val="none"/>
          <w:lang w:val="zh-CN"/>
        </w:rPr>
        <w:t>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属划拨土地</w:t>
      </w:r>
      <w:r>
        <w:rPr>
          <w:rFonts w:hint="eastAsia" w:ascii="仿宋_GB2312" w:eastAsia="仿宋_GB2312"/>
          <w:color w:val="auto"/>
          <w:sz w:val="32"/>
          <w:szCs w:val="32"/>
          <w:u w:val="none"/>
          <w:lang w:val="zh-CN" w:eastAsia="zh-CN"/>
        </w:rPr>
        <w:t>或持有集体土地使用证</w:t>
      </w:r>
      <w:r>
        <w:rPr>
          <w:rFonts w:hint="eastAsia" w:ascii="仿宋_GB2312" w:eastAsia="仿宋_GB2312"/>
          <w:color w:val="auto"/>
          <w:sz w:val="32"/>
          <w:szCs w:val="32"/>
          <w:u w:val="none"/>
          <w:lang w:val="zh-CN"/>
        </w:rPr>
        <w:t>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w:t>
      </w:r>
      <w:r>
        <w:rPr>
          <w:rFonts w:hint="eastAsia" w:ascii="仿宋_GB2312" w:eastAsia="仿宋_GB2312"/>
          <w:color w:val="auto"/>
          <w:sz w:val="32"/>
          <w:szCs w:val="32"/>
          <w:u w:val="none"/>
          <w:lang w:val="zh-CN"/>
        </w:rPr>
        <w:t>元/亩</w:t>
      </w:r>
      <w:r>
        <w:rPr>
          <w:rFonts w:hint="eastAsia" w:ascii="仿宋_GB2312" w:eastAsia="仿宋_GB2312"/>
          <w:color w:val="auto"/>
          <w:sz w:val="32"/>
          <w:szCs w:val="32"/>
          <w:u w:val="none"/>
          <w:lang w:val="zh-CN" w:eastAsia="zh-CN"/>
        </w:rPr>
        <w:t>的</w:t>
      </w:r>
      <w:r>
        <w:rPr>
          <w:rFonts w:ascii="仿宋_GB2312" w:eastAsia="仿宋_GB2312"/>
          <w:color w:val="auto"/>
          <w:sz w:val="32"/>
          <w:szCs w:val="32"/>
          <w:u w:val="none"/>
          <w:lang w:val="zh-CN"/>
        </w:rPr>
        <w:t>60%</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其他未确权的，按4</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万元/亩计算。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w:t>
      </w:r>
      <w:r>
        <w:rPr>
          <w:rFonts w:hint="eastAsia" w:ascii="仿宋_GB2312" w:eastAsia="仿宋_GB2312"/>
          <w:color w:val="auto"/>
          <w:sz w:val="32"/>
          <w:szCs w:val="32"/>
          <w:u w:val="none"/>
          <w:lang w:val="zh-CN"/>
        </w:rPr>
        <w:t>补偿</w:t>
      </w:r>
      <w:r>
        <w:rPr>
          <w:rFonts w:hint="eastAsia" w:ascii="仿宋_GB2312" w:eastAsia="仿宋_GB2312"/>
          <w:color w:val="auto"/>
          <w:sz w:val="32"/>
          <w:szCs w:val="32"/>
          <w:u w:val="none"/>
          <w:lang w:val="zh-CN" w:eastAsia="zh-CN"/>
        </w:rPr>
        <w:t>安置</w:t>
      </w:r>
      <w:r>
        <w:rPr>
          <w:rFonts w:hint="eastAsia" w:ascii="仿宋_GB2312" w:eastAsia="仿宋_GB2312"/>
          <w:color w:val="auto"/>
          <w:sz w:val="32"/>
          <w:szCs w:val="32"/>
          <w:u w:val="none"/>
          <w:lang w:val="zh-CN"/>
        </w:rPr>
        <w:t>面积×室内二次装修×二次装修成新率+</w:t>
      </w:r>
      <w:r>
        <w:rPr>
          <w:rFonts w:hint="eastAsia" w:ascii="仿宋_GB2312" w:eastAsia="仿宋_GB2312"/>
          <w:color w:val="auto"/>
          <w:sz w:val="32"/>
          <w:szCs w:val="32"/>
          <w:u w:val="none"/>
          <w:lang w:val="zh-CN" w:eastAsia="zh-CN"/>
        </w:rPr>
        <w:t>被认定不予补偿安置的土地面积×征地价格＋被认定不予补偿安置的房屋建筑面积×建安造价</w:t>
      </w:r>
      <w:r>
        <w:rPr>
          <w:rFonts w:hint="eastAsia" w:ascii="仿宋_GB2312" w:eastAsia="仿宋_GB2312"/>
          <w:color w:val="auto"/>
          <w:sz w:val="32"/>
          <w:szCs w:val="32"/>
          <w:u w:val="none"/>
          <w:lang w:val="zh-CN"/>
        </w:rPr>
        <w:t>×成新率</w:t>
      </w:r>
      <w:r>
        <w:rPr>
          <w:rFonts w:hint="eastAsia" w:ascii="仿宋_GB2312" w:eastAsia="仿宋_GB2312"/>
          <w:color w:val="auto"/>
          <w:sz w:val="32"/>
          <w:szCs w:val="32"/>
          <w:u w:val="none"/>
          <w:lang w:val="en-US" w:eastAsia="zh-CN"/>
        </w:rPr>
        <w:t>+各项奖励、补助费用（扣除放弃产权调换安置的补差款）</w:t>
      </w:r>
      <w:r>
        <w:rPr>
          <w:rFonts w:hint="eastAsia" w:ascii="仿宋_GB2312" w:eastAsia="仿宋_GB2312"/>
          <w:color w:val="auto"/>
          <w:sz w:val="32"/>
          <w:szCs w:val="32"/>
          <w:u w:val="none"/>
          <w:lang w:val="zh-CN"/>
        </w:rPr>
        <w:t>，详见附表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被征收人应缴款</w:t>
      </w:r>
      <w:r>
        <w:rPr>
          <w:rFonts w:hint="eastAsia" w:ascii="仿宋_GB2312" w:eastAsia="仿宋_GB2312"/>
          <w:color w:val="auto"/>
          <w:sz w:val="32"/>
          <w:szCs w:val="32"/>
          <w:u w:val="none"/>
          <w:lang w:val="en-US" w:eastAsia="zh-CN"/>
        </w:rPr>
        <w:t>=照顾购买面积×照顾购买价+选择产权调换的面积</w:t>
      </w:r>
      <w:r>
        <w:rPr>
          <w:rFonts w:hint="eastAsia" w:ascii="仿宋_GB2312" w:eastAsia="仿宋_GB2312"/>
          <w:color w:val="auto"/>
          <w:sz w:val="32"/>
          <w:szCs w:val="32"/>
          <w:u w:val="none"/>
          <w:lang w:val="zh-CN"/>
        </w:rPr>
        <w:t>×等面积应补缴价格（附表五）</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（二）层高小于2.2m的房屋夹层按房屋建安造价补偿，不予认定补偿安置面积；层高2.2m及以上的夹层、阁楼，按规定予以认定补偿安置面积。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（三）</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露出室外地面超过其层</w:t>
      </w:r>
      <w:r>
        <w:rPr>
          <w:rFonts w:hint="eastAsia" w:ascii="仿宋_GB2312" w:eastAsia="仿宋_GB2312"/>
          <w:color w:val="auto"/>
          <w:sz w:val="32"/>
          <w:szCs w:val="32"/>
          <w:u w:val="none"/>
          <w:lang w:val="zh-CN"/>
        </w:rPr>
        <w:t>高1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以上的，按规定给予认定补偿安置面积；</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露出室外地面在其层高</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／3(不含</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／3）至</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（含</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）的，按规定给予认定一半的补偿安置面积；</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露出室外地面不超过其层高</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／3的，只</w:t>
      </w:r>
      <w:r>
        <w:rPr>
          <w:rFonts w:hint="eastAsia" w:ascii="仿宋_GB2312" w:eastAsia="仿宋_GB2312"/>
          <w:color w:val="auto"/>
          <w:sz w:val="32"/>
          <w:szCs w:val="32"/>
          <w:u w:val="none"/>
          <w:lang w:val="zh-CN"/>
        </w:rPr>
        <w:t>给予房屋建安造价补偿，不予认定补偿安置面积。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一</w:t>
      </w:r>
      <w:r>
        <w:rPr>
          <w:rFonts w:hint="eastAsia" w:ascii="黑体" w:hAnsi="黑体" w:eastAsia="黑体" w:cs="黑体"/>
          <w:b/>
          <w:color w:val="auto"/>
          <w:sz w:val="32"/>
          <w:szCs w:val="32"/>
          <w:u w:val="none"/>
          <w:lang w:val="zh-CN"/>
        </w:rPr>
        <w:t>、安置办法</w:t>
      </w:r>
    </w:p>
    <w:p>
      <w:pPr>
        <w:pageBreakBefore w:val="0"/>
        <w:kinsoku/>
        <w:wordWrap/>
        <w:overflowPunct/>
        <w:topLinePunct w:val="0"/>
        <w:autoSpaceDE/>
        <w:autoSpaceDN/>
        <w:bidi w:val="0"/>
        <w:adjustRightInd/>
        <w:snapToGrid/>
        <w:spacing w:line="500" w:lineRule="exact"/>
        <w:ind w:firstLine="480" w:firstLineChars="150"/>
        <w:textAlignment w:val="auto"/>
        <w:rPr>
          <w:rFonts w:hint="eastAsia" w:ascii="楷体_GB2312" w:hAnsi="楷体_GB2312" w:eastAsia="楷体_GB2312" w:cs="楷体_GB2312"/>
          <w:color w:val="auto"/>
          <w:kern w:val="0"/>
          <w:sz w:val="32"/>
          <w:szCs w:val="32"/>
          <w:u w:val="none"/>
          <w:lang w:val="zh-CN"/>
        </w:rPr>
      </w:pPr>
      <w:r>
        <w:rPr>
          <w:rFonts w:hint="eastAsia" w:ascii="楷体_GB2312" w:hAnsi="楷体_GB2312" w:eastAsia="楷体_GB2312" w:cs="楷体_GB2312"/>
          <w:color w:val="auto"/>
          <w:kern w:val="0"/>
          <w:sz w:val="32"/>
          <w:szCs w:val="32"/>
          <w:u w:val="none"/>
          <w:lang w:val="zh-CN"/>
        </w:rPr>
        <w:t>（一）安置房的选择</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被征收人因房屋被征收后在征收人提供的安置区内选择的安置房面积，原则上等同被征收房屋认定的补偿安置面积。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（二）安置原则及安置房价格</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公寓楼、集资楼认定</w:t>
      </w:r>
      <w:r>
        <w:rPr>
          <w:rFonts w:hint="eastAsia" w:ascii="仿宋_GB2312" w:eastAsia="仿宋_GB2312"/>
          <w:color w:val="auto"/>
          <w:sz w:val="32"/>
          <w:szCs w:val="32"/>
          <w:u w:val="none"/>
          <w:lang w:val="zh-CN"/>
        </w:rPr>
        <w:t>补偿安置面积选择产权调换部分，实行补差价优惠，其补偿详见附表</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2、本项目产权调换可选择安置</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en-US" w:eastAsia="zh-CN"/>
        </w:rPr>
        <w:t>安置区及先后顺序、</w:t>
      </w:r>
      <w:r>
        <w:rPr>
          <w:rFonts w:hint="eastAsia" w:ascii="仿宋_GB2312" w:eastAsia="仿宋_GB2312"/>
          <w:color w:val="auto"/>
          <w:sz w:val="32"/>
          <w:szCs w:val="32"/>
          <w:u w:val="none"/>
          <w:lang w:val="zh-CN"/>
        </w:rPr>
        <w:t>所</w:t>
      </w:r>
      <w:r>
        <w:rPr>
          <w:rFonts w:hint="eastAsia" w:ascii="仿宋_GB2312" w:eastAsia="仿宋_GB2312"/>
          <w:color w:val="auto"/>
          <w:sz w:val="32"/>
          <w:szCs w:val="32"/>
          <w:u w:val="none"/>
          <w:lang w:val="zh-CN" w:eastAsia="zh-CN"/>
        </w:rPr>
        <w:t>选安置区因降低或升高地段等级的补差价、</w:t>
      </w:r>
      <w:r>
        <w:rPr>
          <w:rFonts w:hint="eastAsia" w:ascii="仿宋_GB2312" w:eastAsia="仿宋_GB2312"/>
          <w:color w:val="auto"/>
          <w:sz w:val="32"/>
          <w:szCs w:val="32"/>
          <w:u w:val="none"/>
          <w:lang w:val="zh-CN"/>
        </w:rPr>
        <w:t>选房时因安置房户型</w:t>
      </w:r>
      <w:r>
        <w:rPr>
          <w:rFonts w:hint="eastAsia" w:ascii="仿宋_GB2312" w:eastAsia="仿宋_GB2312"/>
          <w:color w:val="auto"/>
          <w:sz w:val="32"/>
          <w:szCs w:val="32"/>
          <w:u w:val="none"/>
          <w:lang w:val="zh-CN" w:eastAsia="zh-CN"/>
        </w:rPr>
        <w:t>和</w:t>
      </w:r>
      <w:r>
        <w:rPr>
          <w:rFonts w:hint="eastAsia" w:ascii="仿宋_GB2312" w:eastAsia="仿宋_GB2312"/>
          <w:color w:val="auto"/>
          <w:sz w:val="32"/>
          <w:szCs w:val="32"/>
          <w:u w:val="none"/>
          <w:lang w:val="zh-CN"/>
        </w:rPr>
        <w:t>建筑结构等原因导致实际安置面积超出产权调换面积的</w:t>
      </w:r>
      <w:r>
        <w:rPr>
          <w:rFonts w:hint="eastAsia" w:ascii="仿宋_GB2312" w:eastAsia="仿宋_GB2312"/>
          <w:color w:val="auto"/>
          <w:sz w:val="32"/>
          <w:szCs w:val="32"/>
          <w:u w:val="none"/>
          <w:lang w:val="zh-CN" w:eastAsia="zh-CN"/>
        </w:rPr>
        <w:t>补偿价（含</w:t>
      </w:r>
      <w:r>
        <w:rPr>
          <w:rFonts w:hint="eastAsia" w:ascii="仿宋_GB2312" w:eastAsia="仿宋_GB2312"/>
          <w:color w:val="auto"/>
          <w:sz w:val="32"/>
          <w:szCs w:val="32"/>
          <w:u w:val="none"/>
          <w:lang w:val="zh-CN"/>
        </w:rPr>
        <w:t>误差面积在7㎡</w:t>
      </w:r>
      <w:r>
        <w:rPr>
          <w:rFonts w:hint="eastAsia" w:ascii="仿宋_GB2312" w:hAnsi="仿宋_GB2312" w:eastAsia="仿宋_GB2312" w:cs="仿宋_GB2312"/>
          <w:color w:val="auto"/>
          <w:sz w:val="32"/>
          <w:szCs w:val="32"/>
          <w:u w:val="none"/>
          <w:lang w:val="zh-CN"/>
        </w:rPr>
        <w:t>以内</w:t>
      </w:r>
      <w:r>
        <w:rPr>
          <w:rFonts w:hint="eastAsia" w:ascii="仿宋_GB2312" w:hAnsi="仿宋_GB2312" w:eastAsia="仿宋_GB2312" w:cs="仿宋_GB2312"/>
          <w:color w:val="auto"/>
          <w:sz w:val="32"/>
          <w:szCs w:val="32"/>
          <w:u w:val="none"/>
          <w:lang w:val="zh-CN" w:eastAsia="zh-CN"/>
        </w:rPr>
        <w:t>及</w:t>
      </w:r>
      <w:r>
        <w:rPr>
          <w:rFonts w:hint="eastAsia" w:ascii="仿宋_GB2312" w:hAnsi="仿宋_GB2312" w:eastAsia="仿宋_GB2312" w:cs="仿宋_GB2312"/>
          <w:color w:val="auto"/>
          <w:sz w:val="32"/>
          <w:szCs w:val="32"/>
          <w:u w:val="none"/>
          <w:lang w:val="zh-CN"/>
        </w:rPr>
        <w:t>超出</w:t>
      </w:r>
      <w:r>
        <w:rPr>
          <w:rFonts w:hint="eastAsia" w:ascii="仿宋_GB2312" w:eastAsia="仿宋_GB2312"/>
          <w:color w:val="auto"/>
          <w:sz w:val="32"/>
          <w:szCs w:val="32"/>
          <w:u w:val="none"/>
          <w:lang w:val="zh-CN"/>
        </w:rPr>
        <w:t>7㎡</w:t>
      </w:r>
      <w:r>
        <w:rPr>
          <w:rFonts w:hint="eastAsia" w:ascii="仿宋_GB2312" w:hAnsi="仿宋_GB2312" w:eastAsia="仿宋_GB2312" w:cs="仿宋_GB2312"/>
          <w:color w:val="auto"/>
          <w:sz w:val="32"/>
          <w:szCs w:val="32"/>
          <w:u w:val="none"/>
          <w:lang w:val="zh-CN"/>
        </w:rPr>
        <w:t>部分</w:t>
      </w:r>
      <w:r>
        <w:rPr>
          <w:rFonts w:hint="eastAsia" w:ascii="仿宋_GB2312" w:hAnsi="仿宋_GB2312" w:eastAsia="仿宋_GB2312" w:cs="仿宋_GB2312"/>
          <w:color w:val="auto"/>
          <w:sz w:val="32"/>
          <w:szCs w:val="32"/>
          <w:u w:val="none"/>
          <w:lang w:val="zh-CN" w:eastAsia="zh-CN"/>
        </w:rPr>
        <w:t>）</w:t>
      </w:r>
      <w:r>
        <w:rPr>
          <w:rFonts w:hint="eastAsia" w:ascii="仿宋_GB2312" w:eastAsia="仿宋_GB2312"/>
          <w:color w:val="auto"/>
          <w:sz w:val="32"/>
          <w:szCs w:val="32"/>
          <w:u w:val="none"/>
          <w:lang w:val="zh-CN" w:eastAsia="zh-CN"/>
        </w:rPr>
        <w:t>详见下表：</w:t>
      </w:r>
    </w:p>
    <w:tbl>
      <w:tblPr>
        <w:tblStyle w:val="7"/>
        <w:tblW w:w="968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1285"/>
        <w:gridCol w:w="1900"/>
        <w:gridCol w:w="1175"/>
        <w:gridCol w:w="1125"/>
        <w:gridCol w:w="1212"/>
        <w:gridCol w:w="132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trPr>
        <w:tc>
          <w:tcPr>
            <w:tcW w:w="347"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序号</w:t>
            </w:r>
          </w:p>
        </w:tc>
        <w:tc>
          <w:tcPr>
            <w:tcW w:w="3185" w:type="dxa"/>
            <w:gridSpan w:val="2"/>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安置区</w:t>
            </w:r>
          </w:p>
        </w:tc>
        <w:tc>
          <w:tcPr>
            <w:tcW w:w="1175" w:type="dxa"/>
            <w:noWrap w:val="0"/>
            <w:vAlign w:val="center"/>
          </w:tcPr>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补差价</w:t>
            </w:r>
          </w:p>
          <w:p>
            <w:pPr>
              <w:spacing w:line="240" w:lineRule="exact"/>
              <w:jc w:val="center"/>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（元/㎡）</w:t>
            </w:r>
          </w:p>
        </w:tc>
        <w:tc>
          <w:tcPr>
            <w:tcW w:w="1125" w:type="dxa"/>
            <w:noWrap w:val="0"/>
            <w:vAlign w:val="center"/>
          </w:tcPr>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照顾</w:t>
            </w:r>
          </w:p>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购买价</w:t>
            </w:r>
          </w:p>
          <w:p>
            <w:pPr>
              <w:spacing w:line="240" w:lineRule="exact"/>
              <w:jc w:val="center"/>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（元/㎡）</w:t>
            </w:r>
          </w:p>
        </w:tc>
        <w:tc>
          <w:tcPr>
            <w:tcW w:w="1212" w:type="dxa"/>
            <w:noWrap w:val="0"/>
            <w:vAlign w:val="center"/>
          </w:tcPr>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误差面积在7㎡以内的补偿价</w:t>
            </w:r>
          </w:p>
          <w:p>
            <w:pPr>
              <w:spacing w:line="240" w:lineRule="exact"/>
              <w:jc w:val="center"/>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（元/㎡）</w:t>
            </w:r>
          </w:p>
        </w:tc>
        <w:tc>
          <w:tcPr>
            <w:tcW w:w="1325" w:type="dxa"/>
            <w:noWrap w:val="0"/>
            <w:vAlign w:val="center"/>
          </w:tcPr>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误差面积超出7㎡部分的补偿价</w:t>
            </w:r>
          </w:p>
          <w:p>
            <w:pPr>
              <w:spacing w:line="240" w:lineRule="exact"/>
              <w:jc w:val="center"/>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（元/㎡）</w:t>
            </w:r>
          </w:p>
        </w:tc>
        <w:tc>
          <w:tcPr>
            <w:tcW w:w="1313" w:type="dxa"/>
            <w:noWrap w:val="0"/>
            <w:vAlign w:val="center"/>
          </w:tcPr>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计划</w:t>
            </w:r>
          </w:p>
          <w:p>
            <w:pPr>
              <w:spacing w:line="24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交房</w:t>
            </w:r>
          </w:p>
          <w:p>
            <w:pPr>
              <w:spacing w:line="240" w:lineRule="exact"/>
              <w:jc w:val="center"/>
              <w:rPr>
                <w:rFonts w:hint="eastAsia" w:ascii="黑体" w:hAnsi="黑体" w:eastAsia="黑体" w:cs="黑体"/>
                <w:b w:val="0"/>
                <w:bCs w:val="0"/>
                <w:color w:val="auto"/>
                <w:kern w:val="0"/>
                <w:sz w:val="20"/>
                <w:szCs w:val="20"/>
                <w:u w:val="none"/>
              </w:rPr>
            </w:pPr>
            <w:r>
              <w:rPr>
                <w:rFonts w:hint="eastAsia" w:ascii="黑体" w:hAnsi="黑体" w:eastAsia="黑体" w:cs="宋体"/>
                <w:bCs/>
                <w:color w:val="000000"/>
                <w:kern w:val="0"/>
                <w:sz w:val="20"/>
                <w:szCs w:val="20"/>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1</w:t>
            </w:r>
          </w:p>
        </w:tc>
        <w:tc>
          <w:tcPr>
            <w:tcW w:w="3185" w:type="dxa"/>
            <w:gridSpan w:val="2"/>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腾马巷安置区</w:t>
            </w:r>
          </w:p>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FF0000"/>
                <w:sz w:val="20"/>
                <w:szCs w:val="20"/>
                <w:u w:val="single"/>
                <w:lang w:val="en-US" w:eastAsia="zh-CN"/>
              </w:rPr>
            </w:pPr>
            <w:r>
              <w:rPr>
                <w:rFonts w:hint="eastAsia" w:ascii="仿宋_GB2312" w:hAnsi="仿宋_GB2312" w:eastAsia="仿宋_GB2312" w:cs="仿宋_GB2312"/>
                <w:color w:val="auto"/>
                <w:sz w:val="20"/>
                <w:szCs w:val="20"/>
                <w:u w:val="none"/>
                <w:lang w:val="en-US" w:eastAsia="zh-CN"/>
              </w:rPr>
              <w:t>（若启动该片区征迁）</w:t>
            </w:r>
          </w:p>
        </w:tc>
        <w:tc>
          <w:tcPr>
            <w:tcW w:w="117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0</w:t>
            </w:r>
          </w:p>
        </w:tc>
        <w:tc>
          <w:tcPr>
            <w:tcW w:w="112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4500</w:t>
            </w:r>
          </w:p>
        </w:tc>
        <w:tc>
          <w:tcPr>
            <w:tcW w:w="1212"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8000</w:t>
            </w:r>
          </w:p>
        </w:tc>
        <w:tc>
          <w:tcPr>
            <w:tcW w:w="132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10000</w:t>
            </w:r>
          </w:p>
        </w:tc>
        <w:tc>
          <w:tcPr>
            <w:tcW w:w="1313"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2021.7.31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eastAsia="zh-CN"/>
              </w:rPr>
            </w:pPr>
            <w:r>
              <w:rPr>
                <w:rFonts w:hint="eastAsia" w:ascii="仿宋_GB2312" w:hAnsi="仿宋_GB2312" w:eastAsia="仿宋_GB2312" w:cs="仿宋_GB2312"/>
                <w:color w:val="auto"/>
                <w:sz w:val="20"/>
                <w:szCs w:val="20"/>
                <w:u w:val="none"/>
                <w:lang w:val="en-US" w:eastAsia="zh-CN"/>
              </w:rPr>
              <w:t>2</w:t>
            </w:r>
          </w:p>
        </w:tc>
        <w:tc>
          <w:tcPr>
            <w:tcW w:w="3185" w:type="dxa"/>
            <w:gridSpan w:val="2"/>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观溪区域安置区</w:t>
            </w:r>
          </w:p>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（政府储备地2013-006号）</w:t>
            </w:r>
          </w:p>
        </w:tc>
        <w:tc>
          <w:tcPr>
            <w:tcW w:w="117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-500</w:t>
            </w:r>
          </w:p>
        </w:tc>
        <w:tc>
          <w:tcPr>
            <w:tcW w:w="112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4000</w:t>
            </w:r>
          </w:p>
        </w:tc>
        <w:tc>
          <w:tcPr>
            <w:tcW w:w="1212"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7500</w:t>
            </w:r>
          </w:p>
        </w:tc>
        <w:tc>
          <w:tcPr>
            <w:tcW w:w="132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9500</w:t>
            </w:r>
          </w:p>
        </w:tc>
        <w:tc>
          <w:tcPr>
            <w:tcW w:w="1313"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lang w:val="en-US" w:eastAsia="zh-CN"/>
              </w:rPr>
              <w:t>2020.9.31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347"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3</w:t>
            </w:r>
          </w:p>
        </w:tc>
        <w:tc>
          <w:tcPr>
            <w:tcW w:w="1285" w:type="dxa"/>
            <w:vMerge w:val="restart"/>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全市指定</w:t>
            </w:r>
          </w:p>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统筹安置区</w:t>
            </w:r>
          </w:p>
        </w:tc>
        <w:tc>
          <w:tcPr>
            <w:tcW w:w="1900"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石井花园安置区</w:t>
            </w:r>
          </w:p>
        </w:tc>
        <w:tc>
          <w:tcPr>
            <w:tcW w:w="117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rPr>
              <w:t>-2000</w:t>
            </w:r>
          </w:p>
        </w:tc>
        <w:tc>
          <w:tcPr>
            <w:tcW w:w="11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3300</w:t>
            </w:r>
          </w:p>
        </w:tc>
        <w:tc>
          <w:tcPr>
            <w:tcW w:w="1212"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4500</w:t>
            </w:r>
          </w:p>
        </w:tc>
        <w:tc>
          <w:tcPr>
            <w:tcW w:w="13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6000</w:t>
            </w:r>
          </w:p>
        </w:tc>
        <w:tc>
          <w:tcPr>
            <w:tcW w:w="1313"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2020.1.31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eastAsia="zh-CN"/>
              </w:rPr>
            </w:pPr>
            <w:r>
              <w:rPr>
                <w:rFonts w:hint="eastAsia" w:ascii="仿宋_GB2312" w:hAnsi="仿宋_GB2312" w:eastAsia="仿宋_GB2312" w:cs="仿宋_GB2312"/>
                <w:color w:val="auto"/>
                <w:sz w:val="20"/>
                <w:szCs w:val="20"/>
                <w:u w:val="none"/>
                <w:lang w:val="en-US" w:eastAsia="zh-CN"/>
              </w:rPr>
              <w:t>4</w:t>
            </w:r>
          </w:p>
        </w:tc>
        <w:tc>
          <w:tcPr>
            <w:tcW w:w="1285" w:type="dxa"/>
            <w:vMerge w:val="continue"/>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p>
        </w:tc>
        <w:tc>
          <w:tcPr>
            <w:tcW w:w="1900"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千面山安置区</w:t>
            </w:r>
          </w:p>
        </w:tc>
        <w:tc>
          <w:tcPr>
            <w:tcW w:w="117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rPr>
              <w:t>-2000</w:t>
            </w:r>
          </w:p>
        </w:tc>
        <w:tc>
          <w:tcPr>
            <w:tcW w:w="11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3300</w:t>
            </w:r>
          </w:p>
        </w:tc>
        <w:tc>
          <w:tcPr>
            <w:tcW w:w="1212"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4500</w:t>
            </w:r>
          </w:p>
        </w:tc>
        <w:tc>
          <w:tcPr>
            <w:tcW w:w="13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6000</w:t>
            </w:r>
          </w:p>
        </w:tc>
        <w:tc>
          <w:tcPr>
            <w:tcW w:w="1313"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eastAsia="zh-CN"/>
              </w:rPr>
            </w:pPr>
            <w:r>
              <w:rPr>
                <w:rFonts w:hint="eastAsia" w:ascii="仿宋_GB2312" w:hAnsi="仿宋_GB2312" w:eastAsia="仿宋_GB2312" w:cs="仿宋_GB2312"/>
                <w:color w:val="auto"/>
                <w:sz w:val="20"/>
                <w:szCs w:val="20"/>
                <w:u w:val="none"/>
                <w:lang w:val="en-US" w:eastAsia="zh-CN"/>
              </w:rPr>
              <w:t>5</w:t>
            </w:r>
          </w:p>
        </w:tc>
        <w:tc>
          <w:tcPr>
            <w:tcW w:w="1285" w:type="dxa"/>
            <w:vMerge w:val="continue"/>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p>
        </w:tc>
        <w:tc>
          <w:tcPr>
            <w:tcW w:w="1900"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东环路安置区</w:t>
            </w:r>
          </w:p>
        </w:tc>
        <w:tc>
          <w:tcPr>
            <w:tcW w:w="117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rPr>
            </w:pPr>
            <w:r>
              <w:rPr>
                <w:rFonts w:hint="eastAsia" w:ascii="仿宋_GB2312" w:hAnsi="仿宋_GB2312" w:eastAsia="仿宋_GB2312" w:cs="仿宋_GB2312"/>
                <w:color w:val="auto"/>
                <w:kern w:val="0"/>
                <w:sz w:val="20"/>
                <w:szCs w:val="20"/>
                <w:u w:val="none"/>
              </w:rPr>
              <w:t>-2000</w:t>
            </w:r>
          </w:p>
        </w:tc>
        <w:tc>
          <w:tcPr>
            <w:tcW w:w="11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3300</w:t>
            </w:r>
          </w:p>
        </w:tc>
        <w:tc>
          <w:tcPr>
            <w:tcW w:w="1212"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4500</w:t>
            </w:r>
          </w:p>
        </w:tc>
        <w:tc>
          <w:tcPr>
            <w:tcW w:w="13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6000</w:t>
            </w:r>
          </w:p>
        </w:tc>
        <w:tc>
          <w:tcPr>
            <w:tcW w:w="1313"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6</w:t>
            </w:r>
          </w:p>
        </w:tc>
        <w:tc>
          <w:tcPr>
            <w:tcW w:w="1285" w:type="dxa"/>
            <w:vMerge w:val="continue"/>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p>
        </w:tc>
        <w:tc>
          <w:tcPr>
            <w:tcW w:w="1900"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lang w:val="en-US" w:eastAsia="zh-CN"/>
              </w:rPr>
            </w:pPr>
            <w:r>
              <w:rPr>
                <w:rFonts w:hint="eastAsia" w:ascii="仿宋_GB2312" w:hAnsi="仿宋_GB2312" w:eastAsia="仿宋_GB2312" w:cs="仿宋_GB2312"/>
                <w:color w:val="auto"/>
                <w:sz w:val="20"/>
                <w:szCs w:val="20"/>
                <w:u w:val="none"/>
                <w:lang w:val="en-US" w:eastAsia="zh-CN"/>
              </w:rPr>
              <w:t>观音埔家园安置区</w:t>
            </w:r>
          </w:p>
        </w:tc>
        <w:tc>
          <w:tcPr>
            <w:tcW w:w="1175" w:type="dxa"/>
            <w:noWrap w:val="0"/>
            <w:vAlign w:val="center"/>
          </w:tcPr>
          <w:p>
            <w:pPr>
              <w:pageBreakBefore w:val="0"/>
              <w:widowControl/>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kern w:val="0"/>
                <w:sz w:val="20"/>
                <w:szCs w:val="20"/>
                <w:u w:val="none"/>
                <w:lang w:val="en-US" w:eastAsia="zh-CN"/>
              </w:rPr>
            </w:pPr>
            <w:r>
              <w:rPr>
                <w:rFonts w:hint="eastAsia" w:ascii="仿宋_GB2312" w:hAnsi="仿宋_GB2312" w:eastAsia="仿宋_GB2312" w:cs="仿宋_GB2312"/>
                <w:color w:val="auto"/>
                <w:kern w:val="0"/>
                <w:sz w:val="20"/>
                <w:szCs w:val="20"/>
                <w:u w:val="none"/>
              </w:rPr>
              <w:t>-</w:t>
            </w:r>
            <w:r>
              <w:rPr>
                <w:rFonts w:hint="eastAsia" w:ascii="仿宋_GB2312" w:hAnsi="仿宋_GB2312" w:eastAsia="仿宋_GB2312" w:cs="仿宋_GB2312"/>
                <w:color w:val="auto"/>
                <w:kern w:val="0"/>
                <w:sz w:val="20"/>
                <w:szCs w:val="20"/>
                <w:u w:val="none"/>
                <w:lang w:val="en-US" w:eastAsia="zh-CN"/>
              </w:rPr>
              <w:t>500</w:t>
            </w:r>
          </w:p>
        </w:tc>
        <w:tc>
          <w:tcPr>
            <w:tcW w:w="11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3300</w:t>
            </w:r>
          </w:p>
        </w:tc>
        <w:tc>
          <w:tcPr>
            <w:tcW w:w="1212"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4500</w:t>
            </w:r>
          </w:p>
        </w:tc>
        <w:tc>
          <w:tcPr>
            <w:tcW w:w="1325"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6000</w:t>
            </w:r>
          </w:p>
        </w:tc>
        <w:tc>
          <w:tcPr>
            <w:tcW w:w="1313" w:type="dxa"/>
            <w:noWrap w:val="0"/>
            <w:vAlign w:val="center"/>
          </w:tcPr>
          <w:p>
            <w:pPr>
              <w:pageBreakBefore w:val="0"/>
              <w:kinsoku/>
              <w:wordWrap/>
              <w:overflowPunct/>
              <w:topLinePunct w:val="0"/>
              <w:autoSpaceDE/>
              <w:autoSpaceDN/>
              <w:bidi w:val="0"/>
              <w:adjustRightInd/>
              <w:snapToGrid/>
              <w:spacing w:after="0" w:line="500" w:lineRule="exact"/>
              <w:jc w:val="center"/>
              <w:textAlignment w:val="auto"/>
              <w:rPr>
                <w:rFonts w:hint="eastAsia" w:ascii="仿宋_GB2312" w:hAnsi="仿宋_GB2312" w:eastAsia="仿宋_GB2312" w:cs="仿宋_GB2312"/>
                <w:color w:val="auto"/>
                <w:sz w:val="20"/>
                <w:szCs w:val="20"/>
                <w:u w:val="none"/>
              </w:rPr>
            </w:pPr>
            <w:r>
              <w:rPr>
                <w:rFonts w:hint="eastAsia" w:ascii="仿宋_GB2312" w:hAnsi="仿宋_GB2312" w:eastAsia="仿宋_GB2312" w:cs="仿宋_GB2312"/>
                <w:color w:val="auto"/>
                <w:sz w:val="20"/>
                <w:szCs w:val="20"/>
                <w:u w:val="none"/>
              </w:rPr>
              <w:t>现房</w:t>
            </w:r>
          </w:p>
        </w:tc>
      </w:tr>
    </w:tbl>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选择安置区的具体规定如下：</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FF0000"/>
          <w:sz w:val="32"/>
          <w:szCs w:val="32"/>
          <w:u w:val="single"/>
          <w:lang w:val="zh-CN"/>
        </w:rPr>
      </w:pPr>
      <w:r>
        <w:rPr>
          <w:rFonts w:hint="eastAsia" w:ascii="仿宋_GB2312" w:eastAsia="仿宋_GB2312"/>
          <w:color w:val="auto"/>
          <w:sz w:val="32"/>
          <w:szCs w:val="32"/>
          <w:u w:val="none"/>
          <w:lang w:val="zh-CN"/>
        </w:rPr>
        <w:t>拆迁区范围的被征收人的第一套和第二套安置房可在观溪区域安置区（政府储备地2013-006号）或全市指定统筹安置区中选择；第三套及以上安置房只能在全市指定统筹安置区选择。被征收人若在协商期第1-30天内完成协议签订并封房交拆，作为奖励，被征收人可在腾马巷安置区（若启动该片区征迁）中选择一套安置房（仅限第一及第二套安置房，该奖励以</w:t>
      </w:r>
      <w:r>
        <w:rPr>
          <w:rFonts w:hint="eastAsia" w:ascii="仿宋_GB2312" w:eastAsia="仿宋_GB2312"/>
          <w:color w:val="auto"/>
          <w:sz w:val="32"/>
          <w:szCs w:val="32"/>
          <w:u w:val="none"/>
          <w:lang w:val="zh-CN" w:eastAsia="zh-CN"/>
        </w:rPr>
        <w:t>套</w:t>
      </w:r>
      <w:r>
        <w:rPr>
          <w:rFonts w:hint="eastAsia" w:ascii="仿宋_GB2312" w:eastAsia="仿宋_GB2312"/>
          <w:color w:val="auto"/>
          <w:sz w:val="32"/>
          <w:szCs w:val="32"/>
          <w:u w:val="none"/>
          <w:lang w:val="zh-CN"/>
        </w:rPr>
        <w:t>为基本单位，每套仅享受奖励一套）。</w:t>
      </w:r>
    </w:p>
    <w:p>
      <w:pPr>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w:t>
      </w:r>
      <w:r>
        <w:rPr>
          <w:rFonts w:hint="eastAsia" w:ascii="仿宋_GB2312" w:eastAsia="仿宋_GB2312"/>
          <w:color w:val="auto"/>
          <w:kern w:val="0"/>
          <w:sz w:val="32"/>
          <w:szCs w:val="32"/>
          <w:u w:val="none"/>
          <w:lang w:val="zh-CN"/>
        </w:rPr>
        <w:t>选房时因安置房户型和建筑结构等原因，导致产权调换面积与实际安置面积无法完全相符时的选房规定。原则上选择的安置房面积应按最接近产权调换面积上靠或下调，选择上靠的应严格按以下规定执行。全部选择产权调换的，被征收人选择安置房的面积上限为认定补偿安置面积的1.</w:t>
      </w:r>
      <w:r>
        <w:rPr>
          <w:rFonts w:hint="eastAsia" w:ascii="仿宋_GB2312" w:eastAsia="仿宋_GB2312"/>
          <w:color w:val="auto"/>
          <w:kern w:val="0"/>
          <w:sz w:val="32"/>
          <w:szCs w:val="32"/>
          <w:u w:val="none"/>
          <w:lang w:val="en-US" w:eastAsia="zh-CN"/>
        </w:rPr>
        <w:t>2</w:t>
      </w:r>
      <w:r>
        <w:rPr>
          <w:rFonts w:hint="eastAsia" w:ascii="仿宋_GB2312" w:eastAsia="仿宋_GB2312"/>
          <w:color w:val="auto"/>
          <w:kern w:val="0"/>
          <w:sz w:val="32"/>
          <w:szCs w:val="32"/>
          <w:u w:val="none"/>
          <w:lang w:val="zh-CN"/>
        </w:rPr>
        <w:t>5倍。</w:t>
      </w:r>
    </w:p>
    <w:p>
      <w:pPr>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被征收房屋认定补偿安置面积小于30㎡</w:t>
      </w:r>
      <w:r>
        <w:rPr>
          <w:rFonts w:hint="eastAsia" w:ascii="仿宋_GB2312" w:hAnsi="仿宋_GB2312" w:eastAsia="仿宋_GB2312" w:cs="仿宋_GB2312"/>
          <w:color w:val="auto"/>
          <w:sz w:val="32"/>
          <w:szCs w:val="32"/>
          <w:u w:val="none"/>
          <w:lang w:val="zh-CN"/>
        </w:rPr>
        <w:t>（含</w:t>
      </w:r>
      <w:r>
        <w:rPr>
          <w:rFonts w:hint="eastAsia" w:ascii="仿宋_GB2312" w:eastAsia="仿宋_GB2312"/>
          <w:color w:val="auto"/>
          <w:sz w:val="32"/>
          <w:szCs w:val="32"/>
          <w:u w:val="none"/>
          <w:lang w:val="zh-CN"/>
        </w:rPr>
        <w:t>30㎡</w:t>
      </w:r>
      <w:r>
        <w:rPr>
          <w:rFonts w:hint="eastAsia" w:ascii="仿宋_GB2312" w:hAnsi="仿宋_GB2312" w:eastAsia="仿宋_GB2312" w:cs="仿宋_GB2312"/>
          <w:color w:val="auto"/>
          <w:sz w:val="32"/>
          <w:szCs w:val="32"/>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803" w:firstLineChars="250"/>
        <w:jc w:val="both"/>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二</w:t>
      </w:r>
      <w:r>
        <w:rPr>
          <w:rFonts w:hint="eastAsia" w:ascii="黑体" w:hAnsi="黑体" w:eastAsia="黑体" w:cs="黑体"/>
          <w:b/>
          <w:color w:val="auto"/>
          <w:sz w:val="32"/>
          <w:szCs w:val="32"/>
          <w:u w:val="none"/>
          <w:lang w:val="zh-CN"/>
        </w:rPr>
        <w:t>、搬迁过渡</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（一）搬迁补助</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根据经认定补偿安置面积，</w:t>
      </w:r>
      <w:r>
        <w:rPr>
          <w:rFonts w:hint="eastAsia" w:ascii="仿宋_GB2312" w:eastAsia="仿宋_GB2312"/>
          <w:color w:val="auto"/>
          <w:sz w:val="32"/>
          <w:szCs w:val="32"/>
          <w:u w:val="none"/>
          <w:lang w:val="zh-CN"/>
        </w:rPr>
        <w:t>按</w:t>
      </w:r>
      <w:r>
        <w:rPr>
          <w:rFonts w:hint="eastAsia" w:ascii="仿宋_GB2312" w:eastAsia="仿宋_GB2312"/>
          <w:color w:val="auto"/>
          <w:sz w:val="32"/>
          <w:szCs w:val="32"/>
          <w:u w:val="none"/>
          <w:lang w:val="zh-CN" w:eastAsia="zh-CN"/>
        </w:rPr>
        <w:t>15</w:t>
      </w:r>
      <w:r>
        <w:rPr>
          <w:rFonts w:hint="eastAsia" w:ascii="仿宋_GB2312" w:eastAsia="仿宋_GB2312"/>
          <w:color w:val="auto"/>
          <w:sz w:val="32"/>
          <w:szCs w:val="32"/>
          <w:u w:val="none"/>
          <w:lang w:val="zh-CN"/>
        </w:rPr>
        <w:t>元/㎡补助标准计算</w:t>
      </w:r>
      <w:r>
        <w:rPr>
          <w:rFonts w:hint="eastAsia" w:ascii="仿宋_GB2312" w:eastAsia="仿宋_GB2312"/>
          <w:color w:val="auto"/>
          <w:sz w:val="32"/>
          <w:szCs w:val="32"/>
          <w:u w:val="none"/>
          <w:lang w:val="zh-CN" w:eastAsia="zh-CN"/>
        </w:rPr>
        <w:t>搬迁费</w:t>
      </w:r>
      <w:r>
        <w:rPr>
          <w:rFonts w:hint="eastAsia" w:ascii="仿宋_GB2312" w:eastAsia="仿宋_GB2312"/>
          <w:color w:val="auto"/>
          <w:sz w:val="32"/>
          <w:szCs w:val="32"/>
          <w:u w:val="none"/>
          <w:lang w:val="zh-CN"/>
        </w:rPr>
        <w:t>一次；如选择产权调换的，再按产权调换面积（不含照顾购买面积）计算一次</w:t>
      </w:r>
      <w:r>
        <w:rPr>
          <w:rFonts w:hint="eastAsia" w:ascii="仿宋_GB2312" w:eastAsia="仿宋_GB2312"/>
          <w:color w:val="auto"/>
          <w:sz w:val="32"/>
          <w:szCs w:val="32"/>
          <w:u w:val="none"/>
          <w:lang w:val="zh-CN" w:eastAsia="zh-CN"/>
        </w:rPr>
        <w:t>，不足1000元的按1000元计算。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（二）临时过渡</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过渡期限：自被征收人签订协议并</w:t>
      </w:r>
      <w:r>
        <w:rPr>
          <w:rFonts w:hint="eastAsia" w:ascii="仿宋_GB2312" w:eastAsia="仿宋_GB2312"/>
          <w:color w:val="auto"/>
          <w:sz w:val="32"/>
          <w:szCs w:val="32"/>
          <w:u w:val="none"/>
          <w:lang w:val="zh-CN" w:eastAsia="zh-CN"/>
        </w:rPr>
        <w:t>封房交拆</w:t>
      </w:r>
      <w:r>
        <w:rPr>
          <w:rFonts w:hint="eastAsia" w:ascii="仿宋_GB2312" w:eastAsia="仿宋_GB2312"/>
          <w:color w:val="auto"/>
          <w:sz w:val="32"/>
          <w:szCs w:val="32"/>
          <w:u w:val="none"/>
          <w:lang w:val="zh-CN"/>
        </w:rPr>
        <w:t>之日</w:t>
      </w:r>
      <w:r>
        <w:rPr>
          <w:rFonts w:hint="eastAsia" w:ascii="仿宋_GB2312" w:eastAsia="仿宋_GB2312"/>
          <w:color w:val="auto"/>
          <w:sz w:val="32"/>
          <w:szCs w:val="32"/>
          <w:u w:val="none"/>
          <w:lang w:val="zh-CN" w:eastAsia="zh-CN"/>
        </w:rPr>
        <w:t>算</w:t>
      </w:r>
      <w:r>
        <w:rPr>
          <w:rFonts w:hint="eastAsia" w:ascii="仿宋_GB2312" w:eastAsia="仿宋_GB2312"/>
          <w:color w:val="auto"/>
          <w:sz w:val="32"/>
          <w:szCs w:val="32"/>
          <w:u w:val="none"/>
          <w:lang w:val="zh-CN"/>
        </w:rPr>
        <w:t>起</w:t>
      </w:r>
      <w:r>
        <w:rPr>
          <w:rFonts w:hint="eastAsia" w:ascii="仿宋_GB2312" w:eastAsia="仿宋_GB2312"/>
          <w:color w:val="auto"/>
          <w:sz w:val="32"/>
          <w:szCs w:val="32"/>
          <w:u w:val="none"/>
          <w:lang w:val="zh-CN" w:eastAsia="zh-CN"/>
        </w:rPr>
        <w:t>，选择不同安置区的具体过渡期限按各安置区计划交房时间计算。</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过渡方式：鼓励被征收人自行过渡</w:t>
      </w:r>
      <w:r>
        <w:rPr>
          <w:rFonts w:hint="eastAsia" w:ascii="仿宋_GB2312" w:eastAsia="仿宋_GB2312"/>
          <w:color w:val="auto"/>
          <w:sz w:val="32"/>
          <w:szCs w:val="32"/>
          <w:u w:val="none"/>
          <w:lang w:val="zh-CN" w:eastAsia="zh-CN"/>
        </w:rPr>
        <w:t>并予奖励</w:t>
      </w:r>
      <w:r>
        <w:rPr>
          <w:rFonts w:hint="eastAsia" w:ascii="仿宋_GB2312" w:eastAsia="仿宋_GB2312"/>
          <w:color w:val="auto"/>
          <w:sz w:val="32"/>
          <w:szCs w:val="32"/>
          <w:u w:val="none"/>
          <w:lang w:val="zh-CN"/>
        </w:rPr>
        <w:t>；自行过渡确有困难的，可申请安排临时周转房过渡，有使用临时周转房的</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不予发放临时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补助标准：根据产权调换面积（不含照顾购买面积）按</w:t>
      </w:r>
      <w:r>
        <w:rPr>
          <w:rFonts w:hint="eastAsia" w:ascii="仿宋_GB2312" w:eastAsia="仿宋_GB2312"/>
          <w:color w:val="auto"/>
          <w:sz w:val="32"/>
          <w:szCs w:val="32"/>
          <w:u w:val="none"/>
          <w:lang w:val="zh-CN" w:eastAsia="zh-CN"/>
        </w:rPr>
        <w:t>10</w:t>
      </w:r>
      <w:r>
        <w:rPr>
          <w:rFonts w:hint="eastAsia" w:ascii="仿宋_GB2312" w:eastAsia="仿宋_GB2312"/>
          <w:color w:val="auto"/>
          <w:sz w:val="32"/>
          <w:szCs w:val="32"/>
          <w:u w:val="none"/>
          <w:lang w:val="zh-CN"/>
        </w:rPr>
        <w:t>元/㎡·月标准计算。</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w:t>
      </w:r>
      <w:r>
        <w:rPr>
          <w:rFonts w:hint="eastAsia" w:ascii="仿宋_GB2312" w:eastAsia="仿宋_GB2312"/>
          <w:color w:val="auto"/>
          <w:sz w:val="32"/>
          <w:szCs w:val="32"/>
          <w:u w:val="none"/>
          <w:lang w:val="zh-CN" w:eastAsia="zh-CN"/>
        </w:rPr>
        <w:t>、选择货币补偿的及现房产权调换的，给予发放6</w:t>
      </w:r>
      <w:r>
        <w:rPr>
          <w:rFonts w:hint="eastAsia" w:ascii="仿宋_GB2312" w:eastAsia="仿宋_GB2312"/>
          <w:color w:val="auto"/>
          <w:sz w:val="32"/>
          <w:szCs w:val="32"/>
          <w:u w:val="none"/>
          <w:lang w:val="zh-CN"/>
        </w:rPr>
        <w:t>个月临时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5</w:t>
      </w:r>
      <w:r>
        <w:rPr>
          <w:rFonts w:hint="eastAsia" w:ascii="仿宋_GB2312" w:eastAsia="仿宋_GB2312"/>
          <w:color w:val="auto"/>
          <w:sz w:val="32"/>
          <w:szCs w:val="32"/>
          <w:u w:val="none"/>
          <w:lang w:val="zh-CN" w:eastAsia="zh-CN"/>
        </w:rPr>
        <w:t>、属</w:t>
      </w:r>
      <w:r>
        <w:rPr>
          <w:rFonts w:hint="eastAsia" w:ascii="仿宋_GB2312" w:eastAsia="仿宋_GB2312"/>
          <w:color w:val="auto"/>
          <w:sz w:val="32"/>
          <w:szCs w:val="32"/>
          <w:u w:val="none"/>
          <w:lang w:val="zh-CN"/>
        </w:rPr>
        <w:t>非被征收人责任</w:t>
      </w:r>
      <w:r>
        <w:rPr>
          <w:rFonts w:hint="eastAsia" w:ascii="仿宋_GB2312" w:eastAsia="仿宋_GB2312"/>
          <w:color w:val="auto"/>
          <w:sz w:val="32"/>
          <w:szCs w:val="32"/>
          <w:u w:val="none"/>
          <w:lang w:val="zh-CN" w:eastAsia="zh-CN"/>
        </w:rPr>
        <w:t>造成</w:t>
      </w:r>
      <w:r>
        <w:rPr>
          <w:rFonts w:hint="eastAsia" w:ascii="仿宋_GB2312" w:eastAsia="仿宋_GB2312"/>
          <w:color w:val="auto"/>
          <w:sz w:val="32"/>
          <w:szCs w:val="32"/>
          <w:u w:val="none"/>
          <w:lang w:val="zh-CN"/>
        </w:rPr>
        <w:t>超出</w:t>
      </w:r>
      <w:r>
        <w:rPr>
          <w:rFonts w:hint="eastAsia" w:ascii="仿宋_GB2312" w:eastAsia="仿宋_GB2312"/>
          <w:color w:val="auto"/>
          <w:sz w:val="32"/>
          <w:szCs w:val="32"/>
          <w:u w:val="none"/>
          <w:lang w:val="zh-CN" w:eastAsia="zh-CN"/>
        </w:rPr>
        <w:t>过渡期限的</w:t>
      </w:r>
      <w:r>
        <w:rPr>
          <w:rFonts w:hint="eastAsia" w:ascii="仿宋_GB2312" w:eastAsia="仿宋_GB2312"/>
          <w:color w:val="auto"/>
          <w:sz w:val="32"/>
          <w:szCs w:val="32"/>
          <w:u w:val="none"/>
          <w:lang w:val="zh-CN"/>
        </w:rPr>
        <w:t>，对自行过渡的被征收人，从逾期之日起，按</w:t>
      </w:r>
      <w:r>
        <w:rPr>
          <w:rFonts w:hint="eastAsia" w:ascii="仿宋_GB2312" w:eastAsia="仿宋_GB2312"/>
          <w:color w:val="auto"/>
          <w:sz w:val="32"/>
          <w:szCs w:val="32"/>
          <w:u w:val="none"/>
          <w:lang w:val="zh-CN" w:eastAsia="zh-CN"/>
        </w:rPr>
        <w:t>双倍给予</w:t>
      </w:r>
      <w:r>
        <w:rPr>
          <w:rFonts w:hint="eastAsia" w:ascii="仿宋_GB2312" w:eastAsia="仿宋_GB2312"/>
          <w:color w:val="auto"/>
          <w:sz w:val="32"/>
          <w:szCs w:val="32"/>
          <w:u w:val="none"/>
          <w:lang w:val="zh-CN"/>
        </w:rPr>
        <w:t>发放住宅临时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费；对使用过渡周转房的，从逾期之日起，按</w:t>
      </w:r>
      <w:r>
        <w:rPr>
          <w:rFonts w:hint="eastAsia" w:ascii="仿宋_GB2312" w:eastAsia="仿宋_GB2312"/>
          <w:color w:val="auto"/>
          <w:sz w:val="32"/>
          <w:szCs w:val="32"/>
          <w:u w:val="none"/>
          <w:lang w:val="zh-CN" w:eastAsia="zh-CN"/>
        </w:rPr>
        <w:t>正常标准给予</w:t>
      </w:r>
      <w:r>
        <w:rPr>
          <w:rFonts w:hint="eastAsia" w:ascii="仿宋_GB2312" w:eastAsia="仿宋_GB2312"/>
          <w:color w:val="auto"/>
          <w:sz w:val="32"/>
          <w:szCs w:val="32"/>
          <w:u w:val="none"/>
          <w:lang w:val="zh-CN"/>
        </w:rPr>
        <w:t>发放住宅临时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803" w:firstLineChars="250"/>
        <w:jc w:val="both"/>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十三、签约协商期限</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rPr>
        <w:t>本项目红线范围内</w:t>
      </w:r>
      <w:r>
        <w:rPr>
          <w:rFonts w:hint="eastAsia" w:ascii="仿宋_GB2312" w:eastAsia="仿宋_GB2312"/>
          <w:color w:val="auto"/>
          <w:sz w:val="32"/>
          <w:szCs w:val="32"/>
          <w:u w:val="none"/>
          <w:lang w:eastAsia="zh-CN"/>
        </w:rPr>
        <w:t>公寓楼、集资楼</w:t>
      </w:r>
      <w:r>
        <w:rPr>
          <w:rFonts w:hint="eastAsia" w:ascii="仿宋_GB2312" w:eastAsia="仿宋_GB2312"/>
          <w:color w:val="auto"/>
          <w:sz w:val="32"/>
          <w:szCs w:val="32"/>
          <w:u w:val="none"/>
          <w:lang w:val="en-US" w:eastAsia="zh-CN"/>
        </w:rPr>
        <w:t>征收签约</w:t>
      </w:r>
      <w:r>
        <w:rPr>
          <w:rFonts w:hint="eastAsia" w:ascii="仿宋_GB2312" w:eastAsia="仿宋_GB2312"/>
          <w:color w:val="auto"/>
          <w:sz w:val="32"/>
          <w:szCs w:val="32"/>
          <w:u w:val="none"/>
          <w:lang w:val="zh-CN" w:eastAsia="zh-CN"/>
        </w:rPr>
        <w:t>期限：</w:t>
      </w:r>
      <w:r>
        <w:rPr>
          <w:rFonts w:hint="eastAsia" w:ascii="仿宋_GB2312" w:eastAsia="仿宋_GB2312"/>
          <w:color w:val="auto"/>
          <w:sz w:val="32"/>
          <w:szCs w:val="32"/>
          <w:u w:val="none"/>
          <w:lang w:val="en-US" w:eastAsia="zh-CN"/>
        </w:rPr>
        <w:t>2019年1月23日至2019年3月24日。</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四</w:t>
      </w:r>
      <w:r>
        <w:rPr>
          <w:rFonts w:hint="eastAsia" w:ascii="黑体" w:hAnsi="黑体" w:eastAsia="黑体" w:cs="黑体"/>
          <w:b/>
          <w:color w:val="auto"/>
          <w:sz w:val="32"/>
          <w:szCs w:val="32"/>
          <w:u w:val="none"/>
          <w:lang w:val="zh-CN"/>
        </w:rPr>
        <w:t>、奖励措施</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（一）被征收人在规定</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期限内签订协议并</w:t>
      </w:r>
      <w:r>
        <w:rPr>
          <w:rFonts w:hint="eastAsia" w:ascii="仿宋_GB2312" w:eastAsia="仿宋_GB2312"/>
          <w:color w:val="auto"/>
          <w:sz w:val="32"/>
          <w:szCs w:val="32"/>
          <w:u w:val="none"/>
          <w:lang w:val="zh-CN" w:eastAsia="zh-CN"/>
        </w:rPr>
        <w:t>封</w:t>
      </w:r>
      <w:r>
        <w:rPr>
          <w:rFonts w:hint="eastAsia" w:ascii="仿宋_GB2312" w:eastAsia="仿宋_GB2312"/>
          <w:color w:val="auto"/>
          <w:sz w:val="32"/>
          <w:szCs w:val="32"/>
          <w:u w:val="none"/>
          <w:lang w:val="zh-CN"/>
        </w:rPr>
        <w:t>房</w:t>
      </w:r>
      <w:r>
        <w:rPr>
          <w:rFonts w:hint="eastAsia" w:ascii="仿宋_GB2312" w:eastAsia="仿宋_GB2312"/>
          <w:color w:val="auto"/>
          <w:sz w:val="32"/>
          <w:szCs w:val="32"/>
          <w:u w:val="none"/>
          <w:lang w:val="zh-CN" w:eastAsia="zh-CN"/>
        </w:rPr>
        <w:t>交拆</w:t>
      </w:r>
      <w:r>
        <w:rPr>
          <w:rFonts w:hint="eastAsia" w:ascii="仿宋_GB2312" w:eastAsia="仿宋_GB2312"/>
          <w:color w:val="auto"/>
          <w:sz w:val="32"/>
          <w:szCs w:val="32"/>
          <w:u w:val="none"/>
          <w:lang w:val="zh-CN"/>
        </w:rPr>
        <w:t>的，可享受下列奖励：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1、</w:t>
      </w:r>
      <w:r>
        <w:rPr>
          <w:rFonts w:hint="eastAsia" w:ascii="楷体_GB2312" w:hAnsi="楷体_GB2312" w:eastAsia="楷体_GB2312" w:cs="楷体_GB2312"/>
          <w:color w:val="auto"/>
          <w:sz w:val="32"/>
          <w:szCs w:val="32"/>
          <w:u w:val="none"/>
          <w:lang w:val="zh-CN"/>
        </w:rPr>
        <w:t>按</w:t>
      </w:r>
      <w:r>
        <w:rPr>
          <w:rFonts w:hint="eastAsia" w:ascii="楷体_GB2312" w:hAnsi="楷体_GB2312" w:eastAsia="楷体_GB2312" w:cs="楷体_GB2312"/>
          <w:color w:val="auto"/>
          <w:sz w:val="32"/>
          <w:szCs w:val="32"/>
          <w:u w:val="none"/>
          <w:lang w:val="zh-CN" w:eastAsia="zh-CN"/>
        </w:rPr>
        <w:t>时</w:t>
      </w:r>
      <w:r>
        <w:rPr>
          <w:rFonts w:hint="eastAsia" w:ascii="楷体_GB2312" w:hAnsi="楷体_GB2312" w:eastAsia="楷体_GB2312" w:cs="楷体_GB2312"/>
          <w:color w:val="auto"/>
          <w:sz w:val="32"/>
          <w:szCs w:val="32"/>
          <w:u w:val="none"/>
          <w:lang w:val="zh-CN"/>
        </w:rPr>
        <w:t>签约奖励</w:t>
      </w:r>
      <w:r>
        <w:rPr>
          <w:rFonts w:hint="eastAsia" w:ascii="楷体_GB2312" w:hAnsi="楷体_GB2312" w:eastAsia="楷体_GB2312" w:cs="楷体_GB2312"/>
          <w:color w:val="auto"/>
          <w:sz w:val="32"/>
          <w:szCs w:val="32"/>
          <w:u w:val="none"/>
          <w:lang w:val="zh-CN" w:eastAsia="zh-CN"/>
        </w:rPr>
        <w:t>：</w:t>
      </w:r>
      <w:r>
        <w:rPr>
          <w:rFonts w:hint="eastAsia" w:ascii="仿宋_GB2312" w:eastAsia="仿宋_GB2312"/>
          <w:color w:val="auto"/>
          <w:sz w:val="32"/>
          <w:szCs w:val="32"/>
          <w:u w:val="none"/>
          <w:lang w:val="zh-CN"/>
        </w:rPr>
        <w:t>按</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安置面积计算（不含照顾购买面积），给予100元/㎡奖励。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2、</w:t>
      </w:r>
      <w:r>
        <w:rPr>
          <w:rFonts w:hint="eastAsia" w:ascii="楷体_GB2312" w:hAnsi="楷体_GB2312" w:eastAsia="楷体_GB2312" w:cs="楷体_GB2312"/>
          <w:color w:val="auto"/>
          <w:sz w:val="32"/>
          <w:szCs w:val="32"/>
          <w:u w:val="none"/>
          <w:lang w:val="zh-CN"/>
        </w:rPr>
        <w:t>按时封房搬迁奖励：</w:t>
      </w:r>
      <w:r>
        <w:rPr>
          <w:rFonts w:hint="eastAsia" w:ascii="仿宋_GB2312" w:eastAsia="仿宋_GB2312"/>
          <w:color w:val="auto"/>
          <w:sz w:val="32"/>
          <w:szCs w:val="32"/>
          <w:u w:val="none"/>
          <w:lang w:val="zh-CN"/>
        </w:rPr>
        <w:t>按认定补偿安置面积计算（不含照顾购买面积），给予600元/㎡奖励。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二</w:t>
      </w:r>
      <w:r>
        <w:rPr>
          <w:rFonts w:hint="eastAsia" w:ascii="仿宋_GB2312" w:eastAsia="仿宋_GB2312"/>
          <w:color w:val="auto"/>
          <w:sz w:val="32"/>
          <w:szCs w:val="32"/>
          <w:u w:val="none"/>
          <w:lang w:val="zh-CN"/>
        </w:rPr>
        <w:t>）被征收人另可享受下列奖励：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1、</w:t>
      </w:r>
      <w:r>
        <w:rPr>
          <w:rFonts w:hint="eastAsia" w:ascii="楷体_GB2312" w:hAnsi="楷体_GB2312" w:eastAsia="楷体_GB2312" w:cs="楷体_GB2312"/>
          <w:color w:val="auto"/>
          <w:sz w:val="32"/>
          <w:szCs w:val="32"/>
          <w:u w:val="none"/>
          <w:lang w:val="zh-CN"/>
        </w:rPr>
        <w:t>自行过渡奖励</w:t>
      </w:r>
      <w:r>
        <w:rPr>
          <w:rFonts w:hint="eastAsia" w:ascii="楷体_GB2312" w:hAnsi="楷体_GB2312" w:eastAsia="楷体_GB2312" w:cs="楷体_GB2312"/>
          <w:color w:val="auto"/>
          <w:sz w:val="32"/>
          <w:szCs w:val="32"/>
          <w:u w:val="none"/>
          <w:lang w:val="zh-CN" w:eastAsia="zh-CN"/>
        </w:rPr>
        <w:t>：</w:t>
      </w:r>
      <w:r>
        <w:rPr>
          <w:rFonts w:hint="eastAsia" w:ascii="仿宋_GB2312" w:hAnsi="仿宋_GB2312" w:eastAsia="仿宋_GB2312" w:cs="仿宋_GB2312"/>
          <w:color w:val="auto"/>
          <w:sz w:val="32"/>
          <w:szCs w:val="32"/>
          <w:u w:val="none"/>
          <w:lang w:val="zh-CN"/>
        </w:rPr>
        <w:t>被</w:t>
      </w:r>
      <w:r>
        <w:rPr>
          <w:rFonts w:hint="eastAsia" w:ascii="仿宋_GB2312" w:eastAsia="仿宋_GB2312"/>
          <w:color w:val="auto"/>
          <w:sz w:val="32"/>
          <w:szCs w:val="32"/>
          <w:u w:val="none"/>
          <w:lang w:val="zh-CN"/>
        </w:rPr>
        <w:t>征收人自行过渡的，按</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安置面积计算（不含所有照顾购买面积），给予</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00元/㎡奖励。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2、</w:t>
      </w:r>
      <w:r>
        <w:rPr>
          <w:rFonts w:hint="eastAsia" w:ascii="楷体_GB2312" w:hAnsi="楷体_GB2312" w:eastAsia="楷体_GB2312" w:cs="楷体_GB2312"/>
          <w:color w:val="auto"/>
          <w:sz w:val="32"/>
          <w:szCs w:val="32"/>
          <w:u w:val="none"/>
          <w:lang w:val="zh-CN"/>
        </w:rPr>
        <w:t>放弃</w:t>
      </w:r>
      <w:r>
        <w:rPr>
          <w:rFonts w:hint="eastAsia" w:ascii="楷体_GB2312" w:hAnsi="楷体_GB2312" w:eastAsia="楷体_GB2312" w:cs="楷体_GB2312"/>
          <w:color w:val="auto"/>
          <w:sz w:val="32"/>
          <w:szCs w:val="32"/>
          <w:u w:val="none"/>
          <w:lang w:val="zh-CN" w:eastAsia="zh-CN"/>
        </w:rPr>
        <w:t>产权调换</w:t>
      </w:r>
      <w:r>
        <w:rPr>
          <w:rFonts w:hint="eastAsia" w:ascii="楷体_GB2312" w:hAnsi="楷体_GB2312" w:eastAsia="楷体_GB2312" w:cs="楷体_GB2312"/>
          <w:color w:val="auto"/>
          <w:sz w:val="32"/>
          <w:szCs w:val="32"/>
          <w:u w:val="none"/>
          <w:lang w:val="zh-CN"/>
        </w:rPr>
        <w:t>安置的补</w:t>
      </w:r>
      <w:r>
        <w:rPr>
          <w:rFonts w:hint="eastAsia" w:ascii="楷体_GB2312" w:hAnsi="楷体_GB2312" w:eastAsia="楷体_GB2312" w:cs="楷体_GB2312"/>
          <w:color w:val="auto"/>
          <w:sz w:val="32"/>
          <w:szCs w:val="32"/>
          <w:u w:val="none"/>
          <w:lang w:val="zh-CN" w:eastAsia="zh-CN"/>
        </w:rPr>
        <w:t>差：</w:t>
      </w:r>
      <w:r>
        <w:rPr>
          <w:rFonts w:hint="eastAsia" w:ascii="仿宋_GB2312" w:eastAsia="仿宋_GB2312"/>
          <w:color w:val="auto"/>
          <w:sz w:val="32"/>
          <w:szCs w:val="32"/>
          <w:u w:val="none"/>
          <w:lang w:val="zh-CN" w:eastAsia="zh-CN"/>
        </w:rPr>
        <w:t>选择货币补偿，</w:t>
      </w:r>
      <w:r>
        <w:rPr>
          <w:rFonts w:hint="eastAsia" w:ascii="仿宋_GB2312" w:eastAsia="仿宋_GB2312"/>
          <w:color w:val="auto"/>
          <w:sz w:val="32"/>
          <w:szCs w:val="32"/>
          <w:u w:val="none"/>
          <w:lang w:val="zh-CN"/>
        </w:rPr>
        <w:t>放弃</w:t>
      </w:r>
      <w:r>
        <w:rPr>
          <w:rFonts w:hint="eastAsia" w:ascii="仿宋_GB2312" w:eastAsia="仿宋_GB2312"/>
          <w:color w:val="auto"/>
          <w:sz w:val="32"/>
          <w:szCs w:val="32"/>
          <w:u w:val="none"/>
          <w:lang w:val="zh-CN" w:eastAsia="zh-CN"/>
        </w:rPr>
        <w:t>产权调换</w:t>
      </w:r>
      <w:r>
        <w:rPr>
          <w:rFonts w:hint="eastAsia" w:ascii="仿宋_GB2312" w:eastAsia="仿宋_GB2312"/>
          <w:color w:val="auto"/>
          <w:sz w:val="32"/>
          <w:szCs w:val="32"/>
          <w:u w:val="none"/>
          <w:lang w:val="zh-CN"/>
        </w:rPr>
        <w:t>安置的，按经认定补偿安置面积给予3900元/㎡补差款。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3、</w:t>
      </w:r>
      <w:r>
        <w:rPr>
          <w:rFonts w:hint="eastAsia" w:ascii="楷体_GB2312" w:hAnsi="楷体_GB2312" w:eastAsia="楷体_GB2312" w:cs="楷体_GB2312"/>
          <w:color w:val="auto"/>
          <w:sz w:val="32"/>
          <w:szCs w:val="32"/>
          <w:u w:val="none"/>
          <w:lang w:val="zh-CN" w:eastAsia="zh-CN"/>
        </w:rPr>
        <w:t>埕地、空地奖励：</w:t>
      </w:r>
      <w:r>
        <w:rPr>
          <w:rFonts w:hint="eastAsia" w:ascii="仿宋_GB2312" w:eastAsia="仿宋_GB2312"/>
          <w:color w:val="auto"/>
          <w:sz w:val="32"/>
          <w:szCs w:val="32"/>
          <w:u w:val="none"/>
          <w:lang w:val="zh-CN" w:eastAsia="zh-CN"/>
        </w:rPr>
        <w:t>征收未经审批和</w:t>
      </w:r>
      <w:r>
        <w:rPr>
          <w:rFonts w:hint="eastAsia" w:ascii="仿宋_GB2312" w:eastAsia="仿宋_GB2312"/>
          <w:color w:val="auto"/>
          <w:sz w:val="32"/>
          <w:szCs w:val="32"/>
          <w:u w:val="none"/>
          <w:lang w:val="zh-CN"/>
        </w:rPr>
        <w:t>镇街清理的</w:t>
      </w:r>
      <w:r>
        <w:rPr>
          <w:rFonts w:hint="eastAsia" w:ascii="仿宋_GB2312" w:eastAsia="仿宋_GB2312"/>
          <w:color w:val="auto"/>
          <w:sz w:val="32"/>
          <w:szCs w:val="32"/>
          <w:u w:val="none"/>
          <w:lang w:val="zh-CN" w:eastAsia="zh-CN"/>
        </w:rPr>
        <w:t>埕地、空地，给予14万元/亩的奖励，被认定不予补偿安置的建筑占地面积参照此项奖励。已享受该补助的埕地、空地在征地面积中不再享受预留地政策。</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4、</w:t>
      </w:r>
      <w:r>
        <w:rPr>
          <w:rFonts w:hint="eastAsia" w:ascii="楷体_GB2312" w:hAnsi="楷体_GB2312" w:eastAsia="楷体_GB2312" w:cs="楷体_GB2312"/>
          <w:color w:val="auto"/>
          <w:sz w:val="32"/>
          <w:szCs w:val="32"/>
          <w:u w:val="none"/>
          <w:lang w:val="zh-CN" w:eastAsia="zh-CN"/>
        </w:rPr>
        <w:t>公摊面积奖励：</w:t>
      </w:r>
      <w:r>
        <w:rPr>
          <w:rFonts w:hint="eastAsia" w:ascii="仿宋_GB2312" w:eastAsia="仿宋_GB2312"/>
          <w:color w:val="auto"/>
          <w:sz w:val="32"/>
          <w:szCs w:val="32"/>
          <w:u w:val="none"/>
          <w:lang w:val="zh-CN" w:eastAsia="zh-CN"/>
        </w:rPr>
        <w:t>经审批和镇街清理的埕地、空地按审批或清理的价格补偿，同时也不享受该补助。</w:t>
      </w:r>
      <w:r>
        <w:rPr>
          <w:rFonts w:hint="eastAsia" w:ascii="仿宋_GB2312" w:eastAsia="仿宋_GB2312"/>
          <w:color w:val="auto"/>
          <w:sz w:val="32"/>
          <w:szCs w:val="32"/>
          <w:u w:val="none"/>
          <w:lang w:val="zh-CN"/>
        </w:rPr>
        <w:t>以被征收房屋整</w:t>
      </w:r>
      <w:r>
        <w:rPr>
          <w:rFonts w:hint="eastAsia" w:ascii="仿宋_GB2312" w:eastAsia="仿宋_GB2312"/>
          <w:color w:val="auto"/>
          <w:sz w:val="32"/>
          <w:szCs w:val="32"/>
          <w:u w:val="none"/>
          <w:lang w:val="zh-CN" w:eastAsia="zh-CN"/>
        </w:rPr>
        <w:t>套</w:t>
      </w:r>
      <w:r>
        <w:rPr>
          <w:rFonts w:hint="eastAsia" w:ascii="仿宋_GB2312" w:eastAsia="仿宋_GB2312"/>
          <w:color w:val="auto"/>
          <w:sz w:val="32"/>
          <w:szCs w:val="32"/>
          <w:u w:val="none"/>
          <w:lang w:val="zh-CN"/>
        </w:rPr>
        <w:t>为单位，按原房屋认定补偿安置面积的</w:t>
      </w:r>
      <w:r>
        <w:rPr>
          <w:rFonts w:ascii="仿宋_GB2312" w:eastAsia="仿宋_GB2312"/>
          <w:color w:val="auto"/>
          <w:sz w:val="32"/>
          <w:szCs w:val="32"/>
          <w:u w:val="none"/>
          <w:lang w:val="zh-CN"/>
        </w:rPr>
        <w:t>10%</w:t>
      </w:r>
      <w:r>
        <w:rPr>
          <w:rFonts w:hint="eastAsia" w:ascii="仿宋_GB2312" w:eastAsia="仿宋_GB2312"/>
          <w:color w:val="auto"/>
          <w:sz w:val="32"/>
          <w:szCs w:val="32"/>
          <w:u w:val="none"/>
          <w:lang w:val="zh-CN"/>
        </w:rPr>
        <w:t>给予公摊面积</w:t>
      </w:r>
      <w:r>
        <w:rPr>
          <w:rFonts w:hint="eastAsia" w:ascii="仿宋_GB2312" w:eastAsia="仿宋_GB2312"/>
          <w:color w:val="auto"/>
          <w:sz w:val="32"/>
          <w:szCs w:val="32"/>
          <w:u w:val="none"/>
          <w:lang w:val="zh-CN" w:eastAsia="zh-CN"/>
        </w:rPr>
        <w:t>奖励</w:t>
      </w:r>
      <w:r>
        <w:rPr>
          <w:rFonts w:hint="eastAsia" w:ascii="仿宋_GB2312" w:eastAsia="仿宋_GB2312"/>
          <w:color w:val="auto"/>
          <w:sz w:val="32"/>
          <w:szCs w:val="32"/>
          <w:u w:val="none"/>
          <w:lang w:val="zh-CN"/>
        </w:rPr>
        <w:t>，且每套最多不超过1</w:t>
      </w:r>
      <w:r>
        <w:rPr>
          <w:rFonts w:hint="eastAsia" w:ascii="仿宋_GB2312" w:eastAsia="仿宋_GB2312"/>
          <w:color w:val="auto"/>
          <w:sz w:val="32"/>
          <w:szCs w:val="32"/>
          <w:u w:val="none"/>
          <w:lang w:val="zh-CN" w:eastAsia="zh-CN"/>
        </w:rPr>
        <w:t>0㎡、不超过所</w:t>
      </w:r>
      <w:r>
        <w:rPr>
          <w:rFonts w:hint="eastAsia" w:ascii="仿宋_GB2312" w:eastAsia="仿宋_GB2312"/>
          <w:color w:val="auto"/>
          <w:sz w:val="32"/>
          <w:szCs w:val="32"/>
          <w:u w:val="none"/>
          <w:lang w:val="zh-CN"/>
        </w:rPr>
        <w:t>选安置房公摊总面积，公摊面积</w:t>
      </w:r>
      <w:r>
        <w:rPr>
          <w:rFonts w:hint="eastAsia" w:ascii="仿宋_GB2312" w:eastAsia="仿宋_GB2312"/>
          <w:color w:val="auto"/>
          <w:sz w:val="32"/>
          <w:szCs w:val="32"/>
          <w:u w:val="none"/>
          <w:lang w:val="zh-CN" w:eastAsia="zh-CN"/>
        </w:rPr>
        <w:t>奖励</w:t>
      </w:r>
      <w:r>
        <w:rPr>
          <w:rFonts w:hint="eastAsia" w:ascii="仿宋_GB2312" w:eastAsia="仿宋_GB2312"/>
          <w:color w:val="auto"/>
          <w:sz w:val="32"/>
          <w:szCs w:val="32"/>
          <w:u w:val="none"/>
          <w:lang w:val="zh-CN"/>
        </w:rPr>
        <w:t>以</w:t>
      </w:r>
      <w:r>
        <w:rPr>
          <w:rFonts w:hint="eastAsia" w:ascii="仿宋_GB2312" w:eastAsia="仿宋_GB2312"/>
          <w:color w:val="auto"/>
          <w:sz w:val="32"/>
          <w:szCs w:val="32"/>
          <w:u w:val="none"/>
          <w:lang w:val="en-US" w:eastAsia="zh-CN"/>
        </w:rPr>
        <w:t>8000</w:t>
      </w:r>
      <w:r>
        <w:rPr>
          <w:rFonts w:hint="eastAsia" w:ascii="仿宋_GB2312" w:eastAsia="仿宋_GB2312"/>
          <w:color w:val="auto"/>
          <w:sz w:val="32"/>
          <w:szCs w:val="32"/>
          <w:u w:val="none"/>
          <w:lang w:val="zh-CN"/>
        </w:rPr>
        <w:t>元/㎡计价</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选择货币补偿享受上述同等待遇。</w:t>
      </w:r>
    </w:p>
    <w:p>
      <w:pPr>
        <w:pStyle w:val="2"/>
        <w:pageBreakBefore w:val="0"/>
        <w:shd w:val="clear" w:color="auto" w:fill="auto"/>
        <w:kinsoku/>
        <w:wordWrap/>
        <w:overflowPunct/>
        <w:topLinePunct w:val="0"/>
        <w:autoSpaceDE/>
        <w:autoSpaceDN/>
        <w:bidi w:val="0"/>
        <w:adjustRightInd/>
        <w:snapToGrid/>
        <w:spacing w:after="0" w:line="500" w:lineRule="exact"/>
        <w:ind w:firstLine="630" w:firstLineChars="196"/>
        <w:jc w:val="both"/>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五</w:t>
      </w:r>
      <w:r>
        <w:rPr>
          <w:rFonts w:hint="eastAsia" w:ascii="黑体" w:hAnsi="黑体" w:eastAsia="黑体" w:cs="黑体"/>
          <w:b/>
          <w:color w:val="auto"/>
          <w:sz w:val="32"/>
          <w:szCs w:val="32"/>
          <w:u w:val="none"/>
          <w:lang w:val="zh-CN"/>
        </w:rPr>
        <w:t>、</w:t>
      </w:r>
      <w:r>
        <w:rPr>
          <w:rFonts w:hint="eastAsia" w:ascii="黑体" w:hAnsi="黑体" w:eastAsia="黑体" w:cs="黑体"/>
          <w:b/>
          <w:color w:val="auto"/>
          <w:sz w:val="32"/>
          <w:szCs w:val="32"/>
          <w:u w:val="none"/>
          <w:lang w:val="zh-CN" w:eastAsia="zh-CN"/>
        </w:rPr>
        <w:t>住宅改为经营性用房按时搬迁补助</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ascii="仿宋_GB2312" w:eastAsia="仿宋_GB2312"/>
          <w:color w:val="auto"/>
          <w:sz w:val="32"/>
          <w:szCs w:val="32"/>
          <w:u w:val="none"/>
          <w:lang w:val="zh-CN"/>
        </w:rPr>
        <w:t>未经规划部门批准、房管部门登记，将</w:t>
      </w:r>
      <w:r>
        <w:rPr>
          <w:rFonts w:hint="eastAsia" w:ascii="仿宋_GB2312" w:eastAsia="仿宋_GB2312"/>
          <w:color w:val="auto"/>
          <w:sz w:val="32"/>
          <w:szCs w:val="32"/>
          <w:u w:val="none"/>
          <w:lang w:val="zh-CN"/>
        </w:rPr>
        <w:t>临街住宅改做经营性用</w:t>
      </w:r>
      <w:r>
        <w:rPr>
          <w:rFonts w:ascii="仿宋_GB2312" w:eastAsia="仿宋_GB2312"/>
          <w:color w:val="auto"/>
          <w:sz w:val="32"/>
          <w:szCs w:val="32"/>
          <w:u w:val="none"/>
          <w:lang w:val="zh-CN"/>
        </w:rPr>
        <w:t>房</w:t>
      </w:r>
      <w:r>
        <w:rPr>
          <w:rFonts w:hint="eastAsia" w:ascii="仿宋_GB2312" w:eastAsia="仿宋_GB2312"/>
          <w:color w:val="auto"/>
          <w:sz w:val="32"/>
          <w:szCs w:val="32"/>
          <w:u w:val="none"/>
          <w:lang w:val="zh-CN"/>
        </w:rPr>
        <w:t>的</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按住宅性质予以认定补偿，在规定期限内签订协议并封房交拆的，可按以下情况另给予补助：</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一</w:t>
      </w:r>
      <w:r>
        <w:rPr>
          <w:rFonts w:hint="eastAsia" w:ascii="仿宋_GB2312" w:eastAsia="仿宋_GB2312"/>
          <w:color w:val="auto"/>
          <w:sz w:val="32"/>
          <w:szCs w:val="32"/>
          <w:u w:val="none"/>
          <w:lang w:val="zh-CN"/>
        </w:rPr>
        <w:t>）</w:t>
      </w:r>
      <w:r>
        <w:rPr>
          <w:rFonts w:ascii="仿宋_GB2312" w:eastAsia="仿宋_GB2312"/>
          <w:color w:val="auto"/>
          <w:sz w:val="32"/>
          <w:szCs w:val="32"/>
          <w:u w:val="none"/>
          <w:lang w:val="zh-CN"/>
        </w:rPr>
        <w:t>在2011年6月30日前，住宅底层已改为</w:t>
      </w:r>
      <w:r>
        <w:rPr>
          <w:rFonts w:hint="eastAsia" w:ascii="仿宋_GB2312" w:eastAsia="仿宋_GB2312"/>
          <w:color w:val="auto"/>
          <w:sz w:val="32"/>
          <w:szCs w:val="32"/>
          <w:u w:val="none"/>
          <w:lang w:val="zh-CN"/>
        </w:rPr>
        <w:t>经营性用</w:t>
      </w:r>
      <w:r>
        <w:rPr>
          <w:rFonts w:ascii="仿宋_GB2312" w:eastAsia="仿宋_GB2312"/>
          <w:color w:val="auto"/>
          <w:sz w:val="32"/>
          <w:szCs w:val="32"/>
          <w:u w:val="none"/>
          <w:lang w:val="zh-CN"/>
        </w:rPr>
        <w:t>房且现状仍处于经营状态，并持有工商营业执照和税务登记证明的，按</w:t>
      </w:r>
      <w:r>
        <w:rPr>
          <w:rFonts w:hint="eastAsia" w:ascii="仿宋_GB2312" w:eastAsia="仿宋_GB2312"/>
          <w:color w:val="auto"/>
          <w:sz w:val="32"/>
          <w:szCs w:val="32"/>
          <w:u w:val="none"/>
          <w:lang w:val="zh-CN" w:eastAsia="zh-CN"/>
        </w:rPr>
        <w:t>住宅</w:t>
      </w:r>
      <w:r>
        <w:rPr>
          <w:rFonts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认定补偿安置面积中临</w:t>
      </w:r>
      <w:r>
        <w:rPr>
          <w:rFonts w:ascii="仿宋_GB2312" w:eastAsia="仿宋_GB2312"/>
          <w:color w:val="auto"/>
          <w:sz w:val="32"/>
          <w:szCs w:val="32"/>
          <w:u w:val="none"/>
          <w:lang w:val="zh-CN"/>
        </w:rPr>
        <w:t>街（路）底层第一自然间进深</w:t>
      </w:r>
      <w:r>
        <w:rPr>
          <w:rFonts w:hint="eastAsia" w:ascii="仿宋_GB2312" w:eastAsia="仿宋_GB2312"/>
          <w:color w:val="auto"/>
          <w:sz w:val="32"/>
          <w:szCs w:val="32"/>
          <w:u w:val="none"/>
          <w:lang w:val="zh-CN" w:eastAsia="zh-CN"/>
        </w:rPr>
        <w:t>10m内的面积给予补助，</w:t>
      </w:r>
      <w:r>
        <w:rPr>
          <w:rFonts w:ascii="仿宋_GB2312" w:eastAsia="仿宋_GB2312"/>
          <w:color w:val="auto"/>
          <w:sz w:val="32"/>
          <w:szCs w:val="32"/>
          <w:u w:val="none"/>
          <w:lang w:val="zh-CN"/>
        </w:rPr>
        <w:t>超过10</w:t>
      </w:r>
      <w:r>
        <w:rPr>
          <w:rFonts w:hint="eastAsia" w:ascii="仿宋_GB2312" w:eastAsia="仿宋_GB2312"/>
          <w:color w:val="auto"/>
          <w:sz w:val="32"/>
          <w:szCs w:val="32"/>
          <w:u w:val="none"/>
          <w:lang w:val="zh-CN" w:eastAsia="zh-CN"/>
        </w:rPr>
        <w:t>m进深部分不予补助。补助的标准为：临12m及以上道路的，按补助面积给予3000元/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的一次性补助；临12m以下6m以上道路的，按补助面积给予1500元/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u w:val="none"/>
          <w:lang w:val="zh-CN" w:eastAsia="zh-CN"/>
        </w:rPr>
        <w:t>临</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eastAsia="zh-CN"/>
        </w:rPr>
        <w:t>m以下</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eastAsia="zh-CN"/>
        </w:rPr>
        <w:t>m以上道路的，按补助面积给予500元/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w:t>
      </w:r>
      <w:r>
        <w:rPr>
          <w:rFonts w:hint="eastAsia" w:ascii="仿宋_GB2312" w:eastAsia="仿宋_GB2312"/>
          <w:color w:val="auto"/>
          <w:sz w:val="32"/>
          <w:szCs w:val="32"/>
          <w:u w:val="none"/>
          <w:lang w:val="en-US" w:eastAsia="zh-CN"/>
        </w:rPr>
        <w:t>;</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二</w:t>
      </w:r>
      <w:r>
        <w:rPr>
          <w:rFonts w:hint="eastAsia" w:ascii="仿宋_GB2312" w:eastAsia="仿宋_GB2312"/>
          <w:color w:val="auto"/>
          <w:sz w:val="32"/>
          <w:szCs w:val="32"/>
          <w:u w:val="none"/>
          <w:lang w:val="zh-CN"/>
        </w:rPr>
        <w:t>）</w:t>
      </w:r>
      <w:r>
        <w:rPr>
          <w:rFonts w:ascii="仿宋_GB2312" w:eastAsia="仿宋_GB2312"/>
          <w:color w:val="auto"/>
          <w:sz w:val="32"/>
          <w:szCs w:val="32"/>
          <w:u w:val="none"/>
          <w:lang w:val="zh-CN"/>
        </w:rPr>
        <w:t>在2011年6月30日前，住宅底层改为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性用房，未持有工商营业执照和税务登记证明的，按</w:t>
      </w:r>
      <w:r>
        <w:rPr>
          <w:rFonts w:hint="eastAsia" w:ascii="仿宋_GB2312" w:eastAsia="仿宋_GB2312"/>
          <w:color w:val="auto"/>
          <w:sz w:val="32"/>
          <w:szCs w:val="32"/>
          <w:u w:val="none"/>
          <w:lang w:val="zh-CN" w:eastAsia="zh-CN"/>
        </w:rPr>
        <w:t>住宅</w:t>
      </w:r>
      <w:r>
        <w:rPr>
          <w:rFonts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认定补偿安置面积中临</w:t>
      </w:r>
      <w:r>
        <w:rPr>
          <w:rFonts w:ascii="仿宋_GB2312" w:eastAsia="仿宋_GB2312"/>
          <w:color w:val="auto"/>
          <w:sz w:val="32"/>
          <w:szCs w:val="32"/>
          <w:u w:val="none"/>
          <w:lang w:val="zh-CN"/>
        </w:rPr>
        <w:t>街（路）底层第一自然间进深</w:t>
      </w:r>
      <w:r>
        <w:rPr>
          <w:rFonts w:hint="eastAsia" w:ascii="仿宋_GB2312" w:eastAsia="仿宋_GB2312"/>
          <w:color w:val="auto"/>
          <w:sz w:val="32"/>
          <w:szCs w:val="32"/>
          <w:u w:val="none"/>
          <w:lang w:val="zh-CN" w:eastAsia="zh-CN"/>
        </w:rPr>
        <w:t>10m内的面积给予补助，</w:t>
      </w:r>
      <w:r>
        <w:rPr>
          <w:rFonts w:ascii="仿宋_GB2312" w:eastAsia="仿宋_GB2312"/>
          <w:color w:val="auto"/>
          <w:sz w:val="32"/>
          <w:szCs w:val="32"/>
          <w:u w:val="none"/>
          <w:lang w:val="zh-CN"/>
        </w:rPr>
        <w:t>超过10</w:t>
      </w:r>
      <w:r>
        <w:rPr>
          <w:rFonts w:hint="eastAsia" w:ascii="仿宋_GB2312" w:eastAsia="仿宋_GB2312"/>
          <w:color w:val="auto"/>
          <w:sz w:val="32"/>
          <w:szCs w:val="32"/>
          <w:u w:val="none"/>
          <w:lang w:val="zh-CN" w:eastAsia="zh-CN"/>
        </w:rPr>
        <w:t>m进深部分不予补助。补助的标准为：临12m及以上道路的，按补助面积给予1000元/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的一次性补助；临12m以下6m以上道路的，按补助面积给予500元/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的一次性补助；临12m以下6m以上道路的，按补助面积给予</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eastAsia="zh-CN"/>
        </w:rPr>
        <w:t>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三</w:t>
      </w:r>
      <w:r>
        <w:rPr>
          <w:rFonts w:hint="eastAsia" w:ascii="仿宋_GB2312" w:eastAsia="仿宋_GB2312"/>
          <w:color w:val="auto"/>
          <w:sz w:val="32"/>
          <w:szCs w:val="32"/>
          <w:u w:val="none"/>
          <w:lang w:val="zh-CN"/>
        </w:rPr>
        <w:t>）</w:t>
      </w:r>
      <w:r>
        <w:rPr>
          <w:rFonts w:ascii="仿宋_GB2312" w:eastAsia="仿宋_GB2312"/>
          <w:color w:val="auto"/>
          <w:sz w:val="32"/>
          <w:szCs w:val="32"/>
          <w:u w:val="none"/>
          <w:lang w:val="zh-CN"/>
        </w:rPr>
        <w:t>在2011年6月30日后，住宅底层改为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性用房的，按原房屋</w:t>
      </w:r>
      <w:r>
        <w:rPr>
          <w:rFonts w:hint="eastAsia" w:ascii="仿宋_GB2312" w:eastAsia="仿宋_GB2312"/>
          <w:color w:val="auto"/>
          <w:sz w:val="32"/>
          <w:szCs w:val="32"/>
          <w:u w:val="none"/>
          <w:lang w:val="zh-CN" w:eastAsia="zh-CN"/>
        </w:rPr>
        <w:t>审批</w:t>
      </w:r>
      <w:r>
        <w:rPr>
          <w:rFonts w:ascii="仿宋_GB2312" w:eastAsia="仿宋_GB2312"/>
          <w:color w:val="auto"/>
          <w:sz w:val="32"/>
          <w:szCs w:val="32"/>
          <w:u w:val="none"/>
          <w:lang w:val="zh-CN"/>
        </w:rPr>
        <w:t>用途予以认定</w:t>
      </w:r>
      <w:r>
        <w:rPr>
          <w:rFonts w:hint="eastAsia" w:ascii="仿宋_GB2312" w:eastAsia="仿宋_GB2312"/>
          <w:color w:val="auto"/>
          <w:sz w:val="32"/>
          <w:szCs w:val="32"/>
          <w:u w:val="none"/>
          <w:lang w:val="zh-CN" w:eastAsia="zh-CN"/>
        </w:rPr>
        <w:t>，</w:t>
      </w:r>
      <w:r>
        <w:rPr>
          <w:rFonts w:ascii="仿宋_GB2312" w:eastAsia="仿宋_GB2312"/>
          <w:color w:val="auto"/>
          <w:sz w:val="32"/>
          <w:szCs w:val="32"/>
          <w:u w:val="none"/>
          <w:lang w:val="zh-CN"/>
        </w:rPr>
        <w:t>一律</w:t>
      </w:r>
      <w:r>
        <w:rPr>
          <w:rFonts w:hint="eastAsia" w:ascii="仿宋_GB2312" w:eastAsia="仿宋_GB2312"/>
          <w:color w:val="auto"/>
          <w:sz w:val="32"/>
          <w:szCs w:val="32"/>
          <w:u w:val="none"/>
          <w:lang w:val="zh-CN" w:eastAsia="zh-CN"/>
        </w:rPr>
        <w:t>不再另外补助。</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ascii="仿宋_GB2312" w:eastAsia="仿宋_GB2312"/>
          <w:color w:val="auto"/>
          <w:sz w:val="32"/>
          <w:szCs w:val="32"/>
          <w:u w:val="none"/>
          <w:lang w:val="zh-CN"/>
        </w:rPr>
        <w:t>住宅改为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性用房时间由村（居）</w:t>
      </w:r>
      <w:r>
        <w:rPr>
          <w:rFonts w:hint="eastAsia" w:ascii="仿宋_GB2312" w:eastAsia="仿宋_GB2312"/>
          <w:color w:val="auto"/>
          <w:sz w:val="32"/>
          <w:szCs w:val="32"/>
          <w:u w:val="none"/>
          <w:lang w:val="zh-CN" w:eastAsia="zh-CN"/>
        </w:rPr>
        <w:t>审</w:t>
      </w:r>
      <w:r>
        <w:rPr>
          <w:rFonts w:ascii="仿宋_GB2312" w:eastAsia="仿宋_GB2312"/>
          <w:color w:val="auto"/>
          <w:sz w:val="32"/>
          <w:szCs w:val="32"/>
          <w:u w:val="none"/>
          <w:lang w:val="zh-CN"/>
        </w:rPr>
        <w:t>核</w:t>
      </w:r>
      <w:r>
        <w:rPr>
          <w:rFonts w:hint="eastAsia" w:ascii="仿宋_GB2312" w:eastAsia="仿宋_GB2312"/>
          <w:color w:val="auto"/>
          <w:sz w:val="32"/>
          <w:szCs w:val="32"/>
          <w:u w:val="none"/>
          <w:lang w:val="zh-CN" w:eastAsia="zh-CN"/>
        </w:rPr>
        <w:t>并公示后</w:t>
      </w:r>
      <w:r>
        <w:rPr>
          <w:rFonts w:ascii="仿宋_GB2312" w:eastAsia="仿宋_GB2312"/>
          <w:color w:val="auto"/>
          <w:sz w:val="32"/>
          <w:szCs w:val="32"/>
          <w:u w:val="none"/>
          <w:lang w:val="zh-CN"/>
        </w:rPr>
        <w:t>，报</w:t>
      </w:r>
      <w:r>
        <w:rPr>
          <w:rFonts w:hint="eastAsia" w:ascii="仿宋_GB2312" w:eastAsia="仿宋_GB2312"/>
          <w:color w:val="auto"/>
          <w:sz w:val="32"/>
          <w:szCs w:val="32"/>
          <w:u w:val="none"/>
          <w:lang w:val="zh-CN" w:eastAsia="zh-CN"/>
        </w:rPr>
        <w:t>项目</w:t>
      </w:r>
      <w:r>
        <w:rPr>
          <w:rFonts w:ascii="仿宋_GB2312" w:eastAsia="仿宋_GB2312"/>
          <w:color w:val="auto"/>
          <w:sz w:val="32"/>
          <w:szCs w:val="32"/>
          <w:u w:val="none"/>
          <w:lang w:val="zh-CN"/>
        </w:rPr>
        <w:t>所在</w:t>
      </w:r>
      <w:r>
        <w:rPr>
          <w:rFonts w:hint="eastAsia" w:ascii="仿宋_GB2312" w:eastAsia="仿宋_GB2312"/>
          <w:color w:val="auto"/>
          <w:sz w:val="32"/>
          <w:szCs w:val="32"/>
          <w:u w:val="none"/>
          <w:lang w:val="zh-CN" w:eastAsia="zh-CN"/>
        </w:rPr>
        <w:t>街道与征迁工作组共同</w:t>
      </w:r>
      <w:r>
        <w:rPr>
          <w:rFonts w:ascii="仿宋_GB2312" w:eastAsia="仿宋_GB2312"/>
          <w:color w:val="auto"/>
          <w:sz w:val="32"/>
          <w:szCs w:val="32"/>
          <w:u w:val="none"/>
          <w:lang w:val="zh-CN"/>
        </w:rPr>
        <w:t>审核确认。</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lang w:val="zh-CN"/>
        </w:rPr>
      </w:pP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四</w:t>
      </w:r>
      <w:r>
        <w:rPr>
          <w:rFonts w:ascii="仿宋_GB2312" w:eastAsia="仿宋_GB2312"/>
          <w:color w:val="auto"/>
          <w:sz w:val="32"/>
          <w:szCs w:val="32"/>
          <w:u w:val="none"/>
          <w:lang w:val="zh-CN"/>
        </w:rPr>
        <w:t>）沿路的</w:t>
      </w:r>
      <w:r>
        <w:rPr>
          <w:rFonts w:hint="eastAsia" w:ascii="仿宋_GB2312" w:eastAsia="仿宋_GB2312"/>
          <w:color w:val="auto"/>
          <w:sz w:val="32"/>
          <w:szCs w:val="32"/>
          <w:u w:val="none"/>
          <w:lang w:val="zh-CN"/>
        </w:rPr>
        <w:t>工业用房、</w:t>
      </w:r>
      <w:r>
        <w:rPr>
          <w:rFonts w:ascii="仿宋_GB2312" w:eastAsia="仿宋_GB2312"/>
          <w:color w:val="auto"/>
          <w:sz w:val="32"/>
          <w:szCs w:val="32"/>
          <w:u w:val="none"/>
          <w:lang w:val="zh-CN"/>
        </w:rPr>
        <w:t>办公用房、</w:t>
      </w:r>
      <w:r>
        <w:rPr>
          <w:rFonts w:hint="eastAsia" w:ascii="仿宋_GB2312" w:eastAsia="仿宋_GB2312"/>
          <w:color w:val="auto"/>
          <w:sz w:val="32"/>
          <w:szCs w:val="32"/>
          <w:u w:val="none"/>
          <w:lang w:val="zh-CN" w:eastAsia="zh-CN"/>
        </w:rPr>
        <w:t>临时</w:t>
      </w:r>
      <w:r>
        <w:rPr>
          <w:rFonts w:ascii="仿宋_GB2312" w:eastAsia="仿宋_GB2312"/>
          <w:color w:val="auto"/>
          <w:sz w:val="32"/>
          <w:szCs w:val="32"/>
          <w:u w:val="none"/>
          <w:lang w:val="zh-CN"/>
        </w:rPr>
        <w:t>搭盖及不具备</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性用房门面结构的住宅，底层改为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性用房的，按</w:t>
      </w:r>
      <w:r>
        <w:rPr>
          <w:rFonts w:hint="eastAsia" w:ascii="仿宋_GB2312" w:eastAsia="仿宋_GB2312"/>
          <w:color w:val="auto"/>
          <w:sz w:val="32"/>
          <w:szCs w:val="32"/>
          <w:u w:val="none"/>
          <w:lang w:val="zh-CN" w:eastAsia="zh-CN"/>
        </w:rPr>
        <w:t>原建筑审批</w:t>
      </w:r>
      <w:r>
        <w:rPr>
          <w:rFonts w:ascii="仿宋_GB2312" w:eastAsia="仿宋_GB2312"/>
          <w:color w:val="auto"/>
          <w:sz w:val="32"/>
          <w:szCs w:val="32"/>
          <w:u w:val="none"/>
          <w:lang w:val="zh-CN"/>
        </w:rPr>
        <w:t>用途予以补偿</w:t>
      </w:r>
      <w:r>
        <w:rPr>
          <w:rFonts w:hint="eastAsia" w:ascii="仿宋_GB2312" w:eastAsia="仿宋_GB2312"/>
          <w:color w:val="auto"/>
          <w:sz w:val="32"/>
          <w:szCs w:val="32"/>
          <w:u w:val="none"/>
          <w:lang w:val="zh-CN" w:eastAsia="zh-CN"/>
        </w:rPr>
        <w:t>，</w:t>
      </w:r>
      <w:r>
        <w:rPr>
          <w:rFonts w:ascii="仿宋_GB2312" w:eastAsia="仿宋_GB2312"/>
          <w:color w:val="auto"/>
          <w:sz w:val="32"/>
          <w:szCs w:val="32"/>
          <w:u w:val="none"/>
          <w:lang w:val="zh-CN"/>
        </w:rPr>
        <w:t>一律</w:t>
      </w:r>
      <w:r>
        <w:rPr>
          <w:rFonts w:hint="eastAsia" w:ascii="仿宋_GB2312" w:eastAsia="仿宋_GB2312"/>
          <w:color w:val="auto"/>
          <w:sz w:val="32"/>
          <w:szCs w:val="32"/>
          <w:u w:val="none"/>
          <w:lang w:val="zh-CN" w:eastAsia="zh-CN"/>
        </w:rPr>
        <w:t>不再另外补助。</w:t>
      </w:r>
      <w:r>
        <w:rPr>
          <w:rFonts w:ascii="仿宋_GB2312" w:eastAsia="仿宋_GB2312"/>
          <w:color w:val="auto"/>
          <w:sz w:val="32"/>
          <w:szCs w:val="32"/>
          <w:u w:val="none"/>
          <w:lang w:val="zh-CN"/>
        </w:rPr>
        <w:t xml:space="preserve"> </w:t>
      </w:r>
    </w:p>
    <w:p>
      <w:pPr>
        <w:pStyle w:val="10"/>
        <w:pageBreakBefore w:val="0"/>
        <w:shd w:val="clear" w:color="auto" w:fill="auto"/>
        <w:kinsoku/>
        <w:wordWrap/>
        <w:overflowPunct/>
        <w:topLinePunct w:val="0"/>
        <w:autoSpaceDE/>
        <w:autoSpaceDN/>
        <w:bidi w:val="0"/>
        <w:adjustRightInd/>
        <w:snapToGrid/>
        <w:spacing w:line="500" w:lineRule="exact"/>
        <w:ind w:right="3101" w:firstLine="157" w:firstLineChars="49"/>
        <w:jc w:val="both"/>
        <w:textAlignment w:val="auto"/>
        <w:rPr>
          <w:rFonts w:hint="eastAsia" w:ascii="仿宋_GB2312" w:eastAsia="仿宋_GB2312"/>
          <w:b w:val="0"/>
          <w:bCs w:val="0"/>
          <w:color w:val="auto"/>
          <w:sz w:val="32"/>
          <w:szCs w:val="32"/>
          <w:u w:val="none"/>
          <w:lang w:val="zh-CN" w:eastAsia="zh-CN"/>
        </w:rPr>
      </w:pPr>
      <w:r>
        <w:rPr>
          <w:rFonts w:hint="eastAsia" w:ascii="仿宋_GB2312" w:eastAsia="仿宋_GB2312"/>
          <w:color w:val="auto"/>
          <w:sz w:val="32"/>
          <w:szCs w:val="32"/>
          <w:u w:val="none"/>
          <w:lang w:val="zh-CN" w:eastAsia="zh-CN"/>
        </w:rPr>
        <w:t xml:space="preserve">   </w:t>
      </w:r>
      <w:r>
        <w:rPr>
          <w:rFonts w:hint="eastAsia" w:ascii="黑体" w:hAnsi="黑体" w:eastAsia="黑体" w:cs="黑体"/>
          <w:color w:val="auto"/>
          <w:sz w:val="32"/>
          <w:szCs w:val="32"/>
          <w:u w:val="none"/>
          <w:lang w:val="zh-CN" w:eastAsia="zh-CN"/>
        </w:rPr>
        <w:t>十六、其它补偿</w:t>
      </w:r>
      <w:r>
        <w:rPr>
          <w:rFonts w:hint="eastAsia" w:ascii="黑体" w:hAnsi="黑体" w:eastAsia="黑体" w:cs="黑体"/>
          <w:b w:val="0"/>
          <w:bCs w:val="0"/>
          <w:color w:val="auto"/>
          <w:sz w:val="32"/>
          <w:szCs w:val="32"/>
          <w:u w:val="none"/>
          <w:lang w:val="zh-CN" w:eastAsia="zh-CN"/>
        </w:rPr>
        <w:t xml:space="preserve">  </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房屋的附属物补偿按附表</w:t>
      </w:r>
      <w:r>
        <w:rPr>
          <w:rFonts w:hint="eastAsia" w:ascii="仿宋_GB2312" w:eastAsia="仿宋_GB2312"/>
          <w:color w:val="auto"/>
          <w:sz w:val="32"/>
          <w:szCs w:val="32"/>
          <w:u w:val="none"/>
          <w:lang w:val="zh-CN" w:eastAsia="zh-CN"/>
        </w:rPr>
        <w:t>六</w:t>
      </w:r>
      <w:r>
        <w:rPr>
          <w:rFonts w:hint="eastAsia" w:ascii="仿宋_GB2312" w:eastAsia="仿宋_GB2312"/>
          <w:color w:val="auto"/>
          <w:sz w:val="32"/>
          <w:szCs w:val="32"/>
          <w:u w:val="none"/>
          <w:lang w:val="zh-CN"/>
        </w:rPr>
        <w:t>标准给予货币补偿</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2015]186号）执行。</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土地房屋审批性质为经营性（商业）用地用房或工业用地用房的按评估方式确定补偿价格后，原则上按货币补偿方式给予补偿。</w:t>
      </w:r>
    </w:p>
    <w:p>
      <w:pPr>
        <w:pStyle w:val="10"/>
        <w:pageBreakBefore w:val="0"/>
        <w:shd w:val="clear" w:color="auto" w:fill="auto"/>
        <w:kinsoku/>
        <w:wordWrap/>
        <w:overflowPunct/>
        <w:topLinePunct w:val="0"/>
        <w:autoSpaceDE/>
        <w:autoSpaceDN/>
        <w:bidi w:val="0"/>
        <w:adjustRightInd/>
        <w:snapToGrid/>
        <w:spacing w:line="500" w:lineRule="exact"/>
        <w:ind w:right="3101"/>
        <w:jc w:val="both"/>
        <w:textAlignment w:val="auto"/>
        <w:rPr>
          <w:rFonts w:hint="eastAsia" w:ascii="仿宋_GB2312" w:eastAsia="仿宋_GB2312"/>
          <w:b w:val="0"/>
          <w:bCs w:val="0"/>
          <w:color w:val="auto"/>
          <w:sz w:val="32"/>
          <w:szCs w:val="32"/>
          <w:u w:val="none"/>
          <w:lang w:val="zh-CN"/>
        </w:rPr>
      </w:pPr>
    </w:p>
    <w:p>
      <w:pPr>
        <w:pStyle w:val="10"/>
        <w:pageBreakBefore w:val="0"/>
        <w:shd w:val="clear" w:color="auto" w:fill="auto"/>
        <w:kinsoku/>
        <w:wordWrap/>
        <w:overflowPunct/>
        <w:topLinePunct w:val="0"/>
        <w:autoSpaceDE/>
        <w:autoSpaceDN/>
        <w:bidi w:val="0"/>
        <w:adjustRightInd/>
        <w:snapToGrid/>
        <w:spacing w:line="500" w:lineRule="exact"/>
        <w:ind w:right="3101"/>
        <w:jc w:val="both"/>
        <w:textAlignment w:val="auto"/>
        <w:rPr>
          <w:rFonts w:hint="eastAsia" w:ascii="黑体" w:hAnsi="黑体" w:eastAsia="黑体" w:cs="黑体"/>
          <w:color w:val="auto"/>
          <w:sz w:val="32"/>
          <w:szCs w:val="32"/>
          <w:u w:val="none"/>
          <w:lang w:val="zh-CN" w:eastAsia="zh-CN"/>
        </w:rPr>
      </w:pPr>
      <w:r>
        <w:rPr>
          <w:rFonts w:hint="eastAsia" w:ascii="仿宋_GB2312" w:eastAsia="仿宋_GB2312"/>
          <w:color w:val="auto"/>
          <w:sz w:val="32"/>
          <w:szCs w:val="32"/>
          <w:u w:val="none"/>
          <w:lang w:val="zh-CN" w:eastAsia="zh-CN"/>
        </w:rPr>
        <w:t xml:space="preserve">              </w:t>
      </w:r>
      <w:r>
        <w:rPr>
          <w:rFonts w:hint="eastAsia" w:ascii="黑体" w:hAnsi="黑体" w:eastAsia="黑体" w:cs="黑体"/>
          <w:color w:val="auto"/>
          <w:sz w:val="32"/>
          <w:szCs w:val="32"/>
          <w:u w:val="none"/>
          <w:lang w:val="zh-CN" w:eastAsia="zh-CN"/>
        </w:rPr>
        <w:t xml:space="preserve">    </w:t>
      </w:r>
      <w:r>
        <w:rPr>
          <w:rFonts w:hint="eastAsia" w:ascii="黑体" w:hAnsi="黑体" w:eastAsia="黑体" w:cs="黑体"/>
          <w:color w:val="auto"/>
          <w:sz w:val="32"/>
          <w:szCs w:val="32"/>
          <w:u w:val="none"/>
          <w:lang w:val="zh-CN"/>
        </w:rPr>
        <w:t>第</w:t>
      </w:r>
      <w:r>
        <w:rPr>
          <w:rFonts w:hint="eastAsia" w:ascii="黑体" w:hAnsi="黑体" w:eastAsia="黑体" w:cs="黑体"/>
          <w:color w:val="auto"/>
          <w:sz w:val="32"/>
          <w:szCs w:val="32"/>
          <w:u w:val="none"/>
          <w:lang w:val="zh-CN" w:eastAsia="zh-CN"/>
        </w:rPr>
        <w:t>四</w:t>
      </w:r>
      <w:r>
        <w:rPr>
          <w:rFonts w:hint="eastAsia" w:ascii="黑体" w:hAnsi="黑体" w:eastAsia="黑体" w:cs="黑体"/>
          <w:color w:val="auto"/>
          <w:sz w:val="32"/>
          <w:szCs w:val="32"/>
          <w:u w:val="none"/>
          <w:lang w:val="zh-CN"/>
        </w:rPr>
        <w:t>部分  保障</w:t>
      </w:r>
      <w:r>
        <w:rPr>
          <w:rFonts w:hint="eastAsia" w:ascii="黑体" w:hAnsi="黑体" w:eastAsia="黑体" w:cs="黑体"/>
          <w:color w:val="auto"/>
          <w:sz w:val="32"/>
          <w:szCs w:val="32"/>
          <w:u w:val="none"/>
          <w:lang w:val="zh-CN" w:eastAsia="zh-CN"/>
        </w:rPr>
        <w:t>措</w:t>
      </w:r>
      <w:r>
        <w:rPr>
          <w:rFonts w:hint="eastAsia" w:ascii="黑体" w:hAnsi="黑体" w:eastAsia="黑体" w:cs="黑体"/>
          <w:color w:val="auto"/>
          <w:sz w:val="32"/>
          <w:szCs w:val="32"/>
          <w:u w:val="none"/>
          <w:lang w:val="zh-CN"/>
        </w:rPr>
        <w:t>施</w:t>
      </w:r>
    </w:p>
    <w:p>
      <w:pPr>
        <w:pStyle w:val="1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仿宋_GB2312" w:eastAsia="仿宋_GB2312"/>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仿宋_GB2312" w:eastAsia="仿宋_GB2312"/>
          <w:color w:val="auto"/>
          <w:sz w:val="32"/>
          <w:szCs w:val="32"/>
          <w:u w:val="none"/>
          <w:lang w:val="zh-CN" w:eastAsia="zh-CN"/>
        </w:rPr>
      </w:pPr>
      <w:r>
        <w:rPr>
          <w:rFonts w:hint="eastAsia" w:ascii="黑体" w:hAnsi="黑体" w:eastAsia="黑体" w:cs="黑体"/>
          <w:color w:val="auto"/>
          <w:sz w:val="32"/>
          <w:szCs w:val="32"/>
          <w:u w:val="none"/>
          <w:lang w:val="zh-CN" w:eastAsia="zh-CN"/>
        </w:rPr>
        <w:t>十七、</w:t>
      </w:r>
      <w:r>
        <w:rPr>
          <w:rFonts w:hint="eastAsia" w:ascii="黑体" w:hAnsi="黑体" w:eastAsia="黑体" w:cs="黑体"/>
          <w:color w:val="auto"/>
          <w:sz w:val="32"/>
          <w:szCs w:val="32"/>
          <w:u w:val="none"/>
          <w:lang w:val="zh-CN"/>
        </w:rPr>
        <w:t>过渡租金保障</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被征收人现居住在本区域内，</w:t>
      </w:r>
      <w:r>
        <w:rPr>
          <w:rFonts w:hint="eastAsia" w:ascii="仿宋_GB2312" w:eastAsia="仿宋_GB2312"/>
          <w:color w:val="auto"/>
          <w:sz w:val="32"/>
          <w:szCs w:val="32"/>
          <w:u w:val="none"/>
          <w:lang w:val="zh-CN" w:eastAsia="zh-CN"/>
        </w:rPr>
        <w:t>在规定签约期限内签订协议并封房且</w:t>
      </w:r>
      <w:r>
        <w:rPr>
          <w:rFonts w:hint="eastAsia" w:ascii="仿宋_GB2312" w:eastAsia="仿宋_GB2312"/>
          <w:color w:val="auto"/>
          <w:sz w:val="32"/>
          <w:szCs w:val="32"/>
          <w:u w:val="none"/>
          <w:lang w:val="zh-CN"/>
        </w:rPr>
        <w:t>选择产权调换的，因住宅临时过渡费较低导致自行过渡确实困难的，可申请增加补助，由所在</w:t>
      </w:r>
      <w:r>
        <w:rPr>
          <w:rFonts w:hint="eastAsia" w:ascii="仿宋_GB2312" w:eastAsia="仿宋_GB2312"/>
          <w:color w:val="auto"/>
          <w:sz w:val="32"/>
          <w:szCs w:val="32"/>
          <w:u w:val="none"/>
          <w:lang w:val="zh-CN" w:eastAsia="zh-CN"/>
        </w:rPr>
        <w:t>镇街根</w:t>
      </w:r>
      <w:r>
        <w:rPr>
          <w:rFonts w:hint="eastAsia" w:ascii="仿宋_GB2312" w:eastAsia="仿宋_GB2312"/>
          <w:color w:val="auto"/>
          <w:sz w:val="32"/>
          <w:szCs w:val="32"/>
          <w:u w:val="none"/>
          <w:lang w:val="zh-CN"/>
        </w:rPr>
        <w:t>据实际过渡人口困难情况给予适当保障。</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十八、</w:t>
      </w:r>
      <w:r>
        <w:rPr>
          <w:rFonts w:hint="eastAsia" w:ascii="黑体" w:hAnsi="黑体" w:eastAsia="黑体" w:cs="黑体"/>
          <w:b/>
          <w:bCs/>
          <w:color w:val="auto"/>
          <w:sz w:val="32"/>
          <w:szCs w:val="32"/>
          <w:u w:val="none"/>
          <w:lang w:val="zh-CN"/>
        </w:rPr>
        <w:t>失地农民养老保障</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u w:val="none"/>
          <w:lang w:val="zh-CN" w:eastAsia="zh-CN"/>
        </w:rPr>
        <w:t>第177号令）、《福清市被征地农民养老保障试行办法》（融政综[2009]179号</w:t>
      </w:r>
      <w:r>
        <w:rPr>
          <w:rFonts w:hint="eastAsia" w:ascii="仿宋_GB2312" w:eastAsia="仿宋_GB2312"/>
          <w:color w:val="auto"/>
          <w:sz w:val="32"/>
          <w:szCs w:val="32"/>
          <w:u w:val="none"/>
          <w:lang w:val="zh-CN"/>
        </w:rPr>
        <w:t>）、《福清市被征地农民养老保障实施细则》（融政办[2009]164号）等有关规定执行。</w:t>
      </w:r>
    </w:p>
    <w:p>
      <w:pPr>
        <w:pStyle w:val="1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十九、</w:t>
      </w:r>
      <w:r>
        <w:rPr>
          <w:rFonts w:hint="eastAsia" w:ascii="黑体" w:hAnsi="黑体" w:eastAsia="黑体" w:cs="黑体"/>
          <w:color w:val="auto"/>
          <w:sz w:val="32"/>
          <w:szCs w:val="32"/>
          <w:u w:val="none"/>
          <w:lang w:val="zh-CN"/>
        </w:rPr>
        <w:t>申请</w:t>
      </w:r>
      <w:r>
        <w:rPr>
          <w:rFonts w:hint="eastAsia" w:ascii="黑体" w:hAnsi="黑体" w:eastAsia="黑体" w:cs="黑体"/>
          <w:color w:val="auto"/>
          <w:sz w:val="32"/>
          <w:szCs w:val="32"/>
          <w:u w:val="none"/>
          <w:lang w:val="zh-CN" w:eastAsia="zh-CN"/>
        </w:rPr>
        <w:t>公租房</w:t>
      </w:r>
      <w:r>
        <w:rPr>
          <w:rFonts w:hint="eastAsia" w:ascii="黑体" w:hAnsi="黑体" w:eastAsia="黑体" w:cs="黑体"/>
          <w:color w:val="auto"/>
          <w:sz w:val="32"/>
          <w:szCs w:val="32"/>
          <w:u w:val="none"/>
          <w:lang w:val="zh-CN"/>
        </w:rPr>
        <w:t>保障</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w:t>
      </w:r>
      <w:r>
        <w:rPr>
          <w:rFonts w:hint="eastAsia" w:ascii="仿宋_GB2312" w:eastAsia="仿宋_GB2312"/>
          <w:color w:val="auto"/>
          <w:sz w:val="32"/>
          <w:szCs w:val="32"/>
          <w:u w:val="none"/>
          <w:lang w:val="zh-CN" w:eastAsia="zh-CN"/>
        </w:rPr>
        <w:t>在规定签约期限内签订协议并封房</w:t>
      </w:r>
      <w:r>
        <w:rPr>
          <w:rFonts w:hint="eastAsia" w:eastAsia="仿宋_GB2312"/>
          <w:color w:val="auto"/>
          <w:sz w:val="32"/>
          <w:szCs w:val="32"/>
          <w:u w:val="none"/>
          <w:lang w:eastAsia="zh-CN"/>
        </w:rPr>
        <w:t>交拆</w:t>
      </w:r>
      <w:r>
        <w:rPr>
          <w:rFonts w:hint="eastAsia" w:ascii="仿宋_GB2312" w:eastAsia="仿宋_GB2312"/>
          <w:color w:val="auto"/>
          <w:sz w:val="32"/>
          <w:szCs w:val="32"/>
          <w:u w:val="none"/>
          <w:lang w:val="zh-CN" w:eastAsia="zh-CN"/>
        </w:rPr>
        <w:t>且</w:t>
      </w:r>
      <w:r>
        <w:rPr>
          <w:rFonts w:hint="eastAsia" w:ascii="仿宋_GB2312" w:eastAsia="仿宋_GB2312"/>
          <w:color w:val="auto"/>
          <w:sz w:val="32"/>
          <w:szCs w:val="32"/>
          <w:u w:val="none"/>
          <w:lang w:val="zh-CN"/>
        </w:rPr>
        <w:t>符合</w:t>
      </w:r>
      <w:r>
        <w:rPr>
          <w:rFonts w:hint="eastAsia" w:ascii="仿宋_GB2312" w:eastAsia="仿宋_GB2312"/>
          <w:color w:val="auto"/>
          <w:sz w:val="32"/>
          <w:szCs w:val="32"/>
          <w:u w:val="none"/>
          <w:lang w:val="zh-CN" w:eastAsia="zh-CN"/>
        </w:rPr>
        <w:t>申请</w:t>
      </w:r>
      <w:r>
        <w:rPr>
          <w:rFonts w:hint="eastAsia" w:ascii="仿宋_GB2312" w:eastAsia="仿宋_GB2312"/>
          <w:color w:val="auto"/>
          <w:sz w:val="32"/>
          <w:szCs w:val="32"/>
          <w:u w:val="none"/>
          <w:lang w:val="zh-CN"/>
        </w:rPr>
        <w:t>公共租赁房条件的，被征收人可按照住房保障有关政策规定，携带相关证明材料到街道申请，再由房屋征收实施单位汇总后报市政府优先给予配租，被征收人可以不轮候。</w:t>
      </w:r>
    </w:p>
    <w:p>
      <w:pPr>
        <w:pStyle w:val="10"/>
        <w:pageBreakBefore w:val="0"/>
        <w:shd w:val="clear" w:color="auto" w:fill="auto"/>
        <w:kinsoku/>
        <w:wordWrap/>
        <w:overflowPunct/>
        <w:topLinePunct w:val="0"/>
        <w:autoSpaceDE/>
        <w:autoSpaceDN/>
        <w:bidi w:val="0"/>
        <w:adjustRightInd/>
        <w:snapToGrid/>
        <w:spacing w:line="500" w:lineRule="exact"/>
        <w:ind w:left="20" w:firstLine="6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eastAsia="zh-CN"/>
        </w:rPr>
        <w:t>二十、</w:t>
      </w:r>
      <w:r>
        <w:rPr>
          <w:rFonts w:hint="eastAsia" w:ascii="黑体" w:hAnsi="黑体" w:eastAsia="黑体" w:cs="黑体"/>
          <w:color w:val="auto"/>
          <w:sz w:val="32"/>
          <w:szCs w:val="32"/>
          <w:u w:val="none"/>
          <w:lang w:val="zh-CN"/>
        </w:rPr>
        <w:t>困难保障</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eastAsia="仿宋_GB2312"/>
          <w:color w:val="auto"/>
          <w:sz w:val="32"/>
          <w:szCs w:val="32"/>
          <w:u w:val="none"/>
        </w:rPr>
        <w:t>在规定</w:t>
      </w:r>
      <w:r>
        <w:rPr>
          <w:rFonts w:hint="eastAsia" w:eastAsia="仿宋_GB2312"/>
          <w:color w:val="auto"/>
          <w:sz w:val="32"/>
          <w:szCs w:val="32"/>
          <w:u w:val="none"/>
          <w:lang w:eastAsia="zh-CN"/>
        </w:rPr>
        <w:t>签约</w:t>
      </w:r>
      <w:r>
        <w:rPr>
          <w:rFonts w:hint="eastAsia" w:eastAsia="仿宋_GB2312"/>
          <w:color w:val="auto"/>
          <w:sz w:val="32"/>
          <w:szCs w:val="32"/>
          <w:u w:val="none"/>
        </w:rPr>
        <w:t>期限内签订协议并封房</w:t>
      </w:r>
      <w:r>
        <w:rPr>
          <w:rFonts w:hint="eastAsia" w:eastAsia="仿宋_GB2312"/>
          <w:color w:val="auto"/>
          <w:sz w:val="32"/>
          <w:szCs w:val="32"/>
          <w:u w:val="none"/>
          <w:lang w:eastAsia="zh-CN"/>
        </w:rPr>
        <w:t>交拆</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zh-CN"/>
        </w:rPr>
        <w:t>低保户、五保户、孤寡老人一次性给予30000元</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户的补助。</w:t>
      </w:r>
    </w:p>
    <w:p>
      <w:pPr>
        <w:pStyle w:val="10"/>
        <w:pageBreakBefore w:val="0"/>
        <w:shd w:val="clear" w:color="auto" w:fill="auto"/>
        <w:kinsoku/>
        <w:wordWrap/>
        <w:overflowPunct/>
        <w:topLinePunct w:val="0"/>
        <w:autoSpaceDE/>
        <w:autoSpaceDN/>
        <w:bidi w:val="0"/>
        <w:adjustRightInd/>
        <w:snapToGrid/>
        <w:spacing w:line="500" w:lineRule="exact"/>
        <w:ind w:left="20" w:firstLine="600"/>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二十一、居住条件保障</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在规定签约期限内签订协议并封房的低保户、五保户、孤寡老人及经集体研究公示无异议的困难户，可享受下列居住条件保障奖励措施。</w:t>
      </w:r>
    </w:p>
    <w:p>
      <w:pPr>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eastAsia="zh-CN"/>
        </w:rPr>
        <w:t>二十二、</w:t>
      </w:r>
      <w:r>
        <w:rPr>
          <w:rFonts w:hint="eastAsia" w:ascii="黑体" w:hAnsi="黑体" w:eastAsia="黑体" w:cs="黑体"/>
          <w:b/>
          <w:color w:val="auto"/>
          <w:sz w:val="32"/>
          <w:szCs w:val="32"/>
          <w:u w:val="none"/>
          <w:lang w:val="zh-CN"/>
        </w:rPr>
        <w:t>老人生活费补助</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b/>
          <w:bCs/>
          <w:color w:val="auto"/>
          <w:sz w:val="32"/>
          <w:szCs w:val="32"/>
          <w:u w:val="none"/>
          <w:lang w:val="zh-CN" w:eastAsia="zh-CN"/>
        </w:rPr>
      </w:pPr>
      <w:r>
        <w:rPr>
          <w:rFonts w:hint="eastAsia" w:ascii="仿宋_GB2312" w:eastAsia="仿宋_GB2312"/>
          <w:color w:val="auto"/>
          <w:sz w:val="32"/>
          <w:szCs w:val="32"/>
          <w:u w:val="none"/>
          <w:lang w:val="zh-CN"/>
        </w:rPr>
        <w:t>自</w:t>
      </w:r>
      <w:r>
        <w:rPr>
          <w:rFonts w:hint="eastAsia" w:ascii="仿宋_GB2312" w:eastAsia="仿宋_GB2312"/>
          <w:color w:val="auto"/>
          <w:sz w:val="32"/>
          <w:szCs w:val="32"/>
          <w:u w:val="none"/>
          <w:lang w:val="zh-CN" w:eastAsia="zh-CN"/>
        </w:rPr>
        <w:t>签订征收补偿协议</w:t>
      </w:r>
      <w:r>
        <w:rPr>
          <w:rFonts w:hint="eastAsia" w:ascii="仿宋_GB2312" w:eastAsia="仿宋_GB2312"/>
          <w:color w:val="auto"/>
          <w:sz w:val="32"/>
          <w:szCs w:val="32"/>
          <w:u w:val="none"/>
          <w:lang w:val="zh-CN"/>
        </w:rPr>
        <w:t>之日起至通知回迁安置之日</w:t>
      </w:r>
      <w:r>
        <w:rPr>
          <w:rFonts w:hint="eastAsia" w:ascii="仿宋_GB2312" w:eastAsia="仿宋_GB2312"/>
          <w:color w:val="auto"/>
          <w:sz w:val="32"/>
          <w:szCs w:val="32"/>
          <w:u w:val="none"/>
          <w:lang w:val="zh-CN" w:eastAsia="zh-CN"/>
        </w:rPr>
        <w:t>的过渡</w:t>
      </w:r>
      <w:r>
        <w:rPr>
          <w:rFonts w:hint="eastAsia" w:ascii="仿宋_GB2312" w:eastAsia="仿宋_GB2312"/>
          <w:color w:val="auto"/>
          <w:sz w:val="32"/>
          <w:szCs w:val="32"/>
          <w:u w:val="none"/>
          <w:lang w:val="zh-CN"/>
        </w:rPr>
        <w:t>期间内，户籍在</w:t>
      </w:r>
      <w:r>
        <w:rPr>
          <w:rFonts w:hint="eastAsia" w:ascii="仿宋_GB2312" w:eastAsia="仿宋_GB2312"/>
          <w:color w:val="auto"/>
          <w:sz w:val="32"/>
          <w:szCs w:val="32"/>
          <w:u w:val="none"/>
          <w:lang w:val="zh-CN" w:eastAsia="zh-CN"/>
        </w:rPr>
        <w:t>项目区域</w:t>
      </w:r>
      <w:r>
        <w:rPr>
          <w:rFonts w:hint="eastAsia" w:ascii="仿宋_GB2312" w:eastAsia="仿宋_GB2312"/>
          <w:color w:val="auto"/>
          <w:sz w:val="32"/>
          <w:szCs w:val="32"/>
          <w:u w:val="none"/>
          <w:lang w:val="zh-CN"/>
        </w:rPr>
        <w:t>内的被征收人，按时签</w:t>
      </w:r>
      <w:r>
        <w:rPr>
          <w:rFonts w:hint="eastAsia" w:ascii="仿宋_GB2312" w:eastAsia="仿宋_GB2312"/>
          <w:color w:val="auto"/>
          <w:sz w:val="32"/>
          <w:szCs w:val="32"/>
          <w:u w:val="none"/>
          <w:lang w:val="zh-CN" w:eastAsia="zh-CN"/>
        </w:rPr>
        <w:t>订协议</w:t>
      </w:r>
      <w:r>
        <w:rPr>
          <w:rFonts w:hint="eastAsia" w:ascii="仿宋_GB2312" w:eastAsia="仿宋_GB2312"/>
          <w:color w:val="auto"/>
          <w:sz w:val="32"/>
          <w:szCs w:val="32"/>
          <w:u w:val="none"/>
          <w:lang w:val="zh-CN"/>
        </w:rPr>
        <w:t>并</w:t>
      </w:r>
      <w:r>
        <w:rPr>
          <w:rFonts w:hint="eastAsia" w:ascii="仿宋_GB2312" w:eastAsia="仿宋_GB2312"/>
          <w:color w:val="auto"/>
          <w:sz w:val="32"/>
          <w:szCs w:val="32"/>
          <w:u w:val="none"/>
          <w:lang w:val="zh-CN" w:eastAsia="zh-CN"/>
        </w:rPr>
        <w:t>封房</w:t>
      </w:r>
      <w:r>
        <w:rPr>
          <w:rFonts w:hint="eastAsia" w:ascii="仿宋_GB2312" w:eastAsia="仿宋_GB2312"/>
          <w:color w:val="auto"/>
          <w:sz w:val="32"/>
          <w:szCs w:val="32"/>
          <w:u w:val="none"/>
          <w:lang w:val="zh-CN"/>
        </w:rPr>
        <w:t>的，自男满60周岁、女满55周岁当月起，每人每月给予</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00元生活费补助，</w:t>
      </w:r>
      <w:r>
        <w:rPr>
          <w:rFonts w:hint="eastAsia" w:ascii="仿宋_GB2312" w:eastAsia="仿宋_GB2312"/>
          <w:color w:val="auto"/>
          <w:sz w:val="32"/>
          <w:szCs w:val="32"/>
          <w:u w:val="none"/>
          <w:lang w:val="zh-CN" w:eastAsia="zh-CN"/>
        </w:rPr>
        <w:t>期限不超过36个</w:t>
      </w:r>
      <w:r>
        <w:rPr>
          <w:rFonts w:hint="eastAsia" w:ascii="仿宋_GB2312" w:eastAsia="仿宋_GB2312"/>
          <w:color w:val="auto"/>
          <w:sz w:val="32"/>
          <w:szCs w:val="32"/>
          <w:u w:val="none"/>
          <w:lang w:val="zh-CN"/>
        </w:rPr>
        <w:t>月，选择货币补偿的享受同等待遇且享受补助期限统一为36个月。由</w:t>
      </w:r>
      <w:r>
        <w:rPr>
          <w:rFonts w:hint="eastAsia" w:ascii="仿宋_GB2312" w:eastAsia="仿宋_GB2312"/>
          <w:color w:val="auto"/>
          <w:sz w:val="32"/>
          <w:szCs w:val="32"/>
          <w:u w:val="none"/>
          <w:lang w:val="zh-CN" w:eastAsia="zh-CN"/>
        </w:rPr>
        <w:t>属地街道另外制表向财务审核组申报，经审核后一次性拨付。</w:t>
      </w:r>
    </w:p>
    <w:p>
      <w:pPr>
        <w:pStyle w:val="2"/>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仿宋_GB2312" w:eastAsia="仿宋_GB2312"/>
          <w:b/>
          <w:bCs/>
          <w:color w:val="auto"/>
          <w:sz w:val="32"/>
          <w:szCs w:val="32"/>
          <w:u w:val="none"/>
          <w:lang w:val="zh-CN" w:eastAsia="zh-CN"/>
        </w:rPr>
      </w:pPr>
    </w:p>
    <w:p>
      <w:pPr>
        <w:pStyle w:val="2"/>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rPr>
        <w:t>第</w:t>
      </w:r>
      <w:r>
        <w:rPr>
          <w:rFonts w:hint="eastAsia" w:ascii="黑体" w:hAnsi="黑体" w:eastAsia="黑体" w:cs="黑体"/>
          <w:b/>
          <w:bCs/>
          <w:color w:val="auto"/>
          <w:sz w:val="32"/>
          <w:szCs w:val="32"/>
          <w:u w:val="none"/>
          <w:lang w:val="zh-CN" w:eastAsia="zh-CN"/>
        </w:rPr>
        <w:t>五</w:t>
      </w:r>
      <w:r>
        <w:rPr>
          <w:rFonts w:hint="eastAsia" w:ascii="黑体" w:hAnsi="黑体" w:eastAsia="黑体" w:cs="黑体"/>
          <w:b/>
          <w:bCs/>
          <w:color w:val="auto"/>
          <w:sz w:val="32"/>
          <w:szCs w:val="32"/>
          <w:u w:val="none"/>
          <w:lang w:val="zh-CN"/>
        </w:rPr>
        <w:t>部分    其他规定</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ascii="仿宋_GB2312" w:eastAsia="仿宋_GB2312"/>
          <w:b/>
          <w:bCs/>
          <w:color w:val="auto"/>
          <w:sz w:val="32"/>
          <w:szCs w:val="32"/>
          <w:u w:val="none"/>
          <w:lang w:val="zh-CN"/>
        </w:rPr>
      </w:pP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二十三、房屋权属不清的处理</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被征收房屋产权人下落不明、暂时无法确认产权和其他产权不清的房屋，由征收人就被征收房屋的有关事项办理证据保全后予以拆除。</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二十四、设定他项权利的处理</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被征收房屋设定抵押的，相关当事人应自行协商解除抵押关系，并在签订协议前向登记部门注销抵押关系。</w:t>
      </w:r>
    </w:p>
    <w:p>
      <w:pPr>
        <w:pStyle w:val="11"/>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二十五、</w:t>
      </w:r>
      <w:r>
        <w:rPr>
          <w:rFonts w:hint="eastAsia" w:ascii="黑体" w:hAnsi="黑体" w:eastAsia="黑体" w:cs="黑体"/>
          <w:b/>
          <w:bCs/>
          <w:color w:val="auto"/>
          <w:sz w:val="32"/>
          <w:szCs w:val="32"/>
          <w:u w:val="none"/>
          <w:lang w:val="zh-CN"/>
        </w:rPr>
        <w:t>超出签约期限内搬迁的处理办法</w:t>
      </w:r>
    </w:p>
    <w:p>
      <w:pPr>
        <w:pageBreakBefore w:val="0"/>
        <w:kinsoku/>
        <w:wordWrap/>
        <w:overflowPunct/>
        <w:topLinePunct w:val="0"/>
        <w:autoSpaceDE/>
        <w:autoSpaceDN/>
        <w:bidi w:val="0"/>
        <w:adjustRightInd/>
        <w:snapToGrid/>
        <w:spacing w:line="500" w:lineRule="exact"/>
        <w:ind w:firstLine="480" w:firstLineChars="150"/>
        <w:textAlignment w:val="auto"/>
        <w:rPr>
          <w:rFonts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（一）被征收人超过规定签约期限仍未签订协议并封房的，不享受本实施方案有关的补助、奖励、照顾、保障奖励措施。坚决杜绝超期限搬迁反而多得利的现象发生。</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（二）房屋征收部门与被征收人在征收补偿方案确定的签约期限内达不成补偿协议，按程序转入强制征收流程。</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（三）被征收人在法定期限内不申请行政复议或者不提起行政诉讼，在补偿决定规定的期限内又不搬迁的，由相关部门依法申请人民法院强制执行。</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eastAsia="zh-CN"/>
        </w:rPr>
      </w:pP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四）故意扰乱征收工作程序、煽动闹事、妨碍征收工作人员正常工作的，由公安机关按照《</w:t>
      </w:r>
      <w:r>
        <w:rPr>
          <w:rFonts w:hint="eastAsia" w:ascii="仿宋_GB2312" w:eastAsia="仿宋_GB2312"/>
          <w:color w:val="auto"/>
          <w:sz w:val="32"/>
          <w:szCs w:val="32"/>
          <w:u w:val="none"/>
          <w:lang w:val="zh-CN" w:eastAsia="zh-CN"/>
        </w:rPr>
        <w:t>中华人民共和国</w:t>
      </w:r>
      <w:r>
        <w:rPr>
          <w:rFonts w:hint="eastAsia" w:ascii="仿宋_GB2312" w:eastAsia="仿宋_GB2312"/>
          <w:color w:val="auto"/>
          <w:sz w:val="32"/>
          <w:szCs w:val="32"/>
          <w:u w:val="none"/>
          <w:lang w:val="zh-CN"/>
        </w:rPr>
        <w:t>治安管理处罚法》规定处罚，构成犯罪的由司法机关追究刑事责任。</w:t>
      </w:r>
    </w:p>
    <w:p>
      <w:pPr>
        <w:pStyle w:val="11"/>
        <w:pageBreakBefore w:val="0"/>
        <w:shd w:val="clear" w:color="auto" w:fill="auto"/>
        <w:kinsoku/>
        <w:wordWrap/>
        <w:overflowPunct/>
        <w:topLinePunct w:val="0"/>
        <w:autoSpaceDE/>
        <w:autoSpaceDN/>
        <w:bidi w:val="0"/>
        <w:adjustRightInd/>
        <w:snapToGrid/>
        <w:spacing w:after="0" w:line="500" w:lineRule="exact"/>
        <w:ind w:firstLine="803" w:firstLineChars="25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二十六、</w:t>
      </w:r>
      <w:r>
        <w:rPr>
          <w:rFonts w:hint="eastAsia" w:ascii="黑体" w:hAnsi="黑体" w:eastAsia="黑体" w:cs="黑体"/>
          <w:b/>
          <w:bCs/>
          <w:color w:val="auto"/>
          <w:sz w:val="32"/>
          <w:szCs w:val="32"/>
          <w:u w:val="none"/>
          <w:lang w:val="zh-CN"/>
        </w:rPr>
        <w:t>房屋搬迁程序</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（一）由征收人将实地测量的房屋面积、房屋结构、房屋成新率等交由被征收人核对，在核对无误情况下按规定时间及时回执。</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（二）被征收人在搬迁时应向水电部门交清费用，属相关部门安装总表，不得私自拆除、更换，应由相关部门统一拆除，否则将追究当事人责任。</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（三）被征收人应当按规定的</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期限签订协议且搬迁完毕，并办好封房移交手续。</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b/>
          <w:bCs/>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四</w:t>
      </w:r>
      <w:r>
        <w:rPr>
          <w:rFonts w:hint="eastAsia" w:ascii="仿宋_GB2312" w:eastAsia="仿宋_GB2312"/>
          <w:color w:val="auto"/>
          <w:sz w:val="32"/>
          <w:szCs w:val="32"/>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u w:val="none"/>
          <w:lang w:val="zh-CN"/>
        </w:rPr>
        <w:t>2</w:t>
      </w:r>
      <w:r>
        <w:rPr>
          <w:rFonts w:hint="eastAsia" w:ascii="仿宋_GB2312" w:eastAsia="仿宋_GB2312"/>
          <w:color w:val="auto"/>
          <w:sz w:val="32"/>
          <w:szCs w:val="32"/>
          <w:u w:val="none"/>
          <w:lang w:val="zh-CN"/>
        </w:rPr>
        <w:t>份。</w:t>
      </w:r>
    </w:p>
    <w:p>
      <w:pPr>
        <w:pStyle w:val="2"/>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仿宋_GB2312" w:eastAsia="仿宋_GB2312"/>
          <w:b/>
          <w:bCs/>
          <w:color w:val="auto"/>
          <w:sz w:val="32"/>
          <w:szCs w:val="32"/>
          <w:u w:val="none"/>
          <w:lang w:val="zh-CN"/>
        </w:rPr>
      </w:pPr>
    </w:p>
    <w:p>
      <w:pPr>
        <w:pStyle w:val="2"/>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黑体" w:hAnsi="黑体" w:eastAsia="黑体" w:cs="黑体"/>
          <w:b/>
          <w:bCs/>
          <w:color w:val="auto"/>
          <w:sz w:val="32"/>
          <w:szCs w:val="32"/>
          <w:u w:val="none"/>
          <w:lang w:val="zh-CN" w:eastAsia="zh-CN"/>
        </w:rPr>
      </w:pPr>
      <w:r>
        <w:rPr>
          <w:rFonts w:hint="eastAsia" w:ascii="黑体" w:hAnsi="黑体" w:eastAsia="黑体" w:cs="黑体"/>
          <w:b/>
          <w:bCs/>
          <w:color w:val="auto"/>
          <w:sz w:val="32"/>
          <w:szCs w:val="32"/>
          <w:u w:val="none"/>
          <w:lang w:val="zh-CN"/>
        </w:rPr>
        <w:t>第</w:t>
      </w:r>
      <w:r>
        <w:rPr>
          <w:rFonts w:hint="eastAsia" w:ascii="黑体" w:hAnsi="黑体" w:eastAsia="黑体" w:cs="黑体"/>
          <w:b/>
          <w:bCs/>
          <w:color w:val="auto"/>
          <w:sz w:val="32"/>
          <w:szCs w:val="32"/>
          <w:u w:val="none"/>
          <w:lang w:val="zh-CN" w:eastAsia="zh-CN"/>
        </w:rPr>
        <w:t>六</w:t>
      </w:r>
      <w:r>
        <w:rPr>
          <w:rFonts w:hint="eastAsia" w:ascii="黑体" w:hAnsi="黑体" w:eastAsia="黑体" w:cs="黑体"/>
          <w:b/>
          <w:bCs/>
          <w:color w:val="auto"/>
          <w:sz w:val="32"/>
          <w:szCs w:val="32"/>
          <w:u w:val="none"/>
          <w:lang w:val="zh-CN"/>
        </w:rPr>
        <w:t>部分    附则</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center"/>
        <w:textAlignment w:val="auto"/>
        <w:rPr>
          <w:rFonts w:ascii="仿宋_GB2312" w:eastAsia="仿宋_GB2312"/>
          <w:b/>
          <w:bCs/>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eastAsia="zh-CN"/>
        </w:rPr>
        <w:t>二十七、</w:t>
      </w:r>
      <w:r>
        <w:rPr>
          <w:rFonts w:hint="eastAsia" w:ascii="黑体" w:hAnsi="黑体" w:eastAsia="黑体" w:cs="黑体"/>
          <w:color w:val="auto"/>
          <w:sz w:val="32"/>
          <w:szCs w:val="32"/>
          <w:u w:val="none"/>
          <w:lang w:val="zh-CN"/>
        </w:rPr>
        <w:t>适用范围</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本方案适用于清展路（福兴大道至侨中路段）道路工程项目</w:t>
      </w:r>
      <w:r>
        <w:rPr>
          <w:rFonts w:hint="eastAsia" w:ascii="仿宋_GB2312" w:eastAsia="仿宋_GB2312"/>
          <w:color w:val="auto"/>
          <w:sz w:val="32"/>
          <w:szCs w:val="32"/>
          <w:u w:val="none"/>
          <w:lang w:eastAsia="zh-CN"/>
        </w:rPr>
        <w:t>公寓楼、集资楼</w:t>
      </w:r>
      <w:r>
        <w:rPr>
          <w:rFonts w:hint="eastAsia" w:ascii="仿宋_GB2312" w:eastAsia="仿宋_GB2312"/>
          <w:color w:val="auto"/>
          <w:sz w:val="32"/>
          <w:szCs w:val="32"/>
          <w:u w:val="none"/>
          <w:lang w:val="zh-CN" w:eastAsia="zh-CN"/>
        </w:rPr>
        <w:t>征收</w:t>
      </w:r>
      <w:r>
        <w:rPr>
          <w:rFonts w:hint="eastAsia" w:ascii="仿宋_GB2312" w:eastAsia="仿宋_GB2312"/>
          <w:color w:val="auto"/>
          <w:sz w:val="32"/>
          <w:szCs w:val="32"/>
          <w:u w:val="none"/>
          <w:lang w:val="zh-CN"/>
        </w:rPr>
        <w:t>补偿安置</w:t>
      </w:r>
      <w:r>
        <w:rPr>
          <w:rFonts w:hint="eastAsia" w:ascii="仿宋_GB2312" w:eastAsia="仿宋_GB2312"/>
          <w:color w:val="auto"/>
          <w:sz w:val="32"/>
          <w:szCs w:val="32"/>
          <w:u w:val="none"/>
          <w:lang w:val="zh-CN" w:eastAsia="zh-CN"/>
        </w:rPr>
        <w:t>。</w:t>
      </w:r>
    </w:p>
    <w:p>
      <w:pPr>
        <w:pStyle w:val="1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eastAsia="zh-CN"/>
        </w:rPr>
        <w:t>二十八、</w:t>
      </w:r>
      <w:r>
        <w:rPr>
          <w:rFonts w:hint="eastAsia" w:ascii="黑体" w:hAnsi="黑体" w:eastAsia="黑体" w:cs="黑体"/>
          <w:color w:val="auto"/>
          <w:sz w:val="32"/>
          <w:szCs w:val="32"/>
          <w:u w:val="none"/>
          <w:lang w:val="zh-CN"/>
        </w:rPr>
        <w:t>未尽事宜</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该补偿方案未提及事项按国务院及福建省、福州市、福清市的有关规定实施。</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bCs/>
          <w:color w:val="auto"/>
          <w:sz w:val="32"/>
          <w:szCs w:val="32"/>
          <w:u w:val="none"/>
          <w:lang w:val="zh-CN" w:eastAsia="zh-CN"/>
        </w:rPr>
      </w:pPr>
      <w:r>
        <w:rPr>
          <w:rFonts w:hint="eastAsia" w:ascii="黑体" w:hAnsi="黑体" w:eastAsia="黑体" w:cs="黑体"/>
          <w:b/>
          <w:bCs/>
          <w:color w:val="auto"/>
          <w:sz w:val="32"/>
          <w:szCs w:val="32"/>
          <w:u w:val="none"/>
          <w:lang w:val="zh-CN" w:eastAsia="zh-CN"/>
        </w:rPr>
        <w:t>二十九、投诉监督</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整个征收补偿工作将做到公正、公平、公开，欢迎被征收人监督。</w:t>
      </w:r>
    </w:p>
    <w:p>
      <w:pPr>
        <w:pStyle w:val="2"/>
        <w:pageBreakBefore w:val="0"/>
        <w:shd w:val="clear" w:color="auto" w:fill="auto"/>
        <w:kinsoku/>
        <w:wordWrap/>
        <w:overflowPunct/>
        <w:topLinePunct w:val="0"/>
        <w:autoSpaceDE/>
        <w:autoSpaceDN/>
        <w:bidi w:val="0"/>
        <w:adjustRightInd/>
        <w:snapToGrid/>
        <w:spacing w:after="0" w:line="500" w:lineRule="exact"/>
        <w:jc w:val="both"/>
        <w:textAlignment w:val="auto"/>
        <w:rPr>
          <w:rFonts w:hint="eastAsia" w:ascii="仿宋_GB2312" w:eastAsia="仿宋_GB2312"/>
          <w:color w:val="auto"/>
          <w:sz w:val="32"/>
          <w:szCs w:val="32"/>
          <w:u w:val="none"/>
          <w:lang w:val="zh-CN" w:eastAsia="zh-CN"/>
        </w:rPr>
      </w:pPr>
    </w:p>
    <w:p>
      <w:pPr>
        <w:pStyle w:val="2"/>
        <w:pageBreakBefore w:val="0"/>
        <w:shd w:val="clear" w:color="auto" w:fill="auto"/>
        <w:kinsoku/>
        <w:wordWrap/>
        <w:overflowPunct/>
        <w:topLinePunct w:val="0"/>
        <w:autoSpaceDE/>
        <w:autoSpaceDN/>
        <w:bidi w:val="0"/>
        <w:adjustRightInd/>
        <w:snapToGrid/>
        <w:spacing w:after="0" w:line="500" w:lineRule="exact"/>
        <w:textAlignment w:val="auto"/>
        <w:rPr>
          <w:rFonts w:hint="eastAsia" w:ascii="仿宋_GB2312" w:eastAsia="仿宋_GB2312"/>
          <w:color w:val="auto"/>
          <w:sz w:val="32"/>
          <w:szCs w:val="32"/>
          <w:u w:val="none"/>
          <w:lang w:val="zh-CN"/>
        </w:rPr>
      </w:pP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附</w:t>
      </w:r>
      <w:r>
        <w:rPr>
          <w:rFonts w:hint="eastAsia" w:ascii="仿宋_GB2312" w:eastAsia="仿宋_GB2312"/>
          <w:color w:val="auto"/>
          <w:sz w:val="32"/>
          <w:szCs w:val="32"/>
          <w:u w:val="none"/>
          <w:lang w:val="zh-CN" w:eastAsia="zh-CN"/>
        </w:rPr>
        <w:t>表</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被征收房屋重置价标准</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被征收房屋成新率评定标准</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房屋二次装修重置价标准</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eastAsia="zh-CN"/>
        </w:rPr>
        <w:t>房屋二次装修成新率评定标准</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eastAsia="zh-CN"/>
        </w:rPr>
        <w:t>公寓楼、集资楼等面积应补缴价格控制表</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eastAsia="zh-CN"/>
        </w:rPr>
        <w:t>房屋的附属物补偿标准</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7.临时搭盖的补偿规定</w:t>
      </w:r>
    </w:p>
    <w:p>
      <w:pPr>
        <w:pStyle w:val="2"/>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en-US" w:eastAsia="zh-CN"/>
        </w:rPr>
      </w:pPr>
    </w:p>
    <w:p>
      <w:pPr>
        <w:rPr>
          <w:rFonts w:hint="eastAsia" w:ascii="黑体" w:hAnsi="黑体" w:eastAsia="黑体" w:cs="黑体"/>
          <w:b/>
          <w:color w:val="auto"/>
          <w:kern w:val="0"/>
          <w:sz w:val="32"/>
          <w:szCs w:val="32"/>
          <w:u w:val="none"/>
          <w:lang w:val="en-US" w:eastAsia="zh-CN"/>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1</w:t>
      </w:r>
      <w:r>
        <w:rPr>
          <w:rFonts w:hint="eastAsia" w:ascii="黑体" w:hAnsi="黑体" w:eastAsia="黑体" w:cs="黑体"/>
          <w:b/>
          <w:color w:val="auto"/>
          <w:kern w:val="0"/>
          <w:sz w:val="32"/>
          <w:szCs w:val="32"/>
          <w:u w:val="none"/>
        </w:rPr>
        <w:t xml:space="preserve"> </w:t>
      </w:r>
      <w:r>
        <w:rPr>
          <w:rFonts w:hint="eastAsia" w:ascii="黑体" w:hAnsi="黑体" w:eastAsia="黑体" w:cs="黑体"/>
          <w:b/>
          <w:color w:val="auto"/>
          <w:kern w:val="0"/>
          <w:sz w:val="32"/>
          <w:szCs w:val="32"/>
          <w:u w:val="none"/>
          <w:lang w:val="en-US" w:eastAsia="zh-CN"/>
        </w:rPr>
        <w:t xml:space="preserve">   </w:t>
      </w:r>
    </w:p>
    <w:p>
      <w:pPr>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被征收房屋重置价标准</w:t>
      </w:r>
    </w:p>
    <w:tbl>
      <w:tblPr>
        <w:tblStyle w:val="7"/>
        <w:tblW w:w="9542" w:type="dxa"/>
        <w:tblInd w:w="-25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27"/>
        <w:gridCol w:w="723"/>
        <w:gridCol w:w="5541"/>
        <w:gridCol w:w="20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1227" w:type="dxa"/>
            <w:vMerge w:val="restart"/>
            <w:tcBorders>
              <w:tl2br w:val="nil"/>
              <w:tr2bl w:val="nil"/>
            </w:tcBorders>
            <w:noWrap w:val="0"/>
            <w:vAlign w:val="center"/>
          </w:tcPr>
          <w:p>
            <w:pPr>
              <w:widowControl/>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类别</w:t>
            </w:r>
          </w:p>
        </w:tc>
        <w:tc>
          <w:tcPr>
            <w:tcW w:w="723" w:type="dxa"/>
            <w:vMerge w:val="restart"/>
            <w:tcBorders>
              <w:tl2br w:val="nil"/>
              <w:tr2bl w:val="nil"/>
            </w:tcBorders>
            <w:noWrap w:val="0"/>
            <w:vAlign w:val="center"/>
          </w:tcPr>
          <w:p>
            <w:pPr>
              <w:widowControl/>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单价</w:t>
            </w:r>
          </w:p>
          <w:p>
            <w:pPr>
              <w:widowControl/>
              <w:ind w:right="-202" w:rightChars="-96"/>
              <w:rPr>
                <w:rFonts w:ascii="仿宋_GB2312" w:hAnsi="宋体" w:eastAsia="仿宋_GB2312" w:cs="宋体"/>
                <w:b/>
                <w:bCs/>
                <w:color w:val="auto"/>
                <w:kern w:val="0"/>
                <w:szCs w:val="21"/>
                <w:u w:val="none"/>
              </w:rPr>
            </w:pPr>
            <w:r>
              <w:rPr>
                <w:rFonts w:hint="eastAsia" w:ascii="仿宋_GB2312" w:hAnsi="宋体" w:eastAsia="仿宋_GB2312" w:cs="宋体"/>
                <w:b/>
                <w:color w:val="auto"/>
                <w:kern w:val="0"/>
                <w:szCs w:val="21"/>
                <w:u w:val="none"/>
              </w:rPr>
              <w:t>元/</w:t>
            </w:r>
            <w:r>
              <w:rPr>
                <w:rFonts w:hint="eastAsia" w:ascii="仿宋_GB2312" w:hAnsi="宋体" w:cs="宋体"/>
                <w:b/>
                <w:color w:val="auto"/>
                <w:kern w:val="0"/>
                <w:szCs w:val="21"/>
                <w:u w:val="none"/>
              </w:rPr>
              <w:t>㎡</w:t>
            </w:r>
          </w:p>
        </w:tc>
        <w:tc>
          <w:tcPr>
            <w:tcW w:w="5541" w:type="dxa"/>
            <w:vMerge w:val="restart"/>
            <w:tcBorders>
              <w:tl2br w:val="nil"/>
              <w:tr2bl w:val="nil"/>
            </w:tcBorders>
            <w:noWrap w:val="0"/>
            <w:vAlign w:val="center"/>
          </w:tcPr>
          <w:p>
            <w:pPr>
              <w:widowControl/>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主要特征</w:t>
            </w:r>
          </w:p>
        </w:tc>
        <w:tc>
          <w:tcPr>
            <w:tcW w:w="2051" w:type="dxa"/>
            <w:vMerge w:val="restart"/>
            <w:tcBorders>
              <w:tl2br w:val="nil"/>
              <w:tr2bl w:val="nil"/>
            </w:tcBorders>
            <w:noWrap w:val="0"/>
            <w:vAlign w:val="center"/>
          </w:tcPr>
          <w:p>
            <w:pPr>
              <w:widowControl/>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1227"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723"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554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205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trPr>
        <w:tc>
          <w:tcPr>
            <w:tcW w:w="1227"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723"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554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c>
          <w:tcPr>
            <w:tcW w:w="2051" w:type="dxa"/>
            <w:vMerge w:val="continue"/>
            <w:tcBorders>
              <w:tl2br w:val="nil"/>
              <w:tr2bl w:val="nil"/>
            </w:tcBorders>
            <w:noWrap w:val="0"/>
            <w:vAlign w:val="center"/>
          </w:tcPr>
          <w:p>
            <w:pPr>
              <w:widowControl/>
              <w:jc w:val="left"/>
              <w:rPr>
                <w:rFonts w:ascii="仿宋_GB2312" w:hAnsi="宋体" w:eastAsia="仿宋_GB2312" w:cs="宋体"/>
                <w:b/>
                <w:bCs/>
                <w:color w:val="auto"/>
                <w:kern w:val="0"/>
                <w:szCs w:val="21"/>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64" w:hRule="atLeast"/>
        </w:trPr>
        <w:tc>
          <w:tcPr>
            <w:tcW w:w="1227" w:type="dxa"/>
            <w:vMerge w:val="restart"/>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框架结构</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1200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外墙三面以上条砖贴面、砌清水砖或同档次外墙饰面；铝合金门窗、胶合板门。</w:t>
            </w:r>
          </w:p>
        </w:tc>
        <w:tc>
          <w:tcPr>
            <w:tcW w:w="2051" w:type="dxa"/>
            <w:vMerge w:val="restart"/>
            <w:tcBorders>
              <w:tl2br w:val="nil"/>
              <w:tr2bl w:val="nil"/>
            </w:tcBorders>
            <w:noWrap w:val="0"/>
            <w:vAlign w:val="top"/>
          </w:tcPr>
          <w:p>
            <w:pPr>
              <w:widowControl/>
              <w:jc w:val="left"/>
              <w:rPr>
                <w:rFonts w:hint="eastAsia" w:ascii="仿宋_GB2312" w:hAnsi="宋体" w:eastAsia="仿宋_GB2312" w:cs="宋体"/>
                <w:color w:val="auto"/>
                <w:kern w:val="0"/>
                <w:sz w:val="18"/>
                <w:szCs w:val="18"/>
                <w:u w:val="none"/>
              </w:rPr>
            </w:pPr>
            <w:r>
              <w:rPr>
                <w:rFonts w:hint="eastAsia" w:ascii="仿宋_GB2312" w:hAnsi="宋体" w:eastAsia="仿宋_GB2312" w:cs="宋体"/>
                <w:color w:val="auto"/>
                <w:kern w:val="0"/>
                <w:sz w:val="18"/>
                <w:szCs w:val="18"/>
                <w:u w:val="none"/>
              </w:rPr>
              <w:t>1、屋顶为直接浇筑砼斜屋面的：有贴瓦的补价500元/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，未贴瓦的补价</w:t>
            </w:r>
            <w:r>
              <w:rPr>
                <w:rFonts w:hint="eastAsia" w:ascii="仿宋_GB2312" w:hAnsi="宋体" w:eastAsia="仿宋_GB2312" w:cs="宋体"/>
                <w:color w:val="auto"/>
                <w:kern w:val="0"/>
                <w:sz w:val="18"/>
                <w:szCs w:val="18"/>
                <w:u w:val="none"/>
              </w:rPr>
              <w:t>350元/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；屋顶为砼板面再加斜屋面的：有贴瓦的补价</w:t>
            </w:r>
            <w:r>
              <w:rPr>
                <w:rFonts w:hint="eastAsia" w:ascii="仿宋_GB2312" w:hAnsi="宋体" w:eastAsia="仿宋_GB2312" w:cs="宋体"/>
                <w:color w:val="auto"/>
                <w:kern w:val="0"/>
                <w:sz w:val="18"/>
                <w:szCs w:val="18"/>
                <w:u w:val="none"/>
              </w:rPr>
              <w:t>820元/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，未贴瓦的补价</w:t>
            </w:r>
            <w:r>
              <w:rPr>
                <w:rFonts w:hint="eastAsia" w:ascii="仿宋_GB2312" w:hAnsi="宋体" w:eastAsia="仿宋_GB2312" w:cs="宋体"/>
                <w:color w:val="auto"/>
                <w:kern w:val="0"/>
                <w:sz w:val="18"/>
                <w:szCs w:val="18"/>
                <w:u w:val="none"/>
              </w:rPr>
              <w:t>670元/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。以上补价面积为顶层外墙体外轮廓线投影面积</w:t>
            </w:r>
            <w:r>
              <w:rPr>
                <w:rFonts w:hint="eastAsia" w:ascii="仿宋_GB2312" w:hAnsi="宋体" w:eastAsia="仿宋_GB2312" w:cs="宋体"/>
                <w:color w:val="auto"/>
                <w:kern w:val="0"/>
                <w:sz w:val="18"/>
                <w:szCs w:val="18"/>
                <w:u w:val="none"/>
              </w:rPr>
              <w:t>。</w:t>
            </w:r>
          </w:p>
          <w:p>
            <w:pPr>
              <w:widowControl/>
              <w:jc w:val="left"/>
              <w:rPr>
                <w:rFonts w:hint="eastAsia" w:ascii="仿宋_GB2312" w:hAnsi="仿宋_GB2312" w:eastAsia="仿宋_GB2312" w:cs="仿宋_GB2312"/>
                <w:color w:val="auto"/>
                <w:kern w:val="0"/>
                <w:sz w:val="18"/>
                <w:szCs w:val="18"/>
                <w:u w:val="none"/>
              </w:rPr>
            </w:pPr>
            <w:r>
              <w:rPr>
                <w:rFonts w:hint="eastAsia" w:ascii="仿宋_GB2312" w:hAnsi="宋体" w:eastAsia="仿宋_GB2312" w:cs="宋体"/>
                <w:color w:val="auto"/>
                <w:kern w:val="0"/>
                <w:sz w:val="18"/>
                <w:szCs w:val="18"/>
                <w:u w:val="none"/>
              </w:rPr>
              <w:t>2、</w:t>
            </w:r>
            <w:r>
              <w:rPr>
                <w:rFonts w:hint="eastAsia" w:ascii="仿宋_GB2312" w:hAnsi="仿宋_GB2312" w:eastAsia="仿宋_GB2312" w:cs="仿宋_GB2312"/>
                <w:color w:val="auto"/>
                <w:kern w:val="0"/>
                <w:sz w:val="18"/>
                <w:szCs w:val="18"/>
                <w:u w:val="none"/>
              </w:rPr>
              <w:t>被征收房屋层高超过4米（含4米）的，</w:t>
            </w:r>
            <w:r>
              <w:rPr>
                <w:rFonts w:hint="eastAsia" w:ascii="仿宋_GB2312" w:hAnsi="仿宋_GB2312" w:eastAsia="仿宋_GB2312" w:cs="仿宋_GB2312"/>
                <w:color w:val="auto"/>
                <w:kern w:val="0"/>
                <w:sz w:val="18"/>
                <w:szCs w:val="18"/>
                <w:u w:val="none"/>
                <w:lang w:eastAsia="zh-CN"/>
              </w:rPr>
              <w:t>选择货币补偿的，</w:t>
            </w:r>
            <w:r>
              <w:rPr>
                <w:rFonts w:hint="eastAsia" w:ascii="仿宋_GB2312" w:hAnsi="仿宋_GB2312" w:eastAsia="仿宋_GB2312" w:cs="仿宋_GB2312"/>
                <w:color w:val="auto"/>
                <w:kern w:val="0"/>
                <w:sz w:val="18"/>
                <w:szCs w:val="18"/>
                <w:u w:val="none"/>
              </w:rPr>
              <w:t>重置价标准提高20%；被征收房屋层高超过6米（含6米）的，</w:t>
            </w:r>
            <w:r>
              <w:rPr>
                <w:rFonts w:hint="eastAsia" w:ascii="仿宋_GB2312" w:hAnsi="仿宋_GB2312" w:eastAsia="仿宋_GB2312" w:cs="仿宋_GB2312"/>
                <w:color w:val="auto"/>
                <w:kern w:val="0"/>
                <w:sz w:val="18"/>
                <w:szCs w:val="18"/>
                <w:u w:val="none"/>
                <w:lang w:eastAsia="zh-CN"/>
              </w:rPr>
              <w:t>选择货币补偿的，</w:t>
            </w:r>
            <w:r>
              <w:rPr>
                <w:rFonts w:hint="eastAsia" w:ascii="仿宋_GB2312" w:hAnsi="仿宋_GB2312" w:eastAsia="仿宋_GB2312" w:cs="仿宋_GB2312"/>
                <w:color w:val="auto"/>
                <w:kern w:val="0"/>
                <w:sz w:val="18"/>
                <w:szCs w:val="18"/>
                <w:u w:val="none"/>
              </w:rPr>
              <w:t>重置价标准提高40%；被征收房屋层高超过8米(含8米)的，</w:t>
            </w:r>
            <w:r>
              <w:rPr>
                <w:rFonts w:hint="eastAsia" w:ascii="仿宋_GB2312" w:hAnsi="仿宋_GB2312" w:eastAsia="仿宋_GB2312" w:cs="仿宋_GB2312"/>
                <w:color w:val="auto"/>
                <w:kern w:val="0"/>
                <w:sz w:val="18"/>
                <w:szCs w:val="18"/>
                <w:u w:val="none"/>
                <w:lang w:eastAsia="zh-CN"/>
              </w:rPr>
              <w:t>选择货币补偿的，</w:t>
            </w:r>
            <w:r>
              <w:rPr>
                <w:rFonts w:hint="eastAsia" w:ascii="仿宋_GB2312" w:hAnsi="仿宋_GB2312" w:eastAsia="仿宋_GB2312" w:cs="仿宋_GB2312"/>
                <w:color w:val="auto"/>
                <w:kern w:val="0"/>
                <w:sz w:val="18"/>
                <w:szCs w:val="18"/>
                <w:u w:val="none"/>
              </w:rPr>
              <w:t>重置价标准提高60%。</w:t>
            </w:r>
          </w:p>
          <w:p>
            <w:pPr>
              <w:widowControl/>
              <w:jc w:val="left"/>
              <w:rPr>
                <w:rFonts w:hint="eastAsia" w:ascii="仿宋_GB2312" w:hAnsi="仿宋_GB2312" w:eastAsia="仿宋_GB2312" w:cs="仿宋_GB2312"/>
                <w:color w:val="auto"/>
                <w:kern w:val="0"/>
                <w:sz w:val="18"/>
                <w:szCs w:val="18"/>
                <w:u w:val="none"/>
                <w:lang w:eastAsia="zh-CN"/>
              </w:rPr>
            </w:pPr>
            <w:r>
              <w:rPr>
                <w:rFonts w:hint="eastAsia" w:ascii="仿宋_GB2312" w:hAnsi="仿宋_GB2312" w:eastAsia="仿宋_GB2312" w:cs="仿宋_GB2312"/>
                <w:color w:val="auto"/>
                <w:kern w:val="0"/>
                <w:sz w:val="18"/>
                <w:szCs w:val="18"/>
                <w:u w:val="none"/>
                <w:lang w:val="en-US" w:eastAsia="zh-CN"/>
              </w:rPr>
              <w:t>3、被征收房屋外墙局部(至少一层外墙面以上或所有外墙角加窗门套补价100</w:t>
            </w:r>
            <w:r>
              <w:rPr>
                <w:rFonts w:hint="eastAsia" w:ascii="仿宋_GB2312" w:hAnsi="仿宋_GB2312" w:eastAsia="仿宋_GB2312" w:cs="仿宋_GB2312"/>
                <w:color w:val="auto"/>
                <w:kern w:val="0"/>
                <w:sz w:val="18"/>
                <w:szCs w:val="18"/>
                <w:u w:val="none"/>
                <w:lang w:eastAsia="zh-CN"/>
              </w:rPr>
              <w:t>元/㎡；外墙满挂普通石材的补价</w:t>
            </w:r>
            <w:r>
              <w:rPr>
                <w:rFonts w:hint="eastAsia" w:ascii="仿宋_GB2312" w:hAnsi="仿宋_GB2312" w:eastAsia="仿宋_GB2312" w:cs="仿宋_GB2312"/>
                <w:color w:val="auto"/>
                <w:kern w:val="0"/>
                <w:sz w:val="18"/>
                <w:szCs w:val="18"/>
                <w:u w:val="none"/>
                <w:lang w:val="en-US" w:eastAsia="zh-CN"/>
              </w:rPr>
              <w:t>200</w:t>
            </w:r>
            <w:r>
              <w:rPr>
                <w:rFonts w:hint="eastAsia" w:ascii="仿宋_GB2312" w:hAnsi="仿宋_GB2312" w:eastAsia="仿宋_GB2312" w:cs="仿宋_GB2312"/>
                <w:color w:val="auto"/>
                <w:kern w:val="0"/>
                <w:sz w:val="18"/>
                <w:szCs w:val="18"/>
                <w:u w:val="none"/>
                <w:lang w:eastAsia="zh-CN"/>
              </w:rPr>
              <w:t>元/㎡；外墙满挂高档石材的补价</w:t>
            </w:r>
            <w:r>
              <w:rPr>
                <w:rFonts w:hint="eastAsia" w:ascii="仿宋_GB2312" w:hAnsi="仿宋_GB2312" w:eastAsia="仿宋_GB2312" w:cs="仿宋_GB2312"/>
                <w:color w:val="auto"/>
                <w:kern w:val="0"/>
                <w:sz w:val="18"/>
                <w:szCs w:val="18"/>
                <w:u w:val="none"/>
                <w:lang w:val="en-US" w:eastAsia="zh-CN"/>
              </w:rPr>
              <w:t>350</w:t>
            </w:r>
            <w:r>
              <w:rPr>
                <w:rFonts w:hint="eastAsia" w:ascii="仿宋_GB2312" w:hAnsi="仿宋_GB2312" w:eastAsia="仿宋_GB2312" w:cs="仿宋_GB2312"/>
                <w:color w:val="auto"/>
                <w:kern w:val="0"/>
                <w:sz w:val="18"/>
                <w:szCs w:val="18"/>
                <w:u w:val="none"/>
                <w:lang w:eastAsia="zh-CN"/>
              </w:rPr>
              <w:t>元/㎡。</w:t>
            </w:r>
          </w:p>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w:t>
            </w:r>
          </w:p>
          <w:p>
            <w:pPr>
              <w:jc w:val="left"/>
              <w:rPr>
                <w:rFonts w:ascii="仿宋_GB2312" w:hAnsi="仿宋_GB2312" w:eastAsia="仿宋_GB2312" w:cs="仿宋_GB2312"/>
                <w:color w:val="auto"/>
                <w:kern w:val="0"/>
                <w:sz w:val="18"/>
                <w:szCs w:val="18"/>
                <w:u w:val="none"/>
              </w:rPr>
            </w:pPr>
            <w:r>
              <w:rPr>
                <w:rFonts w:hint="eastAsia" w:ascii="仿宋_GB2312" w:hAnsi="宋体" w:eastAsia="仿宋_GB2312" w:cs="宋体"/>
                <w:color w:val="auto"/>
                <w:kern w:val="0"/>
                <w:sz w:val="24"/>
                <w:u w:val="none"/>
              </w:rPr>
              <w:t>　</w:t>
            </w:r>
          </w:p>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w:t>
            </w:r>
          </w:p>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w:t>
            </w:r>
          </w:p>
          <w:p>
            <w:pPr>
              <w:jc w:val="left"/>
              <w:rPr>
                <w:rFonts w:hint="eastAsia" w:ascii="仿宋_GB2312" w:hAnsi="仿宋_GB2312" w:eastAsia="仿宋_GB2312" w:cs="仿宋_GB2312"/>
                <w:color w:val="auto"/>
                <w:kern w:val="0"/>
                <w:sz w:val="18"/>
                <w:szCs w:val="18"/>
                <w:u w:val="none"/>
              </w:rPr>
            </w:pPr>
            <w:r>
              <w:rPr>
                <w:rFonts w:hint="eastAsia" w:ascii="仿宋_GB2312" w:hAnsi="宋体" w:eastAsia="仿宋_GB2312" w:cs="宋体"/>
                <w:color w:val="auto"/>
                <w:kern w:val="0"/>
                <w:sz w:val="24"/>
                <w:u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9"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1100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外墙部分条砖贴面、砌清水砖或同档次外墙饰面；铝合金门窗、胶合板门。</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49"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950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外墙水泥砂浆抹面，未做饰面；胶合板门，铝合金窗。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4"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850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外墙无装修，无水泥砂浆抹面；胶合板门，铝合金窗，木窗。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2"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750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只完成主体工程并填充内外墙（无门窗）。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9" w:hRule="atLeast"/>
        </w:trPr>
        <w:tc>
          <w:tcPr>
            <w:tcW w:w="1227" w:type="dxa"/>
            <w:vMerge w:val="restart"/>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砖混结构</w:t>
            </w: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外墙三面以上条砖贴面或清水砖或同档次外墙饰面；铝合金门窗、胶合板门。</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5"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外墙部分条砖贴面或清水砖或同档次外墙饰面；铝合金门窗、胶合板门。</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6"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外墙水泥砂浆抹面，未做饰面；胶合板门，铝合金窗。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700</w:t>
            </w:r>
          </w:p>
        </w:tc>
        <w:tc>
          <w:tcPr>
            <w:tcW w:w="5541" w:type="dxa"/>
            <w:tcBorders>
              <w:tl2br w:val="nil"/>
              <w:tr2bl w:val="nil"/>
            </w:tcBorders>
            <w:noWrap w:val="0"/>
            <w:vAlign w:val="top"/>
          </w:tcPr>
          <w:p>
            <w:pPr>
              <w:widowControl/>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外墙无装修，无水泥砂浆抹面；胶合板门，铝合金窗（小部分木窗）。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55" w:hRule="atLeast"/>
        </w:trPr>
        <w:tc>
          <w:tcPr>
            <w:tcW w:w="1227" w:type="dxa"/>
            <w:vMerge w:val="continue"/>
            <w:tcBorders>
              <w:tl2br w:val="nil"/>
              <w:tr2bl w:val="nil"/>
            </w:tcBorders>
            <w:noWrap w:val="0"/>
            <w:vAlign w:val="center"/>
          </w:tcPr>
          <w:p>
            <w:pPr>
              <w:widowControl/>
              <w:jc w:val="left"/>
              <w:rPr>
                <w:rFonts w:ascii="仿宋_GB2312" w:hAnsi="宋体" w:eastAsia="仿宋_GB2312" w:cs="宋体"/>
                <w:color w:val="auto"/>
                <w:kern w:val="0"/>
                <w:sz w:val="24"/>
                <w:u w:val="none"/>
              </w:rPr>
            </w:pPr>
          </w:p>
        </w:tc>
        <w:tc>
          <w:tcPr>
            <w:tcW w:w="723" w:type="dxa"/>
            <w:tcBorders>
              <w:tl2br w:val="nil"/>
              <w:tr2bl w:val="nil"/>
            </w:tcBorders>
            <w:noWrap w:val="0"/>
            <w:vAlign w:val="center"/>
          </w:tcPr>
          <w:p>
            <w:pPr>
              <w:widowControl/>
              <w:jc w:val="both"/>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600</w:t>
            </w:r>
          </w:p>
        </w:tc>
        <w:tc>
          <w:tcPr>
            <w:tcW w:w="5541" w:type="dxa"/>
            <w:tcBorders>
              <w:tl2br w:val="nil"/>
              <w:tr2bl w:val="nil"/>
            </w:tcBorders>
            <w:noWrap w:val="0"/>
            <w:vAlign w:val="top"/>
          </w:tcPr>
          <w:p>
            <w:pPr>
              <w:widowControl/>
              <w:jc w:val="left"/>
              <w:rPr>
                <w:rFonts w:hint="eastAsia" w:ascii="仿宋_GB2312" w:hAnsi="宋体" w:eastAsia="仿宋_GB2312" w:cs="宋体"/>
                <w:color w:val="auto"/>
                <w:kern w:val="0"/>
                <w:sz w:val="24"/>
                <w:u w:val="none"/>
              </w:rPr>
            </w:pPr>
          </w:p>
          <w:p>
            <w:pPr>
              <w:widowControl/>
              <w:jc w:val="left"/>
              <w:rPr>
                <w:rFonts w:hint="eastAsia" w:ascii="仿宋_GB2312" w:hAnsi="宋体" w:eastAsia="仿宋_GB2312" w:cs="宋体"/>
                <w:color w:val="auto"/>
                <w:kern w:val="0"/>
                <w:sz w:val="24"/>
                <w:u w:val="none"/>
              </w:rPr>
            </w:pPr>
          </w:p>
          <w:p>
            <w:pPr>
              <w:widowControl/>
              <w:jc w:val="left"/>
              <w:rPr>
                <w:rFonts w:hint="eastAsia" w:ascii="仿宋_GB2312" w:hAnsi="宋体" w:eastAsia="仿宋_GB2312" w:cs="宋体"/>
                <w:color w:val="auto"/>
                <w:kern w:val="0"/>
                <w:sz w:val="24"/>
                <w:u w:val="none"/>
              </w:rPr>
            </w:pPr>
          </w:p>
          <w:p>
            <w:pPr>
              <w:widowControl/>
              <w:jc w:val="left"/>
              <w:rPr>
                <w:rFonts w:hint="eastAsia" w:ascii="仿宋_GB2312" w:hAnsi="宋体" w:eastAsia="仿宋_GB2312" w:cs="宋体"/>
                <w:color w:val="auto"/>
                <w:kern w:val="0"/>
                <w:sz w:val="24"/>
                <w:u w:val="none"/>
              </w:rPr>
            </w:pPr>
          </w:p>
          <w:p>
            <w:pPr>
              <w:widowControl/>
              <w:jc w:val="left"/>
              <w:rPr>
                <w:rFonts w:hint="eastAsia" w:ascii="仿宋_GB2312" w:hAnsi="宋体" w:eastAsia="仿宋_GB2312" w:cs="宋体"/>
                <w:color w:val="auto"/>
                <w:kern w:val="0"/>
                <w:sz w:val="24"/>
                <w:u w:val="none"/>
              </w:rPr>
            </w:pPr>
          </w:p>
          <w:p>
            <w:pPr>
              <w:widowControl/>
              <w:ind w:firstLine="240" w:firstLineChars="100"/>
              <w:jc w:val="left"/>
              <w:rPr>
                <w:rFonts w:hint="eastAsia" w:ascii="仿宋_GB2312" w:hAnsi="宋体" w:eastAsia="仿宋_GB2312" w:cs="宋体"/>
                <w:color w:val="auto"/>
                <w:kern w:val="0"/>
                <w:sz w:val="24"/>
                <w:u w:val="none"/>
              </w:rPr>
            </w:pPr>
          </w:p>
          <w:p>
            <w:pPr>
              <w:widowControl/>
              <w:ind w:firstLine="240" w:firstLineChars="100"/>
              <w:jc w:val="left"/>
              <w:rPr>
                <w:rFonts w:hint="eastAsia" w:ascii="仿宋_GB2312" w:hAnsi="宋体" w:eastAsia="仿宋_GB2312" w:cs="宋体"/>
                <w:color w:val="auto"/>
                <w:kern w:val="0"/>
                <w:sz w:val="24"/>
                <w:u w:val="none"/>
              </w:rPr>
            </w:pPr>
          </w:p>
          <w:p>
            <w:pPr>
              <w:widowControl/>
              <w:ind w:firstLine="240" w:firstLineChars="100"/>
              <w:jc w:val="lef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只完成主体工程（尚未安装门窗）。</w:t>
            </w:r>
          </w:p>
        </w:tc>
        <w:tc>
          <w:tcPr>
            <w:tcW w:w="2051" w:type="dxa"/>
            <w:vMerge w:val="continue"/>
            <w:tcBorders>
              <w:tl2br w:val="nil"/>
              <w:tr2bl w:val="nil"/>
            </w:tcBorders>
            <w:noWrap w:val="0"/>
            <w:vAlign w:val="top"/>
          </w:tcPr>
          <w:p>
            <w:pPr>
              <w:jc w:val="left"/>
              <w:rPr>
                <w:rFonts w:ascii="仿宋_GB2312" w:hAnsi="宋体" w:eastAsia="仿宋_GB2312" w:cs="宋体"/>
                <w:color w:val="auto"/>
                <w:kern w:val="0"/>
                <w:sz w:val="24"/>
                <w:u w:val="none"/>
              </w:rPr>
            </w:pPr>
          </w:p>
        </w:tc>
      </w:tr>
    </w:tbl>
    <w:p>
      <w:pPr>
        <w:rPr>
          <w:rFonts w:hint="eastAsia" w:ascii="仿宋_GB2312" w:eastAsia="仿宋_GB2312"/>
          <w:b/>
          <w:color w:val="auto"/>
          <w:kern w:val="0"/>
          <w:sz w:val="32"/>
          <w:szCs w:val="32"/>
          <w:u w:val="none"/>
        </w:rPr>
      </w:pPr>
    </w:p>
    <w:p>
      <w:pPr>
        <w:rPr>
          <w:rFonts w:hint="eastAsia" w:ascii="黑体" w:hAnsi="黑体" w:eastAsia="黑体" w:cs="黑体"/>
          <w:b/>
          <w:color w:val="auto"/>
          <w:kern w:val="0"/>
          <w:sz w:val="32"/>
          <w:szCs w:val="32"/>
          <w:u w:val="none"/>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2</w:t>
      </w:r>
      <w:r>
        <w:rPr>
          <w:rFonts w:hint="eastAsia" w:ascii="黑体" w:hAnsi="黑体" w:eastAsia="黑体" w:cs="黑体"/>
          <w:b/>
          <w:color w:val="auto"/>
          <w:kern w:val="0"/>
          <w:sz w:val="32"/>
          <w:szCs w:val="32"/>
          <w:u w:val="none"/>
        </w:rPr>
        <w:t xml:space="preserve"> </w:t>
      </w:r>
    </w:p>
    <w:p>
      <w:pPr>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被征收房屋成新率评定标准</w:t>
      </w:r>
    </w:p>
    <w:tbl>
      <w:tblPr>
        <w:tblStyle w:val="7"/>
        <w:tblW w:w="9209" w:type="dxa"/>
        <w:tblInd w:w="93" w:type="dxa"/>
        <w:tblLayout w:type="fixed"/>
        <w:tblCellMar>
          <w:top w:w="0" w:type="dxa"/>
          <w:left w:w="108" w:type="dxa"/>
          <w:bottom w:w="0" w:type="dxa"/>
          <w:right w:w="108" w:type="dxa"/>
        </w:tblCellMar>
      </w:tblPr>
      <w:tblGrid>
        <w:gridCol w:w="932"/>
        <w:gridCol w:w="932"/>
        <w:gridCol w:w="7345"/>
      </w:tblGrid>
      <w:tr>
        <w:tblPrEx>
          <w:tblLayout w:type="fixed"/>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等级</w:t>
            </w:r>
          </w:p>
        </w:tc>
        <w:tc>
          <w:tcPr>
            <w:tcW w:w="932"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基本评定标准</w:t>
            </w:r>
          </w:p>
        </w:tc>
      </w:tr>
      <w:tr>
        <w:tblPrEx>
          <w:tblLayout w:type="fixed"/>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能正常使用，房屋</w:t>
            </w:r>
            <w:r>
              <w:rPr>
                <w:rFonts w:hint="eastAsia" w:ascii="仿宋_GB2312" w:hAnsi="宋体" w:eastAsia="仿宋_GB2312" w:cs="宋体"/>
                <w:b w:val="0"/>
                <w:bCs w:val="0"/>
                <w:color w:val="auto"/>
                <w:kern w:val="0"/>
                <w:sz w:val="24"/>
                <w:u w:val="none"/>
              </w:rPr>
              <w:t>使用年限</w:t>
            </w:r>
            <w:r>
              <w:rPr>
                <w:rFonts w:eastAsia="仿宋_GB2312"/>
                <w:b w:val="0"/>
                <w:bCs w:val="0"/>
                <w:color w:val="auto"/>
                <w:kern w:val="0"/>
                <w:sz w:val="24"/>
                <w:u w:val="none"/>
              </w:rPr>
              <w:t>1-5</w:t>
            </w:r>
            <w:r>
              <w:rPr>
                <w:rFonts w:hint="eastAsia" w:ascii="仿宋_GB2312" w:hAnsi="宋体" w:eastAsia="仿宋_GB2312" w:cs="宋体"/>
                <w:b w:val="0"/>
                <w:bCs w:val="0"/>
                <w:color w:val="auto"/>
                <w:kern w:val="0"/>
                <w:sz w:val="24"/>
                <w:u w:val="none"/>
              </w:rPr>
              <w:t>年。</w:t>
            </w:r>
          </w:p>
        </w:tc>
      </w:tr>
      <w:tr>
        <w:tblPrEx>
          <w:tblLayout w:type="fixed"/>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95%</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能正常使用，房屋使用年限</w:t>
            </w:r>
            <w:r>
              <w:rPr>
                <w:rFonts w:eastAsia="仿宋_GB2312"/>
                <w:color w:val="auto"/>
                <w:kern w:val="0"/>
                <w:sz w:val="24"/>
                <w:u w:val="none"/>
              </w:rPr>
              <w:t>6-10</w:t>
            </w:r>
            <w:r>
              <w:rPr>
                <w:rFonts w:hint="eastAsia" w:ascii="仿宋_GB2312" w:hAnsi="宋体" w:eastAsia="仿宋_GB2312" w:cs="宋体"/>
                <w:color w:val="auto"/>
                <w:kern w:val="0"/>
                <w:sz w:val="24"/>
                <w:u w:val="none"/>
              </w:rPr>
              <w:t>年。</w:t>
            </w:r>
          </w:p>
        </w:tc>
      </w:tr>
      <w:tr>
        <w:tblPrEx>
          <w:tblLayout w:type="fixed"/>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能正常使用，房屋使用年限</w:t>
            </w:r>
            <w:r>
              <w:rPr>
                <w:rFonts w:eastAsia="仿宋_GB2312"/>
                <w:color w:val="auto"/>
                <w:kern w:val="0"/>
                <w:sz w:val="24"/>
                <w:u w:val="none"/>
              </w:rPr>
              <w:t>11-20</w:t>
            </w:r>
            <w:r>
              <w:rPr>
                <w:rFonts w:hint="eastAsia" w:ascii="仿宋_GB2312" w:hAnsi="宋体" w:eastAsia="仿宋_GB2312" w:cs="宋体"/>
                <w:color w:val="auto"/>
                <w:kern w:val="0"/>
                <w:sz w:val="24"/>
                <w:u w:val="none"/>
              </w:rPr>
              <w:t>年。</w:t>
            </w:r>
          </w:p>
        </w:tc>
      </w:tr>
      <w:tr>
        <w:tblPrEx>
          <w:tblLayout w:type="fixed"/>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85%</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能正常使用，房屋使用年限</w:t>
            </w:r>
            <w:r>
              <w:rPr>
                <w:rFonts w:eastAsia="仿宋_GB2312"/>
                <w:color w:val="auto"/>
                <w:kern w:val="0"/>
                <w:sz w:val="24"/>
                <w:u w:val="none"/>
              </w:rPr>
              <w:t>21-30</w:t>
            </w:r>
            <w:r>
              <w:rPr>
                <w:rFonts w:hint="eastAsia" w:ascii="仿宋_GB2312" w:hAnsi="宋体" w:eastAsia="仿宋_GB2312" w:cs="宋体"/>
                <w:color w:val="auto"/>
                <w:kern w:val="0"/>
                <w:sz w:val="24"/>
                <w:u w:val="none"/>
              </w:rPr>
              <w:t>年。</w:t>
            </w:r>
          </w:p>
        </w:tc>
      </w:tr>
      <w:tr>
        <w:tblPrEx>
          <w:tblLayout w:type="fixed"/>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尚能正常使用，房屋使用年限</w:t>
            </w:r>
            <w:r>
              <w:rPr>
                <w:rFonts w:eastAsia="仿宋_GB2312"/>
                <w:color w:val="auto"/>
                <w:kern w:val="0"/>
                <w:sz w:val="24"/>
                <w:u w:val="none"/>
              </w:rPr>
              <w:t>30</w:t>
            </w:r>
            <w:r>
              <w:rPr>
                <w:rFonts w:hint="eastAsia" w:ascii="仿宋_GB2312" w:hAnsi="宋体" w:eastAsia="仿宋_GB2312" w:cs="宋体"/>
                <w:color w:val="auto"/>
                <w:kern w:val="0"/>
                <w:sz w:val="24"/>
                <w:u w:val="none"/>
              </w:rPr>
              <w:t>年以上。</w:t>
            </w:r>
          </w:p>
        </w:tc>
      </w:tr>
      <w:tr>
        <w:tblPrEx>
          <w:tblLayout w:type="fixed"/>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六等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Layout w:type="fixed"/>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七等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不能正常使用，房屋年久失修，结构有明显变形或损坏，屋面严重漏雨</w:t>
            </w:r>
            <w:r>
              <w:rPr>
                <w:rFonts w:eastAsia="仿宋_GB2312"/>
                <w:color w:val="auto"/>
                <w:kern w:val="0"/>
                <w:sz w:val="24"/>
                <w:u w:val="none"/>
              </w:rPr>
              <w:t xml:space="preserve"> </w:t>
            </w:r>
            <w:r>
              <w:rPr>
                <w:rFonts w:hint="eastAsia" w:ascii="仿宋_GB2312" w:hAnsi="宋体" w:eastAsia="仿宋_GB2312" w:cs="宋体"/>
                <w:color w:val="auto"/>
                <w:kern w:val="0"/>
                <w:sz w:val="24"/>
                <w:u w:val="none"/>
              </w:rPr>
              <w:t>，外装修严重变形、破损，老化见底，设备陈旧不齐全，管道严重堵塞，水卫、电照管线，需进行大修或翻修、改建。（严重损坏房）</w:t>
            </w:r>
          </w:p>
        </w:tc>
      </w:tr>
      <w:tr>
        <w:tblPrEx>
          <w:tblLayout w:type="fixed"/>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八等</w:t>
            </w:r>
          </w:p>
        </w:tc>
        <w:tc>
          <w:tcPr>
            <w:tcW w:w="932"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w:t>
            </w:r>
          </w:p>
        </w:tc>
        <w:tc>
          <w:tcPr>
            <w:tcW w:w="7345" w:type="dxa"/>
            <w:tcBorders>
              <w:top w:val="nil"/>
              <w:left w:val="nil"/>
              <w:bottom w:val="single" w:color="auto" w:sz="8" w:space="0"/>
              <w:right w:val="single" w:color="auto"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黑体" w:hAnsi="黑体" w:eastAsia="黑体" w:cs="黑体"/>
          <w:b/>
          <w:color w:val="auto"/>
          <w:sz w:val="32"/>
          <w:szCs w:val="32"/>
          <w:u w:val="none"/>
        </w:rPr>
      </w:pPr>
      <w:r>
        <w:rPr>
          <w:rFonts w:hint="eastAsia" w:ascii="黑体" w:hAnsi="黑体" w:eastAsia="黑体" w:cs="黑体"/>
          <w:b/>
          <w:color w:val="auto"/>
          <w:sz w:val="32"/>
          <w:szCs w:val="32"/>
          <w:u w:val="none"/>
        </w:rPr>
        <w:t>附表</w:t>
      </w:r>
      <w:r>
        <w:rPr>
          <w:rFonts w:hint="eastAsia" w:ascii="黑体" w:hAnsi="黑体" w:eastAsia="黑体" w:cs="黑体"/>
          <w:b/>
          <w:color w:val="auto"/>
          <w:sz w:val="32"/>
          <w:szCs w:val="32"/>
          <w:u w:val="none"/>
          <w:lang w:val="en-US" w:eastAsia="zh-CN"/>
        </w:rPr>
        <w:t>3</w:t>
      </w:r>
      <w:r>
        <w:rPr>
          <w:rFonts w:hint="eastAsia" w:ascii="黑体" w:hAnsi="黑体" w:eastAsia="黑体" w:cs="黑体"/>
          <w:b/>
          <w:color w:val="auto"/>
          <w:sz w:val="32"/>
          <w:szCs w:val="32"/>
          <w:u w:val="none"/>
        </w:rPr>
        <w:t xml:space="preserve"> </w:t>
      </w:r>
    </w:p>
    <w:p>
      <w:pPr>
        <w:pStyle w:val="2"/>
        <w:shd w:val="clear" w:color="auto" w:fill="auto"/>
        <w:spacing w:after="0" w:line="600" w:lineRule="exact"/>
        <w:jc w:val="center"/>
        <w:rPr>
          <w:rFonts w:hint="eastAsia" w:ascii="方正小标宋简体" w:hAnsi="Times New Roman" w:eastAsia="方正小标宋简体" w:cs="Times New Roman"/>
          <w:kern w:val="0"/>
          <w:sz w:val="36"/>
          <w:szCs w:val="36"/>
          <w:lang w:val="zh-CN" w:eastAsia="zh-CN" w:bidi="ar-SA"/>
        </w:rPr>
      </w:pPr>
      <w:r>
        <w:rPr>
          <w:rFonts w:hint="eastAsia" w:ascii="方正小标宋简体" w:hAnsi="Times New Roman" w:eastAsia="方正小标宋简体" w:cs="Times New Roman"/>
          <w:kern w:val="0"/>
          <w:sz w:val="36"/>
          <w:szCs w:val="36"/>
          <w:lang w:val="en-US" w:eastAsia="zh-CN" w:bidi="ar-SA"/>
        </w:rPr>
        <w:t>房屋二次</w:t>
      </w:r>
      <w:r>
        <w:rPr>
          <w:rFonts w:hint="eastAsia" w:ascii="方正小标宋简体" w:hAnsi="Times New Roman" w:eastAsia="方正小标宋简体" w:cs="Times New Roman"/>
          <w:kern w:val="0"/>
          <w:sz w:val="36"/>
          <w:szCs w:val="36"/>
          <w:lang w:val="zh-CN" w:eastAsia="zh-CN" w:bidi="ar-SA"/>
        </w:rPr>
        <w:t>装修重置价标准</w:t>
      </w:r>
    </w:p>
    <w:tbl>
      <w:tblPr>
        <w:tblStyle w:val="7"/>
        <w:tblW w:w="9201" w:type="dxa"/>
        <w:tblInd w:w="93" w:type="dxa"/>
        <w:tblLayout w:type="fixed"/>
        <w:tblCellMar>
          <w:top w:w="0" w:type="dxa"/>
          <w:left w:w="108" w:type="dxa"/>
          <w:bottom w:w="0" w:type="dxa"/>
          <w:right w:w="108" w:type="dxa"/>
        </w:tblCellMar>
      </w:tblPr>
      <w:tblGrid>
        <w:gridCol w:w="564"/>
        <w:gridCol w:w="985"/>
        <w:gridCol w:w="7652"/>
      </w:tblGrid>
      <w:tr>
        <w:tblPrEx>
          <w:tblLayout w:type="fixed"/>
          <w:tblCellMar>
            <w:top w:w="0" w:type="dxa"/>
            <w:left w:w="108" w:type="dxa"/>
            <w:bottom w:w="0" w:type="dxa"/>
            <w:right w:w="108" w:type="dxa"/>
          </w:tblCellMar>
        </w:tblPrEx>
        <w:trPr>
          <w:trHeight w:val="312"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单价</w:t>
            </w:r>
          </w:p>
          <w:p>
            <w:pPr>
              <w:widowControl/>
              <w:ind w:firstLine="103" w:firstLineChars="49"/>
              <w:rPr>
                <w:rFonts w:hint="eastAsia" w:ascii="仿宋_GB2312" w:hAnsi="宋体" w:eastAsia="仿宋_GB2312" w:cs="宋体"/>
                <w:b/>
                <w:bCs/>
                <w:color w:val="auto"/>
                <w:kern w:val="0"/>
                <w:szCs w:val="21"/>
                <w:u w:val="none"/>
              </w:rPr>
            </w:pPr>
            <w:r>
              <w:rPr>
                <w:rFonts w:hint="eastAsia" w:ascii="仿宋_GB2312" w:hAnsi="宋体" w:eastAsia="仿宋_GB2312" w:cs="宋体"/>
                <w:b/>
                <w:color w:val="auto"/>
                <w:kern w:val="0"/>
                <w:szCs w:val="21"/>
                <w:u w:val="none"/>
              </w:rPr>
              <w:t>元/</w:t>
            </w:r>
            <w:r>
              <w:rPr>
                <w:rFonts w:hint="eastAsia" w:ascii="仿宋_GB2312" w:hAnsi="宋体" w:cs="宋体"/>
                <w:b/>
                <w:color w:val="auto"/>
                <w:kern w:val="0"/>
                <w:szCs w:val="21"/>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主  要  特  征</w:t>
            </w:r>
          </w:p>
        </w:tc>
      </w:tr>
      <w:tr>
        <w:tblPrEx>
          <w:tblLayout w:type="fixed"/>
          <w:tblCellMar>
            <w:top w:w="0" w:type="dxa"/>
            <w:left w:w="108" w:type="dxa"/>
            <w:bottom w:w="0" w:type="dxa"/>
            <w:right w:w="108" w:type="dxa"/>
          </w:tblCellMar>
        </w:tblPrEx>
        <w:trPr>
          <w:trHeight w:val="312"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b/>
                <w:bCs/>
                <w:color w:val="auto"/>
                <w:kern w:val="0"/>
                <w:szCs w:val="21"/>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b/>
                <w:bCs/>
                <w:color w:val="auto"/>
                <w:kern w:val="0"/>
                <w:szCs w:val="21"/>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jc w:val="left"/>
              <w:rPr>
                <w:rFonts w:ascii="仿宋_GB2312" w:hAnsi="宋体" w:eastAsia="仿宋_GB2312" w:cs="宋体"/>
                <w:b/>
                <w:bCs/>
                <w:color w:val="auto"/>
                <w:kern w:val="0"/>
                <w:szCs w:val="21"/>
                <w:u w:val="none"/>
              </w:rPr>
            </w:pPr>
          </w:p>
        </w:tc>
      </w:tr>
      <w:tr>
        <w:tblPrEx>
          <w:tblLayout w:type="fixed"/>
          <w:tblCellMar>
            <w:top w:w="0" w:type="dxa"/>
            <w:left w:w="108" w:type="dxa"/>
            <w:bottom w:w="0" w:type="dxa"/>
            <w:right w:w="108" w:type="dxa"/>
          </w:tblCellMar>
        </w:tblPrEx>
        <w:trPr>
          <w:trHeight w:val="2860"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一档</w:t>
            </w:r>
          </w:p>
        </w:tc>
        <w:tc>
          <w:tcPr>
            <w:tcW w:w="985" w:type="dxa"/>
            <w:tcBorders>
              <w:top w:val="nil"/>
              <w:left w:val="nil"/>
              <w:bottom w:val="single" w:color="auto" w:sz="8" w:space="0"/>
              <w:right w:val="nil"/>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hint="eastAsia" w:ascii="仿宋_GB2312" w:hAnsi="宋体" w:eastAsia="仿宋_GB2312" w:cs="宋体"/>
                <w:color w:val="auto"/>
                <w:kern w:val="0"/>
                <w:sz w:val="24"/>
                <w:u w:val="none"/>
                <w:lang w:eastAsia="zh-CN"/>
              </w:rPr>
            </w:pPr>
            <w:r>
              <w:rPr>
                <w:rFonts w:hint="eastAsia" w:ascii="仿宋_GB2312" w:hAnsi="宋体" w:eastAsia="仿宋_GB2312" w:cs="宋体"/>
                <w:color w:val="auto"/>
                <w:kern w:val="0"/>
                <w:sz w:val="24"/>
                <w:u w:val="none"/>
              </w:rPr>
              <w:t>地面为豪华高级花岗岩、高级缸砖、瓷砖踢脚线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w:t>
            </w:r>
            <w:r>
              <w:rPr>
                <w:rFonts w:hint="eastAsia" w:ascii="仿宋_GB2312" w:hAnsi="宋体" w:eastAsia="仿宋_GB2312" w:cs="宋体"/>
                <w:b w:val="0"/>
                <w:bCs w:val="0"/>
                <w:color w:val="auto"/>
                <w:kern w:val="0"/>
                <w:sz w:val="24"/>
                <w:u w:val="none"/>
              </w:rPr>
              <w:t>座等弱电；楼梯高级实木扶手或不锈钢扶手，高级花岗岩或高级缸砖踏步。</w:t>
            </w:r>
            <w:r>
              <w:rPr>
                <w:rFonts w:hint="eastAsia" w:ascii="仿宋_GB2312" w:hAnsi="宋体" w:eastAsia="仿宋_GB2312" w:cs="宋体"/>
                <w:b w:val="0"/>
                <w:bCs w:val="0"/>
                <w:color w:val="auto"/>
                <w:kern w:val="0"/>
                <w:sz w:val="24"/>
                <w:u w:val="none"/>
                <w:lang w:eastAsia="zh-CN"/>
              </w:rPr>
              <w:t>同时具备以下装修情形的可补价</w:t>
            </w:r>
            <w:r>
              <w:rPr>
                <w:rFonts w:hint="eastAsia" w:ascii="仿宋_GB2312" w:hAnsi="宋体" w:eastAsia="仿宋_GB2312" w:cs="宋体"/>
                <w:b w:val="0"/>
                <w:bCs w:val="0"/>
                <w:color w:val="auto"/>
                <w:kern w:val="0"/>
                <w:sz w:val="24"/>
                <w:u w:val="none"/>
                <w:lang w:val="en-US" w:eastAsia="zh-CN"/>
              </w:rPr>
              <w:t>200元/㎡：</w:t>
            </w:r>
            <w:r>
              <w:rPr>
                <w:rFonts w:hint="eastAsia" w:ascii="仿宋_GB2312" w:hAnsi="宋体" w:eastAsia="仿宋_GB2312" w:cs="宋体"/>
                <w:b w:val="0"/>
                <w:bCs w:val="0"/>
                <w:color w:val="auto"/>
                <w:kern w:val="0"/>
                <w:sz w:val="24"/>
                <w:u w:val="none"/>
                <w:lang w:eastAsia="zh-CN"/>
              </w:rPr>
              <w:t>厨房设置集成橱柜、电视背景墙挂石或镶木、楼梯踏步铺设实木地板、卫生间设置名牌浴缸，按实际装修对应的层数相应的建筑面积计算</w:t>
            </w:r>
            <w:r>
              <w:rPr>
                <w:rFonts w:hint="eastAsia" w:ascii="仿宋_GB2312" w:hAnsi="宋体" w:eastAsia="仿宋_GB2312" w:cs="宋体"/>
                <w:b w:val="0"/>
                <w:bCs w:val="0"/>
                <w:color w:val="auto"/>
                <w:kern w:val="0"/>
                <w:sz w:val="24"/>
                <w:u w:val="none"/>
              </w:rPr>
              <w:t>。</w:t>
            </w:r>
          </w:p>
        </w:tc>
      </w:tr>
      <w:tr>
        <w:tblPrEx>
          <w:tblLayout w:type="fixed"/>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二档</w:t>
            </w:r>
          </w:p>
        </w:tc>
        <w:tc>
          <w:tcPr>
            <w:tcW w:w="985" w:type="dxa"/>
            <w:tcBorders>
              <w:top w:val="nil"/>
              <w:left w:val="nil"/>
              <w:bottom w:val="single" w:color="auto" w:sz="8" w:space="0"/>
              <w:right w:val="nil"/>
            </w:tcBorders>
            <w:noWrap w:val="0"/>
            <w:vAlign w:val="center"/>
          </w:tcPr>
          <w:p>
            <w:pPr>
              <w:widowControl/>
              <w:spacing w:line="300" w:lineRule="exact"/>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地面为豪华高级花岗岩、缸砖、木地板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Layout w:type="fixed"/>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三档</w:t>
            </w:r>
          </w:p>
        </w:tc>
        <w:tc>
          <w:tcPr>
            <w:tcW w:w="985" w:type="dxa"/>
            <w:tcBorders>
              <w:top w:val="nil"/>
              <w:left w:val="nil"/>
              <w:bottom w:val="single" w:color="auto" w:sz="8" w:space="0"/>
              <w:right w:val="nil"/>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入户门为防盗门，地面为高级花岗岩、缸砖，瓷砖踢脚线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卫生间磁砖地板，磁砖贴内墙面，吊顶，卫生洁具（带有不可移动卫浴）；电话、电视、对讲等预埋管、线、盒、出线座等弱电；楼梯实木扶手或不锈钢扶手</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花岗岩或缸砖踏步。</w:t>
            </w:r>
          </w:p>
        </w:tc>
      </w:tr>
      <w:tr>
        <w:tblPrEx>
          <w:tblLayout w:type="fixed"/>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四档</w:t>
            </w:r>
          </w:p>
        </w:tc>
        <w:tc>
          <w:tcPr>
            <w:tcW w:w="985" w:type="dxa"/>
            <w:tcBorders>
              <w:top w:val="nil"/>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入户门为防盗门，地面为高级花岗岩或缸砖；瓷砖踢脚线，内墙面为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Layout w:type="fixed"/>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入户门为防盗门，地面为中档花岗岩或缸砖；瓷砖踢脚线，内墙面为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Layout w:type="fixed"/>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入户门为防盗门，地面为中档花岗岩或缸砖；瓷砖踢脚线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内墙面为涂料粉刷、瓷砖墙裙；天棚四周石膏角线；铝合金窗外小部分加防盗网，阳台有防盗网；厨房地板砖地面，瓷砖墙面；卫生洁具齐全，吊顶。普通电照。</w:t>
            </w:r>
          </w:p>
        </w:tc>
      </w:tr>
      <w:tr>
        <w:tblPrEx>
          <w:tblLayout w:type="fixed"/>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七档</w:t>
            </w:r>
          </w:p>
        </w:tc>
        <w:tc>
          <w:tcPr>
            <w:tcW w:w="985" w:type="dxa"/>
            <w:tcBorders>
              <w:top w:val="single" w:color="auto" w:sz="8" w:space="0"/>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入户门铁门及木门，地面为普通瓷砖或普通花岗岩，墙体部分贴砖，墙面及天棚普通墙漆粉刷及四周贴角线。木门窗，卫生间洁具齐全，吊顶。普通电照。</w:t>
            </w:r>
          </w:p>
        </w:tc>
      </w:tr>
      <w:tr>
        <w:tblPrEx>
          <w:tblLayout w:type="fixed"/>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八档</w:t>
            </w:r>
          </w:p>
        </w:tc>
        <w:tc>
          <w:tcPr>
            <w:tcW w:w="985" w:type="dxa"/>
            <w:tcBorders>
              <w:top w:val="single" w:color="auto" w:sz="8" w:space="0"/>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地面为普通瓷砖；厅后墙贴瓷砖</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墙面部分贴瓷砖</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内墙面及天棚普通墙漆粉刷；木门窗，简单铁门、防盗栅。普通水卫电照。</w:t>
            </w:r>
          </w:p>
        </w:tc>
      </w:tr>
      <w:tr>
        <w:tblPrEx>
          <w:tblLayout w:type="fixed"/>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九档</w:t>
            </w:r>
          </w:p>
        </w:tc>
        <w:tc>
          <w:tcPr>
            <w:tcW w:w="985" w:type="dxa"/>
            <w:tcBorders>
              <w:top w:val="single" w:color="auto" w:sz="8" w:space="0"/>
              <w:left w:val="nil"/>
              <w:bottom w:val="single" w:color="auto" w:sz="8" w:space="0"/>
              <w:right w:val="nil"/>
            </w:tcBorders>
            <w:noWrap w:val="0"/>
            <w:vAlign w:val="center"/>
          </w:tcPr>
          <w:p>
            <w:pPr>
              <w:widowControl/>
              <w:spacing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地面为地板砖或斗地砖；内墙面及天棚简单粉刷或部分粉刷；木门窗，简单铁门、防盗栅。简单水卫电照。</w:t>
            </w:r>
          </w:p>
        </w:tc>
      </w:tr>
      <w:tr>
        <w:tblPrEx>
          <w:tblLayout w:type="fixed"/>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widowControl/>
              <w:spacing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u w:val="none"/>
          <w:lang w:eastAsia="zh-CN"/>
        </w:rPr>
      </w:pPr>
    </w:p>
    <w:p>
      <w:pPr>
        <w:pStyle w:val="2"/>
        <w:shd w:val="clear" w:color="auto" w:fill="auto"/>
        <w:spacing w:after="0" w:line="600" w:lineRule="exact"/>
        <w:rPr>
          <w:rFonts w:hint="eastAsia" w:ascii="仿宋_GB2312" w:eastAsia="仿宋_GB2312"/>
          <w:b/>
          <w:color w:val="auto"/>
          <w:sz w:val="32"/>
          <w:szCs w:val="32"/>
          <w:u w:val="none"/>
        </w:rPr>
      </w:pPr>
      <w:r>
        <w:rPr>
          <w:rFonts w:hint="eastAsia" w:ascii="黑体" w:hAnsi="黑体" w:eastAsia="黑体" w:cs="黑体"/>
          <w:b/>
          <w:color w:val="auto"/>
          <w:sz w:val="32"/>
          <w:szCs w:val="32"/>
          <w:u w:val="none"/>
        </w:rPr>
        <w:t>附表</w:t>
      </w:r>
      <w:r>
        <w:rPr>
          <w:rFonts w:hint="eastAsia" w:ascii="黑体" w:hAnsi="黑体" w:eastAsia="黑体" w:cs="黑体"/>
          <w:b/>
          <w:color w:val="auto"/>
          <w:sz w:val="32"/>
          <w:szCs w:val="32"/>
          <w:u w:val="none"/>
          <w:lang w:val="en-US" w:eastAsia="zh-CN"/>
        </w:rPr>
        <w:t>4</w:t>
      </w:r>
      <w:r>
        <w:rPr>
          <w:rFonts w:hint="eastAsia" w:ascii="黑体" w:hAnsi="黑体" w:eastAsia="黑体" w:cs="黑体"/>
          <w:b/>
          <w:color w:val="auto"/>
          <w:sz w:val="32"/>
          <w:szCs w:val="32"/>
          <w:u w:val="none"/>
        </w:rPr>
        <w:t xml:space="preserve"> </w:t>
      </w:r>
      <w:r>
        <w:rPr>
          <w:rFonts w:hint="eastAsia" w:ascii="仿宋_GB2312" w:eastAsia="仿宋_GB2312"/>
          <w:b/>
          <w:color w:val="auto"/>
          <w:sz w:val="32"/>
          <w:szCs w:val="32"/>
          <w:u w:val="none"/>
        </w:rPr>
        <w:t xml:space="preserve"> </w:t>
      </w:r>
    </w:p>
    <w:p>
      <w:pPr>
        <w:pStyle w:val="2"/>
        <w:shd w:val="clear" w:color="auto" w:fill="auto"/>
        <w:spacing w:after="0" w:line="600" w:lineRule="exact"/>
        <w:jc w:val="center"/>
        <w:rPr>
          <w:rFonts w:hint="eastAsia" w:ascii="方正小标宋简体" w:hAnsi="Times New Roman" w:eastAsia="方正小标宋简体" w:cs="Times New Roman"/>
          <w:kern w:val="0"/>
          <w:sz w:val="36"/>
          <w:szCs w:val="36"/>
          <w:lang w:val="en-US" w:eastAsia="zh-CN" w:bidi="ar-SA"/>
        </w:rPr>
      </w:pPr>
      <w:r>
        <w:rPr>
          <w:rFonts w:hint="eastAsia" w:ascii="方正小标宋简体" w:hAnsi="Times New Roman" w:eastAsia="方正小标宋简体" w:cs="Times New Roman"/>
          <w:kern w:val="0"/>
          <w:sz w:val="36"/>
          <w:szCs w:val="36"/>
          <w:lang w:val="en-US" w:eastAsia="zh-CN" w:bidi="ar-SA"/>
        </w:rPr>
        <w:t>房屋二次装修成新率评定标准</w:t>
      </w:r>
    </w:p>
    <w:tbl>
      <w:tblPr>
        <w:tblStyle w:val="7"/>
        <w:tblW w:w="921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3" w:hRule="atLeast"/>
        </w:trPr>
        <w:tc>
          <w:tcPr>
            <w:tcW w:w="686" w:type="dxa"/>
            <w:noWrap w:val="0"/>
            <w:vAlign w:val="center"/>
          </w:tcPr>
          <w:p>
            <w:pPr>
              <w:widowControl/>
              <w:ind w:right="-90" w:rightChars="-43"/>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等级</w:t>
            </w:r>
          </w:p>
        </w:tc>
        <w:tc>
          <w:tcPr>
            <w:tcW w:w="839" w:type="dxa"/>
            <w:noWrap w:val="0"/>
            <w:vAlign w:val="center"/>
          </w:tcPr>
          <w:p>
            <w:pPr>
              <w:widowControl/>
              <w:ind w:right="-342" w:rightChars="-163"/>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成新率</w:t>
            </w:r>
          </w:p>
        </w:tc>
        <w:tc>
          <w:tcPr>
            <w:tcW w:w="6643" w:type="dxa"/>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基本评定标准</w:t>
            </w:r>
          </w:p>
        </w:tc>
        <w:tc>
          <w:tcPr>
            <w:tcW w:w="1048" w:type="dxa"/>
            <w:noWrap w:val="0"/>
            <w:vAlign w:val="center"/>
          </w:tcPr>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新旧</w:t>
            </w:r>
          </w:p>
          <w:p>
            <w:pPr>
              <w:widowControl/>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87" w:hRule="atLeast"/>
        </w:trPr>
        <w:tc>
          <w:tcPr>
            <w:tcW w:w="686"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839"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98%</w:t>
            </w:r>
          </w:p>
        </w:tc>
        <w:tc>
          <w:tcPr>
            <w:tcW w:w="6643" w:type="dxa"/>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0" w:hRule="atLeast"/>
        </w:trPr>
        <w:tc>
          <w:tcPr>
            <w:tcW w:w="686"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839"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w:t>
            </w:r>
          </w:p>
        </w:tc>
        <w:tc>
          <w:tcPr>
            <w:tcW w:w="6643" w:type="dxa"/>
            <w:noWrap w:val="0"/>
            <w:vAlign w:val="top"/>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23" w:hRule="atLeast"/>
        </w:trPr>
        <w:tc>
          <w:tcPr>
            <w:tcW w:w="686"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839"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w:t>
            </w:r>
          </w:p>
        </w:tc>
        <w:tc>
          <w:tcPr>
            <w:tcW w:w="6643" w:type="dxa"/>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6" w:hRule="atLeast"/>
        </w:trPr>
        <w:tc>
          <w:tcPr>
            <w:tcW w:w="686"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四等</w:t>
            </w:r>
          </w:p>
        </w:tc>
        <w:tc>
          <w:tcPr>
            <w:tcW w:w="839"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w:t>
            </w:r>
          </w:p>
        </w:tc>
        <w:tc>
          <w:tcPr>
            <w:tcW w:w="6643" w:type="dxa"/>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1259" w:hRule="atLeast"/>
        </w:trPr>
        <w:tc>
          <w:tcPr>
            <w:tcW w:w="686"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839"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w:t>
            </w:r>
          </w:p>
        </w:tc>
        <w:tc>
          <w:tcPr>
            <w:tcW w:w="6643" w:type="dxa"/>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旧</w:t>
            </w:r>
          </w:p>
        </w:tc>
      </w:tr>
    </w:tbl>
    <w:p>
      <w:pPr>
        <w:pStyle w:val="2"/>
        <w:shd w:val="clear" w:color="auto" w:fill="auto"/>
        <w:spacing w:after="223" w:line="280" w:lineRule="exact"/>
        <w:rPr>
          <w:rFonts w:hint="eastAsia" w:ascii="仿宋_GB2312" w:eastAsia="仿宋_GB2312"/>
          <w:color w:val="auto"/>
          <w:sz w:val="32"/>
          <w:szCs w:val="32"/>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pgNumType w:fmt="numberInDash"/>
          <w:cols w:space="720" w:num="1"/>
          <w:docGrid w:type="lines" w:linePitch="312" w:charSpace="0"/>
        </w:sectPr>
      </w:pPr>
    </w:p>
    <w:p>
      <w:pPr>
        <w:rPr>
          <w:rFonts w:hint="eastAsia" w:ascii="黑体" w:hAnsi="黑体" w:eastAsia="黑体" w:cs="黑体"/>
          <w:b/>
          <w:color w:val="auto"/>
          <w:kern w:val="0"/>
          <w:sz w:val="32"/>
          <w:szCs w:val="32"/>
          <w:u w:val="none"/>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5</w:t>
      </w:r>
      <w:r>
        <w:rPr>
          <w:rFonts w:hint="eastAsia" w:ascii="黑体" w:hAnsi="黑体" w:eastAsia="黑体" w:cs="黑体"/>
          <w:b/>
          <w:color w:val="auto"/>
          <w:kern w:val="0"/>
          <w:sz w:val="32"/>
          <w:szCs w:val="32"/>
          <w:u w:val="none"/>
        </w:rPr>
        <w:t xml:space="preserve"> </w:t>
      </w:r>
    </w:p>
    <w:p>
      <w:pPr>
        <w:rPr>
          <w:rFonts w:hint="eastAsia" w:ascii="仿宋_GB2312" w:hAnsi="仿宋_GB2312" w:eastAsia="仿宋_GB2312" w:cs="仿宋_GB2312"/>
          <w:color w:val="auto"/>
          <w:kern w:val="0"/>
          <w:sz w:val="24"/>
          <w:u w:val="none"/>
        </w:rPr>
      </w:pPr>
      <w:r>
        <w:rPr>
          <w:rFonts w:hint="eastAsia" w:ascii="方正小标宋简体" w:hAnsi="Times New Roman" w:eastAsia="方正小标宋简体" w:cs="Times New Roman"/>
          <w:kern w:val="0"/>
          <w:sz w:val="36"/>
          <w:szCs w:val="36"/>
          <w:lang w:val="en-US" w:eastAsia="zh-CN" w:bidi="ar-SA"/>
        </w:rPr>
        <w:t>公寓楼、集资楼等面积应补缴价格控制表</w:t>
      </w:r>
      <w:r>
        <w:rPr>
          <w:rFonts w:hint="eastAsia" w:ascii="仿宋_GB2312" w:eastAsia="仿宋_GB2312"/>
          <w:b/>
          <w:color w:val="auto"/>
          <w:kern w:val="0"/>
          <w:sz w:val="32"/>
          <w:szCs w:val="32"/>
          <w:u w:val="none"/>
        </w:rPr>
        <w:t xml:space="preserve"> </w:t>
      </w:r>
      <w:r>
        <w:rPr>
          <w:rFonts w:hint="eastAsia" w:ascii="仿宋_GB2312" w:hAnsi="宋体" w:eastAsia="仿宋_GB2312" w:cs="宋体"/>
          <w:b/>
          <w:bCs/>
          <w:color w:val="auto"/>
          <w:kern w:val="0"/>
          <w:sz w:val="24"/>
          <w:u w:val="none"/>
        </w:rPr>
        <w:t>（单位：元/</w:t>
      </w:r>
      <w:r>
        <w:rPr>
          <w:rFonts w:hint="eastAsia" w:ascii="宋体" w:hAnsi="宋体" w:cs="宋体"/>
          <w:b/>
          <w:bCs/>
          <w:color w:val="auto"/>
          <w:kern w:val="0"/>
          <w:sz w:val="24"/>
          <w:u w:val="none"/>
        </w:rPr>
        <w:t>㎡</w:t>
      </w:r>
      <w:r>
        <w:rPr>
          <w:rFonts w:hint="eastAsia" w:ascii="仿宋_GB2312" w:hAnsi="仿宋_GB2312" w:eastAsia="仿宋_GB2312" w:cs="仿宋_GB2312"/>
          <w:b/>
          <w:bCs/>
          <w:color w:val="auto"/>
          <w:kern w:val="0"/>
          <w:sz w:val="24"/>
          <w:u w:val="none"/>
        </w:rPr>
        <w:t>）</w:t>
      </w:r>
    </w:p>
    <w:p>
      <w:pPr>
        <w:jc w:val="center"/>
        <w:rPr>
          <w:rFonts w:hint="eastAsia" w:ascii="方正小标宋简体" w:hAnsi="Times New Roman" w:eastAsia="方正小标宋简体" w:cs="Times New Roman"/>
          <w:kern w:val="0"/>
          <w:sz w:val="36"/>
          <w:szCs w:val="36"/>
          <w:lang w:val="en-US" w:eastAsia="zh-CN" w:bidi="ar-SA"/>
        </w:rPr>
      </w:pPr>
      <w:r>
        <w:rPr>
          <w:rFonts w:hint="eastAsia" w:ascii="方正小标宋简体" w:hAnsi="Times New Roman" w:eastAsia="方正小标宋简体" w:cs="Times New Roman"/>
          <w:kern w:val="0"/>
          <w:sz w:val="36"/>
          <w:szCs w:val="36"/>
          <w:lang w:val="en-US" w:eastAsia="zh-CN" w:bidi="ar-SA"/>
        </w:rPr>
        <w:t>（产权调换专用表）</w:t>
      </w:r>
    </w:p>
    <w:tbl>
      <w:tblPr>
        <w:tblStyle w:val="7"/>
        <w:tblpPr w:leftFromText="180" w:rightFromText="180" w:vertAnchor="text" w:horzAnchor="page" w:tblpX="1922" w:tblpY="111"/>
        <w:tblOverlap w:val="never"/>
        <w:tblW w:w="8265" w:type="dxa"/>
        <w:tblInd w:w="0" w:type="dxa"/>
        <w:tblLayout w:type="fixed"/>
        <w:tblCellMar>
          <w:top w:w="0" w:type="dxa"/>
          <w:left w:w="108" w:type="dxa"/>
          <w:bottom w:w="0" w:type="dxa"/>
          <w:right w:w="108" w:type="dxa"/>
        </w:tblCellMar>
      </w:tblPr>
      <w:tblGrid>
        <w:gridCol w:w="1200"/>
        <w:gridCol w:w="1650"/>
        <w:gridCol w:w="5415"/>
      </w:tblGrid>
      <w:tr>
        <w:tblPrEx>
          <w:tblLayout w:type="fixed"/>
          <w:tblCellMar>
            <w:top w:w="0" w:type="dxa"/>
            <w:left w:w="108" w:type="dxa"/>
            <w:bottom w:w="0" w:type="dxa"/>
            <w:right w:w="108" w:type="dxa"/>
          </w:tblCellMar>
        </w:tblPrEx>
        <w:trPr>
          <w:trHeight w:val="463" w:hRule="atLeast"/>
        </w:trPr>
        <w:tc>
          <w:tcPr>
            <w:tcW w:w="1200" w:type="dxa"/>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b/>
                <w:bCs/>
                <w:color w:val="auto"/>
                <w:kern w:val="0"/>
                <w:sz w:val="24"/>
                <w:u w:val="none"/>
              </w:rPr>
            </w:pPr>
            <w:r>
              <w:rPr>
                <w:rFonts w:hint="eastAsia" w:ascii="仿宋_GB2312" w:hAnsi="宋体" w:eastAsia="仿宋_GB2312" w:cs="宋体"/>
                <w:b/>
                <w:bCs/>
                <w:color w:val="auto"/>
                <w:kern w:val="0"/>
                <w:sz w:val="24"/>
                <w:u w:val="none"/>
              </w:rPr>
              <w:t>结构</w:t>
            </w:r>
          </w:p>
        </w:tc>
        <w:tc>
          <w:tcPr>
            <w:tcW w:w="1650" w:type="dxa"/>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仿宋_GB2312" w:hAnsi="宋体" w:eastAsia="仿宋_GB2312" w:cs="宋体"/>
                <w:b/>
                <w:bCs/>
                <w:color w:val="auto"/>
                <w:kern w:val="0"/>
                <w:sz w:val="24"/>
                <w:u w:val="none"/>
              </w:rPr>
            </w:pPr>
            <w:r>
              <w:rPr>
                <w:rFonts w:hint="eastAsia" w:ascii="仿宋_GB2312" w:hAnsi="宋体" w:eastAsia="仿宋_GB2312" w:cs="宋体"/>
                <w:b/>
                <w:bCs/>
                <w:color w:val="auto"/>
                <w:kern w:val="0"/>
                <w:sz w:val="24"/>
                <w:u w:val="none"/>
              </w:rPr>
              <w:t>等 级</w:t>
            </w:r>
          </w:p>
        </w:tc>
        <w:tc>
          <w:tcPr>
            <w:tcW w:w="5415" w:type="dxa"/>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b/>
                <w:bCs/>
                <w:color w:val="auto"/>
                <w:kern w:val="0"/>
                <w:sz w:val="24"/>
                <w:u w:val="none"/>
              </w:rPr>
            </w:pPr>
            <w:r>
              <w:rPr>
                <w:rFonts w:hint="eastAsia" w:ascii="仿宋_GB2312" w:hAnsi="宋体" w:eastAsia="仿宋_GB2312" w:cs="宋体"/>
                <w:b/>
                <w:bCs/>
                <w:color w:val="auto"/>
                <w:kern w:val="0"/>
                <w:sz w:val="24"/>
                <w:u w:val="none"/>
              </w:rPr>
              <w:t>等面积应补缴价格控制</w:t>
            </w:r>
          </w:p>
        </w:tc>
      </w:tr>
      <w:tr>
        <w:tblPrEx>
          <w:tblLayout w:type="fixed"/>
          <w:tblCellMar>
            <w:top w:w="0" w:type="dxa"/>
            <w:left w:w="108" w:type="dxa"/>
            <w:bottom w:w="0" w:type="dxa"/>
            <w:right w:w="108" w:type="dxa"/>
          </w:tblCellMar>
        </w:tblPrEx>
        <w:trPr>
          <w:trHeight w:val="463" w:hRule="atLeast"/>
        </w:trPr>
        <w:tc>
          <w:tcPr>
            <w:tcW w:w="12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框架</w:t>
            </w:r>
          </w:p>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650" w:type="dxa"/>
            <w:tcBorders>
              <w:top w:val="nil"/>
              <w:left w:val="nil"/>
              <w:bottom w:val="single" w:color="auto" w:sz="4" w:space="0"/>
              <w:right w:val="single" w:color="auto" w:sz="8"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5415" w:type="dxa"/>
            <w:tcBorders>
              <w:top w:val="nil"/>
              <w:left w:val="nil"/>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r>
      <w:tr>
        <w:tblPrEx>
          <w:tblLayout w:type="fixed"/>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u w:val="none"/>
              </w:rPr>
            </w:pPr>
          </w:p>
        </w:tc>
        <w:tc>
          <w:tcPr>
            <w:tcW w:w="1650" w:type="dxa"/>
            <w:tcBorders>
              <w:top w:val="single" w:color="auto" w:sz="4" w:space="0"/>
              <w:left w:val="nil"/>
              <w:bottom w:val="single" w:color="auto" w:sz="8"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三至四等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r>
      <w:tr>
        <w:tblPrEx>
          <w:tblLayout w:type="fixed"/>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u w:val="none"/>
              </w:rPr>
            </w:pPr>
          </w:p>
        </w:tc>
        <w:tc>
          <w:tcPr>
            <w:tcW w:w="165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r>
      <w:tr>
        <w:tblPrEx>
          <w:tblLayout w:type="fixed"/>
          <w:tblCellMar>
            <w:top w:w="0" w:type="dxa"/>
            <w:left w:w="108" w:type="dxa"/>
            <w:bottom w:w="0" w:type="dxa"/>
            <w:right w:w="108" w:type="dxa"/>
          </w:tblCellMar>
        </w:tblPrEx>
        <w:trPr>
          <w:trHeight w:val="463" w:hRule="atLeast"/>
        </w:trPr>
        <w:tc>
          <w:tcPr>
            <w:tcW w:w="1200"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砖混</w:t>
            </w:r>
          </w:p>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65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200</w:t>
            </w:r>
          </w:p>
        </w:tc>
      </w:tr>
      <w:tr>
        <w:tblPrEx>
          <w:tblLayout w:type="fixed"/>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u w:val="none"/>
              </w:rPr>
            </w:pPr>
          </w:p>
        </w:tc>
        <w:tc>
          <w:tcPr>
            <w:tcW w:w="1650" w:type="dxa"/>
            <w:tcBorders>
              <w:top w:val="single" w:color="auto" w:sz="4" w:space="0"/>
              <w:left w:val="nil"/>
              <w:bottom w:val="single" w:color="auto" w:sz="8"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三至四等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r>
      <w:tr>
        <w:tblPrEx>
          <w:tblLayout w:type="fixed"/>
          <w:tblCellMar>
            <w:top w:w="0" w:type="dxa"/>
            <w:left w:w="108" w:type="dxa"/>
            <w:bottom w:w="0" w:type="dxa"/>
            <w:right w:w="108" w:type="dxa"/>
          </w:tblCellMar>
        </w:tblPrEx>
        <w:trPr>
          <w:trHeight w:val="463" w:hRule="atLeast"/>
        </w:trPr>
        <w:tc>
          <w:tcPr>
            <w:tcW w:w="1200"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仿宋_GB2312" w:hAnsi="宋体" w:eastAsia="仿宋_GB2312" w:cs="宋体"/>
                <w:color w:val="auto"/>
                <w:kern w:val="0"/>
                <w:sz w:val="24"/>
                <w:u w:val="none"/>
              </w:rPr>
            </w:pPr>
          </w:p>
        </w:tc>
        <w:tc>
          <w:tcPr>
            <w:tcW w:w="1650" w:type="dxa"/>
            <w:tcBorders>
              <w:top w:val="nil"/>
              <w:left w:val="nil"/>
              <w:bottom w:val="single" w:color="auto" w:sz="8"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5415"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r>
      <w:tr>
        <w:tblPrEx>
          <w:tblLayout w:type="fixed"/>
          <w:tblCellMar>
            <w:top w:w="0" w:type="dxa"/>
            <w:left w:w="108" w:type="dxa"/>
            <w:bottom w:w="0" w:type="dxa"/>
            <w:right w:w="108" w:type="dxa"/>
          </w:tblCellMar>
        </w:tblPrEx>
        <w:trPr>
          <w:trHeight w:val="1791" w:hRule="atLeast"/>
        </w:trPr>
        <w:tc>
          <w:tcPr>
            <w:tcW w:w="8265" w:type="dxa"/>
            <w:gridSpan w:val="3"/>
            <w:tcBorders>
              <w:top w:val="single" w:color="000000" w:sz="8" w:space="0"/>
              <w:left w:val="single" w:color="000000" w:sz="8" w:space="0"/>
              <w:bottom w:val="single" w:color="000000" w:sz="8" w:space="0"/>
              <w:right w:val="single" w:color="000000" w:sz="8" w:space="0"/>
            </w:tcBorders>
            <w:noWrap w:val="0"/>
            <w:vAlign w:val="center"/>
          </w:tcPr>
          <w:p>
            <w:pPr>
              <w:widowControl/>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备注：</w:t>
            </w:r>
          </w:p>
          <w:p>
            <w:pPr>
              <w:widowControl/>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1、产权调换的安置房与被征收房屋地段等级差价按方案规定另计；</w:t>
            </w:r>
          </w:p>
          <w:p>
            <w:pP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2、房产证同时登记套房及储藏间的，该储藏间面积按90%认定补偿安置面积。</w:t>
            </w:r>
          </w:p>
        </w:tc>
      </w:tr>
    </w:tbl>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tbl>
      <w:tblPr>
        <w:tblStyle w:val="7"/>
        <w:tblpPr w:leftFromText="180" w:rightFromText="180" w:vertAnchor="text" w:horzAnchor="page" w:tblpX="1862" w:tblpY="-301"/>
        <w:tblOverlap w:val="never"/>
        <w:tblW w:w="8865" w:type="dxa"/>
        <w:tblInd w:w="0" w:type="dxa"/>
        <w:tblLayout w:type="fixed"/>
        <w:tblCellMar>
          <w:top w:w="0" w:type="dxa"/>
          <w:left w:w="108" w:type="dxa"/>
          <w:bottom w:w="0" w:type="dxa"/>
          <w:right w:w="108" w:type="dxa"/>
        </w:tblCellMar>
      </w:tblPr>
      <w:tblGrid>
        <w:gridCol w:w="866"/>
        <w:gridCol w:w="1264"/>
        <w:gridCol w:w="1287"/>
        <w:gridCol w:w="2694"/>
        <w:gridCol w:w="2754"/>
      </w:tblGrid>
      <w:tr>
        <w:tblPrEx>
          <w:tblLayout w:type="fixed"/>
          <w:tblCellMar>
            <w:top w:w="0" w:type="dxa"/>
            <w:left w:w="108" w:type="dxa"/>
            <w:bottom w:w="0" w:type="dxa"/>
            <w:right w:w="108" w:type="dxa"/>
          </w:tblCellMar>
        </w:tblPrEx>
        <w:trPr>
          <w:trHeight w:val="699" w:hRule="atLeast"/>
        </w:trPr>
        <w:tc>
          <w:tcPr>
            <w:tcW w:w="8865" w:type="dxa"/>
            <w:gridSpan w:val="5"/>
            <w:noWrap w:val="0"/>
            <w:vAlign w:val="center"/>
          </w:tcPr>
          <w:p>
            <w:pPr>
              <w:widowControl/>
              <w:rPr>
                <w:rFonts w:ascii="仿宋_GB2312" w:eastAsia="仿宋_GB2312"/>
                <w:b/>
                <w:color w:val="auto"/>
                <w:kern w:val="0"/>
                <w:sz w:val="24"/>
                <w:u w:val="none"/>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6</w:t>
            </w:r>
            <w:r>
              <w:rPr>
                <w:rFonts w:hint="eastAsia" w:ascii="黑体" w:hAnsi="黑体" w:eastAsia="黑体" w:cs="黑体"/>
                <w:b/>
                <w:color w:val="auto"/>
                <w:kern w:val="0"/>
                <w:sz w:val="32"/>
                <w:szCs w:val="32"/>
                <w:u w:val="none"/>
              </w:rPr>
              <w:t xml:space="preserve">  </w:t>
            </w:r>
            <w:r>
              <w:rPr>
                <w:rFonts w:hint="eastAsia" w:ascii="黑体" w:hAnsi="黑体" w:eastAsia="黑体" w:cs="黑体"/>
                <w:b/>
                <w:color w:val="auto"/>
                <w:kern w:val="0"/>
                <w:sz w:val="32"/>
                <w:szCs w:val="32"/>
                <w:u w:val="none"/>
                <w:lang w:val="en-US" w:eastAsia="zh-CN"/>
              </w:rPr>
              <w:t xml:space="preserve">       </w:t>
            </w:r>
            <w:r>
              <w:rPr>
                <w:rFonts w:hint="eastAsia" w:ascii="方正小标宋简体" w:hAnsi="Times New Roman" w:eastAsia="方正小标宋简体" w:cs="Times New Roman"/>
                <w:kern w:val="0"/>
                <w:sz w:val="36"/>
                <w:szCs w:val="36"/>
                <w:lang w:val="en-US" w:eastAsia="zh-CN" w:bidi="ar-SA"/>
              </w:rPr>
              <w:t>房屋的附属物补偿标准</w:t>
            </w:r>
          </w:p>
        </w:tc>
      </w:tr>
      <w:tr>
        <w:tblPrEx>
          <w:tblLayout w:type="fixed"/>
          <w:tblCellMar>
            <w:top w:w="0" w:type="dxa"/>
            <w:left w:w="108" w:type="dxa"/>
            <w:bottom w:w="0" w:type="dxa"/>
            <w:right w:w="108" w:type="dxa"/>
          </w:tblCellMar>
        </w:tblPrEx>
        <w:trPr>
          <w:trHeight w:val="39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b/>
                <w:color w:val="auto"/>
                <w:kern w:val="0"/>
                <w:sz w:val="24"/>
                <w:u w:val="none"/>
              </w:rPr>
            </w:pPr>
            <w:r>
              <w:rPr>
                <w:rFonts w:hint="eastAsia" w:ascii="仿宋_GB2312" w:hAnsi="宋体" w:eastAsia="仿宋_GB2312" w:cs="宋体"/>
                <w:b/>
                <w:color w:val="auto"/>
                <w:kern w:val="0"/>
                <w:sz w:val="24"/>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eastAsia="仿宋_GB2312" w:cs="宋体"/>
                <w:b/>
                <w:color w:val="auto"/>
                <w:kern w:val="0"/>
                <w:sz w:val="24"/>
                <w:u w:val="none"/>
              </w:rPr>
            </w:pPr>
            <w:r>
              <w:rPr>
                <w:rFonts w:hint="eastAsia" w:ascii="仿宋_GB2312" w:hAnsi="宋体" w:eastAsia="仿宋_GB2312" w:cs="宋体"/>
                <w:b/>
                <w:color w:val="auto"/>
                <w:kern w:val="0"/>
                <w:sz w:val="24"/>
                <w:u w:val="none"/>
              </w:rPr>
              <w:t>项目</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b/>
                <w:color w:val="auto"/>
                <w:kern w:val="0"/>
                <w:sz w:val="24"/>
                <w:u w:val="none"/>
              </w:rPr>
            </w:pPr>
            <w:r>
              <w:rPr>
                <w:rFonts w:hint="eastAsia" w:ascii="仿宋_GB2312" w:hAnsi="宋体" w:eastAsia="仿宋_GB2312" w:cs="宋体"/>
                <w:b/>
                <w:color w:val="auto"/>
                <w:kern w:val="0"/>
                <w:sz w:val="24"/>
                <w:u w:val="none"/>
              </w:rPr>
              <w:t>单价</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b/>
                <w:color w:val="auto"/>
                <w:kern w:val="0"/>
                <w:sz w:val="24"/>
                <w:u w:val="none"/>
              </w:rPr>
            </w:pPr>
            <w:r>
              <w:rPr>
                <w:rFonts w:hint="eastAsia" w:ascii="仿宋_GB2312" w:hAnsi="宋体" w:eastAsia="仿宋_GB2312" w:cs="宋体"/>
                <w:b/>
                <w:color w:val="auto"/>
                <w:kern w:val="0"/>
                <w:sz w:val="24"/>
                <w:u w:val="none"/>
              </w:rPr>
              <w:t>备注</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夯土围墙</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260元/m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砖砌围墙（含基础）</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360元/m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挡墙另计</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石围墙</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190元/m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普通水井</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xml:space="preserve"> 4</w:t>
            </w:r>
            <w:r>
              <w:rPr>
                <w:rFonts w:hint="eastAsia" w:ascii="仿宋_GB2312" w:eastAsia="仿宋_GB2312" w:cs="宋体"/>
                <w:color w:val="auto"/>
                <w:kern w:val="0"/>
                <w:sz w:val="24"/>
                <w:u w:val="none"/>
              </w:rPr>
              <w:t>000</w:t>
            </w:r>
            <w:r>
              <w:rPr>
                <w:rFonts w:hint="eastAsia" w:ascii="仿宋_GB2312" w:hAnsi="宋体" w:eastAsia="仿宋_GB2312" w:cs="宋体"/>
                <w:color w:val="auto"/>
                <w:kern w:val="0"/>
                <w:sz w:val="24"/>
                <w:u w:val="none"/>
              </w:rPr>
              <w:t>元/口</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超7m每延1m加5</w:t>
            </w:r>
            <w:r>
              <w:rPr>
                <w:rFonts w:hint="eastAsia" w:ascii="仿宋_GB2312" w:eastAsia="仿宋_GB2312" w:cs="宋体"/>
                <w:color w:val="auto"/>
                <w:kern w:val="0"/>
                <w:sz w:val="24"/>
                <w:u w:val="none"/>
              </w:rPr>
              <w:t>00</w:t>
            </w:r>
            <w:r>
              <w:rPr>
                <w:rFonts w:hint="eastAsia" w:ascii="仿宋_GB2312" w:hAnsi="宋体" w:eastAsia="仿宋_GB2312" w:cs="宋体"/>
                <w:color w:val="auto"/>
                <w:kern w:val="0"/>
                <w:sz w:val="24"/>
                <w:u w:val="none"/>
              </w:rPr>
              <w:t>元</w:t>
            </w:r>
          </w:p>
        </w:tc>
      </w:tr>
      <w:tr>
        <w:tblPrEx>
          <w:tblLayout w:type="fixed"/>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室外普通厨房洗菜池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元/个</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石板埕地</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埕地水泥花砖地面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埕地水磨石地面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90元/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埕地瓷缸砖地面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80元/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w:t>
            </w:r>
            <w:r>
              <w:rPr>
                <w:rFonts w:hint="eastAsia" w:ascii="仿宋_GB2312" w:eastAsia="仿宋_GB2312" w:cs="宋体"/>
                <w:color w:val="auto"/>
                <w:kern w:val="0"/>
                <w:sz w:val="24"/>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埕地花岗石贴面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埕地波化砖贴面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围墙铁栏杆</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—160元/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普通围墙铁门</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—350元/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室外厨房用蓄水池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—400元/个</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室外蓄水池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550元/m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按容积计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化粪池</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—1500元/座</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有线电视</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330元/户</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电话</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180元/户</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晒坪</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室外砼地面</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整毛石护坡</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26</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363"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乱毛石护坡</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18</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元/m</w:t>
            </w:r>
            <w:r>
              <w:rPr>
                <w:rFonts w:hint="eastAsia" w:ascii="仿宋_GB2312" w:hAnsi="宋体" w:cs="宋体"/>
                <w:color w:val="auto"/>
                <w:kern w:val="0"/>
                <w:sz w:val="24"/>
                <w:u w:val="none"/>
              </w:rPr>
              <w:t>³</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门亭</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有盖门亭（含柱）500—600元/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；双层带斜顶门亭（含柱和斜顶贴瓦）800—1000元/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按顶盖投影面积计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9</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（含砼地圈梁的毛石基础12</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专指上无建筑物基础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15</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4" w:type="dxa"/>
            <w:tcBorders>
              <w:top w:val="single" w:color="auto" w:sz="4" w:space="0"/>
              <w:left w:val="nil"/>
              <w:bottom w:val="single" w:color="auto"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房屋只建至基础尚未建设上部主体</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机井</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含配套设施补偿</w:t>
            </w:r>
          </w:p>
        </w:tc>
      </w:tr>
      <w:tr>
        <w:tblPrEx>
          <w:tblLayout w:type="fixed"/>
          <w:tblCellMar>
            <w:top w:w="0" w:type="dxa"/>
            <w:left w:w="108" w:type="dxa"/>
            <w:bottom w:w="0" w:type="dxa"/>
            <w:right w:w="108" w:type="dxa"/>
          </w:tblCellMar>
        </w:tblPrEx>
        <w:trPr>
          <w:trHeight w:val="40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罗马式立柱（4m多）</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—3000元/套</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指混凝土浇筑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简易木阁楼</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200—300元/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和房屋同时建设的、层高H&lt;2.2m，重置价中已补价的不得重复计算。</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炉灶</w:t>
            </w: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土</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r>
              <w:rPr>
                <w:rFonts w:hint="eastAsia" w:ascii="仿宋_GB2312" w:eastAsia="仿宋_GB2312" w:cs="宋体"/>
                <w:color w:val="auto"/>
                <w:kern w:val="0"/>
                <w:sz w:val="24"/>
                <w:u w:val="none"/>
              </w:rPr>
              <w:t>000</w:t>
            </w:r>
            <w:r>
              <w:rPr>
                <w:rFonts w:hint="eastAsia" w:ascii="仿宋_GB2312" w:hAnsi="宋体" w:eastAsia="仿宋_GB2312" w:cs="宋体"/>
                <w:color w:val="auto"/>
                <w:kern w:val="0"/>
                <w:sz w:val="24"/>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分别带烟囱的双连灶、无烟囱双连灶、单口灶等按炉口计补偿</w:t>
            </w:r>
          </w:p>
        </w:tc>
      </w:tr>
      <w:tr>
        <w:tblPrEx>
          <w:tblLayout w:type="fixed"/>
          <w:tblCellMar>
            <w:top w:w="0" w:type="dxa"/>
            <w:left w:w="108" w:type="dxa"/>
            <w:bottom w:w="0" w:type="dxa"/>
            <w:right w:w="108" w:type="dxa"/>
          </w:tblCellMar>
        </w:tblPrEx>
        <w:trPr>
          <w:trHeight w:val="395"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xml:space="preserve">砖 </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瓷贴</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猪舍</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156元/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鸡舍</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132元/</w:t>
            </w:r>
            <w:r>
              <w:rPr>
                <w:rFonts w:hint="eastAsia" w:ascii="仿宋_GB2312" w:hAnsi="宋体" w:cs="宋体"/>
                <w:color w:val="auto"/>
                <w:kern w:val="0"/>
                <w:sz w:val="24"/>
                <w:u w:val="none"/>
              </w:rPr>
              <w:t>㎡</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不锈钢水塔</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1000元/个</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庭院灯</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r>
              <w:rPr>
                <w:rFonts w:hint="eastAsia" w:ascii="仿宋_GB2312" w:eastAsia="仿宋_GB2312" w:cs="宋体"/>
                <w:color w:val="auto"/>
                <w:kern w:val="0"/>
                <w:sz w:val="24"/>
                <w:u w:val="none"/>
              </w:rPr>
              <w:t>00</w:t>
            </w:r>
            <w:r>
              <w:rPr>
                <w:rFonts w:hint="eastAsia" w:ascii="仿宋_GB2312" w:hAnsi="宋体" w:eastAsia="仿宋_GB2312" w:cs="宋体"/>
                <w:color w:val="auto"/>
                <w:kern w:val="0"/>
                <w:sz w:val="24"/>
                <w:u w:val="none"/>
              </w:rPr>
              <w:t>—500元/杆</w:t>
            </w:r>
          </w:p>
        </w:tc>
        <w:tc>
          <w:tcPr>
            <w:tcW w:w="2754" w:type="dxa"/>
            <w:tcBorders>
              <w:top w:val="nil"/>
              <w:left w:val="nil"/>
              <w:bottom w:val="single" w:color="auto"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庭院或露台照明的路灯，一般为5个灯头，钢管为φ880</w:t>
            </w:r>
          </w:p>
        </w:tc>
      </w:tr>
      <w:tr>
        <w:tblPrEx>
          <w:tblLayout w:type="fixed"/>
          <w:tblCellMar>
            <w:top w:w="0" w:type="dxa"/>
            <w:left w:w="108" w:type="dxa"/>
            <w:bottom w:w="0" w:type="dxa"/>
            <w:right w:w="108" w:type="dxa"/>
          </w:tblCellMar>
        </w:tblPrEx>
        <w:trPr>
          <w:trHeight w:val="394"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0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三相电</w:t>
            </w: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20A</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widowControl/>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应提供供电所相应的发票及证明材料</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40A</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272"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60A</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空调移机</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元/台</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指移机费用</w:t>
            </w: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太阳能热水器移机</w:t>
            </w:r>
          </w:p>
        </w:tc>
        <w:tc>
          <w:tcPr>
            <w:tcW w:w="269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元/台</w:t>
            </w:r>
          </w:p>
        </w:tc>
        <w:tc>
          <w:tcPr>
            <w:tcW w:w="2754" w:type="dxa"/>
            <w:tcBorders>
              <w:top w:val="nil"/>
              <w:left w:val="nil"/>
              <w:bottom w:val="single" w:color="auto" w:sz="4" w:space="0"/>
              <w:right w:val="single" w:color="auto" w:sz="4" w:space="0"/>
            </w:tcBorders>
            <w:noWrap w:val="0"/>
            <w:vAlign w:val="center"/>
          </w:tcPr>
          <w:p>
            <w:pPr>
              <w:widowControl/>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指移机费用</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u w:val="none"/>
                <w:lang w:val="en-US" w:eastAsia="zh-CN"/>
              </w:rPr>
            </w:pPr>
            <w:r>
              <w:rPr>
                <w:rFonts w:hint="eastAsia" w:ascii="仿宋_GB2312" w:hAnsi="宋体" w:eastAsia="仿宋_GB2312" w:cs="宋体"/>
                <w:color w:val="auto"/>
                <w:kern w:val="0"/>
                <w:sz w:val="24"/>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lang w:val="en-US" w:eastAsia="zh-CN"/>
              </w:rPr>
            </w:pPr>
            <w:r>
              <w:rPr>
                <w:rFonts w:hint="eastAsia" w:ascii="仿宋_GB2312" w:hAnsi="宋体" w:eastAsia="仿宋_GB2312" w:cs="宋体"/>
                <w:b w:val="0"/>
                <w:bCs w:val="0"/>
                <w:color w:val="auto"/>
                <w:kern w:val="0"/>
                <w:sz w:val="24"/>
                <w:u w:val="none"/>
                <w:lang w:val="en-US" w:eastAsia="zh-CN"/>
              </w:rPr>
              <w:t>1200元</w:t>
            </w:r>
            <w:r>
              <w:rPr>
                <w:rFonts w:hint="eastAsia" w:ascii="仿宋_GB2312" w:hAnsi="宋体" w:eastAsia="仿宋_GB2312" w:cs="宋体"/>
                <w:b w:val="0"/>
                <w:bCs w:val="0"/>
                <w:color w:val="auto"/>
                <w:kern w:val="0"/>
                <w:sz w:val="24"/>
                <w:u w:val="none"/>
              </w:rPr>
              <w:t>/</w:t>
            </w:r>
            <w:r>
              <w:rPr>
                <w:rFonts w:hint="eastAsia" w:ascii="仿宋_GB2312" w:hAnsi="宋体" w:eastAsia="仿宋_GB2312" w:cs="宋体"/>
                <w:b w:val="0"/>
                <w:bCs w:val="0"/>
                <w:color w:val="auto"/>
                <w:kern w:val="0"/>
                <w:sz w:val="24"/>
                <w:u w:val="none"/>
                <w:lang w:eastAsia="zh-CN"/>
              </w:rPr>
              <w:t>户</w:t>
            </w:r>
          </w:p>
        </w:tc>
        <w:tc>
          <w:tcPr>
            <w:tcW w:w="275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指原已审批的</w:t>
            </w:r>
          </w:p>
        </w:tc>
      </w:tr>
      <w:tr>
        <w:tblPrEx>
          <w:tblLayout w:type="fixed"/>
          <w:tblCellMar>
            <w:top w:w="0" w:type="dxa"/>
            <w:left w:w="108" w:type="dxa"/>
            <w:bottom w:w="0" w:type="dxa"/>
            <w:right w:w="108" w:type="dxa"/>
          </w:tblCellMar>
        </w:tblPrEx>
        <w:trPr>
          <w:trHeight w:val="454" w:hRule="atLeast"/>
        </w:trPr>
        <w:tc>
          <w:tcPr>
            <w:tcW w:w="86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u w:val="none"/>
                <w:lang w:val="en-US" w:eastAsia="zh-CN"/>
              </w:rPr>
            </w:pPr>
            <w:r>
              <w:rPr>
                <w:rFonts w:hint="eastAsia" w:ascii="仿宋_GB2312" w:hAnsi="宋体" w:eastAsia="仿宋_GB2312" w:cs="宋体"/>
                <w:color w:val="auto"/>
                <w:kern w:val="0"/>
                <w:sz w:val="24"/>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lang w:val="en-US" w:eastAsia="zh-CN"/>
              </w:rPr>
            </w:pPr>
            <w:r>
              <w:rPr>
                <w:rFonts w:hint="eastAsia" w:ascii="仿宋_GB2312" w:hAnsi="宋体" w:eastAsia="仿宋_GB2312" w:cs="宋体"/>
                <w:b w:val="0"/>
                <w:bCs w:val="0"/>
                <w:color w:val="auto"/>
                <w:kern w:val="0"/>
                <w:sz w:val="24"/>
                <w:u w:val="none"/>
                <w:lang w:val="en-US" w:eastAsia="zh-CN"/>
              </w:rPr>
              <w:t>300元</w:t>
            </w:r>
            <w:r>
              <w:rPr>
                <w:rFonts w:hint="eastAsia" w:ascii="仿宋_GB2312" w:hAnsi="宋体" w:eastAsia="仿宋_GB2312" w:cs="宋体"/>
                <w:b w:val="0"/>
                <w:bCs w:val="0"/>
                <w:color w:val="auto"/>
                <w:kern w:val="0"/>
                <w:sz w:val="24"/>
                <w:u w:val="none"/>
              </w:rPr>
              <w:t>/</w:t>
            </w:r>
            <w:r>
              <w:rPr>
                <w:rFonts w:hint="eastAsia" w:ascii="仿宋_GB2312" w:hAnsi="宋体" w:eastAsia="仿宋_GB2312" w:cs="宋体"/>
                <w:b w:val="0"/>
                <w:bCs w:val="0"/>
                <w:color w:val="auto"/>
                <w:kern w:val="0"/>
                <w:sz w:val="24"/>
                <w:u w:val="none"/>
                <w:lang w:eastAsia="zh-CN"/>
              </w:rPr>
              <w:t>户</w:t>
            </w:r>
          </w:p>
        </w:tc>
        <w:tc>
          <w:tcPr>
            <w:tcW w:w="2754"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val="0"/>
                <w:bCs w:val="0"/>
                <w:color w:val="auto"/>
                <w:kern w:val="0"/>
                <w:sz w:val="24"/>
                <w:u w:val="none"/>
              </w:rPr>
            </w:pPr>
            <w:r>
              <w:rPr>
                <w:rFonts w:hint="eastAsia" w:ascii="仿宋_GB2312" w:hAnsi="宋体" w:eastAsia="仿宋_GB2312" w:cs="宋体"/>
                <w:b w:val="0"/>
                <w:bCs w:val="0"/>
                <w:color w:val="auto"/>
                <w:kern w:val="0"/>
                <w:sz w:val="24"/>
                <w:u w:val="none"/>
                <w:lang w:eastAsia="zh-CN"/>
              </w:rPr>
              <w:t>指原已审批的</w:t>
            </w:r>
          </w:p>
        </w:tc>
      </w:tr>
      <w:tr>
        <w:tblPrEx>
          <w:tblLayout w:type="fixed"/>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注：本表未涵盖内容，由征迁工作组会同属地街道，通过市场询价或委托评估确定。</w:t>
            </w:r>
          </w:p>
        </w:tc>
      </w:tr>
    </w:tbl>
    <w:p>
      <w:pPr>
        <w:jc w:val="both"/>
        <w:rPr>
          <w:rFonts w:hint="eastAsia" w:ascii="仿宋_GB2312" w:hAnsi="仿宋_GB2312" w:eastAsia="仿宋_GB2312" w:cs="仿宋_GB2312"/>
          <w:color w:val="auto"/>
          <w:sz w:val="32"/>
          <w:szCs w:val="32"/>
          <w:u w:val="none"/>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7</w:t>
      </w:r>
      <w:r>
        <w:rPr>
          <w:rFonts w:hint="eastAsia" w:ascii="黑体" w:hAnsi="黑体" w:eastAsia="黑体" w:cs="黑体"/>
          <w:b/>
          <w:color w:val="auto"/>
          <w:kern w:val="0"/>
          <w:sz w:val="32"/>
          <w:szCs w:val="32"/>
          <w:u w:val="none"/>
        </w:rPr>
        <w:t xml:space="preserve">  </w:t>
      </w:r>
      <w:r>
        <w:rPr>
          <w:rFonts w:hint="eastAsia" w:ascii="仿宋_GB2312" w:eastAsia="仿宋_GB2312"/>
          <w:b/>
          <w:color w:val="auto"/>
          <w:kern w:val="0"/>
          <w:sz w:val="32"/>
          <w:szCs w:val="32"/>
          <w:u w:val="none"/>
          <w:lang w:val="en-US" w:eastAsia="zh-CN"/>
        </w:rPr>
        <w:t xml:space="preserve">       </w:t>
      </w:r>
      <w:r>
        <w:rPr>
          <w:rFonts w:hint="eastAsia" w:ascii="方正小标宋简体" w:hAnsi="Times New Roman" w:eastAsia="方正小标宋简体" w:cs="Times New Roman"/>
          <w:kern w:val="0"/>
          <w:sz w:val="36"/>
          <w:szCs w:val="36"/>
          <w:lang w:val="en-US" w:eastAsia="zh-CN" w:bidi="ar-SA"/>
        </w:rPr>
        <w:t xml:space="preserve"> 临时搭盖的补偿规定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在房屋征收过程存在较多的临时搭盖问题，本着既实事求是又遏制临时搭盖的原则，对房屋征收过程遇到的临时搭盖补偿问题作如下规定。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临时搭盖的认定依据</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有以下情形之一的即认定为临时搭盖：</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1、以空心砖、加气砖、水泥砖为承重墙体；</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2、以简易钢结构为承重体系；</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3、以12cm厚粘土实心砖为承重墙体；</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4、未采用钢筋混凝土或烧结粘土瓦为屋顶（如：采用铁皮、石棉瓦、油毡为屋顶）。</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临时搭盖的建筑面积计算规定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1、临时搭盖不论层数均按单层计算建筑面积。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2、临时搭盖不论层高均按一般层高单层计算建筑面积。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3、以临时搭盖外墙面轮廓线计算建筑面积。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临时搭盖的补偿计算</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1、临时搭盖的建筑重置价补偿标准为100-300</w:t>
      </w:r>
      <w:r>
        <w:rPr>
          <w:rFonts w:hint="eastAsia" w:ascii="仿宋_GB2312" w:eastAsia="仿宋_GB2312"/>
          <w:color w:val="auto"/>
          <w:sz w:val="32"/>
          <w:szCs w:val="32"/>
          <w:u w:val="none"/>
          <w:lang w:val="zh-CN" w:eastAsia="zh-CN"/>
        </w:rPr>
        <w:t>元/</w:t>
      </w:r>
      <w:r>
        <w:rPr>
          <w:rFonts w:hint="eastAsia" w:ascii="仿宋_GB2312" w:eastAsia="仿宋_GB2312"/>
          <w:color w:val="auto"/>
          <w:sz w:val="32"/>
          <w:szCs w:val="32"/>
          <w:u w:val="none"/>
          <w:lang w:val="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2、临时搭盖的二次装修重置价补偿不得超过其建筑重置价补偿。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3、采用18cm或24cm厚粘土实心砖为承重墙体的，可参照砖木结构二等略低标准给予建筑重置价补偿。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4、临时搭盖除建筑重置价和二次装修重置价补偿外，不再享有含搬迁补助在内的其他任何补偿。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b/>
          <w:color w:val="auto"/>
          <w:kern w:val="0"/>
          <w:sz w:val="32"/>
          <w:szCs w:val="32"/>
          <w:u w:val="none"/>
        </w:rPr>
      </w:pPr>
      <w:r>
        <w:rPr>
          <w:rFonts w:hint="eastAsia" w:ascii="仿宋_GB2312" w:eastAsia="仿宋_GB2312"/>
          <w:color w:val="auto"/>
          <w:sz w:val="32"/>
          <w:szCs w:val="32"/>
          <w:u w:val="none"/>
          <w:lang w:val="zh-CN"/>
        </w:rPr>
        <w:t>5、实施突击抢建的，由项目所在镇（街）负责拆除并不予任何补偿。</w:t>
      </w:r>
    </w:p>
    <w:p>
      <w:pPr>
        <w:numPr>
          <w:ilvl w:val="0"/>
          <w:numId w:val="0"/>
        </w:numPr>
        <w:jc w:val="left"/>
        <w:rPr>
          <w:rFonts w:hint="eastAsia" w:ascii="仿宋_GB2312" w:eastAsia="仿宋_GB2312"/>
          <w:b/>
          <w:color w:val="auto"/>
          <w:kern w:val="0"/>
          <w:sz w:val="32"/>
          <w:szCs w:val="32"/>
          <w:u w:val="none"/>
        </w:rPr>
      </w:pPr>
    </w:p>
    <w:p>
      <w:pPr>
        <w:numPr>
          <w:ilvl w:val="0"/>
          <w:numId w:val="0"/>
        </w:numPr>
        <w:jc w:val="left"/>
        <w:rPr>
          <w:rFonts w:hint="eastAsia" w:ascii="仿宋_GB2312" w:eastAsia="仿宋_GB2312"/>
          <w:b/>
          <w:color w:val="auto"/>
          <w:kern w:val="0"/>
          <w:sz w:val="32"/>
          <w:szCs w:val="32"/>
          <w:u w:val="none"/>
        </w:rPr>
      </w:pPr>
    </w:p>
    <w:p>
      <w:pPr>
        <w:pStyle w:val="8"/>
        <w:widowControl w:val="0"/>
        <w:shd w:val="clear" w:color="auto" w:fill="auto"/>
        <w:tabs>
          <w:tab w:val="left" w:pos="7085"/>
        </w:tabs>
        <w:spacing w:before="0" w:after="0" w:line="500" w:lineRule="exact"/>
        <w:jc w:val="both"/>
        <w:rPr>
          <w:rFonts w:ascii="仿宋_GB2312" w:eastAsia="仿宋_GB2312"/>
          <w:w w:val="100"/>
          <w:sz w:val="32"/>
          <w:szCs w:val="32"/>
          <w:u w:val="single"/>
        </w:rPr>
      </w:pPr>
    </w:p>
    <w:p>
      <w:pPr>
        <w:pStyle w:val="2"/>
        <w:widowControl w:val="0"/>
        <w:shd w:val="clear" w:color="auto" w:fill="auto"/>
        <w:spacing w:after="0" w:line="500" w:lineRule="exact"/>
        <w:jc w:val="both"/>
        <w:rPr>
          <w:rFonts w:hint="eastAsia" w:ascii="仿宋_GB2312" w:eastAsia="仿宋_GB2312"/>
          <w:sz w:val="32"/>
          <w:szCs w:val="32"/>
        </w:rPr>
      </w:pPr>
    </w:p>
    <w:p>
      <w:pPr>
        <w:pStyle w:val="2"/>
        <w:shd w:val="clear" w:color="auto" w:fill="auto"/>
        <w:spacing w:after="0" w:line="600" w:lineRule="exact"/>
        <w:rPr>
          <w:rFonts w:hint="eastAsia" w:ascii="仿宋_GB2312" w:eastAsia="仿宋_GB2312"/>
          <w:sz w:val="32"/>
          <w:szCs w:val="32"/>
          <w:lang w:val="zh-CN"/>
        </w:rPr>
      </w:pPr>
    </w:p>
    <w:p>
      <w:pPr>
        <w:snapToGrid w:val="0"/>
        <w:spacing w:line="500" w:lineRule="exact"/>
        <w:rPr>
          <w:rFonts w:hint="eastAsia" w:ascii="仿宋_GB2312" w:eastAsia="仿宋_GB2312"/>
          <w:spacing w:val="-6"/>
          <w:kern w:val="0"/>
          <w:sz w:val="32"/>
          <w:szCs w:val="32"/>
        </w:rPr>
      </w:pPr>
    </w:p>
    <w:p>
      <w:pPr>
        <w:snapToGrid w:val="0"/>
        <w:spacing w:line="500" w:lineRule="exact"/>
        <w:rPr>
          <w:rFonts w:hint="eastAsia" w:ascii="仿宋_GB2312" w:eastAsia="仿宋_GB2312"/>
          <w:spacing w:val="-6"/>
          <w:kern w:val="0"/>
          <w:sz w:val="32"/>
          <w:szCs w:val="32"/>
        </w:r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modern"/>
    <w:pitch w:val="default"/>
    <w:sig w:usb0="00000003" w:usb1="082E0000" w:usb2="00000016" w:usb3="00000000" w:csb0="0010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- 30 -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C01E8"/>
    <w:rsid w:val="102C01E8"/>
    <w:rsid w:val="18045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8">
    <w:name w:val="正文文本 (11)"/>
    <w:basedOn w:val="1"/>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9">
    <w:name w:val="标题 #2 (2)"/>
    <w:basedOn w:val="1"/>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0">
    <w:name w:val="正文文本 (4)"/>
    <w:basedOn w:val="1"/>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1">
    <w:name w:val="正文文本 (2)"/>
    <w:basedOn w:val="1"/>
    <w:qFormat/>
    <w:uiPriority w:val="0"/>
    <w:pPr>
      <w:widowControl/>
      <w:shd w:val="clear" w:color="auto" w:fill="FFFFFF"/>
      <w:spacing w:after="7920" w:line="240" w:lineRule="atLeast"/>
      <w:jc w:val="left"/>
    </w:pPr>
    <w:rPr>
      <w:rFonts w:ascii="MingLiU" w:eastAsia="MingLiU"/>
      <w:kern w:val="0"/>
      <w:sz w:val="25"/>
      <w:szCs w:val="25"/>
    </w:rPr>
  </w:style>
  <w:style w:type="character" w:customStyle="1" w:styleId="12">
    <w:name w:val="ca-22"/>
    <w:basedOn w:val="5"/>
    <w:qFormat/>
    <w:uiPriority w:val="0"/>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2019-01-25T01:20:00Z</dcterms:created>
  <dc:creator>张晓晓</dc:creator>
  <cp:lastModifiedBy>张晓晓</cp:lastModifiedBy>
  <dcterms:modified xsi:type="dcterms:W3CDTF">2019-01-25T01:23:35Z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