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val="en-US" w:eastAsia="zh-CN"/>
        </w:rPr>
        <w:t>福清市公安局宏路派出所</w:t>
      </w:r>
      <w:r>
        <w:rPr>
          <w:rFonts w:hint="eastAsia" w:ascii="宋体" w:hAnsi="宋体"/>
          <w:b/>
          <w:bCs/>
          <w:color w:val="auto"/>
          <w:sz w:val="44"/>
          <w:szCs w:val="44"/>
          <w:highlight w:val="none"/>
          <w:u w:val="none"/>
          <w:lang w:eastAsia="zh-CN"/>
        </w:rPr>
        <w:t>项目集体土地上</w:t>
      </w:r>
    </w:p>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eastAsia="zh-CN"/>
        </w:rPr>
        <w:t>房屋征收补偿方案</w:t>
      </w:r>
    </w:p>
    <w:p>
      <w:pPr>
        <w:jc w:val="center"/>
        <w:rPr>
          <w:rFonts w:hint="eastAsia" w:ascii="仿宋_GB2312"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_GB2312" w:eastAsia="仿宋_GB2312"/>
          <w:color w:val="auto"/>
          <w:w w:val="100"/>
          <w:sz w:val="32"/>
          <w:szCs w:val="32"/>
          <w:highlight w:val="none"/>
          <w:u w:val="none"/>
          <w:lang w:eastAsia="zh-CN"/>
        </w:rPr>
        <w:t>因福清市公安局宏路派出所项目建设需要，福清市人民政府决定征收福清市公安局宏路派出所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具体征收范围以福清市公安局宏路派出所</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sz w:val="32"/>
          <w:szCs w:val="32"/>
          <w:highlight w:val="none"/>
          <w:u w:val="none"/>
          <w:lang w:val="zh-CN"/>
        </w:rPr>
        <w:t>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325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政府储备地2013-050号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val="en-US" w:eastAsia="zh-CN"/>
              </w:rPr>
            </w:pP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-500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noWrap w:val="0"/>
            <w:vAlign w:val="center"/>
          </w:tcPr>
          <w:p>
            <w:pPr>
              <w:keepNext w:val="0"/>
              <w:keepLines w:val="0"/>
              <w:widowControl/>
              <w:suppressLineNumbers w:val="0"/>
              <w:tabs>
                <w:tab w:val="left" w:pos="236"/>
              </w:tabs>
              <w:spacing w:before="0" w:beforeAutospacing="0" w:after="0" w:afterAutospacing="0"/>
              <w:ind w:left="0" w:right="0"/>
              <w:jc w:val="left"/>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预计36个月</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拆迁区范围内的被征收人安置房可在</w:t>
      </w:r>
      <w:r>
        <w:rPr>
          <w:rFonts w:hint="eastAsia" w:ascii="仿宋_GB2312" w:eastAsia="仿宋_GB2312"/>
          <w:color w:val="auto"/>
          <w:sz w:val="32"/>
          <w:szCs w:val="32"/>
          <w:highlight w:val="none"/>
          <w:u w:val="none"/>
          <w:lang w:val="en-US" w:eastAsia="zh-CN"/>
        </w:rPr>
        <w:t>政府储备地2013-050号安置区</w:t>
      </w:r>
      <w:r>
        <w:rPr>
          <w:rFonts w:hint="eastAsia" w:ascii="仿宋_GB2312" w:eastAsia="仿宋_GB2312"/>
          <w:color w:val="auto"/>
          <w:sz w:val="32"/>
          <w:szCs w:val="32"/>
          <w:highlight w:val="none"/>
          <w:u w:val="none"/>
          <w:lang w:val="zh-CN" w:eastAsia="zh-CN"/>
        </w:rPr>
        <w:t>中选择，先拆先得，先到先得，选完为止或宏路街道安排安置房顺序。</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sz w:val="32"/>
          <w:szCs w:val="32"/>
          <w:highlight w:val="none"/>
          <w:u w:val="none"/>
          <w:lang w:val="en-US" w:eastAsia="zh-CN"/>
        </w:rPr>
        <w:t>3900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3900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3100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2100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8000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jc w:val="center"/>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用于福清市公安局宏路派出所</w:t>
      </w:r>
      <w:r>
        <w:rPr>
          <w:rFonts w:hint="eastAsia" w:ascii="仿宋_GB2312" w:eastAsia="仿宋_GB2312"/>
          <w:color w:val="auto"/>
          <w:w w:val="100"/>
          <w:sz w:val="32"/>
          <w:szCs w:val="32"/>
          <w:highlight w:val="none"/>
          <w:u w:val="none"/>
          <w:lang w:eastAsia="zh-CN"/>
        </w:rPr>
        <w:t>项目集体土地上</w:t>
      </w:r>
      <w:bookmarkStart w:id="6" w:name="_GoBack"/>
      <w:bookmarkEnd w:id="6"/>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B6EF7"/>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1F02ACA"/>
    <w:rsid w:val="0207272A"/>
    <w:rsid w:val="020B14CD"/>
    <w:rsid w:val="028127D2"/>
    <w:rsid w:val="02F64548"/>
    <w:rsid w:val="03011A10"/>
    <w:rsid w:val="031E07C6"/>
    <w:rsid w:val="034F4185"/>
    <w:rsid w:val="03696905"/>
    <w:rsid w:val="04025AE2"/>
    <w:rsid w:val="04027EE3"/>
    <w:rsid w:val="041C270D"/>
    <w:rsid w:val="04554499"/>
    <w:rsid w:val="047B53B0"/>
    <w:rsid w:val="04F55261"/>
    <w:rsid w:val="0506561A"/>
    <w:rsid w:val="055B3A3D"/>
    <w:rsid w:val="057524EE"/>
    <w:rsid w:val="057D2C4A"/>
    <w:rsid w:val="05C877CC"/>
    <w:rsid w:val="05D4006B"/>
    <w:rsid w:val="067E6BD3"/>
    <w:rsid w:val="06F82052"/>
    <w:rsid w:val="06FF4F50"/>
    <w:rsid w:val="07633062"/>
    <w:rsid w:val="07E3097C"/>
    <w:rsid w:val="08017B0C"/>
    <w:rsid w:val="081D5432"/>
    <w:rsid w:val="083F5782"/>
    <w:rsid w:val="08996726"/>
    <w:rsid w:val="08A066FD"/>
    <w:rsid w:val="08A16DD8"/>
    <w:rsid w:val="08C65D1E"/>
    <w:rsid w:val="08CC3D7A"/>
    <w:rsid w:val="093A1835"/>
    <w:rsid w:val="095D74F7"/>
    <w:rsid w:val="0984242B"/>
    <w:rsid w:val="09A020EF"/>
    <w:rsid w:val="0A046B83"/>
    <w:rsid w:val="0A141BC7"/>
    <w:rsid w:val="0A856592"/>
    <w:rsid w:val="0A9E6597"/>
    <w:rsid w:val="0AE77A1F"/>
    <w:rsid w:val="0B3C37C1"/>
    <w:rsid w:val="0BDF722F"/>
    <w:rsid w:val="0CF40D87"/>
    <w:rsid w:val="0D063813"/>
    <w:rsid w:val="0D540DB5"/>
    <w:rsid w:val="0DFF2AD7"/>
    <w:rsid w:val="0E2475FF"/>
    <w:rsid w:val="0E964359"/>
    <w:rsid w:val="0E974009"/>
    <w:rsid w:val="0EA64AE2"/>
    <w:rsid w:val="0EAA2FF1"/>
    <w:rsid w:val="0EBF0941"/>
    <w:rsid w:val="0F7C6B07"/>
    <w:rsid w:val="0FB95E70"/>
    <w:rsid w:val="0FF148D7"/>
    <w:rsid w:val="10440000"/>
    <w:rsid w:val="11174A76"/>
    <w:rsid w:val="11272E6B"/>
    <w:rsid w:val="117665C5"/>
    <w:rsid w:val="11A31485"/>
    <w:rsid w:val="11AD56D5"/>
    <w:rsid w:val="120D0C5C"/>
    <w:rsid w:val="121431D5"/>
    <w:rsid w:val="1216408C"/>
    <w:rsid w:val="125D56A2"/>
    <w:rsid w:val="128D22C7"/>
    <w:rsid w:val="12B46205"/>
    <w:rsid w:val="12CC5894"/>
    <w:rsid w:val="12E013C7"/>
    <w:rsid w:val="13123160"/>
    <w:rsid w:val="133800A6"/>
    <w:rsid w:val="137A0B9B"/>
    <w:rsid w:val="13B47D66"/>
    <w:rsid w:val="13C32C71"/>
    <w:rsid w:val="13D03B7D"/>
    <w:rsid w:val="140317CF"/>
    <w:rsid w:val="14535B84"/>
    <w:rsid w:val="15190AF7"/>
    <w:rsid w:val="15431667"/>
    <w:rsid w:val="154E3F37"/>
    <w:rsid w:val="15860A56"/>
    <w:rsid w:val="158E4826"/>
    <w:rsid w:val="15C92902"/>
    <w:rsid w:val="15CB4B8E"/>
    <w:rsid w:val="15CD7F6B"/>
    <w:rsid w:val="161F180C"/>
    <w:rsid w:val="161F18D6"/>
    <w:rsid w:val="163657A1"/>
    <w:rsid w:val="16440030"/>
    <w:rsid w:val="16457622"/>
    <w:rsid w:val="1649310C"/>
    <w:rsid w:val="166C7EE9"/>
    <w:rsid w:val="16854A6A"/>
    <w:rsid w:val="16E24384"/>
    <w:rsid w:val="178F6E4C"/>
    <w:rsid w:val="17C00706"/>
    <w:rsid w:val="17EE003C"/>
    <w:rsid w:val="18FE24B3"/>
    <w:rsid w:val="193E0A8B"/>
    <w:rsid w:val="19475BD2"/>
    <w:rsid w:val="19553204"/>
    <w:rsid w:val="19571D4E"/>
    <w:rsid w:val="199E717D"/>
    <w:rsid w:val="19D035CE"/>
    <w:rsid w:val="1A7056EB"/>
    <w:rsid w:val="1A8C3502"/>
    <w:rsid w:val="1ABC1634"/>
    <w:rsid w:val="1AC20350"/>
    <w:rsid w:val="1B9625DE"/>
    <w:rsid w:val="1BE03F4B"/>
    <w:rsid w:val="1C403CE3"/>
    <w:rsid w:val="1CCF174F"/>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2927B10"/>
    <w:rsid w:val="234A0CD7"/>
    <w:rsid w:val="2353267C"/>
    <w:rsid w:val="23C21815"/>
    <w:rsid w:val="23D57518"/>
    <w:rsid w:val="24256156"/>
    <w:rsid w:val="242E1792"/>
    <w:rsid w:val="24665C72"/>
    <w:rsid w:val="249D1040"/>
    <w:rsid w:val="24B22244"/>
    <w:rsid w:val="24E95DD0"/>
    <w:rsid w:val="25061BD4"/>
    <w:rsid w:val="25805531"/>
    <w:rsid w:val="25847C6F"/>
    <w:rsid w:val="2589612C"/>
    <w:rsid w:val="25A22C56"/>
    <w:rsid w:val="26040640"/>
    <w:rsid w:val="26297D33"/>
    <w:rsid w:val="263B4D60"/>
    <w:rsid w:val="264E7927"/>
    <w:rsid w:val="26531ED4"/>
    <w:rsid w:val="26687C5C"/>
    <w:rsid w:val="26A84E7A"/>
    <w:rsid w:val="26D80E3C"/>
    <w:rsid w:val="280D47EC"/>
    <w:rsid w:val="282375E5"/>
    <w:rsid w:val="282D3300"/>
    <w:rsid w:val="285B3E57"/>
    <w:rsid w:val="28A43F3D"/>
    <w:rsid w:val="292C4E37"/>
    <w:rsid w:val="29370C4D"/>
    <w:rsid w:val="2947531F"/>
    <w:rsid w:val="294B1A5E"/>
    <w:rsid w:val="29C40102"/>
    <w:rsid w:val="29CB6079"/>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9C0CB3"/>
    <w:rsid w:val="2DE235AC"/>
    <w:rsid w:val="2E2E0787"/>
    <w:rsid w:val="2E6C16D6"/>
    <w:rsid w:val="2E6E03C4"/>
    <w:rsid w:val="2E911BEA"/>
    <w:rsid w:val="2ED82C7D"/>
    <w:rsid w:val="2F517EEE"/>
    <w:rsid w:val="2F5B747E"/>
    <w:rsid w:val="2F762B07"/>
    <w:rsid w:val="30217178"/>
    <w:rsid w:val="30455CEF"/>
    <w:rsid w:val="30611C71"/>
    <w:rsid w:val="30980F47"/>
    <w:rsid w:val="310437B2"/>
    <w:rsid w:val="313A307D"/>
    <w:rsid w:val="3172715A"/>
    <w:rsid w:val="324A49D1"/>
    <w:rsid w:val="32726213"/>
    <w:rsid w:val="32757E7F"/>
    <w:rsid w:val="32DF4EA1"/>
    <w:rsid w:val="33AE7368"/>
    <w:rsid w:val="345A63BB"/>
    <w:rsid w:val="347D2FD6"/>
    <w:rsid w:val="349F467B"/>
    <w:rsid w:val="34AD46B0"/>
    <w:rsid w:val="351671EE"/>
    <w:rsid w:val="35AB7FB9"/>
    <w:rsid w:val="3652430D"/>
    <w:rsid w:val="366476F3"/>
    <w:rsid w:val="379A0BAB"/>
    <w:rsid w:val="382D2F72"/>
    <w:rsid w:val="38865EEB"/>
    <w:rsid w:val="38D133CE"/>
    <w:rsid w:val="392D3B3E"/>
    <w:rsid w:val="39CD234B"/>
    <w:rsid w:val="3A0C2671"/>
    <w:rsid w:val="3A6317CC"/>
    <w:rsid w:val="3B2330CF"/>
    <w:rsid w:val="3B342A07"/>
    <w:rsid w:val="3B605268"/>
    <w:rsid w:val="3B974E55"/>
    <w:rsid w:val="3B9D1CE1"/>
    <w:rsid w:val="3BD5527A"/>
    <w:rsid w:val="3BE6022F"/>
    <w:rsid w:val="3C404B82"/>
    <w:rsid w:val="3D1C3E3B"/>
    <w:rsid w:val="3D9117CF"/>
    <w:rsid w:val="3DE01C38"/>
    <w:rsid w:val="3DE926CA"/>
    <w:rsid w:val="3E290584"/>
    <w:rsid w:val="3E30369B"/>
    <w:rsid w:val="3E6637A9"/>
    <w:rsid w:val="3E741EFD"/>
    <w:rsid w:val="3E80196F"/>
    <w:rsid w:val="3E9A0B1E"/>
    <w:rsid w:val="3EED2975"/>
    <w:rsid w:val="3F657DBF"/>
    <w:rsid w:val="3FCA548A"/>
    <w:rsid w:val="3FDF2B71"/>
    <w:rsid w:val="40256B05"/>
    <w:rsid w:val="403E5436"/>
    <w:rsid w:val="405729A0"/>
    <w:rsid w:val="40857991"/>
    <w:rsid w:val="408707A9"/>
    <w:rsid w:val="410A568D"/>
    <w:rsid w:val="410E166C"/>
    <w:rsid w:val="410F476C"/>
    <w:rsid w:val="41396CD7"/>
    <w:rsid w:val="41B03718"/>
    <w:rsid w:val="41D504DC"/>
    <w:rsid w:val="41D5755A"/>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372611"/>
    <w:rsid w:val="4A647920"/>
    <w:rsid w:val="4A8D3414"/>
    <w:rsid w:val="4ADC3708"/>
    <w:rsid w:val="4AED21F8"/>
    <w:rsid w:val="4B074543"/>
    <w:rsid w:val="4B5E1C84"/>
    <w:rsid w:val="4B851713"/>
    <w:rsid w:val="4B8722B7"/>
    <w:rsid w:val="4B971EF3"/>
    <w:rsid w:val="4BB50933"/>
    <w:rsid w:val="4C426ADF"/>
    <w:rsid w:val="4C494C45"/>
    <w:rsid w:val="4C8D7009"/>
    <w:rsid w:val="4CCA50DD"/>
    <w:rsid w:val="4D1A69DD"/>
    <w:rsid w:val="4D3C2B29"/>
    <w:rsid w:val="4D4C44E7"/>
    <w:rsid w:val="4D6516E0"/>
    <w:rsid w:val="4D9117CA"/>
    <w:rsid w:val="4DB93822"/>
    <w:rsid w:val="4DF0395C"/>
    <w:rsid w:val="4DF84694"/>
    <w:rsid w:val="4E2E4676"/>
    <w:rsid w:val="4E98632C"/>
    <w:rsid w:val="4EAD5060"/>
    <w:rsid w:val="4F0726A8"/>
    <w:rsid w:val="4F9E40AA"/>
    <w:rsid w:val="50231D07"/>
    <w:rsid w:val="506E768D"/>
    <w:rsid w:val="507F1338"/>
    <w:rsid w:val="508F1446"/>
    <w:rsid w:val="509C3DCD"/>
    <w:rsid w:val="50B16A07"/>
    <w:rsid w:val="50FB5334"/>
    <w:rsid w:val="512C2141"/>
    <w:rsid w:val="51F2337C"/>
    <w:rsid w:val="528A2F2D"/>
    <w:rsid w:val="52BE6D6C"/>
    <w:rsid w:val="52DA2057"/>
    <w:rsid w:val="531F5E23"/>
    <w:rsid w:val="532508DA"/>
    <w:rsid w:val="537B6C11"/>
    <w:rsid w:val="53A92559"/>
    <w:rsid w:val="541F0A38"/>
    <w:rsid w:val="54204EBC"/>
    <w:rsid w:val="542851EC"/>
    <w:rsid w:val="54D27A78"/>
    <w:rsid w:val="54F15A6E"/>
    <w:rsid w:val="550226B6"/>
    <w:rsid w:val="55DD63CC"/>
    <w:rsid w:val="55F371F9"/>
    <w:rsid w:val="56155365"/>
    <w:rsid w:val="56267959"/>
    <w:rsid w:val="5651744E"/>
    <w:rsid w:val="56C049FC"/>
    <w:rsid w:val="56D1171C"/>
    <w:rsid w:val="56EF384A"/>
    <w:rsid w:val="572003CB"/>
    <w:rsid w:val="578B4ACC"/>
    <w:rsid w:val="57D6538F"/>
    <w:rsid w:val="57EB29ED"/>
    <w:rsid w:val="57F331B1"/>
    <w:rsid w:val="582F3B2C"/>
    <w:rsid w:val="58AA35D8"/>
    <w:rsid w:val="58C87345"/>
    <w:rsid w:val="58F229A2"/>
    <w:rsid w:val="597635C6"/>
    <w:rsid w:val="59CE4750"/>
    <w:rsid w:val="5A0A4E6E"/>
    <w:rsid w:val="5A5C2FF8"/>
    <w:rsid w:val="5A6B04E4"/>
    <w:rsid w:val="5A9C50FA"/>
    <w:rsid w:val="5AB2234C"/>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2E01AD"/>
    <w:rsid w:val="60C075D0"/>
    <w:rsid w:val="60D70696"/>
    <w:rsid w:val="60ED7877"/>
    <w:rsid w:val="610A1B60"/>
    <w:rsid w:val="61262229"/>
    <w:rsid w:val="617D7F45"/>
    <w:rsid w:val="618E4751"/>
    <w:rsid w:val="621D75D7"/>
    <w:rsid w:val="622C3805"/>
    <w:rsid w:val="622E0D52"/>
    <w:rsid w:val="62962D71"/>
    <w:rsid w:val="62D3004D"/>
    <w:rsid w:val="62D509B6"/>
    <w:rsid w:val="62DC0CDE"/>
    <w:rsid w:val="6334724C"/>
    <w:rsid w:val="63A806AD"/>
    <w:rsid w:val="63DA2433"/>
    <w:rsid w:val="64021E38"/>
    <w:rsid w:val="645B110F"/>
    <w:rsid w:val="648C1355"/>
    <w:rsid w:val="64941EA5"/>
    <w:rsid w:val="649A3DAE"/>
    <w:rsid w:val="64E96C1E"/>
    <w:rsid w:val="65026A55"/>
    <w:rsid w:val="653A4310"/>
    <w:rsid w:val="658018F6"/>
    <w:rsid w:val="6584688C"/>
    <w:rsid w:val="65E049B8"/>
    <w:rsid w:val="660A7801"/>
    <w:rsid w:val="661444AB"/>
    <w:rsid w:val="661956B5"/>
    <w:rsid w:val="66330ED0"/>
    <w:rsid w:val="663445B0"/>
    <w:rsid w:val="663B08E3"/>
    <w:rsid w:val="66686AAB"/>
    <w:rsid w:val="667C3879"/>
    <w:rsid w:val="669C78C8"/>
    <w:rsid w:val="670D2312"/>
    <w:rsid w:val="670D3850"/>
    <w:rsid w:val="67581514"/>
    <w:rsid w:val="6778711F"/>
    <w:rsid w:val="67F27407"/>
    <w:rsid w:val="68153468"/>
    <w:rsid w:val="68285284"/>
    <w:rsid w:val="68301B59"/>
    <w:rsid w:val="688E0C16"/>
    <w:rsid w:val="697D5192"/>
    <w:rsid w:val="69C02C7B"/>
    <w:rsid w:val="69CE3320"/>
    <w:rsid w:val="69CF04D1"/>
    <w:rsid w:val="69FB3A54"/>
    <w:rsid w:val="6A065078"/>
    <w:rsid w:val="6A0B4248"/>
    <w:rsid w:val="6A1A6973"/>
    <w:rsid w:val="6AB06BCF"/>
    <w:rsid w:val="6AC625B2"/>
    <w:rsid w:val="6B1F148D"/>
    <w:rsid w:val="6B25614C"/>
    <w:rsid w:val="6BE06F08"/>
    <w:rsid w:val="6C506A8D"/>
    <w:rsid w:val="6C762AD9"/>
    <w:rsid w:val="6C777A4D"/>
    <w:rsid w:val="6CA15372"/>
    <w:rsid w:val="6CD6199A"/>
    <w:rsid w:val="6D6B5151"/>
    <w:rsid w:val="6D7766B7"/>
    <w:rsid w:val="6DB05798"/>
    <w:rsid w:val="6DC50903"/>
    <w:rsid w:val="6E9F2EE5"/>
    <w:rsid w:val="6F262639"/>
    <w:rsid w:val="6F307E18"/>
    <w:rsid w:val="6F5D1460"/>
    <w:rsid w:val="6F6A7954"/>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AF7CBF"/>
    <w:rsid w:val="73BB403B"/>
    <w:rsid w:val="73C34D23"/>
    <w:rsid w:val="73C472B9"/>
    <w:rsid w:val="74175451"/>
    <w:rsid w:val="74745FA7"/>
    <w:rsid w:val="74C60209"/>
    <w:rsid w:val="74EE0CE1"/>
    <w:rsid w:val="75104721"/>
    <w:rsid w:val="751C3537"/>
    <w:rsid w:val="751F1F98"/>
    <w:rsid w:val="752C38F7"/>
    <w:rsid w:val="756073B9"/>
    <w:rsid w:val="75641032"/>
    <w:rsid w:val="75CA6A26"/>
    <w:rsid w:val="75E1748B"/>
    <w:rsid w:val="76913001"/>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AA877D9"/>
    <w:rsid w:val="7B037BB0"/>
    <w:rsid w:val="7B0A69B2"/>
    <w:rsid w:val="7B61183B"/>
    <w:rsid w:val="7B8B3E25"/>
    <w:rsid w:val="7BBB012F"/>
    <w:rsid w:val="7BF35F17"/>
    <w:rsid w:val="7CD902EB"/>
    <w:rsid w:val="7D5F3A85"/>
    <w:rsid w:val="7E524C2F"/>
    <w:rsid w:val="7E872AE5"/>
    <w:rsid w:val="7E8875CE"/>
    <w:rsid w:val="7EFC5797"/>
    <w:rsid w:val="7F3513EA"/>
    <w:rsid w:val="7F446E7D"/>
    <w:rsid w:val="7FBE06E6"/>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2</TotalTime>
  <ScaleCrop>false</ScaleCrop>
  <LinksUpToDate>false</LinksUpToDate>
  <CharactersWithSpaces>17639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2020-03-03T06:56:00Z</cp:lastPrinted>
  <dcterms:modified xsi:type="dcterms:W3CDTF">2021-12-17T08:27:19Z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305F4F15414B46B8B9C01CEE4AFD4CBB</vt:lpwstr>
  </property>
</Properties>
</file>