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 w:val="44"/>
          <w:szCs w:val="44"/>
          <w:highlight w:val="none"/>
          <w:u w:val="none"/>
          <w:lang w:eastAsia="zh-CN"/>
        </w:rPr>
      </w:pPr>
      <w:r>
        <w:rPr>
          <w:rFonts w:hint="eastAsia" w:ascii="宋体" w:hAnsi="宋体"/>
          <w:b/>
          <w:bCs/>
          <w:color w:val="auto"/>
          <w:sz w:val="44"/>
          <w:szCs w:val="44"/>
          <w:highlight w:val="none"/>
          <w:u w:val="none"/>
          <w:lang w:eastAsia="zh-CN"/>
        </w:rPr>
        <w:t>龙东片区项目房屋征收补偿方案</w:t>
      </w:r>
    </w:p>
    <w:p>
      <w:pPr>
        <w:jc w:val="center"/>
        <w:rPr>
          <w:rFonts w:hint="eastAsia" w:ascii="仿宋_GB2312" w:hAnsi="Times New Roman"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适用公寓楼、集资楼部分征求意见稿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rPr>
          <w:rFonts w:hint="eastAsia" w:ascii="宋体" w:hAnsi="宋体" w:eastAsia="宋体"/>
          <w:color w:val="auto"/>
          <w:w w:val="100"/>
          <w:sz w:val="44"/>
          <w:szCs w:val="44"/>
          <w:highlight w:val="none"/>
          <w:u w:val="none"/>
          <w:lang w:val="en-US"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rPr>
        <w:t>因</w:t>
      </w:r>
      <w:bookmarkStart w:id="6" w:name="_GoBack"/>
      <w:bookmarkEnd w:id="6"/>
      <w:r>
        <w:rPr>
          <w:rFonts w:hint="eastAsia" w:ascii="仿宋_GB2312" w:eastAsia="仿宋_GB2312"/>
          <w:color w:val="auto"/>
          <w:w w:val="100"/>
          <w:sz w:val="32"/>
          <w:szCs w:val="32"/>
          <w:highlight w:val="none"/>
          <w:u w:val="none"/>
        </w:rPr>
        <w:t>城市建设发展和旧城改造建设需要，福清市人民政府决定征收</w:t>
      </w:r>
      <w:r>
        <w:rPr>
          <w:rFonts w:hint="eastAsia" w:ascii="仿宋_GB2312" w:eastAsia="仿宋_GB2312"/>
          <w:color w:val="auto"/>
          <w:w w:val="100"/>
          <w:sz w:val="32"/>
          <w:szCs w:val="32"/>
          <w:highlight w:val="none"/>
          <w:u w:val="none"/>
          <w:lang w:val="en-US" w:eastAsia="zh-CN"/>
        </w:rPr>
        <w:t>龙东片区（报批名称含政府储备地2022-027号）</w:t>
      </w:r>
      <w:r>
        <w:rPr>
          <w:rFonts w:hint="eastAsia" w:ascii="仿宋_GB2312" w:eastAsia="仿宋_GB2312"/>
          <w:color w:val="auto"/>
          <w:w w:val="100"/>
          <w:sz w:val="32"/>
          <w:szCs w:val="32"/>
          <w:highlight w:val="none"/>
          <w:u w:val="none"/>
        </w:rPr>
        <w:t>项目规划红线内的</w:t>
      </w:r>
      <w:r>
        <w:rPr>
          <w:rFonts w:hint="eastAsia" w:ascii="仿宋_GB2312" w:eastAsia="仿宋_GB2312"/>
          <w:color w:val="auto"/>
          <w:w w:val="100"/>
          <w:sz w:val="32"/>
          <w:szCs w:val="32"/>
          <w:highlight w:val="none"/>
          <w:u w:val="none"/>
          <w:lang w:eastAsia="zh-CN"/>
        </w:rPr>
        <w:t>公寓楼、集资楼</w:t>
      </w:r>
      <w:r>
        <w:rPr>
          <w:rFonts w:hint="eastAsia" w:ascii="仿宋_GB2312" w:eastAsia="仿宋_GB2312"/>
          <w:color w:val="auto"/>
          <w:w w:val="100"/>
          <w:sz w:val="32"/>
          <w:szCs w:val="32"/>
          <w:highlight w:val="none"/>
          <w:u w:val="none"/>
        </w:rPr>
        <w:t>。根据《中华人民</w:t>
      </w:r>
      <w:r>
        <w:rPr>
          <w:rFonts w:hint="eastAsia" w:ascii="仿宋_GB2312" w:eastAsia="仿宋_GB2312"/>
          <w:color w:val="auto"/>
          <w:w w:val="100"/>
          <w:sz w:val="32"/>
          <w:szCs w:val="32"/>
          <w:highlight w:val="none"/>
          <w:u w:val="none"/>
          <w:lang w:eastAsia="zh-CN"/>
        </w:rPr>
        <w:t>共和国土地管理法》、《国有土地上房屋征收与补偿条例》等</w:t>
      </w:r>
      <w:r>
        <w:rPr>
          <w:rFonts w:hint="eastAsia" w:ascii="仿宋_GB2312" w:eastAsia="仿宋_GB2312"/>
          <w:color w:val="auto"/>
          <w:w w:val="100"/>
          <w:sz w:val="32"/>
          <w:szCs w:val="32"/>
          <w:highlight w:val="none"/>
          <w:u w:val="none"/>
        </w:rPr>
        <w:t>有关法律、法规及政策规定，</w:t>
      </w:r>
      <w:r>
        <w:rPr>
          <w:rFonts w:hint="eastAsia" w:ascii="仿宋_GB2312" w:eastAsia="仿宋_GB2312"/>
          <w:color w:val="auto"/>
          <w:w w:val="100"/>
          <w:sz w:val="32"/>
          <w:szCs w:val="32"/>
          <w:highlight w:val="none"/>
          <w:u w:val="none"/>
          <w:lang w:eastAsia="zh-CN"/>
        </w:rPr>
        <w:t>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13"/>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13"/>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13"/>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13"/>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一、基本原</w:t>
      </w:r>
      <w:r>
        <w:rPr>
          <w:rFonts w:hint="eastAsia" w:ascii="仿宋_GB2312" w:eastAsia="仿宋_GB2312"/>
          <w:color w:val="auto"/>
          <w:sz w:val="32"/>
          <w:szCs w:val="32"/>
          <w:highlight w:val="none"/>
          <w:u w:val="none"/>
          <w:lang w:val="zh-CN"/>
        </w:rPr>
        <w:t>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13"/>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具体征收范围以</w:t>
      </w:r>
      <w:r>
        <w:rPr>
          <w:rFonts w:hint="eastAsia" w:ascii="仿宋_GB2312" w:eastAsia="仿宋_GB2312"/>
          <w:color w:val="auto"/>
          <w:w w:val="100"/>
          <w:sz w:val="32"/>
          <w:szCs w:val="32"/>
          <w:highlight w:val="none"/>
          <w:u w:val="none"/>
          <w:lang w:eastAsia="zh-CN"/>
        </w:rPr>
        <w:t>龙东</w:t>
      </w:r>
      <w:r>
        <w:rPr>
          <w:rFonts w:hint="eastAsia" w:ascii="仿宋_GB2312" w:eastAsia="仿宋_GB2312"/>
          <w:color w:val="auto"/>
          <w:w w:val="100"/>
          <w:sz w:val="32"/>
          <w:szCs w:val="32"/>
          <w:highlight w:val="none"/>
          <w:u w:val="none"/>
        </w:rPr>
        <w:t>片区</w:t>
      </w:r>
      <w:r>
        <w:rPr>
          <w:rFonts w:hint="eastAsia" w:ascii="仿宋_GB2312" w:eastAsia="仿宋_GB2312"/>
          <w:color w:val="auto"/>
          <w:sz w:val="32"/>
          <w:szCs w:val="32"/>
          <w:highlight w:val="none"/>
          <w:u w:val="none"/>
          <w:lang w:val="zh-CN"/>
        </w:rPr>
        <w:t>项目红线图为准。</w:t>
      </w:r>
    </w:p>
    <w:p>
      <w:pPr>
        <w:pStyle w:val="13"/>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lang w:val="zh-CN"/>
        </w:rPr>
      </w:pPr>
      <w:bookmarkStart w:id="3" w:name="bookmark8"/>
      <w:r>
        <w:rPr>
          <w:rFonts w:hint="eastAsia" w:ascii="仿宋_GB2312" w:eastAsia="仿宋_GB2312"/>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二）</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选择以分户评估方式确定被征收房屋价值的</w:t>
      </w:r>
      <w:r>
        <w:rPr>
          <w:rFonts w:hint="eastAsia" w:ascii="仿宋_GB2312" w:eastAsia="仿宋_GB2312"/>
          <w:color w:val="auto"/>
          <w:sz w:val="32"/>
          <w:szCs w:val="32"/>
          <w:highlight w:val="none"/>
          <w:u w:val="none"/>
          <w:lang w:val="zh-CN" w:eastAsia="zh-CN"/>
        </w:rPr>
        <w:t>（评估内容不含管理费、利润、税费等），不得再选择征收补偿方案进行补偿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两种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w:t>
      </w:r>
      <w:r>
        <w:rPr>
          <w:rFonts w:hint="eastAsia" w:ascii="仿宋_GB2312" w:eastAsia="仿宋_GB2312"/>
          <w:color w:val="auto"/>
          <w:sz w:val="32"/>
          <w:szCs w:val="32"/>
          <w:highlight w:val="none"/>
          <w:u w:val="none"/>
          <w:lang w:val="zh-CN" w:eastAsia="zh-CN"/>
        </w:rPr>
        <w:t>：以经相关部门审批建设办理的</w:t>
      </w:r>
      <w:r>
        <w:rPr>
          <w:rFonts w:hint="eastAsia" w:ascii="仿宋_GB2312" w:eastAsia="仿宋_GB2312"/>
          <w:color w:val="auto"/>
          <w:sz w:val="32"/>
          <w:szCs w:val="32"/>
          <w:highlight w:val="none"/>
          <w:u w:val="none"/>
          <w:lang w:val="zh-CN"/>
        </w:rPr>
        <w:t>《房屋所有权证》、《土地使用证》登记的产权人为准，或经审批的《用地申请表》、《建筑许可证》以及其他证明产权材料为认定依据。</w:t>
      </w:r>
    </w:p>
    <w:p>
      <w:pPr>
        <w:pStyle w:val="12"/>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方式。分为产权调换、货币补偿两方式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土地价值按确权的用地面积或认定补偿安置面积所占比例计算。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补偿实行土地、房屋分别计算，合并结算。土地补偿，经批准的房屋建筑占地土地补偿价格按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元/亩；房屋补偿，由房屋重置价和二次装修</w:t>
      </w:r>
      <w:r>
        <w:rPr>
          <w:rFonts w:hint="eastAsia" w:ascii="仿宋_GB2312" w:eastAsia="仿宋_GB2312"/>
          <w:color w:val="auto"/>
          <w:sz w:val="32"/>
          <w:szCs w:val="32"/>
          <w:highlight w:val="none"/>
          <w:u w:val="none"/>
          <w:lang w:val="zh-CN" w:eastAsia="zh-CN"/>
        </w:rPr>
        <w:t>重置价</w:t>
      </w:r>
      <w:r>
        <w:rPr>
          <w:rFonts w:hint="eastAsia" w:ascii="仿宋_GB2312" w:eastAsia="仿宋_GB2312"/>
          <w:color w:val="auto"/>
          <w:sz w:val="32"/>
          <w:szCs w:val="32"/>
          <w:highlight w:val="none"/>
          <w:u w:val="none"/>
          <w:lang w:val="zh-CN"/>
        </w:rPr>
        <w:t>结合成新率组成。</w:t>
      </w:r>
      <w:r>
        <w:rPr>
          <w:rFonts w:hint="eastAsia" w:ascii="仿宋_GB2312" w:eastAsia="仿宋_GB2312"/>
          <w:color w:val="auto"/>
          <w:sz w:val="32"/>
          <w:szCs w:val="32"/>
          <w:highlight w:val="none"/>
          <w:u w:val="none"/>
          <w:lang w:val="zh-CN" w:eastAsia="zh-CN"/>
        </w:rPr>
        <w:t>埕地、空地的补偿：</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60%计算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40%计算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（三）产权调换补偿方式安置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）根据本区域公寓楼、集资楼的结构状况，将房屋结构划归为</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2、选择产权调换或享受照顾购买的被征收人进行安置房选择（详安置房选房细则）。</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2"/>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shd w:val="clear" w:color="auto" w:fill="auto"/>
          <w:lang w:val="zh-CN"/>
        </w:rPr>
        <w:t>有权证的</w:t>
      </w:r>
      <w:r>
        <w:rPr>
          <w:rFonts w:hint="eastAsia" w:ascii="仿宋_GB2312" w:eastAsia="仿宋_GB2312"/>
          <w:color w:val="auto"/>
          <w:sz w:val="32"/>
          <w:szCs w:val="32"/>
          <w:highlight w:val="none"/>
          <w:u w:val="none"/>
          <w:lang w:val="zh-CN"/>
        </w:rPr>
        <w:t>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2"/>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2"/>
        <w:shd w:val="clear" w:color="auto" w:fill="auto"/>
        <w:spacing w:line="600" w:lineRule="exact"/>
        <w:ind w:firstLine="200"/>
        <w:jc w:val="both"/>
        <w:rPr>
          <w:rFonts w:hint="eastAsia" w:ascii="仿宋_GB2312" w:eastAsia="仿宋_GB2312"/>
          <w:color w:val="auto"/>
          <w:sz w:val="32"/>
          <w:szCs w:val="32"/>
          <w:highlight w:val="none"/>
          <w:u w:val="none"/>
          <w:lang w:val="zh-CN" w:eastAsia="zh-CN"/>
        </w:rPr>
      </w:pPr>
    </w:p>
    <w:p>
      <w:pPr>
        <w:pStyle w:val="12"/>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2"/>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(一）</w:t>
      </w:r>
      <w:r>
        <w:rPr>
          <w:rFonts w:hint="eastAsia" w:ascii="仿宋_GB2312" w:eastAsia="仿宋_GB2312"/>
          <w:color w:val="auto"/>
          <w:sz w:val="32"/>
          <w:szCs w:val="32"/>
          <w:highlight w:val="none"/>
          <w:u w:val="none"/>
          <w:lang w:val="zh-CN"/>
        </w:rPr>
        <w:t>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highlight w:val="none"/>
          <w:lang w:val="zh-CN" w:eastAsia="zh-CN"/>
        </w:rPr>
        <w:t>（二）</w:t>
      </w:r>
      <w:r>
        <w:rPr>
          <w:rFonts w:ascii="仿宋_GB2312" w:eastAsia="仿宋_GB2312"/>
          <w:sz w:val="32"/>
          <w:szCs w:val="32"/>
          <w:highlight w:val="none"/>
          <w:lang w:val="zh-CN"/>
        </w:rPr>
        <w:t>1987</w:t>
      </w:r>
      <w:r>
        <w:rPr>
          <w:rFonts w:hint="eastAsia" w:ascii="仿宋_GB2312" w:eastAsia="仿宋_GB2312"/>
          <w:sz w:val="32"/>
          <w:szCs w:val="32"/>
          <w:highlight w:val="none"/>
          <w:lang w:val="zh-CN"/>
        </w:rPr>
        <w:t>年</w:t>
      </w:r>
      <w:r>
        <w:rPr>
          <w:rFonts w:ascii="仿宋_GB2312" w:eastAsia="仿宋_GB2312"/>
          <w:sz w:val="32"/>
          <w:szCs w:val="32"/>
          <w:highlight w:val="none"/>
          <w:lang w:val="zh-CN"/>
        </w:rPr>
        <w:t>1</w:t>
      </w:r>
      <w:r>
        <w:rPr>
          <w:rFonts w:hint="eastAsia" w:ascii="仿宋_GB2312" w:eastAsia="仿宋_GB2312"/>
          <w:sz w:val="32"/>
          <w:szCs w:val="32"/>
          <w:highlight w:val="none"/>
          <w:lang w:val="zh-CN"/>
        </w:rPr>
        <w:t>月</w:t>
      </w:r>
      <w:r>
        <w:rPr>
          <w:rFonts w:ascii="仿宋_GB2312" w:eastAsia="仿宋_GB2312"/>
          <w:sz w:val="32"/>
          <w:szCs w:val="32"/>
          <w:highlight w:val="none"/>
          <w:lang w:val="zh-CN"/>
        </w:rPr>
        <w:t>1</w:t>
      </w:r>
      <w:r>
        <w:rPr>
          <w:rFonts w:hint="eastAsia" w:ascii="仿宋_GB2312" w:eastAsia="仿宋_GB2312"/>
          <w:sz w:val="32"/>
          <w:szCs w:val="32"/>
          <w:highlight w:val="none"/>
          <w:lang w:val="zh-CN"/>
        </w:rPr>
        <w:t>日《中华人民共和国土地管理法》实施以后，持有“两证”（《土地使用证》和《房屋所有权证》）之一</w:t>
      </w:r>
      <w:r>
        <w:rPr>
          <w:rFonts w:hint="eastAsia" w:ascii="仿宋_GB2312" w:eastAsia="仿宋_GB2312"/>
          <w:sz w:val="32"/>
          <w:szCs w:val="32"/>
          <w:highlight w:val="none"/>
          <w:lang w:val="zh-CN" w:eastAsia="zh-CN"/>
        </w:rPr>
        <w:t>的。持有镇街及以上人民政府审批的《用地申请表》或《用地通知书》和《建筑许可证》或《建设工程规划许可证》之一的，手续不完整的建房户，按权证（或表格、通知书）登记的房屋占地及</w:t>
      </w:r>
      <w:r>
        <w:rPr>
          <w:rFonts w:hint="eastAsia" w:ascii="仿宋_GB2312" w:eastAsia="仿宋_GB2312"/>
          <w:sz w:val="32"/>
          <w:szCs w:val="32"/>
          <w:highlight w:val="none"/>
          <w:lang w:val="zh-CN"/>
        </w:rPr>
        <w:t>建筑面积的</w:t>
      </w:r>
      <w:r>
        <w:rPr>
          <w:rFonts w:ascii="仿宋_GB2312" w:eastAsia="仿宋_GB2312"/>
          <w:sz w:val="32"/>
          <w:szCs w:val="32"/>
          <w:highlight w:val="none"/>
          <w:lang w:val="zh-CN"/>
        </w:rPr>
        <w:t>95%</w:t>
      </w:r>
      <w:r>
        <w:rPr>
          <w:rFonts w:hint="eastAsia" w:ascii="仿宋_GB2312" w:eastAsia="仿宋_GB2312"/>
          <w:sz w:val="32"/>
          <w:szCs w:val="32"/>
          <w:highlight w:val="none"/>
          <w:lang w:val="zh-CN"/>
        </w:rPr>
        <w:t>予以认定补偿安置面积。</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手续建成的公寓楼、集资楼</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整体有审批手续（含不完整手续），局部在原设计图纸之外私自增加的无手续建筑物，一律不予认定补偿安置面积。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以上被认定不予补偿安置的房屋占地及建筑面积（含“八、手续不完整”及“九、无手续”两部分中的情况）</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eastAsia="zh-CN"/>
        </w:rPr>
        <w:t>属2016年4月1日前建成的</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eastAsia="zh-CN"/>
        </w:rPr>
        <w:t>按征地和建安造价给予一次性货币补偿；属2016年4月1日后建成的，除征地费用外不给于任何补偿。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建房时间和建房手续由项目所在街道牵头，征迁工作组负责，国土局、规划局配合，结合审批资料、航拍图等技术资料予以审核确认。</w:t>
      </w: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p>
    <w:p>
      <w:pPr>
        <w:pStyle w:val="12"/>
        <w:shd w:val="clear" w:color="auto" w:fill="auto"/>
        <w:spacing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计算公式：公寓楼、集资楼补偿金额=</w:t>
      </w:r>
      <w:r>
        <w:rPr>
          <w:rFonts w:hint="eastAsia" w:ascii="仿宋_GB2312" w:eastAsia="仿宋_GB2312"/>
          <w:color w:val="auto"/>
          <w:sz w:val="32"/>
          <w:szCs w:val="32"/>
          <w:highlight w:val="none"/>
          <w:u w:val="none"/>
          <w:lang w:val="zh-CN" w:eastAsia="zh-CN"/>
        </w:rPr>
        <w:t>经认定可补偿安置的房屋建筑占地面积×土地补偿价</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万元/亩+埕地、空地面积（已分摊入各户建筑用地的不计）</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highlight w:val="none"/>
          <w:u w:val="none"/>
          <w:lang w:val="zh-CN"/>
        </w:rPr>
        <w:t>×成新率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埕地、空地面积（已分摊入各户建筑用地的不计）</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highlight w:val="none"/>
          <w:u w:val="none"/>
          <w:lang w:val="zh-CN"/>
        </w:rPr>
        <w:t>×成新率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w:t>
      </w:r>
    </w:p>
    <w:p>
      <w:pPr>
        <w:pStyle w:val="2"/>
        <w:shd w:val="clear" w:color="auto" w:fill="auto"/>
        <w:spacing w:after="0" w:line="600" w:lineRule="exact"/>
        <w:ind w:firstLine="480" w:firstLineChars="150"/>
        <w:rPr>
          <w:rFonts w:hint="eastAsia" w:ascii="仿宋_GB2312" w:eastAsia="仿宋_GB2312"/>
          <w:b w:val="0"/>
          <w:bCs w:val="0"/>
          <w:i w:val="0"/>
          <w:iCs w:val="0"/>
          <w:color w:val="auto"/>
          <w:sz w:val="32"/>
          <w:szCs w:val="32"/>
          <w:highlight w:val="none"/>
          <w:u w:val="none"/>
          <w:lang w:val="zh-CN" w:eastAsia="zh-CN"/>
        </w:rPr>
      </w:pPr>
      <w:r>
        <w:rPr>
          <w:rFonts w:hint="eastAsia" w:ascii="仿宋_GB2312" w:eastAsia="仿宋_GB2312"/>
          <w:b w:val="0"/>
          <w:bCs w:val="0"/>
          <w:i w:val="0"/>
          <w:iCs w:val="0"/>
          <w:color w:val="auto"/>
          <w:sz w:val="32"/>
          <w:szCs w:val="32"/>
          <w:highlight w:val="none"/>
          <w:u w:val="none"/>
          <w:lang w:val="zh-CN"/>
        </w:rPr>
        <w:t>（四）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一</w:t>
      </w:r>
      <w:r>
        <w:rPr>
          <w:rFonts w:hint="eastAsia" w:ascii="仿宋_GB2312" w:eastAsia="仿宋_GB2312"/>
          <w:b/>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（二）安置原则及安置房价格</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公寓楼、集资楼认定</w:t>
      </w:r>
      <w:r>
        <w:rPr>
          <w:rFonts w:hint="eastAsia" w:ascii="仿宋_GB2312" w:eastAsia="仿宋_GB2312"/>
          <w:color w:val="auto"/>
          <w:sz w:val="32"/>
          <w:szCs w:val="32"/>
          <w:highlight w:val="none"/>
          <w:u w:val="none"/>
          <w:lang w:val="zh-CN"/>
        </w:rPr>
        <w:t>补偿安置面积选择产权调换部分，实行补差价优惠，其补偿详见附表五。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w:t>
      </w:r>
      <w:r>
        <w:rPr>
          <w:rFonts w:hint="eastAsia" w:ascii="仿宋_GB2312" w:eastAsia="仿宋_GB2312"/>
          <w:color w:val="auto"/>
          <w:sz w:val="32"/>
          <w:szCs w:val="32"/>
          <w:highlight w:val="none"/>
          <w:u w:val="none"/>
          <w:lang w:val="zh-CN"/>
        </w:rPr>
        <w:t>选房时因安置房户型</w:t>
      </w:r>
      <w:r>
        <w:rPr>
          <w:rFonts w:hint="eastAsia" w:ascii="仿宋_GB2312" w:eastAsia="仿宋_GB2312"/>
          <w:color w:val="auto"/>
          <w:sz w:val="32"/>
          <w:szCs w:val="32"/>
          <w:highlight w:val="none"/>
          <w:u w:val="none"/>
          <w:lang w:val="zh-CN" w:eastAsia="zh-CN"/>
        </w:rPr>
        <w:t>和</w:t>
      </w:r>
      <w:r>
        <w:rPr>
          <w:rFonts w:hint="eastAsia" w:ascii="仿宋_GB2312" w:eastAsia="仿宋_GB2312"/>
          <w:color w:val="auto"/>
          <w:sz w:val="32"/>
          <w:szCs w:val="32"/>
          <w:highlight w:val="none"/>
          <w:u w:val="none"/>
          <w:lang w:val="zh-CN"/>
        </w:rPr>
        <w:t>建筑结构等原因导致实际安置面积超出产权调换面积的</w:t>
      </w:r>
      <w:r>
        <w:rPr>
          <w:rFonts w:hint="eastAsia" w:ascii="仿宋_GB2312" w:eastAsia="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w:t>
      </w:r>
      <w:r>
        <w:rPr>
          <w:rFonts w:hint="eastAsia" w:ascii="仿宋_GB2312" w:hAnsi="仿宋_GB2312" w:eastAsia="仿宋_GB2312" w:cs="仿宋_GB2312"/>
          <w:color w:val="auto"/>
          <w:sz w:val="32"/>
          <w:szCs w:val="32"/>
          <w:highlight w:val="none"/>
          <w:u w:val="none"/>
          <w:lang w:val="zh-CN" w:eastAsia="zh-CN"/>
        </w:rPr>
        <w:t>及</w:t>
      </w:r>
      <w:r>
        <w:rPr>
          <w:rFonts w:hint="eastAsia" w:ascii="仿宋_GB2312" w:hAnsi="仿宋_GB2312" w:eastAsia="仿宋_GB2312" w:cs="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p>
      <w:pPr>
        <w:spacing w:line="600" w:lineRule="exact"/>
        <w:ind w:firstLine="640" w:firstLineChars="200"/>
        <w:rPr>
          <w:rFonts w:hint="eastAsia" w:ascii="仿宋_GB2312" w:eastAsia="仿宋_GB2312"/>
          <w:color w:val="auto"/>
          <w:sz w:val="32"/>
          <w:szCs w:val="32"/>
          <w:highlight w:val="none"/>
          <w:u w:val="none"/>
          <w:lang w:val="zh-CN" w:eastAsia="zh-CN"/>
        </w:rPr>
      </w:pPr>
    </w:p>
    <w:tbl>
      <w:tblPr>
        <w:tblStyle w:val="7"/>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52"/>
        <w:gridCol w:w="1904"/>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483" w:type="dxa"/>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gridSpan w:val="2"/>
            <w:vAlign w:val="center"/>
          </w:tcPr>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483" w:type="dxa"/>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gridSpan w:val="2"/>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龙东地块2</w:t>
            </w:r>
          </w:p>
        </w:tc>
        <w:tc>
          <w:tcPr>
            <w:tcW w:w="117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83" w:type="dxa"/>
            <w:vAlign w:val="center"/>
          </w:tcPr>
          <w:p>
            <w:pPr>
              <w:spacing w:after="0"/>
              <w:jc w:val="center"/>
              <w:rPr>
                <w:rFonts w:hint="eastAsia" w:ascii="宋体" w:hAnsi="宋体" w:eastAsia="宋体" w:cs="宋体"/>
                <w:color w:val="auto"/>
                <w:sz w:val="20"/>
                <w:szCs w:val="20"/>
                <w:highlight w:val="none"/>
                <w:u w:val="none"/>
                <w:lang w:eastAsia="zh-CN"/>
              </w:rPr>
            </w:pPr>
            <w:r>
              <w:rPr>
                <w:rFonts w:hint="eastAsia" w:ascii="宋体" w:hAnsi="宋体"/>
                <w:color w:val="auto"/>
                <w:sz w:val="20"/>
                <w:szCs w:val="20"/>
                <w:highlight w:val="none"/>
                <w:u w:val="none"/>
                <w:lang w:val="en-US" w:eastAsia="zh-CN"/>
              </w:rPr>
              <w:t>2</w:t>
            </w:r>
          </w:p>
        </w:tc>
        <w:tc>
          <w:tcPr>
            <w:tcW w:w="3056" w:type="dxa"/>
            <w:gridSpan w:val="2"/>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龙东地块3</w:t>
            </w:r>
          </w:p>
        </w:tc>
        <w:tc>
          <w:tcPr>
            <w:tcW w:w="117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3" w:type="dxa"/>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3</w:t>
            </w:r>
          </w:p>
        </w:tc>
        <w:tc>
          <w:tcPr>
            <w:tcW w:w="3056" w:type="dxa"/>
            <w:gridSpan w:val="2"/>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龙东地块4</w:t>
            </w:r>
          </w:p>
        </w:tc>
        <w:tc>
          <w:tcPr>
            <w:tcW w:w="117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83" w:type="dxa"/>
            <w:vAlign w:val="center"/>
          </w:tcPr>
          <w:p>
            <w:pPr>
              <w:spacing w:after="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4</w:t>
            </w:r>
          </w:p>
        </w:tc>
        <w:tc>
          <w:tcPr>
            <w:tcW w:w="3056" w:type="dxa"/>
            <w:gridSpan w:val="2"/>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龙东地块5</w:t>
            </w:r>
          </w:p>
        </w:tc>
        <w:tc>
          <w:tcPr>
            <w:tcW w:w="117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5</w:t>
            </w:r>
          </w:p>
        </w:tc>
        <w:tc>
          <w:tcPr>
            <w:tcW w:w="3056" w:type="dxa"/>
            <w:gridSpan w:val="2"/>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优步花园小区（政府储备地2010-044B号地块）</w:t>
            </w:r>
          </w:p>
        </w:tc>
        <w:tc>
          <w:tcPr>
            <w:tcW w:w="117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2022.6.4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483" w:type="dxa"/>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1152" w:type="dxa"/>
            <w:vMerge w:val="restart"/>
            <w:vAlign w:val="center"/>
          </w:tcPr>
          <w:p>
            <w:pPr>
              <w:spacing w:after="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全市指定</w:t>
            </w:r>
          </w:p>
          <w:p>
            <w:pPr>
              <w:spacing w:after="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统筹安置区</w:t>
            </w:r>
          </w:p>
        </w:tc>
        <w:tc>
          <w:tcPr>
            <w:tcW w:w="1904" w:type="dxa"/>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eastAsia="zh-CN"/>
              </w:rPr>
            </w:pPr>
            <w:r>
              <w:rPr>
                <w:rFonts w:hint="eastAsia" w:ascii="宋体" w:hAnsi="宋体"/>
                <w:color w:val="auto"/>
                <w:sz w:val="20"/>
                <w:szCs w:val="20"/>
                <w:highlight w:val="none"/>
                <w:u w:val="none"/>
              </w:rPr>
              <w:t>政府储备地2012-013A</w:t>
            </w:r>
            <w:r>
              <w:rPr>
                <w:rFonts w:hint="eastAsia" w:ascii="宋体" w:hAnsi="宋体"/>
                <w:color w:val="auto"/>
                <w:sz w:val="20"/>
                <w:szCs w:val="20"/>
                <w:highlight w:val="none"/>
                <w:u w:val="none"/>
                <w:lang w:eastAsia="zh-CN"/>
              </w:rPr>
              <w:t>号</w:t>
            </w:r>
          </w:p>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0"/>
                <w:szCs w:val="20"/>
                <w:highlight w:val="none"/>
                <w:u w:val="none"/>
                <w:lang w:val="en-US" w:eastAsia="zh-CN" w:bidi="ar-SA"/>
              </w:rPr>
            </w:pPr>
            <w:r>
              <w:rPr>
                <w:rFonts w:hint="eastAsia" w:ascii="宋体" w:hAnsi="宋体"/>
                <w:color w:val="auto"/>
                <w:sz w:val="20"/>
                <w:szCs w:val="20"/>
                <w:highlight w:val="none"/>
                <w:u w:val="none"/>
              </w:rPr>
              <w:t>（</w:t>
            </w:r>
            <w:r>
              <w:rPr>
                <w:rFonts w:hint="eastAsia" w:ascii="宋体" w:hAnsi="宋体"/>
                <w:color w:val="auto"/>
                <w:sz w:val="20"/>
                <w:szCs w:val="20"/>
                <w:highlight w:val="none"/>
                <w:u w:val="none"/>
                <w:lang w:eastAsia="zh-CN"/>
              </w:rPr>
              <w:t>世茂</w:t>
            </w:r>
            <w:r>
              <w:rPr>
                <w:rFonts w:hint="eastAsia" w:ascii="宋体" w:hAnsi="宋体"/>
                <w:color w:val="auto"/>
                <w:sz w:val="20"/>
                <w:szCs w:val="20"/>
                <w:highlight w:val="none"/>
                <w:u w:val="none"/>
              </w:rPr>
              <w:t>璀璨天城）</w:t>
            </w:r>
          </w:p>
        </w:tc>
        <w:tc>
          <w:tcPr>
            <w:tcW w:w="117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eastAsia="zh-CN"/>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spacing w:after="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7</w:t>
            </w:r>
          </w:p>
        </w:tc>
        <w:tc>
          <w:tcPr>
            <w:tcW w:w="1152" w:type="dxa"/>
            <w:vMerge w:val="continue"/>
            <w:vAlign w:val="center"/>
          </w:tcPr>
          <w:p>
            <w:pPr>
              <w:spacing w:after="0"/>
              <w:jc w:val="center"/>
              <w:rPr>
                <w:rFonts w:hint="eastAsia" w:ascii="宋体" w:hAnsi="宋体"/>
                <w:color w:val="auto"/>
                <w:sz w:val="20"/>
                <w:szCs w:val="20"/>
                <w:highlight w:val="none"/>
                <w:u w:val="none"/>
              </w:rPr>
            </w:pPr>
          </w:p>
        </w:tc>
        <w:tc>
          <w:tcPr>
            <w:tcW w:w="19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政府储备地2014-015号</w:t>
            </w:r>
          </w:p>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0"/>
                <w:szCs w:val="20"/>
                <w:highlight w:val="none"/>
                <w:u w:val="none"/>
                <w:lang w:val="en-US" w:eastAsia="zh-CN" w:bidi="ar-SA"/>
              </w:rPr>
            </w:pPr>
            <w:r>
              <w:rPr>
                <w:rFonts w:hint="default" w:ascii="宋体" w:hAnsi="宋体" w:cs="宋体"/>
                <w:color w:val="auto"/>
                <w:sz w:val="20"/>
                <w:szCs w:val="20"/>
                <w:highlight w:val="none"/>
                <w:u w:val="none"/>
              </w:rPr>
              <w:t>（中庚香澜）</w:t>
            </w:r>
          </w:p>
        </w:tc>
        <w:tc>
          <w:tcPr>
            <w:tcW w:w="117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eastAsia="zh-CN"/>
              </w:rPr>
              <w:t>现房</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numPr>
          <w:ilvl w:val="0"/>
          <w:numId w:val="0"/>
        </w:num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拆迁区范围的被征收人的安置房可在龙东地块</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eastAsia="zh-CN"/>
        </w:rPr>
        <w:t>、龙东地块</w:t>
      </w: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eastAsia="zh-CN"/>
        </w:rPr>
        <w:t>、龙东地块</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、龙东地块</w:t>
      </w:r>
      <w:r>
        <w:rPr>
          <w:rFonts w:hint="eastAsia" w:ascii="仿宋_GB2312" w:eastAsia="仿宋_GB2312"/>
          <w:color w:val="auto"/>
          <w:sz w:val="32"/>
          <w:szCs w:val="32"/>
          <w:highlight w:val="none"/>
          <w:u w:val="none"/>
          <w:lang w:val="en-US" w:eastAsia="zh-CN"/>
        </w:rPr>
        <w:t>5、优步花园小区（政府储备地2010-044B号地块）等安置区和</w:t>
      </w:r>
      <w:r>
        <w:rPr>
          <w:rFonts w:hint="eastAsia" w:ascii="仿宋_GB2312" w:eastAsia="仿宋_GB2312"/>
          <w:color w:val="auto"/>
          <w:sz w:val="32"/>
          <w:szCs w:val="32"/>
          <w:highlight w:val="none"/>
          <w:u w:val="none"/>
          <w:lang w:val="zh-CN" w:eastAsia="zh-CN"/>
        </w:rPr>
        <w:t>全市指定统筹安置区政府储备地2012-013A号（世茂璀璨天城）、政府储备地2014-015号（中庚香澜）等安置区中选择，其中选择的边套</w:t>
      </w:r>
      <w:r>
        <w:rPr>
          <w:rFonts w:hint="eastAsia" w:ascii="仿宋_GB2312" w:eastAsia="仿宋_GB2312"/>
          <w:color w:val="auto"/>
          <w:sz w:val="32"/>
          <w:szCs w:val="32"/>
          <w:highlight w:val="none"/>
          <w:u w:val="none"/>
          <w:lang w:val="en-US" w:eastAsia="zh-CN"/>
        </w:rPr>
        <w:t>140</w:t>
      </w:r>
      <w:r>
        <w:rPr>
          <w:rFonts w:hint="eastAsia" w:ascii="仿宋_GB2312" w:eastAsia="仿宋_GB2312"/>
          <w:color w:val="auto"/>
          <w:sz w:val="32"/>
          <w:szCs w:val="32"/>
          <w:highlight w:val="none"/>
          <w:u w:val="none"/>
          <w:lang w:val="zh-CN"/>
        </w:rPr>
        <w:t>㎡及以上户型只允许最多一套。</w:t>
      </w:r>
    </w:p>
    <w:p>
      <w:pPr>
        <w:numPr>
          <w:ilvl w:val="0"/>
          <w:numId w:val="0"/>
        </w:num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w:t>
      </w:r>
      <w:r>
        <w:rPr>
          <w:rFonts w:hint="eastAsia" w:ascii="仿宋_GB2312" w:eastAsia="仿宋_GB2312"/>
          <w:color w:val="auto"/>
          <w:kern w:val="0"/>
          <w:sz w:val="32"/>
          <w:szCs w:val="32"/>
          <w:highlight w:val="none"/>
          <w:u w:val="none"/>
          <w:lang w:val="zh-CN"/>
        </w:rPr>
        <w:t>择产权调换的，被征收人选择安置房的面积上限为认定补偿安置面积的1.</w:t>
      </w:r>
      <w:r>
        <w:rPr>
          <w:rFonts w:hint="eastAsia" w:ascii="仿宋_GB2312" w:eastAsia="仿宋_GB2312"/>
          <w:color w:val="auto"/>
          <w:kern w:val="0"/>
          <w:sz w:val="32"/>
          <w:szCs w:val="32"/>
          <w:highlight w:val="none"/>
          <w:u w:val="none"/>
          <w:lang w:val="en-US" w:eastAsia="zh-CN"/>
        </w:rPr>
        <w:t>2</w:t>
      </w:r>
      <w:r>
        <w:rPr>
          <w:rFonts w:hint="eastAsia" w:ascii="仿宋_GB2312" w:eastAsia="仿宋_GB2312"/>
          <w:color w:val="auto"/>
          <w:kern w:val="0"/>
          <w:sz w:val="32"/>
          <w:szCs w:val="32"/>
          <w:highlight w:val="none"/>
          <w:u w:val="none"/>
          <w:lang w:val="zh-CN"/>
        </w:rPr>
        <w:t>5倍。</w:t>
      </w:r>
    </w:p>
    <w:p>
      <w:pPr>
        <w:numPr>
          <w:ilvl w:val="0"/>
          <w:numId w:val="0"/>
        </w:num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被征收房屋认定补偿安置面积小于30㎡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803" w:firstLineChars="25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元/㎡补助标准计算</w:t>
      </w:r>
      <w:r>
        <w:rPr>
          <w:rFonts w:hint="eastAsia" w:ascii="仿宋_GB2312" w:eastAsia="仿宋_GB2312"/>
          <w:color w:val="auto"/>
          <w:sz w:val="32"/>
          <w:szCs w:val="32"/>
          <w:highlight w:val="none"/>
          <w:u w:val="none"/>
          <w:lang w:val="zh-CN" w:eastAsia="zh-CN"/>
        </w:rPr>
        <w:t>搬迁费</w:t>
      </w:r>
      <w:r>
        <w:rPr>
          <w:rFonts w:hint="eastAsia" w:ascii="仿宋_GB2312" w:eastAsia="仿宋_GB2312"/>
          <w:color w:val="auto"/>
          <w:sz w:val="32"/>
          <w:szCs w:val="32"/>
          <w:highlight w:val="none"/>
          <w:u w:val="none"/>
          <w:lang w:val="zh-CN"/>
        </w:rPr>
        <w:t>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，选择不同安置区的具体过渡期限按各安置区计划交房时间计算。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本项目红线范围内</w:t>
      </w:r>
      <w:r>
        <w:rPr>
          <w:rFonts w:hint="eastAsia" w:ascii="仿宋_GB2312" w:eastAsia="仿宋_GB2312"/>
          <w:color w:val="auto"/>
          <w:sz w:val="32"/>
          <w:szCs w:val="32"/>
          <w:highlight w:val="none"/>
          <w:u w:val="none"/>
          <w:lang w:eastAsia="zh-CN"/>
        </w:rPr>
        <w:t>公寓楼、集资楼</w:t>
      </w:r>
      <w:r>
        <w:rPr>
          <w:rFonts w:hint="eastAsia" w:ascii="仿宋_GB2312" w:eastAsia="仿宋_GB2312"/>
          <w:color w:val="auto"/>
          <w:sz w:val="32"/>
          <w:szCs w:val="32"/>
          <w:highlight w:val="none"/>
          <w:u w:val="none"/>
        </w:rPr>
        <w:t>征收签约协商期限规定如下</w:t>
      </w:r>
      <w:r>
        <w:rPr>
          <w:rFonts w:hint="eastAsia" w:ascii="仿宋_GB2312" w:eastAsia="仿宋_GB2312"/>
          <w:color w:val="auto"/>
          <w:sz w:val="32"/>
          <w:szCs w:val="32"/>
          <w:highlight w:val="none"/>
          <w:u w:val="none"/>
          <w:lang w:eastAsia="zh-CN"/>
        </w:rPr>
        <w:t>：</w:t>
      </w:r>
    </w:p>
    <w:p>
      <w:pPr>
        <w:pStyle w:val="2"/>
        <w:shd w:val="clear" w:color="auto" w:fill="auto"/>
        <w:spacing w:after="0" w:line="600" w:lineRule="exact"/>
        <w:ind w:firstLine="800" w:firstLineChars="250"/>
        <w:jc w:val="both"/>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(一）宣传发动和房屋权属、面积核对阶段：自本方案发布</w:t>
      </w:r>
      <w:r>
        <w:rPr>
          <w:rFonts w:hint="eastAsia" w:ascii="仿宋_GB2312" w:eastAsia="仿宋_GB2312"/>
          <w:color w:val="auto"/>
          <w:sz w:val="32"/>
          <w:szCs w:val="32"/>
          <w:highlight w:val="none"/>
          <w:u w:val="none"/>
          <w:lang w:val="zh-CN"/>
        </w:rPr>
        <w:t>之日起一个月内。该阶段达成协议，可提前签约。</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（二）房屋征收签约</w:t>
      </w:r>
      <w:r>
        <w:rPr>
          <w:rFonts w:hint="eastAsia" w:ascii="仿宋_GB2312" w:eastAsia="仿宋_GB2312"/>
          <w:b w:val="0"/>
          <w:bCs w:val="0"/>
          <w:color w:val="auto"/>
          <w:sz w:val="32"/>
          <w:szCs w:val="32"/>
          <w:highlight w:val="none"/>
          <w:u w:val="none"/>
          <w:lang w:val="zh-CN" w:eastAsia="zh-CN"/>
        </w:rPr>
        <w:t>期限：以正式方案公布为准。</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安置面积计算（不含照顾购买面积），给予</w:t>
      </w: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）被征收人另可享受下列奖励：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1、自行</w:t>
      </w:r>
      <w:r>
        <w:rPr>
          <w:rFonts w:hint="eastAsia" w:ascii="仿宋_GB2312" w:eastAsia="仿宋_GB2312"/>
          <w:color w:val="auto"/>
          <w:sz w:val="32"/>
          <w:szCs w:val="32"/>
          <w:highlight w:val="none"/>
          <w:u w:val="none"/>
          <w:lang w:val="zh-CN"/>
        </w:rPr>
        <w:t>封房交拆奖励：按认定补偿安置面积计算（不含照顾购买面积），给予</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安置的，按经认定补偿安置面积给予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rPr>
        <w:t>元/㎡补差款。</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w:t>
      </w:r>
      <w:r>
        <w:rPr>
          <w:rFonts w:hint="eastAsia" w:ascii="仿宋_GB2312" w:eastAsia="仿宋_GB2312"/>
          <w:color w:val="auto"/>
          <w:sz w:val="32"/>
          <w:szCs w:val="32"/>
          <w:highlight w:val="none"/>
          <w:u w:val="none"/>
          <w:lang w:val="zh-CN" w:eastAsia="zh-CN"/>
        </w:rPr>
        <w:t>套</w:t>
      </w:r>
      <w:r>
        <w:rPr>
          <w:rFonts w:hint="eastAsia" w:ascii="仿宋_GB2312" w:eastAsia="仿宋_GB2312"/>
          <w:color w:val="auto"/>
          <w:sz w:val="32"/>
          <w:szCs w:val="32"/>
          <w:highlight w:val="none"/>
          <w:u w:val="none"/>
          <w:lang w:val="zh-CN"/>
        </w:rPr>
        <w:t>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，且每套最多不超过1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6000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30" w:firstLineChars="196"/>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五</w:t>
      </w:r>
      <w:r>
        <w:rPr>
          <w:rFonts w:hint="eastAsia" w:ascii="仿宋_GB2312" w:eastAsia="仿宋_GB2312"/>
          <w:b/>
          <w:color w:val="auto"/>
          <w:sz w:val="32"/>
          <w:szCs w:val="32"/>
          <w:highlight w:val="none"/>
          <w:u w:val="none"/>
          <w:lang w:val="zh-CN"/>
        </w:rPr>
        <w:t>、</w:t>
      </w:r>
      <w:r>
        <w:rPr>
          <w:rFonts w:hint="eastAsia" w:ascii="仿宋_GB2312" w:eastAsia="仿宋_GB2312"/>
          <w:b/>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1"/>
        </w:numPr>
        <w:shd w:val="clear" w:color="auto" w:fill="auto"/>
        <w:spacing w:after="0" w:line="600" w:lineRule="exact"/>
        <w:ind w:firstLine="480" w:firstLineChars="15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1"/>
        </w:numPr>
        <w:shd w:val="clear" w:color="auto" w:fill="auto"/>
        <w:spacing w:after="0" w:line="600" w:lineRule="exact"/>
        <w:ind w:left="0" w:leftChars="0" w:firstLine="480" w:firstLineChars="150"/>
        <w:jc w:val="both"/>
        <w:rPr>
          <w:rFonts w:hint="eastAsia" w:ascii="仿宋_GB2312" w:eastAsia="仿宋_GB2312"/>
          <w:color w:val="auto"/>
          <w:sz w:val="32"/>
          <w:szCs w:val="32"/>
          <w:highlight w:val="none"/>
          <w:u w:val="none"/>
          <w:lang w:val="zh-CN"/>
        </w:rPr>
      </w:pPr>
      <w:r>
        <w:rPr>
          <w:rFonts w:ascii="仿宋_GB2312" w:eastAsia="仿宋_GB2312"/>
          <w:sz w:val="32"/>
          <w:szCs w:val="32"/>
          <w:highlight w:val="none"/>
          <w:lang w:val="zh-CN"/>
        </w:rPr>
        <w:t>在2011年6月30日前，住宅底层改为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（五）</w:t>
      </w:r>
      <w:r>
        <w:rPr>
          <w:rFonts w:ascii="仿宋_GB2312" w:eastAsia="仿宋_GB2312"/>
          <w:color w:val="auto"/>
          <w:sz w:val="32"/>
          <w:szCs w:val="32"/>
          <w:highlight w:val="none"/>
          <w:u w:val="none"/>
          <w:lang w:val="zh-CN"/>
        </w:rPr>
        <w:t>沿路的</w:t>
      </w:r>
      <w:r>
        <w:rPr>
          <w:rFonts w:hint="eastAsia" w:ascii="仿宋_GB2312" w:eastAsia="仿宋_GB2312"/>
          <w:color w:val="auto"/>
          <w:sz w:val="32"/>
          <w:szCs w:val="32"/>
          <w:highlight w:val="none"/>
          <w:u w:val="none"/>
          <w:lang w:val="zh-CN"/>
        </w:rPr>
        <w:t>工业用房、</w:t>
      </w:r>
      <w:r>
        <w:rPr>
          <w:rFonts w:ascii="仿宋_GB2312" w:eastAsia="仿宋_GB2312"/>
          <w:color w:val="auto"/>
          <w:sz w:val="32"/>
          <w:szCs w:val="32"/>
          <w:highlight w:val="none"/>
          <w:u w:val="none"/>
          <w:lang w:val="zh-CN"/>
        </w:rPr>
        <w:t>办公用房、</w:t>
      </w:r>
      <w:r>
        <w:rPr>
          <w:rFonts w:hint="eastAsia" w:ascii="仿宋_GB2312" w:eastAsia="仿宋_GB2312"/>
          <w:color w:val="auto"/>
          <w:sz w:val="32"/>
          <w:szCs w:val="32"/>
          <w:highlight w:val="none"/>
          <w:u w:val="none"/>
          <w:lang w:val="zh-CN" w:eastAsia="zh-CN"/>
        </w:rPr>
        <w:t>临时</w:t>
      </w:r>
      <w:r>
        <w:rPr>
          <w:rFonts w:ascii="仿宋_GB2312" w:eastAsia="仿宋_GB2312"/>
          <w:color w:val="auto"/>
          <w:sz w:val="32"/>
          <w:szCs w:val="32"/>
          <w:highlight w:val="none"/>
          <w:u w:val="none"/>
          <w:lang w:val="zh-CN"/>
        </w:rPr>
        <w:t>搭盖及不具备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2"/>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w:t>
      </w:r>
      <w:r>
        <w:rPr>
          <w:rFonts w:hint="eastAsia" w:ascii="仿宋_GB2312" w:eastAsia="仿宋_GB2312"/>
          <w:color w:val="auto"/>
          <w:sz w:val="32"/>
          <w:szCs w:val="32"/>
          <w:highlight w:val="none"/>
          <w:u w:val="none"/>
          <w:lang w:val="zh-CN" w:eastAsia="zh-CN"/>
        </w:rPr>
        <w:t>六</w:t>
      </w:r>
      <w:r>
        <w:rPr>
          <w:rFonts w:hint="eastAsia" w:ascii="仿宋_GB2312" w:eastAsia="仿宋_GB2312"/>
          <w:color w:val="auto"/>
          <w:sz w:val="32"/>
          <w:szCs w:val="32"/>
          <w:highlight w:val="none"/>
          <w:u w:val="none"/>
          <w:lang w:val="zh-CN"/>
        </w:rPr>
        <w:t>标准给予货币补偿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numPr>
          <w:ilvl w:val="0"/>
          <w:numId w:val="0"/>
        </w:numPr>
        <w:ind w:firstLine="643" w:firstLineChars="200"/>
        <w:jc w:val="center"/>
        <w:rPr>
          <w:rFonts w:hint="eastAsia" w:ascii="仿宋_GB2312" w:eastAsia="仿宋_GB2312"/>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eastAsia="zh-CN"/>
        </w:rPr>
        <w:t>第四部分  保障措施</w:t>
      </w: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p>
    <w:p>
      <w:pPr>
        <w:pStyle w:val="12"/>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选择产权调换的，因住宅临时过渡费较低导致自行过渡确实困难的，可申请增加补助，由所在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据实际过渡人口困难情况给予适当保障。</w:t>
      </w:r>
    </w:p>
    <w:p>
      <w:pPr>
        <w:pStyle w:val="2"/>
        <w:shd w:val="clear" w:color="auto" w:fill="auto"/>
        <w:spacing w:after="0" w:line="600" w:lineRule="exact"/>
        <w:ind w:firstLine="643" w:firstLineChars="200"/>
        <w:jc w:val="both"/>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2"/>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2"/>
        <w:shd w:val="clear" w:color="auto" w:fill="auto"/>
        <w:spacing w:line="638" w:lineRule="exact"/>
        <w:ind w:left="20" w:firstLine="6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w:t>
      </w:r>
      <w:r>
        <w:rPr>
          <w:rFonts w:hint="eastAsia" w:ascii="仿宋_GB2312" w:eastAsia="仿宋_GB2312"/>
          <w:color w:val="auto"/>
          <w:sz w:val="32"/>
          <w:szCs w:val="32"/>
          <w:highlight w:val="none"/>
          <w:u w:val="none"/>
          <w:lang w:val="zh-CN"/>
        </w:rPr>
        <w:t>困难保障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2"/>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eastAsia="zh-CN"/>
        </w:rPr>
        <w:t>二十二、</w:t>
      </w:r>
      <w:r>
        <w:rPr>
          <w:rFonts w:hint="eastAsia" w:ascii="仿宋_GB2312" w:eastAsia="仿宋_GB2312"/>
          <w:b/>
          <w:color w:val="auto"/>
          <w:sz w:val="32"/>
          <w:szCs w:val="32"/>
          <w:highlight w:val="none"/>
          <w:u w:val="none"/>
          <w:lang w:val="zh-CN"/>
        </w:rPr>
        <w:t>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w:t>
      </w:r>
      <w:r>
        <w:rPr>
          <w:rFonts w:hint="eastAsia" w:ascii="仿宋_GB2312" w:eastAsia="仿宋_GB2312"/>
          <w:b w:val="0"/>
          <w:bCs w:val="0"/>
          <w:color w:val="auto"/>
          <w:sz w:val="32"/>
          <w:szCs w:val="32"/>
          <w:highlight w:val="none"/>
          <w:u w:val="none"/>
          <w:lang w:val="zh-CN" w:eastAsia="zh-CN"/>
        </w:rPr>
        <w:t>（含户籍在一起的其直系亲属）或在项目区域有确权登记在本人或配偶名下房屋的被征收人，按时签订协议并封房的，自男满60周岁、女满55周岁当</w:t>
      </w:r>
      <w:r>
        <w:rPr>
          <w:rFonts w:hint="eastAsia" w:ascii="仿宋_GB2312" w:eastAsia="仿宋_GB2312"/>
          <w:b w:val="0"/>
          <w:bCs w:val="0"/>
          <w:color w:val="auto"/>
          <w:sz w:val="32"/>
          <w:szCs w:val="32"/>
          <w:highlight w:val="none"/>
          <w:u w:val="none"/>
          <w:lang w:val="zh-CN"/>
        </w:rPr>
        <w:t>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老人生活补助由</w:t>
      </w:r>
      <w:r>
        <w:rPr>
          <w:rFonts w:hint="eastAsia" w:ascii="仿宋_GB2312" w:eastAsia="仿宋_GB2312"/>
          <w:color w:val="auto"/>
          <w:sz w:val="32"/>
          <w:szCs w:val="32"/>
          <w:highlight w:val="none"/>
          <w:u w:val="none"/>
          <w:lang w:val="zh-CN" w:eastAsia="zh-CN"/>
        </w:rPr>
        <w:t>属地街道另外制表向财务审核组申报，经审核后一次性拨付。</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p>
    <w:p>
      <w:pPr>
        <w:pStyle w:val="2"/>
        <w:shd w:val="clear" w:color="auto" w:fill="auto"/>
        <w:spacing w:after="0" w:line="600" w:lineRule="exact"/>
        <w:jc w:val="center"/>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二十三、房屋权属不清的处理</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二十四、设定他项权利的处理</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8"/>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二十五、</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8"/>
        <w:shd w:val="clear" w:color="auto" w:fill="auto"/>
        <w:spacing w:after="0" w:line="600" w:lineRule="exact"/>
        <w:ind w:firstLine="803" w:firstLineChars="25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jc w:val="both"/>
        <w:rPr>
          <w:rFonts w:hint="eastAsia" w:ascii="仿宋_GB2312" w:eastAsia="仿宋_GB2312"/>
          <w:b/>
          <w:bCs/>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jc w:val="center"/>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p>
    <w:p>
      <w:pPr>
        <w:pStyle w:val="12"/>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二十七、</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本方案适用于</w:t>
      </w:r>
      <w:r>
        <w:rPr>
          <w:rFonts w:hint="eastAsia" w:ascii="仿宋_GB2312" w:eastAsia="仿宋_GB2312"/>
          <w:color w:val="auto"/>
          <w:w w:val="100"/>
          <w:sz w:val="32"/>
          <w:szCs w:val="32"/>
          <w:highlight w:val="none"/>
          <w:u w:val="none"/>
          <w:lang w:eastAsia="zh-CN"/>
        </w:rPr>
        <w:t>龙东</w:t>
      </w:r>
      <w:r>
        <w:rPr>
          <w:rFonts w:hint="eastAsia" w:ascii="仿宋_GB2312" w:eastAsia="仿宋_GB2312"/>
          <w:color w:val="auto"/>
          <w:w w:val="100"/>
          <w:sz w:val="32"/>
          <w:szCs w:val="32"/>
          <w:highlight w:val="none"/>
          <w:u w:val="none"/>
        </w:rPr>
        <w:t>片区</w:t>
      </w:r>
      <w:r>
        <w:rPr>
          <w:rFonts w:hint="eastAsia" w:ascii="仿宋_GB2312" w:eastAsia="仿宋_GB2312"/>
          <w:color w:val="auto"/>
          <w:sz w:val="32"/>
          <w:szCs w:val="32"/>
          <w:highlight w:val="none"/>
          <w:u w:val="none"/>
          <w:lang w:val="zh-CN"/>
        </w:rPr>
        <w:t>项目</w:t>
      </w:r>
      <w:r>
        <w:rPr>
          <w:rFonts w:hint="eastAsia" w:ascii="仿宋_GB2312" w:eastAsia="仿宋_GB2312"/>
          <w:color w:val="auto"/>
          <w:sz w:val="32"/>
          <w:szCs w:val="32"/>
          <w:highlight w:val="none"/>
          <w:u w:val="none"/>
          <w:lang w:eastAsia="zh-CN"/>
        </w:rPr>
        <w:t>公寓楼、集资楼</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w:t>
      </w:r>
    </w:p>
    <w:p>
      <w:pPr>
        <w:pStyle w:val="12"/>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2"/>
        <w:shd w:val="clear" w:color="auto" w:fill="auto"/>
        <w:spacing w:after="0" w:line="600" w:lineRule="exact"/>
        <w:ind w:firstLine="643" w:firstLineChars="200"/>
        <w:jc w:val="both"/>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eastAsia="zh-CN"/>
        </w:rPr>
        <w:t>二十九、投诉监督</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jc w:val="both"/>
        <w:rPr>
          <w:rFonts w:hint="eastAsia" w:ascii="仿宋_GB2312" w:eastAsia="仿宋_GB2312"/>
          <w:color w:val="auto"/>
          <w:sz w:val="32"/>
          <w:szCs w:val="32"/>
          <w:highlight w:val="none"/>
          <w:u w:val="none"/>
          <w:lang w:val="zh-CN" w:eastAsia="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五、公寓楼、集资楼等面积应补缴价格控制表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七、临时搭盖的补偿规定</w:t>
      </w: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7"/>
        <w:tblW w:w="10285"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7"/>
        <w:gridCol w:w="743"/>
        <w:gridCol w:w="723"/>
        <w:gridCol w:w="5541"/>
        <w:gridCol w:w="20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restart"/>
            <w:tcBorders>
              <w:tl2br w:val="nil"/>
              <w:tr2bl w:val="nil"/>
            </w:tcBorders>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743" w:type="dxa"/>
            <w:vMerge w:val="restart"/>
            <w:tcBorders>
              <w:tl2br w:val="nil"/>
              <w:tr2bl w:val="nil"/>
            </w:tcBorders>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723" w:type="dxa"/>
            <w:vMerge w:val="restart"/>
            <w:tcBorders>
              <w:tl2br w:val="nil"/>
              <w:tr2bl w:val="nil"/>
            </w:tcBorders>
            <w:vAlign w:val="center"/>
          </w:tcPr>
          <w:p>
            <w:pPr>
              <w:widowControl/>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widowControl/>
              <w:ind w:right="-202" w:rightChars="-96"/>
              <w:rPr>
                <w:rFonts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5541" w:type="dxa"/>
            <w:vMerge w:val="restart"/>
            <w:tcBorders>
              <w:tl2br w:val="nil"/>
              <w:tr2bl w:val="nil"/>
            </w:tcBorders>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51" w:type="dxa"/>
            <w:vMerge w:val="restart"/>
            <w:tcBorders>
              <w:tl2br w:val="nil"/>
              <w:tr2bl w:val="nil"/>
            </w:tcBorders>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743"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723"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5541"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2051"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743"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723"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5541"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c>
          <w:tcPr>
            <w:tcW w:w="2051" w:type="dxa"/>
            <w:vMerge w:val="continue"/>
            <w:tcBorders>
              <w:tl2br w:val="nil"/>
              <w:tr2bl w:val="nil"/>
            </w:tcBorders>
            <w:vAlign w:val="center"/>
          </w:tcPr>
          <w:p>
            <w:pPr>
              <w:widowControl/>
              <w:jc w:val="left"/>
              <w:rPr>
                <w:rFonts w:ascii="仿宋_GB2312" w:hAnsi="宋体" w:eastAsia="仿宋_GB2312" w:cs="宋体"/>
                <w:b/>
                <w:bCs/>
                <w:color w:val="auto"/>
                <w:kern w:val="0"/>
                <w:szCs w:val="21"/>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trPr>
        <w:tc>
          <w:tcPr>
            <w:tcW w:w="1227" w:type="dxa"/>
            <w:vMerge w:val="restart"/>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框架结构</w:t>
            </w: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5541" w:type="dxa"/>
            <w:tcBorders>
              <w:tl2br w:val="nil"/>
              <w:tr2bl w:val="nil"/>
            </w:tcBorders>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51" w:type="dxa"/>
            <w:vMerge w:val="restart"/>
            <w:tcBorders>
              <w:tl2br w:val="nil"/>
              <w:tr2bl w:val="nil"/>
            </w:tcBorders>
            <w:vAlign w:val="top"/>
          </w:tcPr>
          <w:p>
            <w:pPr>
              <w:widowControl/>
              <w:jc w:val="left"/>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widowControl/>
              <w:jc w:val="left"/>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w:t>
            </w:r>
            <w:r>
              <w:rPr>
                <w:rFonts w:hint="eastAsia" w:ascii="仿宋_GB2312" w:hAnsi="仿宋_GB2312" w:eastAsia="仿宋_GB2312" w:cs="仿宋_GB2312"/>
                <w:color w:val="auto"/>
                <w:kern w:val="0"/>
                <w:sz w:val="18"/>
                <w:szCs w:val="18"/>
                <w:highlight w:val="none"/>
                <w:u w:val="none"/>
              </w:rPr>
              <w:t>被征收房屋层高超过4米（含4米）的，</w:t>
            </w:r>
            <w:r>
              <w:rPr>
                <w:rFonts w:hint="eastAsia" w:ascii="仿宋_GB2312" w:hAnsi="仿宋_GB2312" w:eastAsia="仿宋_GB2312" w:cs="仿宋_GB2312"/>
                <w:color w:val="auto"/>
                <w:kern w:val="0"/>
                <w:sz w:val="18"/>
                <w:szCs w:val="18"/>
                <w:highlight w:val="none"/>
                <w:u w:val="none"/>
                <w:lang w:eastAsia="zh-CN"/>
              </w:rPr>
              <w:t>选择货币补偿的，</w:t>
            </w:r>
            <w:r>
              <w:rPr>
                <w:rFonts w:hint="eastAsia" w:ascii="仿宋_GB2312" w:hAnsi="仿宋_GB2312" w:eastAsia="仿宋_GB2312" w:cs="仿宋_GB2312"/>
                <w:color w:val="auto"/>
                <w:kern w:val="0"/>
                <w:sz w:val="18"/>
                <w:szCs w:val="18"/>
                <w:highlight w:val="none"/>
                <w:u w:val="none"/>
              </w:rPr>
              <w:t>重置价标准提高20%；被征收房屋层高超过6米（含6米）的，</w:t>
            </w:r>
            <w:r>
              <w:rPr>
                <w:rFonts w:hint="eastAsia" w:ascii="仿宋_GB2312" w:hAnsi="仿宋_GB2312" w:eastAsia="仿宋_GB2312" w:cs="仿宋_GB2312"/>
                <w:color w:val="auto"/>
                <w:kern w:val="0"/>
                <w:sz w:val="18"/>
                <w:szCs w:val="18"/>
                <w:highlight w:val="none"/>
                <w:u w:val="none"/>
                <w:lang w:eastAsia="zh-CN"/>
              </w:rPr>
              <w:t>选择货币补偿的，</w:t>
            </w:r>
            <w:r>
              <w:rPr>
                <w:rFonts w:hint="eastAsia" w:ascii="仿宋_GB2312" w:hAnsi="仿宋_GB2312" w:eastAsia="仿宋_GB2312" w:cs="仿宋_GB2312"/>
                <w:color w:val="auto"/>
                <w:kern w:val="0"/>
                <w:sz w:val="18"/>
                <w:szCs w:val="18"/>
                <w:highlight w:val="none"/>
                <w:u w:val="none"/>
              </w:rPr>
              <w:t>重置价标准提高40%；被征收房屋层高超过8米(含8米)的，</w:t>
            </w:r>
            <w:r>
              <w:rPr>
                <w:rFonts w:hint="eastAsia" w:ascii="仿宋_GB2312" w:hAnsi="仿宋_GB2312" w:eastAsia="仿宋_GB2312" w:cs="仿宋_GB2312"/>
                <w:color w:val="auto"/>
                <w:kern w:val="0"/>
                <w:sz w:val="18"/>
                <w:szCs w:val="18"/>
                <w:highlight w:val="none"/>
                <w:u w:val="none"/>
                <w:lang w:eastAsia="zh-CN"/>
              </w:rPr>
              <w:t>选择货币补偿的，</w:t>
            </w:r>
            <w:r>
              <w:rPr>
                <w:rFonts w:hint="eastAsia" w:ascii="仿宋_GB2312" w:hAnsi="仿宋_GB2312" w:eastAsia="仿宋_GB2312" w:cs="仿宋_GB2312"/>
                <w:color w:val="auto"/>
                <w:kern w:val="0"/>
                <w:sz w:val="18"/>
                <w:szCs w:val="18"/>
                <w:highlight w:val="none"/>
                <w:u w:val="none"/>
              </w:rPr>
              <w:t>重置价标准提高60%。</w:t>
            </w:r>
          </w:p>
          <w:p>
            <w:pPr>
              <w:widowControl/>
              <w:jc w:val="left"/>
              <w:rPr>
                <w:rFonts w:hint="eastAsia" w:ascii="仿宋_GB2312" w:hAnsi="仿宋_GB2312" w:eastAsia="仿宋_GB2312" w:cs="仿宋_GB2312"/>
                <w:color w:val="auto"/>
                <w:kern w:val="0"/>
                <w:sz w:val="18"/>
                <w:szCs w:val="18"/>
                <w:highlight w:val="none"/>
                <w:u w:val="none"/>
                <w:lang w:eastAsia="zh-CN"/>
              </w:rPr>
            </w:pPr>
            <w:r>
              <w:rPr>
                <w:rFonts w:hint="eastAsia" w:ascii="仿宋_GB2312" w:hAnsi="仿宋_GB2312" w:eastAsia="仿宋_GB2312" w:cs="仿宋_GB2312"/>
                <w:color w:val="auto"/>
                <w:kern w:val="0"/>
                <w:sz w:val="18"/>
                <w:szCs w:val="18"/>
                <w:highlight w:val="none"/>
                <w:u w:val="none"/>
                <w:lang w:val="en-US" w:eastAsia="zh-CN"/>
              </w:rPr>
              <w:t>3、被征收房屋外墙局部(至少一层外墙面以上或所有外墙角加窗门套补价100</w:t>
            </w:r>
            <w:r>
              <w:rPr>
                <w:rFonts w:hint="eastAsia" w:ascii="仿宋_GB2312" w:hAnsi="仿宋_GB2312" w:eastAsia="仿宋_GB2312" w:cs="仿宋_GB2312"/>
                <w:color w:val="auto"/>
                <w:kern w:val="0"/>
                <w:sz w:val="18"/>
                <w:szCs w:val="18"/>
                <w:highlight w:val="none"/>
                <w:u w:val="none"/>
                <w:lang w:eastAsia="zh-CN"/>
              </w:rPr>
              <w:t>元/㎡；外墙满挂普通石材的补价</w:t>
            </w:r>
            <w:r>
              <w:rPr>
                <w:rFonts w:hint="eastAsia" w:ascii="仿宋_GB2312" w:hAnsi="仿宋_GB2312" w:eastAsia="仿宋_GB2312" w:cs="仿宋_GB2312"/>
                <w:color w:val="auto"/>
                <w:kern w:val="0"/>
                <w:sz w:val="18"/>
                <w:szCs w:val="18"/>
                <w:highlight w:val="none"/>
                <w:u w:val="none"/>
                <w:lang w:val="en-US" w:eastAsia="zh-CN"/>
              </w:rPr>
              <w:t>200</w:t>
            </w:r>
            <w:r>
              <w:rPr>
                <w:rFonts w:hint="eastAsia" w:ascii="仿宋_GB2312" w:hAnsi="仿宋_GB2312" w:eastAsia="仿宋_GB2312" w:cs="仿宋_GB2312"/>
                <w:color w:val="auto"/>
                <w:kern w:val="0"/>
                <w:sz w:val="18"/>
                <w:szCs w:val="18"/>
                <w:highlight w:val="none"/>
                <w:u w:val="none"/>
                <w:lang w:eastAsia="zh-CN"/>
              </w:rPr>
              <w:t>元/㎡；外墙满挂高档石材的补价</w:t>
            </w:r>
            <w:r>
              <w:rPr>
                <w:rFonts w:hint="eastAsia" w:ascii="仿宋_GB2312" w:hAnsi="仿宋_GB2312" w:eastAsia="仿宋_GB2312" w:cs="仿宋_GB2312"/>
                <w:color w:val="auto"/>
                <w:kern w:val="0"/>
                <w:sz w:val="18"/>
                <w:szCs w:val="18"/>
                <w:highlight w:val="none"/>
                <w:u w:val="none"/>
                <w:lang w:val="en-US" w:eastAsia="zh-CN"/>
              </w:rPr>
              <w:t>350</w:t>
            </w:r>
            <w:r>
              <w:rPr>
                <w:rFonts w:hint="eastAsia" w:ascii="仿宋_GB2312" w:hAnsi="仿宋_GB2312" w:eastAsia="仿宋_GB2312" w:cs="仿宋_GB2312"/>
                <w:color w:val="auto"/>
                <w:kern w:val="0"/>
                <w:sz w:val="18"/>
                <w:szCs w:val="18"/>
                <w:highlight w:val="none"/>
                <w:u w:val="none"/>
                <w:lang w:eastAsia="zh-CN"/>
              </w:rPr>
              <w:t>元/㎡。</w:t>
            </w:r>
          </w:p>
          <w:p>
            <w:pPr>
              <w:widowControl/>
              <w:jc w:val="left"/>
              <w:rPr>
                <w:rFonts w:hint="default" w:ascii="仿宋_GB2312" w:hAnsi="宋体" w:eastAsia="仿宋_GB2312" w:cs="宋体"/>
                <w:b w:val="0"/>
                <w:bCs w:val="0"/>
                <w:color w:val="auto"/>
                <w:kern w:val="0"/>
                <w:sz w:val="24"/>
                <w:highlight w:val="none"/>
                <w:u w:val="none"/>
                <w:lang w:val="en-US"/>
              </w:rPr>
            </w:pPr>
            <w:r>
              <w:rPr>
                <w:rFonts w:hint="eastAsia" w:ascii="仿宋_GB2312" w:hAnsi="宋体" w:eastAsia="仿宋_GB2312" w:cs="宋体"/>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shd w:val="clear" w:color="auto" w:fill="auto"/>
                <w:lang w:val="en-US" w:eastAsia="zh-CN"/>
              </w:rPr>
              <w:t>、</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jc w:val="left"/>
              <w:rPr>
                <w:rFonts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jc w:val="left"/>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9"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5541" w:type="dxa"/>
            <w:tcBorders>
              <w:tl2br w:val="nil"/>
              <w:tr2bl w:val="nil"/>
            </w:tcBorders>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9"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5541" w:type="dxa"/>
            <w:tcBorders>
              <w:tl2br w:val="nil"/>
              <w:tr2bl w:val="nil"/>
            </w:tcBorders>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4"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5541" w:type="dxa"/>
            <w:tcBorders>
              <w:tl2br w:val="nil"/>
              <w:tr2bl w:val="nil"/>
            </w:tcBorders>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5541" w:type="dxa"/>
            <w:tcBorders>
              <w:tl2br w:val="nil"/>
              <w:tr2bl w:val="nil"/>
            </w:tcBorders>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4" w:hRule="atLeast"/>
        </w:trPr>
        <w:tc>
          <w:tcPr>
            <w:tcW w:w="1227" w:type="dxa"/>
            <w:vMerge w:val="restart"/>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砖混结构</w:t>
            </w: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5541" w:type="dxa"/>
            <w:tcBorders>
              <w:tl2br w:val="nil"/>
              <w:tr2bl w:val="nil"/>
            </w:tcBorders>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7"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723" w:type="dxa"/>
            <w:tcBorders>
              <w:tl2br w:val="nil"/>
              <w:tr2bl w:val="nil"/>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5541" w:type="dxa"/>
            <w:tcBorders>
              <w:tl2br w:val="nil"/>
              <w:tr2bl w:val="nil"/>
            </w:tcBorders>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58"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5541" w:type="dxa"/>
            <w:tcBorders>
              <w:tl2br w:val="nil"/>
              <w:tr2bl w:val="nil"/>
            </w:tcBorders>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57"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723" w:type="dxa"/>
            <w:tcBorders>
              <w:tl2br w:val="nil"/>
              <w:tr2bl w:val="nil"/>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5541" w:type="dxa"/>
            <w:tcBorders>
              <w:tl2br w:val="nil"/>
              <w:tr2bl w:val="nil"/>
            </w:tcBorders>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3" w:hRule="atLeast"/>
        </w:trPr>
        <w:tc>
          <w:tcPr>
            <w:tcW w:w="1227" w:type="dxa"/>
            <w:vMerge w:val="continue"/>
            <w:tcBorders>
              <w:tl2br w:val="nil"/>
              <w:tr2bl w:val="nil"/>
            </w:tcBorders>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vAlign w:val="center"/>
          </w:tcPr>
          <w:p>
            <w:pPr>
              <w:widowControl/>
              <w:jc w:val="both"/>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723" w:type="dxa"/>
            <w:tcBorders>
              <w:tl2br w:val="nil"/>
              <w:tr2bl w:val="nil"/>
            </w:tcBorders>
            <w:vAlign w:val="center"/>
          </w:tcPr>
          <w:p>
            <w:pPr>
              <w:widowControl/>
              <w:jc w:val="both"/>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5541" w:type="dxa"/>
            <w:tcBorders>
              <w:tl2br w:val="nil"/>
              <w:tr2bl w:val="nil"/>
            </w:tcBorders>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hint="eastAsia" w:ascii="仿宋_GB2312" w:hAnsi="宋体" w:eastAsia="仿宋_GB2312" w:cs="宋体"/>
                <w:color w:val="auto"/>
                <w:kern w:val="0"/>
                <w:sz w:val="24"/>
                <w:highlight w:val="none"/>
                <w:u w:val="none"/>
              </w:rPr>
            </w:pPr>
          </w:p>
          <w:p>
            <w:pPr>
              <w:widowControl/>
              <w:jc w:val="left"/>
              <w:rPr>
                <w:rFonts w:hint="eastAsia" w:ascii="仿宋_GB2312" w:hAnsi="宋体" w:eastAsia="仿宋_GB2312" w:cs="宋体"/>
                <w:color w:val="auto"/>
                <w:kern w:val="0"/>
                <w:sz w:val="24"/>
                <w:highlight w:val="none"/>
                <w:u w:val="none"/>
              </w:rPr>
            </w:pPr>
          </w:p>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51" w:type="dxa"/>
            <w:vMerge w:val="continue"/>
            <w:tcBorders>
              <w:tl2br w:val="nil"/>
              <w:tr2bl w:val="nil"/>
            </w:tcBorders>
            <w:vAlign w:val="top"/>
          </w:tcPr>
          <w:p>
            <w:pPr>
              <w:jc w:val="left"/>
              <w:rPr>
                <w:rFonts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p>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7"/>
        <w:tblW w:w="9209" w:type="dxa"/>
        <w:tblInd w:w="93" w:type="dxa"/>
        <w:tblLayout w:type="fixed"/>
        <w:tblCellMar>
          <w:top w:w="0" w:type="dxa"/>
          <w:left w:w="108" w:type="dxa"/>
          <w:bottom w:w="0" w:type="dxa"/>
          <w:right w:w="108" w:type="dxa"/>
        </w:tblCellMar>
      </w:tblPr>
      <w:tblGrid>
        <w:gridCol w:w="932"/>
        <w:gridCol w:w="932"/>
        <w:gridCol w:w="7345"/>
      </w:tblGrid>
      <w:tr>
        <w:tblPrEx>
          <w:tblLayout w:type="fixed"/>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Layout w:type="fixed"/>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w:t>
            </w:r>
            <w:r>
              <w:rPr>
                <w:rFonts w:hint="eastAsia" w:ascii="仿宋_GB2312" w:hAnsi="宋体" w:eastAsia="仿宋_GB2312" w:cs="宋体"/>
                <w:b w:val="0"/>
                <w:bCs w:val="0"/>
                <w:color w:val="auto"/>
                <w:kern w:val="0"/>
                <w:sz w:val="24"/>
                <w:highlight w:val="none"/>
                <w:u w:val="none"/>
              </w:rPr>
              <w:t>使用年限</w:t>
            </w:r>
            <w:r>
              <w:rPr>
                <w:rFonts w:eastAsia="仿宋_GB2312"/>
                <w:b w:val="0"/>
                <w:bCs w:val="0"/>
                <w:color w:val="auto"/>
                <w:kern w:val="0"/>
                <w:sz w:val="24"/>
                <w:highlight w:val="none"/>
                <w:u w:val="none"/>
              </w:rPr>
              <w:t>1-5</w:t>
            </w:r>
            <w:r>
              <w:rPr>
                <w:rFonts w:hint="eastAsia" w:ascii="仿宋_GB2312" w:hAnsi="宋体" w:eastAsia="仿宋_GB2312" w:cs="宋体"/>
                <w:b w:val="0"/>
                <w:bCs w:val="0"/>
                <w:color w:val="auto"/>
                <w:kern w:val="0"/>
                <w:sz w:val="24"/>
                <w:highlight w:val="none"/>
                <w:u w:val="none"/>
              </w:rPr>
              <w:t>年。</w:t>
            </w:r>
          </w:p>
        </w:tc>
      </w:tr>
      <w:tr>
        <w:tblPrEx>
          <w:tblLayout w:type="fixed"/>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Layout w:type="fixed"/>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Layout w:type="fixed"/>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Layout w:type="fixed"/>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Layout w:type="fixed"/>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Layout w:type="fixed"/>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Layout w:type="fixed"/>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7"/>
        <w:tblW w:w="9201" w:type="dxa"/>
        <w:tblInd w:w="93" w:type="dxa"/>
        <w:tblLayout w:type="fixed"/>
        <w:tblCellMar>
          <w:top w:w="0" w:type="dxa"/>
          <w:left w:w="108" w:type="dxa"/>
          <w:bottom w:w="0" w:type="dxa"/>
          <w:right w:w="108" w:type="dxa"/>
        </w:tblCellMar>
      </w:tblPr>
      <w:tblGrid>
        <w:gridCol w:w="564"/>
        <w:gridCol w:w="985"/>
        <w:gridCol w:w="7652"/>
      </w:tblGrid>
      <w:tr>
        <w:tblPrEx>
          <w:tblLayout w:type="fixed"/>
          <w:tblCellMar>
            <w:top w:w="0" w:type="dxa"/>
            <w:left w:w="108" w:type="dxa"/>
            <w:bottom w:w="0" w:type="dxa"/>
            <w:right w:w="108" w:type="dxa"/>
          </w:tblCellMar>
        </w:tblPrEx>
        <w:trPr>
          <w:trHeight w:val="312" w:hRule="atLeast"/>
        </w:trPr>
        <w:tc>
          <w:tcPr>
            <w:tcW w:w="56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widowControl/>
              <w:ind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Layout w:type="fixed"/>
          <w:tblCellMar>
            <w:top w:w="0" w:type="dxa"/>
            <w:left w:w="108" w:type="dxa"/>
            <w:bottom w:w="0" w:type="dxa"/>
            <w:right w:w="108" w:type="dxa"/>
          </w:tblCellMar>
        </w:tblPrEx>
        <w:trPr>
          <w:trHeight w:val="312" w:hRule="atLeast"/>
        </w:trPr>
        <w:tc>
          <w:tcPr>
            <w:tcW w:w="56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b/>
                <w:bCs/>
                <w:color w:val="auto"/>
                <w:kern w:val="0"/>
                <w:szCs w:val="21"/>
                <w:highlight w:val="none"/>
                <w:u w:val="none"/>
              </w:rPr>
            </w:pPr>
          </w:p>
        </w:tc>
      </w:tr>
      <w:tr>
        <w:tblPrEx>
          <w:tblLayout w:type="fixed"/>
          <w:tblCellMar>
            <w:top w:w="0" w:type="dxa"/>
            <w:left w:w="108" w:type="dxa"/>
            <w:bottom w:w="0" w:type="dxa"/>
            <w:right w:w="108" w:type="dxa"/>
          </w:tblCellMar>
        </w:tblPrEx>
        <w:trPr>
          <w:trHeight w:val="2860"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hint="eastAsia" w:ascii="仿宋_GB2312" w:hAnsi="宋体" w:eastAsia="仿宋_GB2312" w:cs="宋体"/>
                <w:color w:val="auto"/>
                <w:kern w:val="0"/>
                <w:sz w:val="24"/>
                <w:highlight w:val="none"/>
                <w:u w:val="none"/>
                <w:lang w:eastAsia="zh-CN"/>
              </w:rPr>
            </w:pPr>
            <w:r>
              <w:rPr>
                <w:rFonts w:hint="eastAsia" w:ascii="仿宋_GB2312" w:hAnsi="宋体" w:eastAsia="仿宋_GB2312" w:cs="宋体"/>
                <w:color w:val="auto"/>
                <w:kern w:val="0"/>
                <w:sz w:val="24"/>
                <w:highlight w:val="none"/>
                <w:u w:val="none"/>
              </w:rPr>
              <w:t>地面为豪华高级花岗岩、高级缸砖、瓷砖踢脚线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w:t>
            </w:r>
            <w:r>
              <w:rPr>
                <w:rFonts w:hint="eastAsia" w:ascii="仿宋_GB2312" w:hAnsi="宋体" w:eastAsia="仿宋_GB2312" w:cs="宋体"/>
                <w:b w:val="0"/>
                <w:bCs w:val="0"/>
                <w:color w:val="auto"/>
                <w:kern w:val="0"/>
                <w:sz w:val="24"/>
                <w:highlight w:val="none"/>
                <w:u w:val="none"/>
              </w:rPr>
              <w:t>座等弱电；楼梯高级实木扶手或不锈钢扶手，高级花岗岩或高级缸砖踏步。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厨房设置集成橱柜、电视背景墙挂石或镶木、楼梯踏步铺设实木地板、卫生间设置名牌浴缸，按实际装修对应的层数相应的建</w:t>
            </w:r>
            <w:r>
              <w:rPr>
                <w:rFonts w:hint="eastAsia" w:ascii="仿宋_GB2312" w:hAnsi="宋体" w:eastAsia="仿宋_GB2312" w:cs="宋体"/>
                <w:color w:val="auto"/>
                <w:kern w:val="0"/>
                <w:sz w:val="24"/>
                <w:highlight w:val="none"/>
                <w:u w:val="none"/>
                <w:lang w:eastAsia="zh-CN"/>
              </w:rPr>
              <w:t>筑面积计算，该项补价须由指挥长会议研究通过。</w:t>
            </w:r>
          </w:p>
        </w:tc>
      </w:tr>
      <w:tr>
        <w:tblPrEx>
          <w:tblLayout w:type="fixed"/>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vAlign w:val="center"/>
          </w:tcPr>
          <w:p>
            <w:pPr>
              <w:widowControl/>
              <w:spacing w:line="300" w:lineRule="exact"/>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Layout w:type="fixed"/>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Layout w:type="fixed"/>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Layout w:type="fixed"/>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Layout w:type="fixed"/>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Layout w:type="fixed"/>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Layout w:type="fixed"/>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Layout w:type="fixed"/>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Layout w:type="fixed"/>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7"/>
        <w:tblW w:w="921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3" w:hRule="atLeast"/>
        </w:trPr>
        <w:tc>
          <w:tcPr>
            <w:tcW w:w="686" w:type="dxa"/>
            <w:vAlign w:val="center"/>
          </w:tcPr>
          <w:p>
            <w:pPr>
              <w:widowControl/>
              <w:ind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vAlign w:val="center"/>
          </w:tcPr>
          <w:p>
            <w:pPr>
              <w:widowControl/>
              <w:ind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7" w:hRule="atLeast"/>
        </w:trPr>
        <w:tc>
          <w:tcPr>
            <w:tcW w:w="686"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0" w:hRule="atLeast"/>
        </w:trPr>
        <w:tc>
          <w:tcPr>
            <w:tcW w:w="686"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vAlign w:val="top"/>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23" w:hRule="atLeast"/>
        </w:trPr>
        <w:tc>
          <w:tcPr>
            <w:tcW w:w="686"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6" w:hRule="atLeast"/>
        </w:trPr>
        <w:tc>
          <w:tcPr>
            <w:tcW w:w="686"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9" w:hRule="atLeast"/>
        </w:trPr>
        <w:tc>
          <w:tcPr>
            <w:tcW w:w="686"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 xml:space="preserve">附表五 </w:t>
      </w:r>
    </w:p>
    <w:p>
      <w:pPr>
        <w:ind w:firstLine="643" w:firstLineChars="200"/>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公寓楼、集资楼等面积应补缴价格控制表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7"/>
        <w:tblpPr w:leftFromText="180" w:rightFromText="180" w:vertAnchor="text" w:horzAnchor="page" w:tblpX="1922" w:tblpY="111"/>
        <w:tblOverlap w:val="never"/>
        <w:tblW w:w="8265" w:type="dxa"/>
        <w:tblInd w:w="0" w:type="dxa"/>
        <w:tblLayout w:type="fixed"/>
        <w:tblCellMar>
          <w:top w:w="0" w:type="dxa"/>
          <w:left w:w="108" w:type="dxa"/>
          <w:bottom w:w="0" w:type="dxa"/>
          <w:right w:w="108" w:type="dxa"/>
        </w:tblCellMar>
      </w:tblPr>
      <w:tblGrid>
        <w:gridCol w:w="1200"/>
        <w:gridCol w:w="1650"/>
        <w:gridCol w:w="5415"/>
      </w:tblGrid>
      <w:tr>
        <w:tblPrEx>
          <w:tblLayout w:type="fixed"/>
          <w:tblCellMar>
            <w:top w:w="0" w:type="dxa"/>
            <w:left w:w="108" w:type="dxa"/>
            <w:bottom w:w="0" w:type="dxa"/>
            <w:right w:w="108" w:type="dxa"/>
          </w:tblCellMar>
        </w:tblPrEx>
        <w:trPr>
          <w:trHeight w:val="463" w:hRule="atLeast"/>
        </w:trPr>
        <w:tc>
          <w:tcPr>
            <w:tcW w:w="1200"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650"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5415" w:type="dxa"/>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Layout w:type="fixed"/>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65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5415" w:type="dxa"/>
            <w:tcBorders>
              <w:top w:val="nil"/>
              <w:left w:val="nil"/>
              <w:bottom w:val="single" w:color="auto" w:sz="4"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auto"/>
                <w:kern w:val="0"/>
                <w:sz w:val="24"/>
                <w:highlight w:val="none"/>
                <w:u w:val="none"/>
              </w:rPr>
            </w:pPr>
          </w:p>
        </w:tc>
        <w:tc>
          <w:tcPr>
            <w:tcW w:w="1650" w:type="dxa"/>
            <w:tcBorders>
              <w:top w:val="single" w:color="auto" w:sz="4" w:space="0"/>
              <w:left w:val="nil"/>
              <w:bottom w:val="single" w:color="auto" w:sz="8"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5415"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auto"/>
                <w:kern w:val="0"/>
                <w:sz w:val="24"/>
                <w:highlight w:val="none"/>
                <w:u w:val="none"/>
              </w:rPr>
            </w:pPr>
          </w:p>
        </w:tc>
        <w:tc>
          <w:tcPr>
            <w:tcW w:w="16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5415"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r>
      <w:tr>
        <w:tblPrEx>
          <w:tblLayout w:type="fixed"/>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5415"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auto"/>
                <w:kern w:val="0"/>
                <w:sz w:val="24"/>
                <w:highlight w:val="none"/>
                <w:u w:val="none"/>
              </w:rPr>
            </w:pPr>
          </w:p>
        </w:tc>
        <w:tc>
          <w:tcPr>
            <w:tcW w:w="1650" w:type="dxa"/>
            <w:tcBorders>
              <w:top w:val="single" w:color="auto" w:sz="4" w:space="0"/>
              <w:left w:val="nil"/>
              <w:bottom w:val="single" w:color="auto" w:sz="8"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5415"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auto"/>
                <w:kern w:val="0"/>
                <w:sz w:val="24"/>
                <w:highlight w:val="none"/>
                <w:u w:val="none"/>
              </w:rPr>
            </w:pPr>
          </w:p>
        </w:tc>
        <w:tc>
          <w:tcPr>
            <w:tcW w:w="165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5415"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Layout w:type="fixed"/>
          <w:tblCellMar>
            <w:top w:w="0" w:type="dxa"/>
            <w:left w:w="108" w:type="dxa"/>
            <w:bottom w:w="0" w:type="dxa"/>
            <w:right w:w="108" w:type="dxa"/>
          </w:tblCellMar>
        </w:tblPrEx>
        <w:trPr>
          <w:trHeight w:val="1791" w:hRule="atLeast"/>
        </w:trPr>
        <w:tc>
          <w:tcPr>
            <w:tcW w:w="8265" w:type="dxa"/>
            <w:gridSpan w:val="3"/>
            <w:tcBorders>
              <w:top w:val="single" w:color="000000" w:sz="8" w:space="0"/>
              <w:left w:val="single" w:color="000000" w:sz="8" w:space="0"/>
              <w:bottom w:val="single" w:color="000000" w:sz="8" w:space="0"/>
              <w:right w:val="single" w:color="000000" w:sz="8" w:space="0"/>
            </w:tcBorders>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widowControl/>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1、产权调换的安置房与被征收房屋地段等级差价按方案规定另计；</w:t>
            </w:r>
          </w:p>
          <w:p>
            <w:pP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2、房产证同时登记套房及储藏间的，该储藏间面积按90%认定补偿安置面积。</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7"/>
        <w:tblpPr w:leftFromText="180" w:rightFromText="180" w:vertAnchor="text" w:horzAnchor="page" w:tblpX="1892" w:tblpY="-132"/>
        <w:tblOverlap w:val="never"/>
        <w:tblW w:w="8865" w:type="dxa"/>
        <w:tblInd w:w="0" w:type="dxa"/>
        <w:tblLayout w:type="fixed"/>
        <w:tblCellMar>
          <w:top w:w="0" w:type="dxa"/>
          <w:left w:w="108" w:type="dxa"/>
          <w:bottom w:w="0" w:type="dxa"/>
          <w:right w:w="108" w:type="dxa"/>
        </w:tblCellMar>
      </w:tblPr>
      <w:tblGrid>
        <w:gridCol w:w="866"/>
        <w:gridCol w:w="1264"/>
        <w:gridCol w:w="1287"/>
        <w:gridCol w:w="2694"/>
        <w:gridCol w:w="2754"/>
      </w:tblGrid>
      <w:tr>
        <w:tblPrEx>
          <w:tblLayout w:type="fixed"/>
          <w:tblCellMar>
            <w:top w:w="0" w:type="dxa"/>
            <w:left w:w="108" w:type="dxa"/>
            <w:bottom w:w="0" w:type="dxa"/>
            <w:right w:w="108" w:type="dxa"/>
          </w:tblCellMar>
        </w:tblPrEx>
        <w:trPr>
          <w:trHeight w:val="699" w:hRule="atLeast"/>
        </w:trPr>
        <w:tc>
          <w:tcPr>
            <w:tcW w:w="8865" w:type="dxa"/>
            <w:gridSpan w:val="5"/>
            <w:vAlign w:val="center"/>
          </w:tcPr>
          <w:p>
            <w:pPr>
              <w:widowControl/>
              <w:rPr>
                <w:rFonts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Layout w:type="fixed"/>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Layout w:type="fixed"/>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rPr>
          <w:rFonts w:hint="eastAsia" w:ascii="仿宋_GB2312" w:hAnsi="宋体" w:eastAsia="仿宋_GB2312" w:cs="宋体"/>
          <w:b/>
          <w:color w:val="000000"/>
          <w:kern w:val="0"/>
          <w:sz w:val="24"/>
          <w:highlight w:val="none"/>
        </w:rPr>
      </w:pPr>
    </w:p>
    <w:p>
      <w:pPr>
        <w:jc w:val="both"/>
        <w:rPr>
          <w:rFonts w:hint="eastAsia" w:ascii="仿宋_GB2312" w:eastAsia="仿宋_GB2312"/>
          <w:b/>
          <w:color w:val="auto"/>
          <w:kern w:val="0"/>
          <w:sz w:val="32"/>
          <w:szCs w:val="32"/>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000000"/>
          <w:kern w:val="0"/>
          <w:sz w:val="24"/>
          <w:highlight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78"/>
    <w:family w:val="moder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E900C"/>
    <w:multiLevelType w:val="singleLevel"/>
    <w:tmpl w:val="A54E900C"/>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DI2NTJkNmUwYTZjNTNiZGU3ZGJmNTJmNTU3YTQifQ=="/>
  </w:docVars>
  <w:rsids>
    <w:rsidRoot w:val="00172A27"/>
    <w:rsid w:val="00000B91"/>
    <w:rsid w:val="00006056"/>
    <w:rsid w:val="00011714"/>
    <w:rsid w:val="0002041F"/>
    <w:rsid w:val="000240CC"/>
    <w:rsid w:val="00024C99"/>
    <w:rsid w:val="00026B25"/>
    <w:rsid w:val="00026C31"/>
    <w:rsid w:val="00027F08"/>
    <w:rsid w:val="000300D8"/>
    <w:rsid w:val="00030CB0"/>
    <w:rsid w:val="00036B0C"/>
    <w:rsid w:val="00041432"/>
    <w:rsid w:val="000420F0"/>
    <w:rsid w:val="00046D70"/>
    <w:rsid w:val="00052F89"/>
    <w:rsid w:val="00056603"/>
    <w:rsid w:val="00057029"/>
    <w:rsid w:val="00062A17"/>
    <w:rsid w:val="000636EE"/>
    <w:rsid w:val="00063C57"/>
    <w:rsid w:val="00065941"/>
    <w:rsid w:val="00070875"/>
    <w:rsid w:val="0007659E"/>
    <w:rsid w:val="0007680D"/>
    <w:rsid w:val="000804D8"/>
    <w:rsid w:val="00080E7C"/>
    <w:rsid w:val="000823FD"/>
    <w:rsid w:val="000830D0"/>
    <w:rsid w:val="00083423"/>
    <w:rsid w:val="00097EA8"/>
    <w:rsid w:val="000A0262"/>
    <w:rsid w:val="000A0B53"/>
    <w:rsid w:val="000A2240"/>
    <w:rsid w:val="000A34F4"/>
    <w:rsid w:val="000A39EB"/>
    <w:rsid w:val="000A4C47"/>
    <w:rsid w:val="000A6F88"/>
    <w:rsid w:val="000B339F"/>
    <w:rsid w:val="000B5F38"/>
    <w:rsid w:val="000C05B1"/>
    <w:rsid w:val="000C09A8"/>
    <w:rsid w:val="000C0FA9"/>
    <w:rsid w:val="000C15D2"/>
    <w:rsid w:val="000C4055"/>
    <w:rsid w:val="000C5794"/>
    <w:rsid w:val="000C7AC1"/>
    <w:rsid w:val="000D5BC5"/>
    <w:rsid w:val="000D60EA"/>
    <w:rsid w:val="000D6282"/>
    <w:rsid w:val="000E2F42"/>
    <w:rsid w:val="000E63A3"/>
    <w:rsid w:val="000F6232"/>
    <w:rsid w:val="000F6496"/>
    <w:rsid w:val="000F6B4B"/>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DAA"/>
    <w:rsid w:val="00141946"/>
    <w:rsid w:val="00150008"/>
    <w:rsid w:val="001504BB"/>
    <w:rsid w:val="00150991"/>
    <w:rsid w:val="00151FB0"/>
    <w:rsid w:val="00153155"/>
    <w:rsid w:val="00153B9A"/>
    <w:rsid w:val="00156EAF"/>
    <w:rsid w:val="00157E09"/>
    <w:rsid w:val="00160A93"/>
    <w:rsid w:val="00161663"/>
    <w:rsid w:val="00162BB5"/>
    <w:rsid w:val="00175A7F"/>
    <w:rsid w:val="0017782B"/>
    <w:rsid w:val="00186C10"/>
    <w:rsid w:val="00190CF6"/>
    <w:rsid w:val="001A6E46"/>
    <w:rsid w:val="001B0998"/>
    <w:rsid w:val="001B1130"/>
    <w:rsid w:val="001B4A7D"/>
    <w:rsid w:val="001B592E"/>
    <w:rsid w:val="001C11C5"/>
    <w:rsid w:val="001C136C"/>
    <w:rsid w:val="001C206A"/>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240C"/>
    <w:rsid w:val="00224EBF"/>
    <w:rsid w:val="00230D87"/>
    <w:rsid w:val="00241A17"/>
    <w:rsid w:val="002439A4"/>
    <w:rsid w:val="00243EEF"/>
    <w:rsid w:val="002451A0"/>
    <w:rsid w:val="00246A81"/>
    <w:rsid w:val="00250B3B"/>
    <w:rsid w:val="00254468"/>
    <w:rsid w:val="00260471"/>
    <w:rsid w:val="00271FEC"/>
    <w:rsid w:val="0027749B"/>
    <w:rsid w:val="002843C0"/>
    <w:rsid w:val="0029108F"/>
    <w:rsid w:val="00294620"/>
    <w:rsid w:val="00296B0F"/>
    <w:rsid w:val="002A3FE9"/>
    <w:rsid w:val="002A612A"/>
    <w:rsid w:val="002A6F84"/>
    <w:rsid w:val="002B52B8"/>
    <w:rsid w:val="002B769C"/>
    <w:rsid w:val="002C060C"/>
    <w:rsid w:val="002C30B6"/>
    <w:rsid w:val="002C5A3D"/>
    <w:rsid w:val="002C6093"/>
    <w:rsid w:val="002D1F3B"/>
    <w:rsid w:val="002D2944"/>
    <w:rsid w:val="002D4AC2"/>
    <w:rsid w:val="002D59C3"/>
    <w:rsid w:val="002D638D"/>
    <w:rsid w:val="002E1B1A"/>
    <w:rsid w:val="002E3AA9"/>
    <w:rsid w:val="002E7D7C"/>
    <w:rsid w:val="00302A68"/>
    <w:rsid w:val="00303480"/>
    <w:rsid w:val="003050A9"/>
    <w:rsid w:val="0031187E"/>
    <w:rsid w:val="00322C83"/>
    <w:rsid w:val="00323BA9"/>
    <w:rsid w:val="003270EE"/>
    <w:rsid w:val="0033746F"/>
    <w:rsid w:val="00337CE4"/>
    <w:rsid w:val="00337F8E"/>
    <w:rsid w:val="0034047E"/>
    <w:rsid w:val="00343AD8"/>
    <w:rsid w:val="0035286D"/>
    <w:rsid w:val="00353ACE"/>
    <w:rsid w:val="00354743"/>
    <w:rsid w:val="003665AC"/>
    <w:rsid w:val="00374EC4"/>
    <w:rsid w:val="003826AC"/>
    <w:rsid w:val="003854F7"/>
    <w:rsid w:val="00391B37"/>
    <w:rsid w:val="003965A3"/>
    <w:rsid w:val="003A4BEE"/>
    <w:rsid w:val="003A735D"/>
    <w:rsid w:val="003A7A9D"/>
    <w:rsid w:val="003B3C77"/>
    <w:rsid w:val="003B41DE"/>
    <w:rsid w:val="003E0529"/>
    <w:rsid w:val="003E313C"/>
    <w:rsid w:val="003E4697"/>
    <w:rsid w:val="003E512C"/>
    <w:rsid w:val="003F2714"/>
    <w:rsid w:val="003F376A"/>
    <w:rsid w:val="003F4E6C"/>
    <w:rsid w:val="004059C4"/>
    <w:rsid w:val="004100E1"/>
    <w:rsid w:val="00411886"/>
    <w:rsid w:val="00412E38"/>
    <w:rsid w:val="0042058E"/>
    <w:rsid w:val="00421F90"/>
    <w:rsid w:val="004236A4"/>
    <w:rsid w:val="00423AC4"/>
    <w:rsid w:val="0042430A"/>
    <w:rsid w:val="00425333"/>
    <w:rsid w:val="00433207"/>
    <w:rsid w:val="00437156"/>
    <w:rsid w:val="00442EBA"/>
    <w:rsid w:val="00443AAA"/>
    <w:rsid w:val="004468EA"/>
    <w:rsid w:val="00450D80"/>
    <w:rsid w:val="0045224D"/>
    <w:rsid w:val="0045318F"/>
    <w:rsid w:val="00456B07"/>
    <w:rsid w:val="00456B13"/>
    <w:rsid w:val="00464B40"/>
    <w:rsid w:val="004670F8"/>
    <w:rsid w:val="00470B7B"/>
    <w:rsid w:val="004721CC"/>
    <w:rsid w:val="004801DB"/>
    <w:rsid w:val="0048310E"/>
    <w:rsid w:val="00484F84"/>
    <w:rsid w:val="004906A2"/>
    <w:rsid w:val="00490C76"/>
    <w:rsid w:val="00491F89"/>
    <w:rsid w:val="00492741"/>
    <w:rsid w:val="00493478"/>
    <w:rsid w:val="004942AB"/>
    <w:rsid w:val="004A0BC0"/>
    <w:rsid w:val="004A3C26"/>
    <w:rsid w:val="004A4239"/>
    <w:rsid w:val="004B077E"/>
    <w:rsid w:val="004B0E55"/>
    <w:rsid w:val="004B72FD"/>
    <w:rsid w:val="004C26EC"/>
    <w:rsid w:val="004C4895"/>
    <w:rsid w:val="004C6080"/>
    <w:rsid w:val="004C644D"/>
    <w:rsid w:val="004C7AE5"/>
    <w:rsid w:val="004D079C"/>
    <w:rsid w:val="004D4103"/>
    <w:rsid w:val="004D42A3"/>
    <w:rsid w:val="004D469E"/>
    <w:rsid w:val="004D5A4C"/>
    <w:rsid w:val="004E0C6D"/>
    <w:rsid w:val="004E275B"/>
    <w:rsid w:val="004E2B20"/>
    <w:rsid w:val="004E3251"/>
    <w:rsid w:val="004E356F"/>
    <w:rsid w:val="004E563D"/>
    <w:rsid w:val="004F023B"/>
    <w:rsid w:val="004F2EF0"/>
    <w:rsid w:val="004F2F5A"/>
    <w:rsid w:val="005015F6"/>
    <w:rsid w:val="00504B29"/>
    <w:rsid w:val="00505D7A"/>
    <w:rsid w:val="00506229"/>
    <w:rsid w:val="00513F84"/>
    <w:rsid w:val="0051551C"/>
    <w:rsid w:val="00516E6D"/>
    <w:rsid w:val="00523565"/>
    <w:rsid w:val="005244AB"/>
    <w:rsid w:val="00524698"/>
    <w:rsid w:val="0052510E"/>
    <w:rsid w:val="00527672"/>
    <w:rsid w:val="00527730"/>
    <w:rsid w:val="00537A7F"/>
    <w:rsid w:val="00542A4F"/>
    <w:rsid w:val="005435CD"/>
    <w:rsid w:val="00545C7C"/>
    <w:rsid w:val="00550902"/>
    <w:rsid w:val="005569BF"/>
    <w:rsid w:val="00560D38"/>
    <w:rsid w:val="005652EB"/>
    <w:rsid w:val="0056574A"/>
    <w:rsid w:val="00566671"/>
    <w:rsid w:val="00571D05"/>
    <w:rsid w:val="00573AF4"/>
    <w:rsid w:val="00576F45"/>
    <w:rsid w:val="00580064"/>
    <w:rsid w:val="00581441"/>
    <w:rsid w:val="00581663"/>
    <w:rsid w:val="00581E0F"/>
    <w:rsid w:val="005874A8"/>
    <w:rsid w:val="0059108A"/>
    <w:rsid w:val="00592041"/>
    <w:rsid w:val="00592A11"/>
    <w:rsid w:val="005934DA"/>
    <w:rsid w:val="00594B12"/>
    <w:rsid w:val="005A3AD5"/>
    <w:rsid w:val="005A7B34"/>
    <w:rsid w:val="005B5E23"/>
    <w:rsid w:val="005B607B"/>
    <w:rsid w:val="005C1FFF"/>
    <w:rsid w:val="005D44EC"/>
    <w:rsid w:val="005D5B26"/>
    <w:rsid w:val="005D7024"/>
    <w:rsid w:val="005E1B6F"/>
    <w:rsid w:val="005E5619"/>
    <w:rsid w:val="005E69B5"/>
    <w:rsid w:val="005F2629"/>
    <w:rsid w:val="005F2D31"/>
    <w:rsid w:val="005F3A83"/>
    <w:rsid w:val="005F4231"/>
    <w:rsid w:val="005F79A8"/>
    <w:rsid w:val="005F7EA7"/>
    <w:rsid w:val="00604197"/>
    <w:rsid w:val="006065E0"/>
    <w:rsid w:val="00607D31"/>
    <w:rsid w:val="00607E43"/>
    <w:rsid w:val="00613792"/>
    <w:rsid w:val="00615DA0"/>
    <w:rsid w:val="00622D54"/>
    <w:rsid w:val="00632816"/>
    <w:rsid w:val="00634168"/>
    <w:rsid w:val="006360BA"/>
    <w:rsid w:val="006365B5"/>
    <w:rsid w:val="00637235"/>
    <w:rsid w:val="00647020"/>
    <w:rsid w:val="00650FC2"/>
    <w:rsid w:val="006512F8"/>
    <w:rsid w:val="00652588"/>
    <w:rsid w:val="00652AA6"/>
    <w:rsid w:val="00655C4A"/>
    <w:rsid w:val="006570C5"/>
    <w:rsid w:val="00667651"/>
    <w:rsid w:val="006701E3"/>
    <w:rsid w:val="006706FF"/>
    <w:rsid w:val="00676F3E"/>
    <w:rsid w:val="00677442"/>
    <w:rsid w:val="00680C86"/>
    <w:rsid w:val="00680E83"/>
    <w:rsid w:val="006829A3"/>
    <w:rsid w:val="00687085"/>
    <w:rsid w:val="00687E7B"/>
    <w:rsid w:val="00691470"/>
    <w:rsid w:val="00691D90"/>
    <w:rsid w:val="006923C3"/>
    <w:rsid w:val="00696ADD"/>
    <w:rsid w:val="00697ECF"/>
    <w:rsid w:val="006A1388"/>
    <w:rsid w:val="006B2CBD"/>
    <w:rsid w:val="006B47DA"/>
    <w:rsid w:val="006B5FAF"/>
    <w:rsid w:val="006C23DE"/>
    <w:rsid w:val="006C6585"/>
    <w:rsid w:val="006C6C53"/>
    <w:rsid w:val="006D1C27"/>
    <w:rsid w:val="006D7679"/>
    <w:rsid w:val="006E67CD"/>
    <w:rsid w:val="006F66F4"/>
    <w:rsid w:val="006F6A52"/>
    <w:rsid w:val="00702B3A"/>
    <w:rsid w:val="00703A76"/>
    <w:rsid w:val="00705D60"/>
    <w:rsid w:val="00720D77"/>
    <w:rsid w:val="007215E2"/>
    <w:rsid w:val="00725D62"/>
    <w:rsid w:val="00726F95"/>
    <w:rsid w:val="007322A4"/>
    <w:rsid w:val="0073258C"/>
    <w:rsid w:val="00734AC1"/>
    <w:rsid w:val="0073660B"/>
    <w:rsid w:val="00736ACC"/>
    <w:rsid w:val="00736BFD"/>
    <w:rsid w:val="007409A0"/>
    <w:rsid w:val="00741817"/>
    <w:rsid w:val="007519E3"/>
    <w:rsid w:val="00751B18"/>
    <w:rsid w:val="00752E4A"/>
    <w:rsid w:val="00753B4F"/>
    <w:rsid w:val="00753E5A"/>
    <w:rsid w:val="007550A9"/>
    <w:rsid w:val="00772267"/>
    <w:rsid w:val="00774D6F"/>
    <w:rsid w:val="00775A5F"/>
    <w:rsid w:val="00784637"/>
    <w:rsid w:val="00785614"/>
    <w:rsid w:val="00791701"/>
    <w:rsid w:val="0079497F"/>
    <w:rsid w:val="00797E82"/>
    <w:rsid w:val="007A039B"/>
    <w:rsid w:val="007A4959"/>
    <w:rsid w:val="007A58F2"/>
    <w:rsid w:val="007B216F"/>
    <w:rsid w:val="007B298C"/>
    <w:rsid w:val="007B64D2"/>
    <w:rsid w:val="007D0FC4"/>
    <w:rsid w:val="007D41E8"/>
    <w:rsid w:val="007D60A5"/>
    <w:rsid w:val="007D62C7"/>
    <w:rsid w:val="007E126D"/>
    <w:rsid w:val="007E6AC5"/>
    <w:rsid w:val="007E6DD2"/>
    <w:rsid w:val="007E7415"/>
    <w:rsid w:val="007F0871"/>
    <w:rsid w:val="007F33E5"/>
    <w:rsid w:val="007F3CA9"/>
    <w:rsid w:val="007F3D38"/>
    <w:rsid w:val="007F6D14"/>
    <w:rsid w:val="007F7F37"/>
    <w:rsid w:val="0080123B"/>
    <w:rsid w:val="0080257F"/>
    <w:rsid w:val="00807E0A"/>
    <w:rsid w:val="008114C3"/>
    <w:rsid w:val="00811F09"/>
    <w:rsid w:val="00812856"/>
    <w:rsid w:val="00813FEB"/>
    <w:rsid w:val="008156C5"/>
    <w:rsid w:val="00816407"/>
    <w:rsid w:val="00821095"/>
    <w:rsid w:val="008223EA"/>
    <w:rsid w:val="00822642"/>
    <w:rsid w:val="00824666"/>
    <w:rsid w:val="008306D1"/>
    <w:rsid w:val="00830D32"/>
    <w:rsid w:val="0083336F"/>
    <w:rsid w:val="00836060"/>
    <w:rsid w:val="00841DE3"/>
    <w:rsid w:val="00842EB6"/>
    <w:rsid w:val="00845BDE"/>
    <w:rsid w:val="0084624B"/>
    <w:rsid w:val="00846C28"/>
    <w:rsid w:val="00847C3F"/>
    <w:rsid w:val="00852F3D"/>
    <w:rsid w:val="00853A9E"/>
    <w:rsid w:val="008561A5"/>
    <w:rsid w:val="00863114"/>
    <w:rsid w:val="008702FE"/>
    <w:rsid w:val="00870341"/>
    <w:rsid w:val="008725B0"/>
    <w:rsid w:val="00872BFC"/>
    <w:rsid w:val="00872C51"/>
    <w:rsid w:val="00873D41"/>
    <w:rsid w:val="008770E0"/>
    <w:rsid w:val="00882826"/>
    <w:rsid w:val="00884256"/>
    <w:rsid w:val="0089178A"/>
    <w:rsid w:val="008979CE"/>
    <w:rsid w:val="008A1CEF"/>
    <w:rsid w:val="008A504E"/>
    <w:rsid w:val="008B1ED2"/>
    <w:rsid w:val="008B27AF"/>
    <w:rsid w:val="008B70CB"/>
    <w:rsid w:val="008C3D6F"/>
    <w:rsid w:val="008C467C"/>
    <w:rsid w:val="008C74A9"/>
    <w:rsid w:val="008D13A9"/>
    <w:rsid w:val="008D4144"/>
    <w:rsid w:val="008D5D1C"/>
    <w:rsid w:val="008E1737"/>
    <w:rsid w:val="008E3775"/>
    <w:rsid w:val="008E7408"/>
    <w:rsid w:val="008E7AC6"/>
    <w:rsid w:val="008F73EC"/>
    <w:rsid w:val="00901413"/>
    <w:rsid w:val="0090445A"/>
    <w:rsid w:val="00920EAF"/>
    <w:rsid w:val="0092281E"/>
    <w:rsid w:val="00922EFD"/>
    <w:rsid w:val="00927DA4"/>
    <w:rsid w:val="00932835"/>
    <w:rsid w:val="00932C3D"/>
    <w:rsid w:val="009338F4"/>
    <w:rsid w:val="0093464B"/>
    <w:rsid w:val="009444C8"/>
    <w:rsid w:val="00950B11"/>
    <w:rsid w:val="009514D9"/>
    <w:rsid w:val="009542AF"/>
    <w:rsid w:val="009563A9"/>
    <w:rsid w:val="0095754C"/>
    <w:rsid w:val="00960178"/>
    <w:rsid w:val="00960F31"/>
    <w:rsid w:val="009667F3"/>
    <w:rsid w:val="0097266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281"/>
    <w:rsid w:val="00A14B65"/>
    <w:rsid w:val="00A249BE"/>
    <w:rsid w:val="00A24E77"/>
    <w:rsid w:val="00A25224"/>
    <w:rsid w:val="00A26ADE"/>
    <w:rsid w:val="00A309E1"/>
    <w:rsid w:val="00A34AB7"/>
    <w:rsid w:val="00A34C19"/>
    <w:rsid w:val="00A358C2"/>
    <w:rsid w:val="00A3739D"/>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43A"/>
    <w:rsid w:val="00A83D96"/>
    <w:rsid w:val="00A84DDB"/>
    <w:rsid w:val="00A85F7C"/>
    <w:rsid w:val="00A86C84"/>
    <w:rsid w:val="00A912EA"/>
    <w:rsid w:val="00A9318D"/>
    <w:rsid w:val="00A95C9B"/>
    <w:rsid w:val="00A97A2F"/>
    <w:rsid w:val="00AA169C"/>
    <w:rsid w:val="00AA6D89"/>
    <w:rsid w:val="00AB0B76"/>
    <w:rsid w:val="00AB612A"/>
    <w:rsid w:val="00AB6338"/>
    <w:rsid w:val="00AC0D9F"/>
    <w:rsid w:val="00AC1AA5"/>
    <w:rsid w:val="00AC2BBC"/>
    <w:rsid w:val="00AD31D2"/>
    <w:rsid w:val="00AD3805"/>
    <w:rsid w:val="00AD518A"/>
    <w:rsid w:val="00AE2D3F"/>
    <w:rsid w:val="00AE435B"/>
    <w:rsid w:val="00AE7140"/>
    <w:rsid w:val="00AF1FB5"/>
    <w:rsid w:val="00AF269B"/>
    <w:rsid w:val="00AF4E81"/>
    <w:rsid w:val="00B001AA"/>
    <w:rsid w:val="00B001CF"/>
    <w:rsid w:val="00B038D1"/>
    <w:rsid w:val="00B05157"/>
    <w:rsid w:val="00B061BF"/>
    <w:rsid w:val="00B11179"/>
    <w:rsid w:val="00B16912"/>
    <w:rsid w:val="00B16FB6"/>
    <w:rsid w:val="00B32492"/>
    <w:rsid w:val="00B32EFC"/>
    <w:rsid w:val="00B340B8"/>
    <w:rsid w:val="00B35947"/>
    <w:rsid w:val="00B3627A"/>
    <w:rsid w:val="00B444B6"/>
    <w:rsid w:val="00B54BCA"/>
    <w:rsid w:val="00B61ED2"/>
    <w:rsid w:val="00B61EE7"/>
    <w:rsid w:val="00B66569"/>
    <w:rsid w:val="00B66BE2"/>
    <w:rsid w:val="00B6720B"/>
    <w:rsid w:val="00B677F1"/>
    <w:rsid w:val="00B7308A"/>
    <w:rsid w:val="00B73168"/>
    <w:rsid w:val="00B75964"/>
    <w:rsid w:val="00B80BE9"/>
    <w:rsid w:val="00B853F3"/>
    <w:rsid w:val="00B87CC5"/>
    <w:rsid w:val="00B90852"/>
    <w:rsid w:val="00B90AFC"/>
    <w:rsid w:val="00B9492D"/>
    <w:rsid w:val="00BA0336"/>
    <w:rsid w:val="00BA494D"/>
    <w:rsid w:val="00BA4A13"/>
    <w:rsid w:val="00BA4E06"/>
    <w:rsid w:val="00BB1D65"/>
    <w:rsid w:val="00BB3AD0"/>
    <w:rsid w:val="00BC3D08"/>
    <w:rsid w:val="00BC5022"/>
    <w:rsid w:val="00BD037F"/>
    <w:rsid w:val="00BD0751"/>
    <w:rsid w:val="00BD5D40"/>
    <w:rsid w:val="00BD6A9B"/>
    <w:rsid w:val="00BE0EC2"/>
    <w:rsid w:val="00BE17F4"/>
    <w:rsid w:val="00BE4E1C"/>
    <w:rsid w:val="00BE511B"/>
    <w:rsid w:val="00BE605D"/>
    <w:rsid w:val="00BF7BE2"/>
    <w:rsid w:val="00C032DF"/>
    <w:rsid w:val="00C06995"/>
    <w:rsid w:val="00C149F4"/>
    <w:rsid w:val="00C17A87"/>
    <w:rsid w:val="00C205D5"/>
    <w:rsid w:val="00C22BD0"/>
    <w:rsid w:val="00C2632B"/>
    <w:rsid w:val="00C349FB"/>
    <w:rsid w:val="00C379FF"/>
    <w:rsid w:val="00C40A0E"/>
    <w:rsid w:val="00C43965"/>
    <w:rsid w:val="00C6235A"/>
    <w:rsid w:val="00C651AD"/>
    <w:rsid w:val="00C66CC2"/>
    <w:rsid w:val="00C75B9C"/>
    <w:rsid w:val="00C75EE8"/>
    <w:rsid w:val="00C76CEF"/>
    <w:rsid w:val="00C80F2F"/>
    <w:rsid w:val="00C869F1"/>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270"/>
    <w:rsid w:val="00CD0944"/>
    <w:rsid w:val="00CE4EEF"/>
    <w:rsid w:val="00CE61E3"/>
    <w:rsid w:val="00CE7BCD"/>
    <w:rsid w:val="00CF1727"/>
    <w:rsid w:val="00CF1BB2"/>
    <w:rsid w:val="00CF3118"/>
    <w:rsid w:val="00CF72A2"/>
    <w:rsid w:val="00CF74E9"/>
    <w:rsid w:val="00D00B64"/>
    <w:rsid w:val="00D0140B"/>
    <w:rsid w:val="00D02A08"/>
    <w:rsid w:val="00D02DCE"/>
    <w:rsid w:val="00D03320"/>
    <w:rsid w:val="00D06B83"/>
    <w:rsid w:val="00D205F5"/>
    <w:rsid w:val="00D23CB2"/>
    <w:rsid w:val="00D40710"/>
    <w:rsid w:val="00D56534"/>
    <w:rsid w:val="00D565B4"/>
    <w:rsid w:val="00D6003C"/>
    <w:rsid w:val="00D61A57"/>
    <w:rsid w:val="00D630B6"/>
    <w:rsid w:val="00D6482D"/>
    <w:rsid w:val="00D736AD"/>
    <w:rsid w:val="00D74E34"/>
    <w:rsid w:val="00D8199D"/>
    <w:rsid w:val="00D81DDC"/>
    <w:rsid w:val="00D825A8"/>
    <w:rsid w:val="00D82B68"/>
    <w:rsid w:val="00D83504"/>
    <w:rsid w:val="00D84599"/>
    <w:rsid w:val="00D8760B"/>
    <w:rsid w:val="00D901AD"/>
    <w:rsid w:val="00DA4CC6"/>
    <w:rsid w:val="00DB361B"/>
    <w:rsid w:val="00DB6C20"/>
    <w:rsid w:val="00DB7DA4"/>
    <w:rsid w:val="00DC2B34"/>
    <w:rsid w:val="00DC7C02"/>
    <w:rsid w:val="00DC7DD8"/>
    <w:rsid w:val="00DD2640"/>
    <w:rsid w:val="00DD738D"/>
    <w:rsid w:val="00DE6530"/>
    <w:rsid w:val="00DE7C63"/>
    <w:rsid w:val="00DF0908"/>
    <w:rsid w:val="00DF1FDB"/>
    <w:rsid w:val="00DF4E2E"/>
    <w:rsid w:val="00DF7FB6"/>
    <w:rsid w:val="00E0668C"/>
    <w:rsid w:val="00E11100"/>
    <w:rsid w:val="00E142CF"/>
    <w:rsid w:val="00E14D19"/>
    <w:rsid w:val="00E17DF7"/>
    <w:rsid w:val="00E224D6"/>
    <w:rsid w:val="00E24E18"/>
    <w:rsid w:val="00E2795F"/>
    <w:rsid w:val="00E3416A"/>
    <w:rsid w:val="00E40F7E"/>
    <w:rsid w:val="00E433CB"/>
    <w:rsid w:val="00E43802"/>
    <w:rsid w:val="00E44BC8"/>
    <w:rsid w:val="00E44EDA"/>
    <w:rsid w:val="00E46A5F"/>
    <w:rsid w:val="00E472F3"/>
    <w:rsid w:val="00E5057F"/>
    <w:rsid w:val="00E54284"/>
    <w:rsid w:val="00E55E2C"/>
    <w:rsid w:val="00E62405"/>
    <w:rsid w:val="00E63744"/>
    <w:rsid w:val="00E66DC2"/>
    <w:rsid w:val="00E747E2"/>
    <w:rsid w:val="00E824EB"/>
    <w:rsid w:val="00E860EC"/>
    <w:rsid w:val="00E865F6"/>
    <w:rsid w:val="00E97C11"/>
    <w:rsid w:val="00EA2EDC"/>
    <w:rsid w:val="00EA3D9F"/>
    <w:rsid w:val="00EA452F"/>
    <w:rsid w:val="00EA6113"/>
    <w:rsid w:val="00EA752C"/>
    <w:rsid w:val="00EB0DAB"/>
    <w:rsid w:val="00EB3F2C"/>
    <w:rsid w:val="00EB51B2"/>
    <w:rsid w:val="00EC11F4"/>
    <w:rsid w:val="00EC46E8"/>
    <w:rsid w:val="00EC5906"/>
    <w:rsid w:val="00EE26FC"/>
    <w:rsid w:val="00EE4A55"/>
    <w:rsid w:val="00EE4AE9"/>
    <w:rsid w:val="00EE6A63"/>
    <w:rsid w:val="00EE7B91"/>
    <w:rsid w:val="00EF0A88"/>
    <w:rsid w:val="00EF4EA9"/>
    <w:rsid w:val="00F03106"/>
    <w:rsid w:val="00F105FF"/>
    <w:rsid w:val="00F11795"/>
    <w:rsid w:val="00F23F42"/>
    <w:rsid w:val="00F247A2"/>
    <w:rsid w:val="00F31AD5"/>
    <w:rsid w:val="00F31EDE"/>
    <w:rsid w:val="00F3453C"/>
    <w:rsid w:val="00F34E55"/>
    <w:rsid w:val="00F358E1"/>
    <w:rsid w:val="00F37B3D"/>
    <w:rsid w:val="00F42B4F"/>
    <w:rsid w:val="00F46549"/>
    <w:rsid w:val="00F65E6E"/>
    <w:rsid w:val="00F875A1"/>
    <w:rsid w:val="00F901A4"/>
    <w:rsid w:val="00F931AA"/>
    <w:rsid w:val="00F964A4"/>
    <w:rsid w:val="00F9698E"/>
    <w:rsid w:val="00F97446"/>
    <w:rsid w:val="00FA1D75"/>
    <w:rsid w:val="00FA2A14"/>
    <w:rsid w:val="00FB5A0C"/>
    <w:rsid w:val="00FD7A30"/>
    <w:rsid w:val="00FE55B4"/>
    <w:rsid w:val="00FF0782"/>
    <w:rsid w:val="00FF0F60"/>
    <w:rsid w:val="00FF1F94"/>
    <w:rsid w:val="00FF6124"/>
    <w:rsid w:val="00FF6F21"/>
    <w:rsid w:val="0100412F"/>
    <w:rsid w:val="03811C50"/>
    <w:rsid w:val="03E076AC"/>
    <w:rsid w:val="057D2C4A"/>
    <w:rsid w:val="05885808"/>
    <w:rsid w:val="06044281"/>
    <w:rsid w:val="07A74E22"/>
    <w:rsid w:val="083159AF"/>
    <w:rsid w:val="08EA7061"/>
    <w:rsid w:val="0C0D6CA8"/>
    <w:rsid w:val="0C5343CD"/>
    <w:rsid w:val="0CED129F"/>
    <w:rsid w:val="0E1E739D"/>
    <w:rsid w:val="0ECE6A1A"/>
    <w:rsid w:val="0F840182"/>
    <w:rsid w:val="10F13FC4"/>
    <w:rsid w:val="110906AB"/>
    <w:rsid w:val="11A925AD"/>
    <w:rsid w:val="12363FE6"/>
    <w:rsid w:val="135612C1"/>
    <w:rsid w:val="14A555BC"/>
    <w:rsid w:val="15471E60"/>
    <w:rsid w:val="155A6524"/>
    <w:rsid w:val="15F21F38"/>
    <w:rsid w:val="176639A1"/>
    <w:rsid w:val="18CB20E0"/>
    <w:rsid w:val="199E717D"/>
    <w:rsid w:val="1B311CC5"/>
    <w:rsid w:val="1B3151F7"/>
    <w:rsid w:val="1B9625DE"/>
    <w:rsid w:val="1BF21DE1"/>
    <w:rsid w:val="1CCC1B13"/>
    <w:rsid w:val="1D417772"/>
    <w:rsid w:val="1D8A36C7"/>
    <w:rsid w:val="203636B1"/>
    <w:rsid w:val="207325CA"/>
    <w:rsid w:val="208007E5"/>
    <w:rsid w:val="20B87237"/>
    <w:rsid w:val="21240FFB"/>
    <w:rsid w:val="21C70D18"/>
    <w:rsid w:val="21F015D4"/>
    <w:rsid w:val="21FE0D35"/>
    <w:rsid w:val="222A11F3"/>
    <w:rsid w:val="2262755D"/>
    <w:rsid w:val="22EE5FD2"/>
    <w:rsid w:val="237E50C5"/>
    <w:rsid w:val="23A30173"/>
    <w:rsid w:val="24E31A8F"/>
    <w:rsid w:val="2603270D"/>
    <w:rsid w:val="272E0097"/>
    <w:rsid w:val="27920432"/>
    <w:rsid w:val="283E5914"/>
    <w:rsid w:val="29370C4D"/>
    <w:rsid w:val="29682355"/>
    <w:rsid w:val="2AF95016"/>
    <w:rsid w:val="2B4B0E57"/>
    <w:rsid w:val="2B763774"/>
    <w:rsid w:val="2C21273F"/>
    <w:rsid w:val="2C627E8E"/>
    <w:rsid w:val="2C657C8F"/>
    <w:rsid w:val="2C7678E5"/>
    <w:rsid w:val="2CE334FC"/>
    <w:rsid w:val="2D5941BA"/>
    <w:rsid w:val="2DD179EC"/>
    <w:rsid w:val="2E8167CA"/>
    <w:rsid w:val="2FAB60EC"/>
    <w:rsid w:val="2FF9181A"/>
    <w:rsid w:val="30E97CFC"/>
    <w:rsid w:val="33A32C03"/>
    <w:rsid w:val="34273C7F"/>
    <w:rsid w:val="347B5AA3"/>
    <w:rsid w:val="34EF315E"/>
    <w:rsid w:val="355F3EE9"/>
    <w:rsid w:val="35903949"/>
    <w:rsid w:val="35B86912"/>
    <w:rsid w:val="35F61464"/>
    <w:rsid w:val="361F0A74"/>
    <w:rsid w:val="378B31F7"/>
    <w:rsid w:val="38261CF9"/>
    <w:rsid w:val="38865EEB"/>
    <w:rsid w:val="38B77F98"/>
    <w:rsid w:val="38F551CC"/>
    <w:rsid w:val="3B311D9A"/>
    <w:rsid w:val="3B6A55CC"/>
    <w:rsid w:val="3BA76469"/>
    <w:rsid w:val="3C4216C7"/>
    <w:rsid w:val="3CA5543C"/>
    <w:rsid w:val="3D1451FD"/>
    <w:rsid w:val="3E4F46A6"/>
    <w:rsid w:val="3EDA304D"/>
    <w:rsid w:val="3EED2975"/>
    <w:rsid w:val="3F1074EA"/>
    <w:rsid w:val="3FBF6D89"/>
    <w:rsid w:val="418E3ED4"/>
    <w:rsid w:val="41D76A79"/>
    <w:rsid w:val="42430682"/>
    <w:rsid w:val="42A84F11"/>
    <w:rsid w:val="42C219BE"/>
    <w:rsid w:val="455A309F"/>
    <w:rsid w:val="45E36027"/>
    <w:rsid w:val="467D3552"/>
    <w:rsid w:val="467E6FA7"/>
    <w:rsid w:val="46885325"/>
    <w:rsid w:val="47825722"/>
    <w:rsid w:val="47C94E13"/>
    <w:rsid w:val="47CE5F90"/>
    <w:rsid w:val="482B776C"/>
    <w:rsid w:val="4AA629B3"/>
    <w:rsid w:val="4AE9394C"/>
    <w:rsid w:val="4BC90B3D"/>
    <w:rsid w:val="4CD118D9"/>
    <w:rsid w:val="4DE06E33"/>
    <w:rsid w:val="4DFB6892"/>
    <w:rsid w:val="4FD705D0"/>
    <w:rsid w:val="505A230D"/>
    <w:rsid w:val="505D5894"/>
    <w:rsid w:val="509A31E0"/>
    <w:rsid w:val="50BD3C6E"/>
    <w:rsid w:val="52377381"/>
    <w:rsid w:val="52A92CC3"/>
    <w:rsid w:val="52B205BC"/>
    <w:rsid w:val="534B7BC1"/>
    <w:rsid w:val="547055A9"/>
    <w:rsid w:val="54C92E27"/>
    <w:rsid w:val="54F4380B"/>
    <w:rsid w:val="56071D29"/>
    <w:rsid w:val="56155365"/>
    <w:rsid w:val="567403C0"/>
    <w:rsid w:val="56B97D51"/>
    <w:rsid w:val="574843C3"/>
    <w:rsid w:val="57494C7B"/>
    <w:rsid w:val="57DA6136"/>
    <w:rsid w:val="586D4D7B"/>
    <w:rsid w:val="594E43FD"/>
    <w:rsid w:val="596D4848"/>
    <w:rsid w:val="59831A4E"/>
    <w:rsid w:val="59BD1D67"/>
    <w:rsid w:val="5B0B7944"/>
    <w:rsid w:val="5B332B56"/>
    <w:rsid w:val="5DA617E9"/>
    <w:rsid w:val="5F463DC1"/>
    <w:rsid w:val="5FDC5CA5"/>
    <w:rsid w:val="609259C6"/>
    <w:rsid w:val="60A35DFF"/>
    <w:rsid w:val="628C5780"/>
    <w:rsid w:val="647C2787"/>
    <w:rsid w:val="647F5D3B"/>
    <w:rsid w:val="649B6FA0"/>
    <w:rsid w:val="64C15203"/>
    <w:rsid w:val="65601564"/>
    <w:rsid w:val="659B4288"/>
    <w:rsid w:val="65CB5285"/>
    <w:rsid w:val="664833C0"/>
    <w:rsid w:val="66EE3546"/>
    <w:rsid w:val="67897B99"/>
    <w:rsid w:val="683A4CC4"/>
    <w:rsid w:val="685B1B5E"/>
    <w:rsid w:val="68933ADA"/>
    <w:rsid w:val="68A414DB"/>
    <w:rsid w:val="68A575BF"/>
    <w:rsid w:val="690A704B"/>
    <w:rsid w:val="69646D14"/>
    <w:rsid w:val="69BF0776"/>
    <w:rsid w:val="6A9D5657"/>
    <w:rsid w:val="6AD143B6"/>
    <w:rsid w:val="6B667C38"/>
    <w:rsid w:val="6B89082B"/>
    <w:rsid w:val="6BA54205"/>
    <w:rsid w:val="6CD660E5"/>
    <w:rsid w:val="6D1C5621"/>
    <w:rsid w:val="6D78324C"/>
    <w:rsid w:val="6DAD2AEC"/>
    <w:rsid w:val="6DF13B09"/>
    <w:rsid w:val="709C6550"/>
    <w:rsid w:val="71105735"/>
    <w:rsid w:val="712715D2"/>
    <w:rsid w:val="71A716A2"/>
    <w:rsid w:val="72133B14"/>
    <w:rsid w:val="72414A99"/>
    <w:rsid w:val="72CA5629"/>
    <w:rsid w:val="72D5410A"/>
    <w:rsid w:val="73817EF1"/>
    <w:rsid w:val="738F2A9D"/>
    <w:rsid w:val="73BA415F"/>
    <w:rsid w:val="73D7673E"/>
    <w:rsid w:val="744256B6"/>
    <w:rsid w:val="74425D7C"/>
    <w:rsid w:val="74B3704E"/>
    <w:rsid w:val="74C7743F"/>
    <w:rsid w:val="751C3537"/>
    <w:rsid w:val="759B36B3"/>
    <w:rsid w:val="75E94D10"/>
    <w:rsid w:val="776700B4"/>
    <w:rsid w:val="777A058F"/>
    <w:rsid w:val="788F1BDC"/>
    <w:rsid w:val="79661AD2"/>
    <w:rsid w:val="79BE3B01"/>
    <w:rsid w:val="79EC55C2"/>
    <w:rsid w:val="7A996FD3"/>
    <w:rsid w:val="7AE74A26"/>
    <w:rsid w:val="7B3A052D"/>
    <w:rsid w:val="7BB33951"/>
    <w:rsid w:val="7BE943AF"/>
    <w:rsid w:val="7C003642"/>
    <w:rsid w:val="7C7577C4"/>
    <w:rsid w:val="7DEF2A84"/>
    <w:rsid w:val="7E2856C5"/>
    <w:rsid w:val="7F512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rPr>
      <w:rFonts w:ascii="Times New Roman" w:hAnsi="Times New Roman" w:eastAsia="宋体" w:cs="Times New Roman"/>
    </w:rPr>
  </w:style>
  <w:style w:type="table" w:default="1" w:styleId="7">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styleId="2">
    <w:name w:val="Body Text"/>
    <w:basedOn w:val="1"/>
    <w:link w:val="23"/>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paragraph" w:customStyle="1" w:styleId="8">
    <w:name w:val="正文文本 (2)"/>
    <w:basedOn w:val="1"/>
    <w:link w:val="19"/>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9">
    <w:name w:val="标题 #1 (5)"/>
    <w:basedOn w:val="1"/>
    <w:link w:val="17"/>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0">
    <w:name w:val="正文文本 (8)1"/>
    <w:basedOn w:val="1"/>
    <w:link w:val="22"/>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1">
    <w:name w:val="标题 #6"/>
    <w:basedOn w:val="1"/>
    <w:link w:val="18"/>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2">
    <w:name w:val="正文文本 (4)"/>
    <w:basedOn w:val="1"/>
    <w:link w:val="16"/>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3">
    <w:name w:val="标题 #2 (2)"/>
    <w:basedOn w:val="1"/>
    <w:link w:val="20"/>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4">
    <w:name w:val="正文文本 (11)"/>
    <w:basedOn w:val="1"/>
    <w:link w:val="24"/>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character" w:customStyle="1" w:styleId="15">
    <w:name w:val=" Char Char1"/>
    <w:basedOn w:val="5"/>
    <w:qFormat/>
    <w:uiPriority w:val="0"/>
    <w:rPr>
      <w:rFonts w:ascii="MingLiU" w:hAnsi="Times New Roman" w:eastAsia="MingLiU" w:cs="Times New Roman"/>
      <w:sz w:val="28"/>
      <w:szCs w:val="28"/>
      <w:lang w:bidi="ar-SA"/>
    </w:rPr>
  </w:style>
  <w:style w:type="character" w:customStyle="1" w:styleId="16">
    <w:name w:val="正文文本 (4)_"/>
    <w:basedOn w:val="5"/>
    <w:link w:val="12"/>
    <w:qFormat/>
    <w:uiPriority w:val="0"/>
    <w:rPr>
      <w:rFonts w:ascii="MingLiU" w:hAnsi="Times New Roman" w:eastAsia="MingLiU" w:cs="Times New Roman"/>
      <w:b/>
      <w:bCs/>
      <w:sz w:val="29"/>
      <w:szCs w:val="29"/>
      <w:lang w:bidi="ar-SA"/>
    </w:rPr>
  </w:style>
  <w:style w:type="character" w:customStyle="1" w:styleId="17">
    <w:name w:val="标题 #1 (5)_"/>
    <w:basedOn w:val="5"/>
    <w:link w:val="9"/>
    <w:qFormat/>
    <w:uiPriority w:val="0"/>
    <w:rPr>
      <w:rFonts w:ascii="MingLiU" w:hAnsi="Times New Roman" w:eastAsia="MingLiU" w:cs="Times New Roman"/>
      <w:sz w:val="38"/>
      <w:szCs w:val="38"/>
      <w:lang w:bidi="ar-SA"/>
    </w:rPr>
  </w:style>
  <w:style w:type="character" w:customStyle="1" w:styleId="18">
    <w:name w:val="标题 #6_"/>
    <w:basedOn w:val="5"/>
    <w:link w:val="11"/>
    <w:qFormat/>
    <w:uiPriority w:val="0"/>
    <w:rPr>
      <w:rFonts w:ascii="MingLiU" w:hAnsi="Times New Roman" w:eastAsia="MingLiU" w:cs="Times New Roman"/>
      <w:b/>
      <w:bCs/>
      <w:sz w:val="29"/>
      <w:szCs w:val="29"/>
      <w:lang w:bidi="ar-SA"/>
    </w:rPr>
  </w:style>
  <w:style w:type="character" w:customStyle="1" w:styleId="19">
    <w:name w:val="正文文本 (2)_"/>
    <w:basedOn w:val="5"/>
    <w:link w:val="8"/>
    <w:qFormat/>
    <w:uiPriority w:val="0"/>
    <w:rPr>
      <w:rFonts w:ascii="MingLiU" w:hAnsi="Times New Roman" w:eastAsia="MingLiU" w:cs="Times New Roman"/>
      <w:sz w:val="25"/>
      <w:szCs w:val="25"/>
      <w:lang w:bidi="ar-SA"/>
    </w:rPr>
  </w:style>
  <w:style w:type="character" w:customStyle="1" w:styleId="20">
    <w:name w:val="标题 #2 (2)_"/>
    <w:basedOn w:val="5"/>
    <w:link w:val="13"/>
    <w:qFormat/>
    <w:uiPriority w:val="0"/>
    <w:rPr>
      <w:rFonts w:ascii="MingLiU" w:hAnsi="Times New Roman" w:eastAsia="MingLiU" w:cs="Times New Roman"/>
      <w:b/>
      <w:bCs/>
      <w:sz w:val="29"/>
      <w:szCs w:val="29"/>
      <w:lang w:bidi="ar-SA"/>
    </w:rPr>
  </w:style>
  <w:style w:type="character" w:customStyle="1" w:styleId="21">
    <w:name w:val="正文文本 Char"/>
    <w:qFormat/>
    <w:uiPriority w:val="0"/>
    <w:rPr>
      <w:rFonts w:ascii="MingLiU" w:hAnsi="Times New Roman" w:eastAsia="MingLiU" w:cs="Times New Roman"/>
      <w:sz w:val="28"/>
      <w:szCs w:val="28"/>
      <w:lang w:bidi="ar-SA"/>
    </w:rPr>
  </w:style>
  <w:style w:type="character" w:customStyle="1" w:styleId="22">
    <w:name w:val="正文文本 (8)_"/>
    <w:basedOn w:val="5"/>
    <w:link w:val="10"/>
    <w:qFormat/>
    <w:uiPriority w:val="0"/>
    <w:rPr>
      <w:rFonts w:ascii="MingLiU" w:hAnsi="Times New Roman" w:eastAsia="MingLiU" w:cs="Times New Roman"/>
      <w:sz w:val="19"/>
      <w:szCs w:val="19"/>
      <w:lang w:bidi="ar-SA"/>
    </w:rPr>
  </w:style>
  <w:style w:type="character" w:customStyle="1" w:styleId="23">
    <w:name w:val=" Char Char"/>
    <w:basedOn w:val="5"/>
    <w:link w:val="2"/>
    <w:qFormat/>
    <w:uiPriority w:val="0"/>
    <w:rPr>
      <w:rFonts w:ascii="MingLiU" w:hAnsi="Times New Roman" w:eastAsia="MingLiU" w:cs="Times New Roman"/>
      <w:sz w:val="28"/>
      <w:szCs w:val="28"/>
      <w:lang w:bidi="ar-SA"/>
    </w:rPr>
  </w:style>
  <w:style w:type="character" w:customStyle="1" w:styleId="24">
    <w:name w:val="正文文本 (11)_"/>
    <w:basedOn w:val="5"/>
    <w:link w:val="14"/>
    <w:qFormat/>
    <w:uiPriority w:val="0"/>
    <w:rPr>
      <w:rFonts w:ascii="MingLiU" w:hAnsi="Times New Roman" w:eastAsia="MingLiU" w:cs="Times New Roman"/>
      <w:w w:val="150"/>
      <w:sz w:val="8"/>
      <w:szCs w:val="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12979</Words>
  <Characters>13731</Characters>
  <Lines>88</Lines>
  <Paragraphs>24</Paragraphs>
  <TotalTime>1</TotalTime>
  <ScaleCrop>false</ScaleCrop>
  <LinksUpToDate>false</LinksUpToDate>
  <CharactersWithSpaces>13833</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2017-05-23T08:51:00Z</dcterms:created>
  <dc:creator>User</dc:creator>
  <cp:lastModifiedBy>何莉</cp:lastModifiedBy>
  <cp:lastPrinted>2022-07-12T07:42:36Z</cp:lastPrinted>
  <dcterms:modified xsi:type="dcterms:W3CDTF">2022-07-12T07:42:42Z</dcterms:modified>
  <dc:title>福清市石竹街道龙塘村</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FB94223DE2AC4C47A7E748D869B0C319</vt:lpwstr>
  </property>
</Properties>
</file>