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44"/>
          <w:szCs w:val="44"/>
        </w:rPr>
      </w:pPr>
      <w:r>
        <w:rPr>
          <w:rFonts w:hint="eastAsia" w:ascii="宋体" w:hAnsi="宋体"/>
          <w:b/>
          <w:bCs/>
          <w:sz w:val="44"/>
          <w:szCs w:val="44"/>
        </w:rPr>
        <w:t>黄檗山万福寺旅游道路项目房屋征收补偿方案</w:t>
      </w:r>
    </w:p>
    <w:p>
      <w:pPr>
        <w:jc w:val="center"/>
        <w:rPr>
          <w:rFonts w:ascii="仿宋_GB2312" w:eastAsia="仿宋_GB2312"/>
          <w:kern w:val="0"/>
          <w:sz w:val="32"/>
          <w:szCs w:val="32"/>
        </w:rPr>
      </w:pPr>
      <w:r>
        <w:rPr>
          <w:rFonts w:hint="eastAsia" w:ascii="仿宋_GB2312" w:eastAsia="仿宋_GB2312"/>
          <w:kern w:val="0"/>
          <w:sz w:val="32"/>
          <w:szCs w:val="32"/>
        </w:rPr>
        <w:t>（适用私人自建住宅</w:t>
      </w:r>
      <w:r>
        <w:rPr>
          <w:rFonts w:hint="eastAsia" w:ascii="仿宋_GB2312" w:eastAsia="仿宋_GB2312"/>
          <w:kern w:val="0"/>
          <w:sz w:val="32"/>
          <w:szCs w:val="32"/>
          <w:lang w:eastAsia="zh-CN"/>
        </w:rPr>
        <w:t>部分</w:t>
      </w:r>
      <w:r>
        <w:rPr>
          <w:rFonts w:hint="eastAsia" w:ascii="仿宋_GB2312" w:eastAsia="仿宋_GB2312"/>
          <w:kern w:val="0"/>
          <w:sz w:val="32"/>
          <w:szCs w:val="32"/>
        </w:rPr>
        <w:t>征求意见稿）</w:t>
      </w:r>
    </w:p>
    <w:p>
      <w:pPr>
        <w:pStyle w:val="14"/>
        <w:shd w:val="clear" w:color="auto" w:fill="auto"/>
        <w:tabs>
          <w:tab w:val="left" w:pos="7085"/>
        </w:tabs>
        <w:spacing w:before="0" w:after="0" w:line="600" w:lineRule="exact"/>
        <w:ind w:firstLine="640" w:firstLineChars="200"/>
        <w:jc w:val="both"/>
        <w:rPr>
          <w:rFonts w:ascii="仿宋_GB2312" w:eastAsia="仿宋_GB2312"/>
          <w:w w:val="100"/>
          <w:sz w:val="32"/>
          <w:szCs w:val="32"/>
        </w:rPr>
      </w:pPr>
    </w:p>
    <w:p>
      <w:pPr>
        <w:pStyle w:val="14"/>
        <w:shd w:val="clear" w:color="auto" w:fill="auto"/>
        <w:tabs>
          <w:tab w:val="left" w:pos="7085"/>
        </w:tabs>
        <w:spacing w:before="0" w:after="0" w:line="600" w:lineRule="exact"/>
        <w:ind w:firstLine="640" w:firstLineChars="200"/>
        <w:jc w:val="both"/>
        <w:rPr>
          <w:rFonts w:ascii="仿宋_GB2312" w:eastAsia="仿宋_GB2312"/>
          <w:w w:val="100"/>
          <w:sz w:val="32"/>
          <w:szCs w:val="32"/>
        </w:rPr>
      </w:pPr>
      <w:r>
        <w:rPr>
          <w:rFonts w:hint="eastAsia" w:ascii="仿宋_GB2312" w:eastAsia="仿宋_GB2312"/>
          <w:w w:val="100"/>
          <w:sz w:val="32"/>
          <w:szCs w:val="32"/>
        </w:rPr>
        <w:t>因黄檗山万福寺旅游道路项目建设需要，福清市人民政府决定征收黄檗山万福寺旅游道路项目规划红线内的房屋。根据《中华人民共和国土地管理法》、《福建省实施&lt;中</w:t>
      </w:r>
      <w:r>
        <w:rPr>
          <w:rFonts w:hint="eastAsia" w:ascii="仿宋_GB2312" w:eastAsia="仿宋_GB2312"/>
          <w:w w:val="100"/>
          <w:sz w:val="32"/>
          <w:szCs w:val="32"/>
          <w:lang w:val="en-US" w:eastAsia="zh-CN"/>
        </w:rPr>
        <w:t>华</w:t>
      </w:r>
      <w:r>
        <w:rPr>
          <w:rFonts w:hint="eastAsia" w:ascii="仿宋_GB2312" w:eastAsia="仿宋_GB2312"/>
          <w:w w:val="100"/>
          <w:sz w:val="32"/>
          <w:szCs w:val="32"/>
        </w:rPr>
        <w:t>人民共和国土地管理法&gt;办法》等有关法律、法规及政策规定，为规范征收补偿安置行为，维护被征收人合法权益，制定本征收补偿方案。</w:t>
      </w:r>
      <w:bookmarkStart w:id="0" w:name="bookmark5"/>
      <w:bookmarkStart w:id="6" w:name="_GoBack"/>
      <w:bookmarkEnd w:id="6"/>
    </w:p>
    <w:p>
      <w:pPr>
        <w:pStyle w:val="14"/>
        <w:shd w:val="clear" w:color="auto" w:fill="auto"/>
        <w:tabs>
          <w:tab w:val="left" w:pos="7085"/>
        </w:tabs>
        <w:spacing w:before="0" w:after="0" w:line="600" w:lineRule="exact"/>
        <w:ind w:firstLine="640" w:firstLineChars="200"/>
        <w:jc w:val="both"/>
        <w:rPr>
          <w:rFonts w:ascii="仿宋_GB2312" w:eastAsia="仿宋_GB2312"/>
          <w:w w:val="100"/>
          <w:sz w:val="32"/>
          <w:szCs w:val="32"/>
        </w:rPr>
      </w:pPr>
    </w:p>
    <w:p>
      <w:pPr>
        <w:pStyle w:val="14"/>
        <w:shd w:val="clear" w:color="auto" w:fill="auto"/>
        <w:tabs>
          <w:tab w:val="left" w:pos="7085"/>
        </w:tabs>
        <w:spacing w:before="0" w:after="0" w:line="600" w:lineRule="exact"/>
        <w:jc w:val="center"/>
        <w:rPr>
          <w:rFonts w:ascii="仿宋_GB2312" w:eastAsia="仿宋_GB2312"/>
          <w:b/>
          <w:bCs/>
          <w:w w:val="100"/>
          <w:sz w:val="32"/>
          <w:szCs w:val="32"/>
          <w:lang w:val="zh-CN"/>
        </w:rPr>
      </w:pPr>
      <w:r>
        <w:rPr>
          <w:rFonts w:hint="eastAsia" w:ascii="仿宋_GB2312" w:eastAsia="仿宋_GB2312"/>
          <w:b/>
          <w:bCs/>
          <w:w w:val="100"/>
          <w:sz w:val="32"/>
          <w:szCs w:val="32"/>
          <w:lang w:val="zh-CN"/>
        </w:rPr>
        <w:t>第一部分</w:t>
      </w:r>
      <w:r>
        <w:rPr>
          <w:rFonts w:ascii="仿宋_GB2312" w:eastAsia="仿宋_GB2312"/>
          <w:b/>
          <w:bCs/>
          <w:w w:val="100"/>
          <w:sz w:val="32"/>
          <w:szCs w:val="32"/>
          <w:lang w:val="zh-CN"/>
        </w:rPr>
        <w:t xml:space="preserve">  </w:t>
      </w:r>
      <w:r>
        <w:rPr>
          <w:rFonts w:hint="eastAsia" w:ascii="仿宋_GB2312" w:eastAsia="仿宋_GB2312"/>
          <w:b/>
          <w:bCs/>
          <w:w w:val="100"/>
          <w:sz w:val="32"/>
          <w:szCs w:val="32"/>
          <w:lang w:val="zh-CN"/>
        </w:rPr>
        <w:t>总则</w:t>
      </w:r>
      <w:bookmarkEnd w:id="0"/>
      <w:bookmarkStart w:id="1" w:name="bookmark6"/>
    </w:p>
    <w:p>
      <w:pPr>
        <w:pStyle w:val="14"/>
        <w:shd w:val="clear" w:color="auto" w:fill="auto"/>
        <w:tabs>
          <w:tab w:val="left" w:pos="7085"/>
        </w:tabs>
        <w:spacing w:before="0" w:after="0" w:line="600" w:lineRule="exact"/>
        <w:jc w:val="both"/>
        <w:rPr>
          <w:rFonts w:ascii="仿宋_GB2312" w:eastAsia="仿宋_GB2312"/>
          <w:sz w:val="32"/>
          <w:szCs w:val="32"/>
          <w:lang w:val="zh-CN"/>
        </w:rPr>
      </w:pPr>
    </w:p>
    <w:p>
      <w:pPr>
        <w:pStyle w:val="2"/>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一、基本原则</w:t>
      </w:r>
      <w:bookmarkEnd w:id="1"/>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征收工作坚持“依法依规、民主公开、以人为本、权益保障、和谐征收”的原则，征收人主动接受监督部门、被征收人及社会各界人士的监督。</w:t>
      </w:r>
      <w:bookmarkStart w:id="2" w:name="bookmark7"/>
    </w:p>
    <w:p>
      <w:pPr>
        <w:pStyle w:val="2"/>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二、征收范围</w:t>
      </w:r>
      <w:bookmarkEnd w:id="2"/>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具体征收范围以黄</w:t>
      </w:r>
      <w:r>
        <w:rPr>
          <w:rFonts w:hint="eastAsia" w:ascii="仿宋_GB2312" w:eastAsia="仿宋_GB2312"/>
          <w:sz w:val="32"/>
          <w:szCs w:val="32"/>
        </w:rPr>
        <w:t>檗山万福寺旅游道路</w:t>
      </w:r>
      <w:r>
        <w:rPr>
          <w:rFonts w:hint="eastAsia" w:ascii="仿宋_GB2312" w:eastAsia="仿宋_GB2312"/>
          <w:sz w:val="32"/>
          <w:szCs w:val="32"/>
          <w:lang w:val="zh-CN"/>
        </w:rPr>
        <w:t>项目红线图为准。</w:t>
      </w:r>
      <w:bookmarkStart w:id="3" w:name="bookmark8"/>
    </w:p>
    <w:p>
      <w:pPr>
        <w:pStyle w:val="2"/>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三、征收补偿对象及方式</w:t>
      </w:r>
      <w:bookmarkEnd w:id="3"/>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（二）</w:t>
      </w:r>
      <w:r>
        <w:rPr>
          <w:rFonts w:hint="eastAsia" w:ascii="仿宋_GB2312" w:eastAsia="仿宋_GB2312"/>
          <w:sz w:val="32"/>
          <w:szCs w:val="32"/>
        </w:rPr>
        <w:t>对具有认定补偿安置面积的房屋，</w:t>
      </w:r>
      <w:r>
        <w:rPr>
          <w:rFonts w:hint="eastAsia" w:ascii="仿宋_GB2312" w:eastAsia="仿宋_GB2312"/>
          <w:sz w:val="32"/>
          <w:szCs w:val="32"/>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选择以分户评估方式确定被征收房屋价值的（评估内容不含管理费、利润、税费等），不得再选择征收补偿方案进行补偿</w:t>
      </w:r>
      <w:r>
        <w:rPr>
          <w:rFonts w:hint="eastAsia" w:ascii="仿宋_GB2312" w:eastAsia="仿宋_GB2312"/>
          <w:sz w:val="32"/>
          <w:szCs w:val="32"/>
        </w:rPr>
        <w:t>,在评估价值的基础上，再给予征收补助费和临时过渡费，以现金一次性结算</w:t>
      </w:r>
      <w:r>
        <w:rPr>
          <w:rFonts w:hint="eastAsia" w:ascii="仿宋_GB2312" w:eastAsia="仿宋_GB2312"/>
          <w:sz w:val="32"/>
          <w:szCs w:val="32"/>
          <w:lang w:val="zh-CN"/>
        </w:rPr>
        <w:t>；在签约期内选择按照公布的征收补偿方案进行补偿的，不再进行分户评估，但房屋装修档次超出方案标准的，可以单独对装修进行评估。</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（三</w:t>
      </w:r>
      <w:r>
        <w:rPr>
          <w:rFonts w:hint="eastAsia" w:ascii="仿宋_GB2312" w:hAnsi="宋体" w:eastAsia="仿宋_GB2312" w:cs="宋体"/>
          <w:sz w:val="32"/>
          <w:szCs w:val="32"/>
          <w:lang w:val="zh-CN"/>
        </w:rPr>
        <w:t>）</w:t>
      </w:r>
      <w:r>
        <w:rPr>
          <w:rFonts w:hint="eastAsia" w:ascii="仿宋_GB2312" w:eastAsia="仿宋_GB2312"/>
          <w:sz w:val="32"/>
          <w:szCs w:val="32"/>
          <w:lang w:val="zh-CN"/>
        </w:rPr>
        <w:t>本地块征收补偿方式：实行货币补偿方式。</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sz w:val="32"/>
          <w:szCs w:val="32"/>
        </w:rPr>
      </w:pPr>
      <w:bookmarkStart w:id="4" w:name="bookmark9"/>
      <w:r>
        <w:rPr>
          <w:rFonts w:hint="eastAsia" w:ascii="仿宋_GB2312" w:eastAsia="仿宋_GB2312"/>
          <w:sz w:val="32"/>
          <w:szCs w:val="32"/>
          <w:lang w:val="zh-CN"/>
        </w:rPr>
        <w:t>四、补偿安置</w:t>
      </w:r>
      <w:bookmarkEnd w:id="4"/>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（一）补偿安置方式。以货币补偿方式进行安置。</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征收补偿费用包括建安、建筑占地、埕空地、附属物、二次装修等补偿和各项补助及奖励。由被征收人自行解决安置用房。</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（二）补偿计算。房屋补偿实行土地、房屋分别计算，合并结算。土地补偿（专指住宅），经批准的房屋建筑占地土地补偿价格渔溪镇按</w:t>
      </w:r>
      <w:r>
        <w:rPr>
          <w:rFonts w:hint="eastAsia" w:ascii="仿宋_GB2312" w:eastAsia="仿宋_GB2312"/>
          <w:sz w:val="32"/>
          <w:szCs w:val="32"/>
          <w:lang w:val="en-US" w:eastAsia="zh-CN"/>
        </w:rPr>
        <w:t>33</w:t>
      </w:r>
      <w:r>
        <w:rPr>
          <w:rFonts w:hint="eastAsia" w:ascii="仿宋_GB2312" w:eastAsia="仿宋_GB2312"/>
          <w:sz w:val="32"/>
          <w:szCs w:val="32"/>
          <w:lang w:val="zh-CN"/>
        </w:rPr>
        <w:t>万元/亩，上迳镇按22万元/亩；房屋补偿，由房屋重置价和二次装修重置价结合成新率组成。埕地、空地的补偿：经国土部门确权的，属出让土地的渔溪镇按</w:t>
      </w:r>
      <w:r>
        <w:rPr>
          <w:rFonts w:hint="eastAsia" w:ascii="仿宋_GB2312" w:eastAsia="仿宋_GB2312"/>
          <w:sz w:val="32"/>
          <w:szCs w:val="32"/>
          <w:lang w:val="en-US" w:eastAsia="zh-CN"/>
        </w:rPr>
        <w:t>33</w:t>
      </w:r>
      <w:r>
        <w:rPr>
          <w:rFonts w:hint="eastAsia" w:ascii="仿宋_GB2312" w:eastAsia="仿宋_GB2312"/>
          <w:sz w:val="32"/>
          <w:szCs w:val="32"/>
          <w:lang w:val="zh-CN"/>
        </w:rPr>
        <w:t>万元/亩，上迳镇按22万元/亩计算，属划拨土地或持有集体土地使用证的渔溪镇按</w:t>
      </w:r>
      <w:r>
        <w:rPr>
          <w:rFonts w:hint="eastAsia" w:ascii="仿宋_GB2312" w:eastAsia="仿宋_GB2312"/>
          <w:sz w:val="32"/>
          <w:szCs w:val="32"/>
          <w:lang w:val="en-US" w:eastAsia="zh-CN"/>
        </w:rPr>
        <w:t>33</w:t>
      </w:r>
      <w:r>
        <w:rPr>
          <w:rFonts w:hint="eastAsia" w:ascii="仿宋_GB2312" w:eastAsia="仿宋_GB2312"/>
          <w:sz w:val="32"/>
          <w:szCs w:val="32"/>
          <w:lang w:val="zh-CN"/>
        </w:rPr>
        <w:t>万元/亩的60%，上迳镇按</w:t>
      </w:r>
      <w:r>
        <w:rPr>
          <w:rFonts w:hint="eastAsia" w:ascii="仿宋_GB2312" w:eastAsia="仿宋_GB2312"/>
          <w:sz w:val="32"/>
          <w:szCs w:val="32"/>
          <w:lang w:val="en-US" w:eastAsia="zh-CN"/>
        </w:rPr>
        <w:t>22</w:t>
      </w:r>
      <w:r>
        <w:rPr>
          <w:rFonts w:hint="eastAsia" w:ascii="仿宋_GB2312" w:eastAsia="仿宋_GB2312"/>
          <w:sz w:val="32"/>
          <w:szCs w:val="32"/>
          <w:lang w:val="zh-CN"/>
        </w:rPr>
        <w:t>万元/亩的60%计算；经市镇（街）两级清理收费的，渔溪镇按</w:t>
      </w:r>
      <w:r>
        <w:rPr>
          <w:rFonts w:hint="eastAsia" w:ascii="仿宋_GB2312" w:eastAsia="仿宋_GB2312"/>
          <w:sz w:val="32"/>
          <w:szCs w:val="32"/>
          <w:lang w:val="en-US" w:eastAsia="zh-CN"/>
        </w:rPr>
        <w:t>33</w:t>
      </w:r>
      <w:r>
        <w:rPr>
          <w:rFonts w:hint="eastAsia" w:ascii="仿宋_GB2312" w:eastAsia="仿宋_GB2312"/>
          <w:sz w:val="32"/>
          <w:szCs w:val="32"/>
          <w:lang w:val="zh-CN"/>
        </w:rPr>
        <w:t>万元/亩的40%，上迳镇按22万元/亩的40%计算；其他未确权和未经市镇（街）两级清理收费的，按4万元/亩计算。埕地、空地是指房屋四至权属明确、界址明显范围内的用地面积扣除建筑物占地后余下的土地。</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（三）根据本区域房屋的结构状况，将房屋结构划归为8类22等，其重置价标准详见附表一。</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根据原城乡建设环境保护部发布的《房屋完损等级评定标准》，结合被征收房屋的残值后，制定出不同完损等级房屋的成新标准，具体详见附表二。</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装修价值按附表三补偿标准进行补偿（按实际装修面积计算），并视装修新旧程度按附表四折旧率计价。</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（四）补偿安置及签约程序</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1、征收人与被征收人签定房屋征收补偿安置协议书，内容含：认定补偿安置建筑、土地面积，认定不予补偿安置建筑、土地面积，认定补偿安置中的具体面积。</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2、征收人作出房屋征收补偿结果计算表。</w:t>
      </w:r>
    </w:p>
    <w:p>
      <w:pPr>
        <w:pStyle w:val="13"/>
        <w:shd w:val="clear" w:color="auto" w:fill="auto"/>
        <w:spacing w:line="600" w:lineRule="exact"/>
        <w:ind w:firstLine="643" w:firstLineChars="200"/>
        <w:jc w:val="both"/>
        <w:rPr>
          <w:rFonts w:ascii="仿宋_GB2312" w:eastAsia="仿宋_GB2312"/>
          <w:sz w:val="32"/>
          <w:szCs w:val="32"/>
        </w:rPr>
      </w:pPr>
      <w:r>
        <w:rPr>
          <w:rFonts w:hint="eastAsia" w:ascii="仿宋_GB2312" w:eastAsia="仿宋_GB2312"/>
          <w:sz w:val="32"/>
          <w:szCs w:val="32"/>
          <w:lang w:val="zh-CN"/>
        </w:rPr>
        <w:t>五、面积计算</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有权证的土地、房屋面积按权证确权的计算，无权证的土地、房屋面积按现状实地测量计算。面积测量由征收实施单位委托具有房地产测绘资质的测量单位，依据国家、省、市现行房地产测绘技术规范测量。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sz w:val="32"/>
          <w:szCs w:val="32"/>
        </w:rPr>
      </w:pPr>
      <w:r>
        <w:rPr>
          <w:rFonts w:hint="eastAsia" w:ascii="仿宋_GB2312" w:eastAsia="仿宋_GB2312"/>
          <w:sz w:val="32"/>
          <w:szCs w:val="32"/>
          <w:lang w:val="zh-CN"/>
        </w:rPr>
        <w:t>六、补偿结算</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在被征收人签订协议并封房交拆后，由征收人一次性付清补偿款。</w:t>
      </w:r>
    </w:p>
    <w:p>
      <w:pPr>
        <w:pStyle w:val="2"/>
        <w:shd w:val="clear" w:color="auto" w:fill="auto"/>
        <w:spacing w:after="0" w:line="600" w:lineRule="exact"/>
        <w:jc w:val="both"/>
        <w:rPr>
          <w:rFonts w:ascii="仿宋_GB2312" w:eastAsia="仿宋_GB2312"/>
          <w:sz w:val="32"/>
          <w:szCs w:val="32"/>
          <w:lang w:val="zh-CN"/>
        </w:rPr>
      </w:pPr>
    </w:p>
    <w:p>
      <w:pPr>
        <w:pStyle w:val="13"/>
        <w:shd w:val="clear" w:color="auto" w:fill="auto"/>
        <w:spacing w:line="600" w:lineRule="exact"/>
        <w:jc w:val="center"/>
        <w:rPr>
          <w:rFonts w:ascii="仿宋_GB2312" w:eastAsia="仿宋_GB2312"/>
          <w:sz w:val="32"/>
          <w:szCs w:val="32"/>
          <w:lang w:val="zh-CN"/>
        </w:rPr>
      </w:pPr>
      <w:r>
        <w:rPr>
          <w:rFonts w:hint="eastAsia" w:ascii="仿宋_GB2312" w:eastAsia="仿宋_GB2312"/>
          <w:sz w:val="32"/>
          <w:szCs w:val="32"/>
          <w:lang w:val="zh-CN"/>
        </w:rPr>
        <w:t>第二部分  手续认定</w:t>
      </w:r>
    </w:p>
    <w:p>
      <w:pPr>
        <w:pStyle w:val="13"/>
        <w:shd w:val="clear" w:color="auto" w:fill="auto"/>
        <w:spacing w:line="600" w:lineRule="exact"/>
        <w:jc w:val="both"/>
        <w:rPr>
          <w:rFonts w:ascii="仿宋_GB2312" w:eastAsia="仿宋_GB2312"/>
          <w:sz w:val="32"/>
          <w:szCs w:val="32"/>
          <w:lang w:val="zh-CN"/>
        </w:rPr>
      </w:pPr>
    </w:p>
    <w:p>
      <w:pPr>
        <w:pStyle w:val="13"/>
        <w:shd w:val="clear" w:color="auto" w:fill="auto"/>
        <w:spacing w:line="600" w:lineRule="exact"/>
        <w:ind w:firstLine="643" w:firstLineChars="200"/>
        <w:jc w:val="both"/>
        <w:rPr>
          <w:rFonts w:ascii="仿宋_GB2312" w:eastAsia="仿宋_GB2312"/>
          <w:sz w:val="32"/>
          <w:szCs w:val="32"/>
          <w:lang w:val="zh-CN"/>
        </w:rPr>
      </w:pPr>
      <w:r>
        <w:rPr>
          <w:rFonts w:hint="eastAsia" w:ascii="仿宋_GB2312" w:eastAsia="仿宋_GB2312"/>
          <w:sz w:val="32"/>
          <w:szCs w:val="32"/>
          <w:lang w:val="zh-CN"/>
        </w:rPr>
        <w:t>七、手续完整</w:t>
      </w:r>
    </w:p>
    <w:p>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持有有权机关颁发的《土地使用证》及《房屋所有权证》的，持有镇街及以上人民政府审批的《用地申请表》或《用地通知书》及《建筑许可证》或《建设工程规划许可证》的，为土地、房屋手续完整，按权证登记的</w:t>
      </w:r>
      <w:r>
        <w:rPr>
          <w:rFonts w:hint="eastAsia" w:ascii="仿宋_GB2312" w:eastAsia="仿宋_GB2312"/>
          <w:sz w:val="32"/>
          <w:szCs w:val="32"/>
          <w:lang w:val="zh-CN"/>
        </w:rPr>
        <w:t>房屋占地及建筑面积的</w:t>
      </w:r>
      <w:r>
        <w:rPr>
          <w:rFonts w:hint="eastAsia" w:ascii="仿宋_GB2312" w:eastAsia="仿宋_GB2312"/>
          <w:kern w:val="0"/>
          <w:sz w:val="32"/>
          <w:szCs w:val="32"/>
          <w:lang w:val="zh-CN"/>
        </w:rPr>
        <w:t>100%认定补偿安置面积。</w:t>
      </w:r>
    </w:p>
    <w:p>
      <w:pPr>
        <w:pStyle w:val="13"/>
        <w:shd w:val="clear" w:color="auto" w:fill="auto"/>
        <w:spacing w:line="600" w:lineRule="exact"/>
        <w:ind w:firstLine="643" w:firstLineChars="200"/>
        <w:jc w:val="both"/>
        <w:rPr>
          <w:rFonts w:ascii="仿宋_GB2312" w:eastAsia="仿宋_GB2312"/>
          <w:sz w:val="32"/>
          <w:szCs w:val="32"/>
          <w:lang w:val="zh-CN"/>
        </w:rPr>
      </w:pPr>
      <w:r>
        <w:rPr>
          <w:rFonts w:hint="eastAsia" w:ascii="仿宋_GB2312" w:eastAsia="仿宋_GB2312"/>
          <w:sz w:val="32"/>
          <w:szCs w:val="32"/>
          <w:lang w:val="zh-CN"/>
        </w:rPr>
        <w:t>八、手续不完整</w:t>
      </w:r>
    </w:p>
    <w:p>
      <w:pPr>
        <w:spacing w:line="560" w:lineRule="exact"/>
        <w:ind w:firstLine="640" w:firstLineChars="200"/>
        <w:rPr>
          <w:rFonts w:ascii="仿宋_GB2312" w:eastAsia="仿宋_GB2312"/>
          <w:kern w:val="0"/>
          <w:sz w:val="32"/>
          <w:szCs w:val="32"/>
          <w:lang w:val="zh-CN"/>
        </w:rPr>
      </w:pPr>
      <w:r>
        <w:rPr>
          <w:rFonts w:hint="eastAsia" w:ascii="仿宋_GB2312" w:eastAsia="仿宋_GB2312"/>
          <w:kern w:val="0"/>
          <w:sz w:val="32"/>
          <w:szCs w:val="32"/>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（一）对年代久远的老房屋（</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日前已建成），未经权属登记且确系本人居住使用，房屋使用人能提供建房证明等有关材料的，按房屋占地及建筑面积的</w:t>
      </w:r>
      <w:r>
        <w:rPr>
          <w:rFonts w:ascii="仿宋_GB2312" w:eastAsia="仿宋_GB2312"/>
          <w:sz w:val="32"/>
          <w:szCs w:val="32"/>
          <w:lang w:val="zh-CN"/>
        </w:rPr>
        <w:t>100%</w:t>
      </w:r>
      <w:r>
        <w:rPr>
          <w:rFonts w:hint="eastAsia" w:ascii="仿宋_GB2312" w:eastAsia="仿宋_GB2312"/>
          <w:sz w:val="32"/>
          <w:szCs w:val="32"/>
          <w:lang w:val="zh-CN"/>
        </w:rPr>
        <w:t>予以认定补偿安置面积；天井及其房前进深不超过3m范围等面宽的埕地、空地按确权划拨土地认定补偿。</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占地及建筑面积的</w:t>
      </w:r>
      <w:r>
        <w:rPr>
          <w:rFonts w:ascii="仿宋_GB2312" w:eastAsia="仿宋_GB2312"/>
          <w:sz w:val="32"/>
          <w:szCs w:val="32"/>
          <w:lang w:val="zh-CN"/>
        </w:rPr>
        <w:t>95%</w:t>
      </w:r>
      <w:r>
        <w:rPr>
          <w:rFonts w:hint="eastAsia" w:ascii="仿宋_GB2312" w:eastAsia="仿宋_GB2312"/>
          <w:sz w:val="32"/>
          <w:szCs w:val="32"/>
          <w:lang w:val="zh-CN"/>
        </w:rPr>
        <w:t>予以认定补偿安置面积。</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（三）经镇（街）建房清理（持有有效凭证、且四至清楚、权属明确）的，按清理的房屋占地及建筑面积的</w:t>
      </w:r>
      <w:r>
        <w:rPr>
          <w:rFonts w:ascii="仿宋_GB2312" w:eastAsia="仿宋_GB2312"/>
          <w:sz w:val="32"/>
          <w:szCs w:val="32"/>
          <w:lang w:val="zh-CN"/>
        </w:rPr>
        <w:t>90%</w:t>
      </w:r>
      <w:r>
        <w:rPr>
          <w:rFonts w:hint="eastAsia" w:ascii="仿宋_GB2312" w:eastAsia="仿宋_GB2312"/>
          <w:sz w:val="32"/>
          <w:szCs w:val="32"/>
          <w:lang w:val="zh-CN"/>
        </w:rPr>
        <w:t>予以认定补偿安置面积。</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四）原持有“两证”（《土地使用证》和《房屋所有权证》），但未经审批擅自进行翻建、改建、扩建的，经村（居）和镇（街）确认后，在原权证范围内的房屋占地及建筑面积按100%认定补偿安置面积，超出原权证的房屋占地及建筑面积，按本实施方案“九、无手续”的相关规定认定补偿安置面积。</w:t>
      </w:r>
    </w:p>
    <w:p>
      <w:pPr>
        <w:pStyle w:val="2"/>
        <w:shd w:val="clear" w:color="auto" w:fill="auto"/>
        <w:spacing w:after="0" w:line="600" w:lineRule="exact"/>
        <w:ind w:firstLine="640" w:firstLineChars="200"/>
        <w:jc w:val="both"/>
        <w:rPr>
          <w:rFonts w:hint="eastAsia" w:ascii="仿宋_GB2312" w:eastAsia="仿宋_GB2312"/>
          <w:sz w:val="32"/>
          <w:szCs w:val="32"/>
          <w:lang w:val="zh-CN"/>
        </w:rPr>
      </w:pPr>
      <w:r>
        <w:rPr>
          <w:rFonts w:hint="eastAsia" w:ascii="仿宋_GB2312" w:eastAsia="仿宋_GB2312"/>
          <w:sz w:val="32"/>
          <w:szCs w:val="32"/>
          <w:lang w:val="zh-CN"/>
        </w:rPr>
        <w:t>（五）在已审批、经镇（街）清理的以及未审批的土地搭建的建筑物上被认定为临时搭盖的</w:t>
      </w:r>
      <w:r>
        <w:rPr>
          <w:rFonts w:hint="eastAsia" w:ascii="仿宋_GB2312" w:eastAsia="仿宋_GB2312"/>
          <w:sz w:val="32"/>
          <w:szCs w:val="32"/>
        </w:rPr>
        <w:t>(指2016年4月1日前建成的）</w:t>
      </w:r>
      <w:r>
        <w:rPr>
          <w:rFonts w:hint="eastAsia" w:ascii="仿宋_GB2312" w:eastAsia="仿宋_GB2312"/>
          <w:sz w:val="32"/>
          <w:szCs w:val="32"/>
          <w:lang w:val="zh-CN"/>
        </w:rPr>
        <w:t>，不予认定补偿安置面积。在规定期限内配合拆除的，可给予适当的补偿，详见附件六。</w:t>
      </w:r>
    </w:p>
    <w:p>
      <w:pPr>
        <w:spacing w:line="560" w:lineRule="exact"/>
        <w:ind w:firstLine="643" w:firstLineChars="200"/>
        <w:rPr>
          <w:rFonts w:ascii="仿宋_GB2312" w:eastAsia="仿宋_GB2312"/>
          <w:b/>
          <w:kern w:val="0"/>
          <w:sz w:val="32"/>
          <w:szCs w:val="32"/>
          <w:lang w:val="zh-CN"/>
        </w:rPr>
      </w:pPr>
      <w:r>
        <w:rPr>
          <w:rFonts w:hint="eastAsia" w:ascii="仿宋_GB2312" w:eastAsia="仿宋_GB2312"/>
          <w:b/>
          <w:kern w:val="0"/>
          <w:sz w:val="32"/>
          <w:szCs w:val="32"/>
          <w:lang w:val="zh-CN"/>
        </w:rPr>
        <w:t>九、无手续</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无任何手续建成的房屋，被征收人在规定签约期限内签订协议并封房交拆的，可按下列规定认定补偿安置面积：</w:t>
      </w:r>
    </w:p>
    <w:p>
      <w:pPr>
        <w:pStyle w:val="2"/>
        <w:shd w:val="clear" w:color="auto" w:fill="auto"/>
        <w:spacing w:after="0" w:line="600" w:lineRule="exact"/>
        <w:ind w:firstLine="480" w:firstLineChars="150"/>
        <w:jc w:val="both"/>
        <w:rPr>
          <w:rFonts w:ascii="仿宋_GB2312" w:eastAsia="仿宋_GB2312"/>
          <w:sz w:val="32"/>
          <w:szCs w:val="32"/>
          <w:lang w:val="zh-CN"/>
        </w:rPr>
      </w:pPr>
      <w:r>
        <w:rPr>
          <w:rFonts w:hint="eastAsia" w:ascii="仿宋_GB2312" w:eastAsia="仿宋_GB2312"/>
          <w:sz w:val="32"/>
          <w:szCs w:val="32"/>
          <w:lang w:val="zh-CN"/>
        </w:rPr>
        <w:t>（一）</w:t>
      </w:r>
      <w:r>
        <w:rPr>
          <w:rFonts w:ascii="仿宋_GB2312" w:eastAsia="仿宋_GB2312"/>
          <w:sz w:val="32"/>
          <w:szCs w:val="32"/>
          <w:lang w:val="zh-CN"/>
        </w:rPr>
        <w:t>1987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1992</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日期间，无审批建成的房屋，按房屋占地及建筑面积的</w:t>
      </w:r>
      <w:r>
        <w:rPr>
          <w:rFonts w:ascii="仿宋_GB2312" w:eastAsia="仿宋_GB2312"/>
          <w:sz w:val="32"/>
          <w:szCs w:val="32"/>
          <w:lang w:val="zh-CN"/>
        </w:rPr>
        <w:t>85%</w:t>
      </w:r>
      <w:r>
        <w:rPr>
          <w:rFonts w:hint="eastAsia" w:ascii="仿宋_GB2312" w:eastAsia="仿宋_GB2312"/>
          <w:sz w:val="32"/>
          <w:szCs w:val="32"/>
          <w:lang w:val="zh-CN"/>
        </w:rPr>
        <w:t>认定补偿安置面积。</w:t>
      </w:r>
    </w:p>
    <w:p>
      <w:pPr>
        <w:pStyle w:val="2"/>
        <w:shd w:val="clear" w:color="auto" w:fill="auto"/>
        <w:spacing w:after="0" w:line="600" w:lineRule="exact"/>
        <w:ind w:firstLine="480" w:firstLineChars="150"/>
        <w:jc w:val="both"/>
        <w:rPr>
          <w:rFonts w:ascii="仿宋_GB2312" w:eastAsia="仿宋_GB2312"/>
          <w:sz w:val="32"/>
          <w:szCs w:val="32"/>
          <w:lang w:val="zh-CN"/>
        </w:rPr>
      </w:pPr>
      <w:r>
        <w:rPr>
          <w:rFonts w:hint="eastAsia" w:ascii="仿宋_GB2312" w:eastAsia="仿宋_GB2312"/>
          <w:sz w:val="32"/>
          <w:szCs w:val="32"/>
          <w:lang w:val="zh-CN"/>
        </w:rPr>
        <w:t>（二）</w:t>
      </w:r>
      <w:r>
        <w:rPr>
          <w:rFonts w:ascii="仿宋_GB2312" w:eastAsia="仿宋_GB2312"/>
          <w:sz w:val="32"/>
          <w:szCs w:val="32"/>
          <w:lang w:val="zh-CN"/>
        </w:rPr>
        <w:t>1993</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1999</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日期间，无审批建成的房屋，按房屋占地及建筑面积的8</w:t>
      </w:r>
      <w:r>
        <w:rPr>
          <w:rFonts w:ascii="仿宋_GB2312" w:eastAsia="仿宋_GB2312"/>
          <w:sz w:val="32"/>
          <w:szCs w:val="32"/>
          <w:lang w:val="zh-CN"/>
        </w:rPr>
        <w:t>0%</w:t>
      </w:r>
      <w:r>
        <w:rPr>
          <w:rFonts w:hint="eastAsia" w:ascii="仿宋_GB2312" w:eastAsia="仿宋_GB2312"/>
          <w:sz w:val="32"/>
          <w:szCs w:val="32"/>
          <w:lang w:val="zh-CN"/>
        </w:rPr>
        <w:t>认定补偿安置面积。</w:t>
      </w:r>
    </w:p>
    <w:p>
      <w:pPr>
        <w:pStyle w:val="2"/>
        <w:shd w:val="clear" w:color="auto" w:fill="auto"/>
        <w:spacing w:after="0" w:line="600" w:lineRule="exact"/>
        <w:ind w:firstLine="480" w:firstLineChars="150"/>
        <w:jc w:val="both"/>
        <w:rPr>
          <w:rFonts w:ascii="仿宋_GB2312" w:eastAsia="仿宋_GB2312"/>
          <w:sz w:val="32"/>
          <w:szCs w:val="32"/>
          <w:lang w:val="zh-CN"/>
        </w:rPr>
      </w:pPr>
      <w:r>
        <w:rPr>
          <w:rFonts w:hint="eastAsia" w:ascii="仿宋_GB2312" w:eastAsia="仿宋_GB2312"/>
          <w:sz w:val="32"/>
          <w:szCs w:val="32"/>
          <w:lang w:val="zh-CN"/>
        </w:rPr>
        <w:t>（三）</w:t>
      </w:r>
      <w:r>
        <w:rPr>
          <w:rFonts w:ascii="仿宋_GB2312" w:eastAsia="仿宋_GB2312"/>
          <w:sz w:val="32"/>
          <w:szCs w:val="32"/>
          <w:lang w:val="zh-CN"/>
        </w:rPr>
        <w:t>2000</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2006</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日期间，无审批建成的房屋，按房屋占地及建筑面积的7</w:t>
      </w:r>
      <w:r>
        <w:rPr>
          <w:rFonts w:ascii="仿宋_GB2312" w:eastAsia="仿宋_GB2312"/>
          <w:sz w:val="32"/>
          <w:szCs w:val="32"/>
          <w:lang w:val="zh-CN"/>
        </w:rPr>
        <w:t>0%</w:t>
      </w:r>
      <w:r>
        <w:rPr>
          <w:rFonts w:hint="eastAsia" w:ascii="仿宋_GB2312" w:eastAsia="仿宋_GB2312"/>
          <w:sz w:val="32"/>
          <w:szCs w:val="32"/>
          <w:lang w:val="zh-CN"/>
        </w:rPr>
        <w:t>认定补偿安置面积。</w:t>
      </w:r>
    </w:p>
    <w:p>
      <w:pPr>
        <w:pStyle w:val="2"/>
        <w:shd w:val="clear" w:color="auto" w:fill="auto"/>
        <w:spacing w:after="0" w:line="600" w:lineRule="exact"/>
        <w:ind w:firstLine="480" w:firstLineChars="150"/>
        <w:jc w:val="both"/>
        <w:rPr>
          <w:rFonts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2007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日之后，无审批手续建成的房屋在签约期限内签订协议并封房交拆的，可按以下规定给予认定补偿安置面积，超过签约期限或被依法强制拆除的不予认定补偿安置：</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1、</w:t>
      </w:r>
      <w:r>
        <w:rPr>
          <w:rFonts w:ascii="仿宋_GB2312" w:eastAsia="仿宋_GB2312"/>
          <w:sz w:val="32"/>
          <w:szCs w:val="32"/>
          <w:lang w:val="zh-CN"/>
        </w:rPr>
        <w:t>2007</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2007</w:t>
      </w:r>
      <w:r>
        <w:rPr>
          <w:rFonts w:hint="eastAsia" w:ascii="仿宋_GB2312" w:eastAsia="仿宋_GB2312"/>
          <w:sz w:val="32"/>
          <w:szCs w:val="32"/>
          <w:lang w:val="zh-CN"/>
        </w:rPr>
        <w:t>年</w:t>
      </w:r>
      <w:r>
        <w:rPr>
          <w:rFonts w:ascii="仿宋_GB2312" w:eastAsia="仿宋_GB2312"/>
          <w:sz w:val="32"/>
          <w:szCs w:val="32"/>
          <w:lang w:val="zh-CN"/>
        </w:rPr>
        <w:t>12</w:t>
      </w:r>
      <w:r>
        <w:rPr>
          <w:rFonts w:hint="eastAsia" w:ascii="仿宋_GB2312" w:eastAsia="仿宋_GB2312"/>
          <w:sz w:val="32"/>
          <w:szCs w:val="32"/>
          <w:lang w:val="zh-CN"/>
        </w:rPr>
        <w:t>月</w:t>
      </w:r>
      <w:r>
        <w:rPr>
          <w:rFonts w:ascii="仿宋_GB2312" w:eastAsia="仿宋_GB2312"/>
          <w:sz w:val="32"/>
          <w:szCs w:val="32"/>
          <w:lang w:val="zh-CN"/>
        </w:rPr>
        <w:t>31</w:t>
      </w:r>
      <w:r>
        <w:rPr>
          <w:rFonts w:hint="eastAsia" w:ascii="仿宋_GB2312" w:eastAsia="仿宋_GB2312"/>
          <w:sz w:val="32"/>
          <w:szCs w:val="32"/>
          <w:lang w:val="zh-CN"/>
        </w:rPr>
        <w:t>日期间建成的，按房屋占地及建筑面积的</w:t>
      </w:r>
      <w:r>
        <w:rPr>
          <w:rFonts w:ascii="仿宋_GB2312" w:eastAsia="仿宋_GB2312"/>
          <w:sz w:val="32"/>
          <w:szCs w:val="32"/>
          <w:lang w:val="zh-CN"/>
        </w:rPr>
        <w:t>50%</w:t>
      </w:r>
      <w:r>
        <w:rPr>
          <w:rFonts w:hint="eastAsia" w:ascii="仿宋_GB2312" w:eastAsia="仿宋_GB2312"/>
          <w:sz w:val="32"/>
          <w:szCs w:val="32"/>
          <w:lang w:val="zh-CN"/>
        </w:rPr>
        <w:t>认定补偿安置面积；</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2、</w:t>
      </w:r>
      <w:r>
        <w:rPr>
          <w:rFonts w:ascii="仿宋_GB2312" w:eastAsia="仿宋_GB2312"/>
          <w:sz w:val="32"/>
          <w:szCs w:val="32"/>
          <w:lang w:val="zh-CN"/>
        </w:rPr>
        <w:t>2008</w:t>
      </w:r>
      <w:r>
        <w:rPr>
          <w:rFonts w:hint="eastAsia" w:ascii="仿宋_GB2312" w:eastAsia="仿宋_GB2312"/>
          <w:sz w:val="32"/>
          <w:szCs w:val="32"/>
          <w:lang w:val="zh-CN"/>
        </w:rPr>
        <w:t>年</w:t>
      </w:r>
      <w:r>
        <w:rPr>
          <w:rFonts w:ascii="仿宋_GB2312" w:eastAsia="仿宋_GB2312"/>
          <w:sz w:val="32"/>
          <w:szCs w:val="32"/>
          <w:lang w:val="zh-CN"/>
        </w:rPr>
        <w:t>1</w:t>
      </w:r>
      <w:r>
        <w:rPr>
          <w:rFonts w:hint="eastAsia" w:ascii="仿宋_GB2312" w:eastAsia="仿宋_GB2312"/>
          <w:sz w:val="32"/>
          <w:szCs w:val="32"/>
          <w:lang w:val="zh-CN"/>
        </w:rPr>
        <w:t>月</w:t>
      </w:r>
      <w:r>
        <w:rPr>
          <w:rFonts w:ascii="仿宋_GB2312" w:eastAsia="仿宋_GB2312"/>
          <w:sz w:val="32"/>
          <w:szCs w:val="32"/>
          <w:lang w:val="zh-CN"/>
        </w:rPr>
        <w:t>1</w:t>
      </w:r>
      <w:r>
        <w:rPr>
          <w:rFonts w:hint="eastAsia" w:ascii="仿宋_GB2312" w:eastAsia="仿宋_GB2312"/>
          <w:sz w:val="32"/>
          <w:szCs w:val="32"/>
          <w:lang w:val="zh-CN"/>
        </w:rPr>
        <w:t>日至</w:t>
      </w:r>
      <w:r>
        <w:rPr>
          <w:rFonts w:ascii="仿宋_GB2312" w:eastAsia="仿宋_GB2312"/>
          <w:sz w:val="32"/>
          <w:szCs w:val="32"/>
          <w:lang w:val="zh-CN"/>
        </w:rPr>
        <w:t>2011</w:t>
      </w:r>
      <w:r>
        <w:rPr>
          <w:rFonts w:hint="eastAsia" w:ascii="仿宋_GB2312" w:eastAsia="仿宋_GB2312"/>
          <w:sz w:val="32"/>
          <w:szCs w:val="32"/>
          <w:lang w:val="zh-CN"/>
        </w:rPr>
        <w:t>年</w:t>
      </w:r>
      <w:r>
        <w:rPr>
          <w:rFonts w:ascii="仿宋_GB2312" w:eastAsia="仿宋_GB2312"/>
          <w:sz w:val="32"/>
          <w:szCs w:val="32"/>
          <w:lang w:val="zh-CN"/>
        </w:rPr>
        <w:t>6</w:t>
      </w:r>
      <w:r>
        <w:rPr>
          <w:rFonts w:hint="eastAsia" w:ascii="仿宋_GB2312" w:eastAsia="仿宋_GB2312"/>
          <w:sz w:val="32"/>
          <w:szCs w:val="32"/>
          <w:lang w:val="zh-CN"/>
        </w:rPr>
        <w:t>月</w:t>
      </w:r>
      <w:r>
        <w:rPr>
          <w:rFonts w:ascii="仿宋_GB2312" w:eastAsia="仿宋_GB2312"/>
          <w:sz w:val="32"/>
          <w:szCs w:val="32"/>
          <w:lang w:val="zh-CN"/>
        </w:rPr>
        <w:t>30</w:t>
      </w:r>
      <w:r>
        <w:rPr>
          <w:rFonts w:hint="eastAsia" w:ascii="仿宋_GB2312" w:eastAsia="仿宋_GB2312"/>
          <w:sz w:val="32"/>
          <w:szCs w:val="32"/>
          <w:lang w:val="zh-CN"/>
        </w:rPr>
        <w:t>日期间建成的，按房屋占地及建筑面积的</w:t>
      </w:r>
      <w:r>
        <w:rPr>
          <w:rFonts w:ascii="仿宋_GB2312" w:eastAsia="仿宋_GB2312"/>
          <w:sz w:val="32"/>
          <w:szCs w:val="32"/>
          <w:lang w:val="zh-CN"/>
        </w:rPr>
        <w:t>40%</w:t>
      </w:r>
      <w:r>
        <w:rPr>
          <w:rFonts w:hint="eastAsia" w:ascii="仿宋_GB2312" w:eastAsia="仿宋_GB2312"/>
          <w:sz w:val="32"/>
          <w:szCs w:val="32"/>
          <w:lang w:val="zh-CN"/>
        </w:rPr>
        <w:t>认定补偿安置面积；</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3、</w:t>
      </w:r>
      <w:r>
        <w:rPr>
          <w:rFonts w:ascii="仿宋_GB2312" w:eastAsia="仿宋_GB2312"/>
          <w:sz w:val="32"/>
          <w:szCs w:val="32"/>
          <w:lang w:val="zh-CN"/>
        </w:rPr>
        <w:t>2011</w:t>
      </w:r>
      <w:r>
        <w:rPr>
          <w:rFonts w:hint="eastAsia" w:ascii="仿宋_GB2312" w:eastAsia="仿宋_GB2312"/>
          <w:sz w:val="32"/>
          <w:szCs w:val="32"/>
          <w:lang w:val="zh-CN"/>
        </w:rPr>
        <w:t>年</w:t>
      </w:r>
      <w:r>
        <w:rPr>
          <w:rFonts w:ascii="仿宋_GB2312" w:eastAsia="仿宋_GB2312"/>
          <w:sz w:val="32"/>
          <w:szCs w:val="32"/>
          <w:lang w:val="zh-CN"/>
        </w:rPr>
        <w:t>6</w:t>
      </w:r>
      <w:r>
        <w:rPr>
          <w:rFonts w:hint="eastAsia" w:ascii="仿宋_GB2312" w:eastAsia="仿宋_GB2312"/>
          <w:sz w:val="32"/>
          <w:szCs w:val="32"/>
          <w:lang w:val="zh-CN"/>
        </w:rPr>
        <w:t>月</w:t>
      </w:r>
      <w:r>
        <w:rPr>
          <w:rFonts w:ascii="仿宋_GB2312" w:eastAsia="仿宋_GB2312"/>
          <w:sz w:val="32"/>
          <w:szCs w:val="32"/>
          <w:lang w:val="zh-CN"/>
        </w:rPr>
        <w:t>30</w:t>
      </w:r>
      <w:r>
        <w:rPr>
          <w:rFonts w:hint="eastAsia" w:ascii="仿宋_GB2312" w:eastAsia="仿宋_GB2312"/>
          <w:sz w:val="32"/>
          <w:szCs w:val="32"/>
          <w:lang w:val="zh-CN"/>
        </w:rPr>
        <w:t>日以后建成的，一律不予认定补偿安置面积，视实际情况给予</w:t>
      </w:r>
      <w:r>
        <w:rPr>
          <w:rFonts w:ascii="仿宋_GB2312" w:eastAsia="仿宋_GB2312"/>
          <w:sz w:val="32"/>
          <w:szCs w:val="32"/>
          <w:lang w:val="zh-CN"/>
        </w:rPr>
        <w:t>150-300</w:t>
      </w:r>
      <w:r>
        <w:rPr>
          <w:rFonts w:hint="eastAsia" w:ascii="仿宋_GB2312" w:eastAsia="仿宋_GB2312"/>
          <w:sz w:val="32"/>
          <w:szCs w:val="32"/>
          <w:lang w:val="zh-CN"/>
        </w:rPr>
        <w:t>元</w:t>
      </w:r>
      <w:r>
        <w:rPr>
          <w:rFonts w:ascii="仿宋_GB2312" w:eastAsia="仿宋_GB2312"/>
          <w:sz w:val="32"/>
          <w:szCs w:val="32"/>
          <w:lang w:val="zh-CN"/>
        </w:rPr>
        <w:t>/</w:t>
      </w:r>
      <w:r>
        <w:rPr>
          <w:rFonts w:hint="eastAsia" w:ascii="仿宋_GB2312" w:eastAsia="仿宋_GB2312"/>
          <w:sz w:val="32"/>
          <w:szCs w:val="32"/>
          <w:lang w:val="zh-CN"/>
        </w:rPr>
        <w:t>㎡一次性征收补助。</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4、2016年4月1日后未经审批建成的，一律不予认定补偿安置面积，且不给予含建安造价、一次性征收补助在内的任何补偿。</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以上“九、无手续”中（一）至（三）项及（四）项第1、2点，未经权属登记、未经镇（街）建房清理等无审批手续的非公寓式住宅，以栋为单位，土地、建筑单层认定安置补偿面积以150㎡为限，超过150㎡的，土地部分按征地价4万元/亩计算，建筑部分按房屋建安造价（含房屋和二次装修重置价，下同）给予补偿。</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以上“八、手续不完整”和“九、无手续”中除“八、手续不完整”中第（五）点、“九、无手续”中第（四）点第</w:t>
      </w:r>
      <w:r>
        <w:rPr>
          <w:rFonts w:hint="eastAsia" w:ascii="仿宋_GB2312" w:eastAsia="仿宋_GB2312"/>
          <w:sz w:val="32"/>
          <w:szCs w:val="32"/>
        </w:rPr>
        <w:t>4小点</w:t>
      </w:r>
      <w:r>
        <w:rPr>
          <w:rFonts w:hint="eastAsia" w:ascii="仿宋_GB2312" w:eastAsia="仿宋_GB2312"/>
          <w:sz w:val="32"/>
          <w:szCs w:val="32"/>
          <w:lang w:val="zh-CN"/>
        </w:rPr>
        <w:t>外，所有被认定不予补偿安置的房屋占地及建筑面积，按征地和建安造价给予一次性货币补偿。</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建房时间和建房手续由村委会审核并公示后，由项目所在镇（街）结合航拍图等技术资料予以审核确认。</w:t>
      </w:r>
    </w:p>
    <w:p>
      <w:pPr>
        <w:pStyle w:val="2"/>
        <w:shd w:val="clear" w:color="auto" w:fill="auto"/>
        <w:spacing w:after="0" w:line="600" w:lineRule="exact"/>
        <w:jc w:val="both"/>
        <w:rPr>
          <w:rFonts w:ascii="仿宋_GB2312" w:eastAsia="仿宋_GB2312"/>
          <w:sz w:val="32"/>
          <w:szCs w:val="32"/>
          <w:lang w:val="zh-CN"/>
        </w:rPr>
      </w:pPr>
    </w:p>
    <w:p>
      <w:pPr>
        <w:pStyle w:val="13"/>
        <w:shd w:val="clear" w:color="auto" w:fill="auto"/>
        <w:spacing w:line="600" w:lineRule="exact"/>
        <w:jc w:val="center"/>
        <w:rPr>
          <w:rFonts w:ascii="仿宋_GB2312" w:eastAsia="仿宋_GB2312"/>
          <w:sz w:val="32"/>
          <w:szCs w:val="32"/>
          <w:lang w:val="zh-CN"/>
        </w:rPr>
      </w:pPr>
      <w:r>
        <w:rPr>
          <w:rFonts w:hint="eastAsia" w:ascii="仿宋_GB2312" w:eastAsia="仿宋_GB2312"/>
          <w:sz w:val="32"/>
          <w:szCs w:val="32"/>
          <w:lang w:val="zh-CN"/>
        </w:rPr>
        <w:t>第三部分</w:t>
      </w:r>
      <w:r>
        <w:rPr>
          <w:rFonts w:ascii="仿宋_GB2312" w:eastAsia="仿宋_GB2312"/>
          <w:sz w:val="32"/>
          <w:szCs w:val="32"/>
          <w:lang w:val="zh-CN"/>
        </w:rPr>
        <w:t xml:space="preserve">  </w:t>
      </w:r>
      <w:r>
        <w:rPr>
          <w:rFonts w:hint="eastAsia" w:ascii="仿宋_GB2312" w:eastAsia="仿宋_GB2312"/>
          <w:sz w:val="32"/>
          <w:szCs w:val="32"/>
          <w:lang w:val="zh-CN"/>
        </w:rPr>
        <w:t>住宅补偿安置</w:t>
      </w:r>
    </w:p>
    <w:p>
      <w:pPr>
        <w:pStyle w:val="2"/>
        <w:shd w:val="clear" w:color="auto" w:fill="auto"/>
        <w:spacing w:after="0" w:line="600" w:lineRule="exact"/>
        <w:ind w:firstLine="643" w:firstLineChars="200"/>
        <w:jc w:val="both"/>
        <w:rPr>
          <w:rFonts w:ascii="仿宋_GB2312" w:eastAsia="仿宋_GB2312"/>
          <w:b/>
          <w:sz w:val="32"/>
          <w:szCs w:val="32"/>
          <w:lang w:val="zh-CN"/>
        </w:rPr>
      </w:pPr>
    </w:p>
    <w:p>
      <w:pPr>
        <w:pStyle w:val="2"/>
        <w:shd w:val="clear" w:color="auto" w:fill="auto"/>
        <w:spacing w:after="0" w:line="600" w:lineRule="exact"/>
        <w:ind w:firstLine="643" w:firstLineChars="200"/>
        <w:jc w:val="both"/>
        <w:rPr>
          <w:rFonts w:ascii="仿宋_GB2312" w:eastAsia="仿宋_GB2312"/>
          <w:b/>
          <w:sz w:val="32"/>
          <w:szCs w:val="32"/>
          <w:lang w:val="zh-CN"/>
        </w:rPr>
      </w:pPr>
      <w:r>
        <w:rPr>
          <w:rFonts w:hint="eastAsia" w:ascii="仿宋_GB2312" w:eastAsia="仿宋_GB2312"/>
          <w:b/>
          <w:sz w:val="32"/>
          <w:szCs w:val="32"/>
          <w:lang w:val="zh-CN"/>
        </w:rPr>
        <w:t>十、补偿计算</w:t>
      </w:r>
    </w:p>
    <w:p>
      <w:pPr>
        <w:pStyle w:val="2"/>
        <w:shd w:val="clear" w:color="auto" w:fill="auto"/>
        <w:spacing w:after="0" w:line="600" w:lineRule="exact"/>
        <w:ind w:firstLine="480" w:firstLineChars="150"/>
        <w:jc w:val="both"/>
        <w:rPr>
          <w:rFonts w:ascii="仿宋_GB2312" w:eastAsia="仿宋_GB2312"/>
          <w:sz w:val="32"/>
          <w:szCs w:val="32"/>
          <w:lang w:val="zh-CN"/>
        </w:rPr>
      </w:pPr>
      <w:r>
        <w:rPr>
          <w:rFonts w:hint="eastAsia" w:ascii="仿宋_GB2312" w:eastAsia="仿宋_GB2312"/>
          <w:sz w:val="32"/>
          <w:szCs w:val="32"/>
          <w:lang w:val="zh-CN"/>
        </w:rPr>
        <w:t>（一）补偿金额</w:t>
      </w:r>
      <w:r>
        <w:rPr>
          <w:rFonts w:hint="eastAsia" w:ascii="仿宋_GB2312" w:eastAsia="仿宋_GB2312"/>
          <w:sz w:val="32"/>
          <w:szCs w:val="32"/>
          <w:highlight w:val="none"/>
          <w:lang w:val="zh-CN"/>
        </w:rPr>
        <w:t>实行土地、房屋分别计算，合并结算。货币补偿方式的计算公式：私人自建民宅补偿金额=经认定可补偿安置的房屋建筑占地面积×土地补偿价（渔溪镇按</w:t>
      </w:r>
      <w:r>
        <w:rPr>
          <w:rFonts w:hint="eastAsia" w:ascii="仿宋_GB2312" w:eastAsia="仿宋_GB2312"/>
          <w:sz w:val="32"/>
          <w:szCs w:val="32"/>
          <w:highlight w:val="none"/>
          <w:lang w:val="en-US" w:eastAsia="zh-CN"/>
        </w:rPr>
        <w:t>33</w:t>
      </w:r>
      <w:r>
        <w:rPr>
          <w:rFonts w:hint="eastAsia" w:ascii="仿宋_GB2312" w:eastAsia="仿宋_GB2312"/>
          <w:sz w:val="32"/>
          <w:szCs w:val="32"/>
          <w:highlight w:val="none"/>
          <w:lang w:val="zh-CN"/>
        </w:rPr>
        <w:t>万元/亩，上迳镇按22万元/亩）+埕地、空地面积×相应的埕地、空地补偿价（经国土部门确权的，属出让土地的渔溪镇按</w:t>
      </w:r>
      <w:r>
        <w:rPr>
          <w:rFonts w:hint="eastAsia" w:ascii="仿宋_GB2312" w:eastAsia="仿宋_GB2312"/>
          <w:sz w:val="32"/>
          <w:szCs w:val="32"/>
          <w:highlight w:val="none"/>
          <w:lang w:val="en-US" w:eastAsia="zh-CN"/>
        </w:rPr>
        <w:t>33</w:t>
      </w:r>
      <w:r>
        <w:rPr>
          <w:rFonts w:hint="eastAsia" w:ascii="仿宋_GB2312" w:eastAsia="仿宋_GB2312"/>
          <w:sz w:val="32"/>
          <w:szCs w:val="32"/>
          <w:highlight w:val="none"/>
          <w:lang w:val="zh-CN"/>
        </w:rPr>
        <w:t>万元/亩，上迳镇按22万元/亩计算，属划拨土地或持有集体土地使用证的渔溪镇按</w:t>
      </w:r>
      <w:r>
        <w:rPr>
          <w:rFonts w:hint="eastAsia" w:ascii="仿宋_GB2312" w:eastAsia="仿宋_GB2312"/>
          <w:sz w:val="32"/>
          <w:szCs w:val="32"/>
          <w:highlight w:val="none"/>
          <w:lang w:val="en-US" w:eastAsia="zh-CN"/>
        </w:rPr>
        <w:t>33</w:t>
      </w:r>
      <w:r>
        <w:rPr>
          <w:rFonts w:hint="eastAsia" w:ascii="仿宋_GB2312" w:eastAsia="仿宋_GB2312"/>
          <w:sz w:val="32"/>
          <w:szCs w:val="32"/>
          <w:highlight w:val="none"/>
          <w:lang w:val="zh-CN"/>
        </w:rPr>
        <w:t>万元/亩的60%，上迳镇按22万元/亩的60%计算；经市镇（街）两级清理收费的，渔溪镇按</w:t>
      </w:r>
      <w:r>
        <w:rPr>
          <w:rFonts w:hint="eastAsia" w:ascii="仿宋_GB2312" w:eastAsia="仿宋_GB2312"/>
          <w:sz w:val="32"/>
          <w:szCs w:val="32"/>
          <w:highlight w:val="none"/>
          <w:lang w:val="en-US" w:eastAsia="zh-CN"/>
        </w:rPr>
        <w:t>33</w:t>
      </w:r>
      <w:r>
        <w:rPr>
          <w:rFonts w:hint="eastAsia" w:ascii="仿宋_GB2312" w:eastAsia="仿宋_GB2312"/>
          <w:sz w:val="32"/>
          <w:szCs w:val="32"/>
          <w:highlight w:val="none"/>
          <w:lang w:val="zh-CN"/>
        </w:rPr>
        <w:t>万元/亩的</w:t>
      </w:r>
      <w:r>
        <w:rPr>
          <w:rFonts w:ascii="仿宋_GB2312" w:eastAsia="仿宋_GB2312"/>
          <w:sz w:val="32"/>
          <w:szCs w:val="32"/>
          <w:highlight w:val="none"/>
          <w:lang w:val="zh-CN"/>
        </w:rPr>
        <w:t>40%</w:t>
      </w:r>
      <w:r>
        <w:rPr>
          <w:rFonts w:hint="eastAsia" w:ascii="仿宋_GB2312" w:eastAsia="仿宋_GB2312"/>
          <w:sz w:val="32"/>
          <w:szCs w:val="32"/>
          <w:highlight w:val="none"/>
          <w:lang w:val="zh-CN"/>
        </w:rPr>
        <w:t>，上迳镇按22万元/亩的</w:t>
      </w:r>
      <w:r>
        <w:rPr>
          <w:rFonts w:ascii="仿宋_GB2312" w:eastAsia="仿宋_GB2312"/>
          <w:sz w:val="32"/>
          <w:szCs w:val="32"/>
          <w:highlight w:val="none"/>
          <w:lang w:val="zh-CN"/>
        </w:rPr>
        <w:t>40%</w:t>
      </w:r>
      <w:r>
        <w:rPr>
          <w:rFonts w:hint="eastAsia" w:ascii="仿宋_GB2312" w:eastAsia="仿宋_GB2312"/>
          <w:sz w:val="32"/>
          <w:szCs w:val="32"/>
          <w:highlight w:val="none"/>
          <w:lang w:val="zh-CN"/>
        </w:rPr>
        <w:t>计算；其他未确权和未经市镇（街）两级清理收费的，按4万元/亩计算。）+房屋认定补偿安置面积×（房屋重置价</w:t>
      </w:r>
      <w:r>
        <w:rPr>
          <w:rFonts w:hint="eastAsia" w:ascii="仿宋_GB2312" w:eastAsia="仿宋_GB2312"/>
          <w:sz w:val="32"/>
          <w:szCs w:val="32"/>
          <w:lang w:val="zh-CN"/>
        </w:rPr>
        <w:t>×房屋成新率＋室内二次装修×二次装修成新率）+被认定不予补偿安置的土地面积×征地价格＋被认定不予补偿安置的房屋建筑面积×建安造价×成新率</w:t>
      </w:r>
      <w:r>
        <w:rPr>
          <w:rFonts w:hint="eastAsia" w:ascii="仿宋_GB2312" w:eastAsia="仿宋_GB2312"/>
          <w:sz w:val="32"/>
          <w:szCs w:val="32"/>
        </w:rPr>
        <w:t>+各项奖励、补助等费用</w:t>
      </w:r>
      <w:r>
        <w:rPr>
          <w:rFonts w:hint="eastAsia" w:ascii="仿宋_GB2312" w:eastAsia="仿宋_GB2312"/>
          <w:sz w:val="32"/>
          <w:szCs w:val="32"/>
          <w:lang w:val="zh-CN"/>
        </w:rPr>
        <w:t>。房屋重置价、房屋成新率、室内二次装修及成新率详见附表一、二、三、四。</w:t>
      </w:r>
    </w:p>
    <w:tbl>
      <w:tblPr>
        <w:tblStyle w:val="5"/>
        <w:tblW w:w="5000" w:type="pct"/>
        <w:tblInd w:w="0" w:type="dxa"/>
        <w:tblLayout w:type="fixed"/>
        <w:tblCellMar>
          <w:top w:w="0" w:type="dxa"/>
          <w:left w:w="108" w:type="dxa"/>
          <w:bottom w:w="0" w:type="dxa"/>
          <w:right w:w="108" w:type="dxa"/>
        </w:tblCellMar>
      </w:tblPr>
      <w:tblGrid>
        <w:gridCol w:w="469"/>
        <w:gridCol w:w="632"/>
        <w:gridCol w:w="1274"/>
        <w:gridCol w:w="252"/>
        <w:gridCol w:w="1733"/>
        <w:gridCol w:w="994"/>
        <w:gridCol w:w="2409"/>
        <w:gridCol w:w="567"/>
        <w:gridCol w:w="877"/>
      </w:tblGrid>
      <w:tr>
        <w:tblPrEx>
          <w:tblCellMar>
            <w:top w:w="0" w:type="dxa"/>
            <w:left w:w="108" w:type="dxa"/>
            <w:bottom w:w="0" w:type="dxa"/>
            <w:right w:w="108" w:type="dxa"/>
          </w:tblCellMar>
        </w:tblPrEx>
        <w:trPr>
          <w:trHeight w:val="137" w:hRule="atLeast"/>
        </w:trPr>
        <w:tc>
          <w:tcPr>
            <w:tcW w:w="5000" w:type="pct"/>
            <w:gridSpan w:val="9"/>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b/>
                <w:bCs/>
                <w:kern w:val="0"/>
                <w:sz w:val="16"/>
                <w:szCs w:val="36"/>
              </w:rPr>
            </w:pPr>
            <w:r>
              <w:rPr>
                <w:rFonts w:hint="eastAsia" w:ascii="宋体" w:hAnsi="宋体" w:cs="宋体"/>
                <w:b/>
                <w:bCs/>
                <w:kern w:val="0"/>
                <w:sz w:val="18"/>
                <w:szCs w:val="36"/>
              </w:rPr>
              <w:t>房屋征收补偿结果计算表(全部货币补偿)</w:t>
            </w:r>
          </w:p>
        </w:tc>
      </w:tr>
      <w:tr>
        <w:tblPrEx>
          <w:tblCellMar>
            <w:top w:w="0" w:type="dxa"/>
            <w:left w:w="108" w:type="dxa"/>
            <w:bottom w:w="0" w:type="dxa"/>
            <w:right w:w="108" w:type="dxa"/>
          </w:tblCellMar>
        </w:tblPrEx>
        <w:trPr>
          <w:trHeight w:val="100" w:hRule="atLeast"/>
        </w:trPr>
        <w:tc>
          <w:tcPr>
            <w:tcW w:w="598" w:type="pct"/>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cs="宋体"/>
                <w:kern w:val="0"/>
                <w:sz w:val="16"/>
                <w:szCs w:val="20"/>
              </w:rPr>
            </w:pPr>
            <w:r>
              <w:rPr>
                <w:rFonts w:hint="eastAsia" w:ascii="宋体" w:hAnsi="宋体" w:cs="宋体"/>
                <w:kern w:val="0"/>
                <w:sz w:val="16"/>
                <w:szCs w:val="20"/>
              </w:rPr>
              <w:t>款项</w:t>
            </w:r>
          </w:p>
        </w:tc>
        <w:tc>
          <w:tcPr>
            <w:tcW w:w="1770"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16"/>
                <w:szCs w:val="20"/>
              </w:rPr>
            </w:pPr>
            <w:r>
              <w:rPr>
                <w:rFonts w:hint="eastAsia" w:ascii="宋体" w:hAnsi="宋体" w:cs="宋体"/>
                <w:kern w:val="0"/>
                <w:sz w:val="16"/>
                <w:szCs w:val="20"/>
              </w:rPr>
              <w:t>项目</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20"/>
              </w:rPr>
            </w:pPr>
            <w:r>
              <w:rPr>
                <w:rFonts w:hint="eastAsia" w:ascii="宋体" w:hAnsi="宋体" w:cs="宋体"/>
                <w:kern w:val="0"/>
                <w:sz w:val="16"/>
                <w:szCs w:val="20"/>
              </w:rPr>
              <w:t>面积（㎡）</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20"/>
              </w:rPr>
            </w:pPr>
            <w:r>
              <w:rPr>
                <w:rFonts w:hint="eastAsia" w:ascii="宋体" w:hAnsi="宋体" w:cs="宋体"/>
                <w:kern w:val="0"/>
                <w:sz w:val="16"/>
                <w:szCs w:val="20"/>
              </w:rPr>
              <w:t>单价</w:t>
            </w:r>
          </w:p>
        </w:tc>
        <w:tc>
          <w:tcPr>
            <w:tcW w:w="308"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20"/>
              </w:rPr>
            </w:pPr>
            <w:r>
              <w:rPr>
                <w:rFonts w:hint="eastAsia" w:ascii="宋体" w:hAnsi="宋体" w:cs="宋体"/>
                <w:kern w:val="0"/>
                <w:sz w:val="16"/>
                <w:szCs w:val="20"/>
              </w:rPr>
              <w:t>系数</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20"/>
              </w:rPr>
            </w:pPr>
            <w:r>
              <w:rPr>
                <w:rFonts w:hint="eastAsia" w:ascii="宋体" w:hAnsi="宋体" w:cs="宋体"/>
                <w:kern w:val="0"/>
                <w:sz w:val="16"/>
                <w:szCs w:val="20"/>
              </w:rPr>
              <w:t>金额（元）</w:t>
            </w:r>
          </w:p>
        </w:tc>
      </w:tr>
      <w:tr>
        <w:tblPrEx>
          <w:tblCellMar>
            <w:top w:w="0" w:type="dxa"/>
            <w:left w:w="108" w:type="dxa"/>
            <w:bottom w:w="0" w:type="dxa"/>
            <w:right w:w="108" w:type="dxa"/>
          </w:tblCellMar>
        </w:tblPrEx>
        <w:trPr>
          <w:trHeight w:val="308" w:hRule="atLeast"/>
        </w:trPr>
        <w:tc>
          <w:tcPr>
            <w:tcW w:w="598" w:type="pct"/>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rPr>
                <w:rFonts w:ascii="宋体" w:hAnsi="宋体" w:cs="宋体"/>
                <w:kern w:val="0"/>
                <w:sz w:val="16"/>
                <w:szCs w:val="20"/>
              </w:rPr>
            </w:pPr>
            <w:r>
              <w:rPr>
                <w:rFonts w:hint="eastAsia" w:ascii="宋体" w:hAnsi="宋体" w:cs="宋体"/>
                <w:kern w:val="0"/>
                <w:sz w:val="16"/>
                <w:szCs w:val="20"/>
              </w:rPr>
              <w:t>各项补助 A</w:t>
            </w:r>
          </w:p>
        </w:tc>
        <w:tc>
          <w:tcPr>
            <w:tcW w:w="177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20"/>
              </w:rPr>
            </w:pPr>
            <w:r>
              <w:rPr>
                <w:rFonts w:hint="eastAsia" w:ascii="宋体" w:hAnsi="宋体" w:cs="宋体"/>
                <w:kern w:val="0"/>
                <w:sz w:val="16"/>
                <w:szCs w:val="20"/>
              </w:rPr>
              <w:t>搬迁补助</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15元/㎡</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598" w:type="pct"/>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kern w:val="0"/>
                <w:sz w:val="16"/>
                <w:szCs w:val="20"/>
              </w:rPr>
            </w:pPr>
          </w:p>
        </w:tc>
        <w:tc>
          <w:tcPr>
            <w:tcW w:w="1770" w:type="pct"/>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20"/>
              </w:rPr>
            </w:pPr>
            <w:r>
              <w:rPr>
                <w:rFonts w:hint="eastAsia" w:ascii="宋体" w:hAnsi="宋体" w:cs="宋体"/>
                <w:kern w:val="0"/>
                <w:sz w:val="16"/>
                <w:szCs w:val="20"/>
              </w:rPr>
              <w:t>临时过渡补助</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10元/㎡</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6</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598" w:type="pct"/>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kern w:val="0"/>
                <w:sz w:val="16"/>
                <w:szCs w:val="20"/>
              </w:rPr>
            </w:pPr>
          </w:p>
        </w:tc>
        <w:tc>
          <w:tcPr>
            <w:tcW w:w="1770" w:type="pct"/>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cs="宋体"/>
                <w:kern w:val="0"/>
                <w:sz w:val="16"/>
                <w:szCs w:val="20"/>
              </w:rPr>
            </w:pPr>
            <w:r>
              <w:rPr>
                <w:rFonts w:hint="eastAsia" w:ascii="宋体" w:hAnsi="宋体" w:cs="宋体"/>
                <w:kern w:val="0"/>
                <w:sz w:val="16"/>
                <w:szCs w:val="20"/>
              </w:rPr>
              <w:t>低保户/五保户/孤寡老人补助</w:t>
            </w:r>
          </w:p>
        </w:tc>
        <w:tc>
          <w:tcPr>
            <w:tcW w:w="540" w:type="pct"/>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30000元/户</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各项补偿款</w:t>
            </w:r>
          </w:p>
        </w:tc>
        <w:tc>
          <w:tcPr>
            <w:tcW w:w="34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建筑占地补偿</w:t>
            </w:r>
          </w:p>
        </w:tc>
        <w:tc>
          <w:tcPr>
            <w:tcW w:w="177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cs="宋体"/>
                <w:kern w:val="0"/>
                <w:sz w:val="16"/>
                <w:szCs w:val="20"/>
              </w:rPr>
            </w:pPr>
            <w:r>
              <w:rPr>
                <w:rFonts w:hint="eastAsia" w:ascii="宋体" w:hAnsi="宋体" w:cs="宋体"/>
                <w:kern w:val="0"/>
                <w:sz w:val="16"/>
                <w:szCs w:val="20"/>
              </w:rPr>
              <w:t xml:space="preserve">          认定补偿安置建筑占地       B</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5"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829" w:type="pct"/>
            <w:gridSpan w:val="2"/>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认定不予补偿安置建筑占地 (h)</w:t>
            </w:r>
          </w:p>
        </w:tc>
        <w:tc>
          <w:tcPr>
            <w:tcW w:w="94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补偿</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000000" w:sz="4" w:space="0"/>
            </w:tcBorders>
            <w:shd w:val="clear" w:color="000000" w:fill="C0C0C0"/>
            <w:vAlign w:val="center"/>
          </w:tcPr>
          <w:p>
            <w:pPr>
              <w:widowControl/>
              <w:jc w:val="center"/>
              <w:rPr>
                <w:rFonts w:hint="eastAsia" w:ascii="宋体" w:hAnsi="宋体" w:cs="宋体"/>
                <w:kern w:val="0"/>
                <w:sz w:val="16"/>
                <w:szCs w:val="18"/>
              </w:rPr>
            </w:pPr>
            <w:r>
              <w:rPr>
                <w:rFonts w:hint="eastAsia" w:ascii="宋体" w:hAnsi="宋体" w:cs="宋体"/>
                <w:kern w:val="0"/>
                <w:sz w:val="16"/>
                <w:szCs w:val="18"/>
              </w:rPr>
              <w:t>60元/㎡（每亩4万）</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259"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829" w:type="pct"/>
            <w:gridSpan w:val="2"/>
            <w:vMerge w:val="continue"/>
            <w:tcBorders>
              <w:top w:val="single" w:color="auto" w:sz="4" w:space="0"/>
              <w:left w:val="single" w:color="auto" w:sz="4" w:space="0"/>
              <w:bottom w:val="single" w:color="000000" w:sz="4" w:space="0"/>
              <w:right w:val="single" w:color="000000" w:sz="4" w:space="0"/>
            </w:tcBorders>
            <w:vAlign w:val="center"/>
          </w:tcPr>
          <w:p>
            <w:pPr>
              <w:widowControl/>
              <w:rPr>
                <w:rFonts w:ascii="宋体" w:hAnsi="宋体" w:cs="宋体"/>
                <w:kern w:val="0"/>
                <w:sz w:val="16"/>
                <w:szCs w:val="20"/>
              </w:rPr>
            </w:pPr>
          </w:p>
        </w:tc>
        <w:tc>
          <w:tcPr>
            <w:tcW w:w="94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奖励</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000000" w:fill="C0C0C0"/>
            <w:vAlign w:val="center"/>
          </w:tcPr>
          <w:p>
            <w:pPr>
              <w:widowControl/>
              <w:jc w:val="center"/>
              <w:rPr>
                <w:rFonts w:hint="eastAsia" w:ascii="宋体" w:hAnsi="宋体" w:cs="宋体"/>
                <w:kern w:val="0"/>
                <w:sz w:val="16"/>
                <w:szCs w:val="18"/>
              </w:rPr>
            </w:pPr>
            <w:r>
              <w:rPr>
                <w:rFonts w:hint="eastAsia" w:ascii="宋体" w:hAnsi="宋体" w:cs="宋体"/>
                <w:kern w:val="0"/>
                <w:sz w:val="16"/>
                <w:szCs w:val="18"/>
              </w:rPr>
              <w:t>渔溪镇52.5元/㎡（每亩3.5万）</w:t>
            </w:r>
            <w:r>
              <w:rPr>
                <w:rFonts w:hint="eastAsia" w:ascii="宋体" w:hAnsi="宋体" w:cs="宋体"/>
                <w:kern w:val="0"/>
                <w:sz w:val="16"/>
                <w:szCs w:val="18"/>
              </w:rPr>
              <w:br w:type="textWrapping"/>
            </w:r>
            <w:r>
              <w:rPr>
                <w:rFonts w:hint="eastAsia" w:ascii="宋体" w:hAnsi="宋体" w:cs="宋体"/>
                <w:kern w:val="0"/>
                <w:sz w:val="16"/>
                <w:szCs w:val="18"/>
              </w:rPr>
              <w:t>上迳镇31.5元/㎡（每亩2.1万）</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埕空地补偿</w:t>
            </w:r>
          </w:p>
        </w:tc>
        <w:tc>
          <w:tcPr>
            <w:tcW w:w="829"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cs="宋体"/>
                <w:kern w:val="0"/>
                <w:sz w:val="16"/>
                <w:szCs w:val="20"/>
              </w:rPr>
            </w:pPr>
            <w:r>
              <w:rPr>
                <w:rFonts w:hint="eastAsia" w:ascii="宋体" w:hAnsi="宋体" w:cs="宋体"/>
                <w:kern w:val="0"/>
                <w:sz w:val="16"/>
                <w:szCs w:val="20"/>
              </w:rPr>
              <w:t xml:space="preserve">   确权的埕空地</w:t>
            </w:r>
          </w:p>
        </w:tc>
        <w:tc>
          <w:tcPr>
            <w:tcW w:w="94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出让</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82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94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划拨及集体</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60%</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清理手续的埕空地</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40%</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23"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829" w:type="pct"/>
            <w:gridSpan w:val="2"/>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rPr>
                <w:rFonts w:ascii="宋体" w:hAnsi="宋体" w:cs="宋体"/>
                <w:kern w:val="0"/>
                <w:sz w:val="16"/>
                <w:szCs w:val="20"/>
              </w:rPr>
            </w:pPr>
            <w:r>
              <w:rPr>
                <w:rFonts w:hint="eastAsia" w:ascii="宋体" w:hAnsi="宋体" w:cs="宋体"/>
                <w:kern w:val="0"/>
                <w:sz w:val="16"/>
                <w:szCs w:val="20"/>
              </w:rPr>
              <w:t xml:space="preserve">  无手续的埕空地  </w:t>
            </w:r>
          </w:p>
        </w:tc>
        <w:tc>
          <w:tcPr>
            <w:tcW w:w="94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补偿</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000000" w:sz="4" w:space="0"/>
            </w:tcBorders>
            <w:shd w:val="clear" w:color="000000" w:fill="C0C0C0"/>
            <w:vAlign w:val="center"/>
          </w:tcPr>
          <w:p>
            <w:pPr>
              <w:widowControl/>
              <w:rPr>
                <w:rFonts w:ascii="宋体" w:hAnsi="宋体" w:cs="宋体"/>
                <w:kern w:val="0"/>
                <w:sz w:val="16"/>
                <w:szCs w:val="18"/>
              </w:rPr>
            </w:pPr>
            <w:r>
              <w:rPr>
                <w:rFonts w:hint="eastAsia" w:ascii="宋体" w:hAnsi="宋体" w:cs="宋体"/>
                <w:kern w:val="0"/>
                <w:sz w:val="16"/>
                <w:szCs w:val="18"/>
              </w:rPr>
              <w:t>60元/㎡（每亩4万）</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119"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829" w:type="pct"/>
            <w:gridSpan w:val="2"/>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941"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奖励</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000000" w:fill="C0C0C0"/>
            <w:vAlign w:val="center"/>
          </w:tcPr>
          <w:p>
            <w:pPr>
              <w:widowControl/>
              <w:rPr>
                <w:rFonts w:ascii="宋体" w:hAnsi="宋体" w:cs="宋体"/>
                <w:kern w:val="0"/>
                <w:sz w:val="16"/>
                <w:szCs w:val="18"/>
              </w:rPr>
            </w:pPr>
            <w:r>
              <w:rPr>
                <w:rFonts w:hint="eastAsia" w:ascii="宋体" w:hAnsi="宋体" w:cs="宋体"/>
                <w:kern w:val="0"/>
                <w:sz w:val="16"/>
                <w:szCs w:val="18"/>
              </w:rPr>
              <w:t>渔溪镇52.5元/㎡（每亩3.5万）</w:t>
            </w:r>
            <w:r>
              <w:rPr>
                <w:rFonts w:hint="eastAsia" w:ascii="宋体" w:hAnsi="宋体" w:cs="宋体"/>
                <w:kern w:val="0"/>
                <w:sz w:val="16"/>
                <w:szCs w:val="18"/>
              </w:rPr>
              <w:br w:type="textWrapping"/>
            </w:r>
            <w:r>
              <w:rPr>
                <w:rFonts w:hint="eastAsia" w:ascii="宋体" w:hAnsi="宋体" w:cs="宋体"/>
                <w:kern w:val="0"/>
                <w:sz w:val="16"/>
                <w:szCs w:val="18"/>
              </w:rPr>
              <w:t>上迳镇31.5元/㎡（每亩2.1万）</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vMerge w:val="restart"/>
            <w:tcBorders>
              <w:top w:val="single" w:color="auto" w:sz="4" w:space="0"/>
              <w:left w:val="single" w:color="auto" w:sz="4" w:space="0"/>
              <w:bottom w:val="single" w:color="auto" w:sz="4" w:space="0"/>
              <w:right w:val="single" w:color="auto" w:sz="4" w:space="0"/>
            </w:tcBorders>
            <w:vAlign w:val="center"/>
          </w:tcPr>
          <w:p>
            <w:pPr>
              <w:widowControl/>
              <w:ind w:firstLine="480" w:firstLineChars="300"/>
              <w:rPr>
                <w:rFonts w:ascii="宋体" w:hAnsi="宋体" w:cs="宋体"/>
                <w:kern w:val="0"/>
                <w:sz w:val="16"/>
                <w:szCs w:val="20"/>
              </w:rPr>
            </w:pPr>
            <w:r>
              <w:rPr>
                <w:rFonts w:hint="eastAsia" w:ascii="宋体" w:hAnsi="宋体" w:cs="宋体"/>
                <w:kern w:val="0"/>
                <w:sz w:val="16"/>
                <w:szCs w:val="20"/>
              </w:rPr>
              <w:t>认定补偿安置面积的重置价   C</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rPr>
            </w:pP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8"/>
              </w:rPr>
            </w:pP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 xml:space="preserve"> 认定不予补偿安置面积的重置价   (i)</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8"/>
              </w:rPr>
            </w:pP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认定补偿安置面积的二次装修      D</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8"/>
              </w:rPr>
            </w:pP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8"/>
              </w:rPr>
            </w:pP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 xml:space="preserve">认定不予补偿安置面积的二次装修  (j)  </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8"/>
              </w:rPr>
            </w:pP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50"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16"/>
                <w:szCs w:val="18"/>
              </w:rPr>
            </w:pP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restart"/>
            <w:tcBorders>
              <w:top w:val="nil"/>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各项奖励E</w:t>
            </w:r>
          </w:p>
        </w:tc>
        <w:tc>
          <w:tcPr>
            <w:tcW w:w="177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按时签约奖励</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300元/㎡</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按时封房搬迁奖励</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400元/㎡</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246"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343"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1770" w:type="pct"/>
            <w:gridSpan w:val="3"/>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自行过渡奖励</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200元/㎡</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2113" w:type="pct"/>
            <w:gridSpan w:val="4"/>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公摊面积奖励</w:t>
            </w:r>
          </w:p>
        </w:tc>
        <w:tc>
          <w:tcPr>
            <w:tcW w:w="540" w:type="pct"/>
            <w:tcBorders>
              <w:top w:val="single" w:color="auto" w:sz="4" w:space="0"/>
              <w:left w:val="nil"/>
              <w:bottom w:val="single" w:color="auto" w:sz="4" w:space="0"/>
              <w:right w:val="single" w:color="000000"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000000"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2800元/㎡</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2113" w:type="pct"/>
            <w:gridSpan w:val="4"/>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 xml:space="preserve">             放弃产权调换安置的补差      F          </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2113"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50"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2113" w:type="pct"/>
            <w:gridSpan w:val="4"/>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50"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2113"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店面补助</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2113"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rPr>
                <w:rFonts w:ascii="宋体" w:hAnsi="宋体" w:cs="宋体"/>
                <w:kern w:val="0"/>
                <w:sz w:val="16"/>
                <w:szCs w:val="20"/>
              </w:rPr>
            </w:pPr>
            <w:r>
              <w:rPr>
                <w:rFonts w:hint="eastAsia" w:ascii="宋体" w:hAnsi="宋体" w:cs="宋体"/>
                <w:kern w:val="0"/>
                <w:sz w:val="16"/>
                <w:szCs w:val="20"/>
              </w:rPr>
              <w:t xml:space="preserve">            附属物补偿（详表五）         </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2113"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照顾购买面积应缴款</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55" w:type="pct"/>
            <w:vMerge w:val="continue"/>
            <w:tcBorders>
              <w:top w:val="nil"/>
              <w:left w:val="single" w:color="auto" w:sz="4" w:space="0"/>
              <w:bottom w:val="single" w:color="auto" w:sz="4" w:space="0"/>
              <w:right w:val="single" w:color="auto" w:sz="4" w:space="0"/>
            </w:tcBorders>
            <w:vAlign w:val="center"/>
          </w:tcPr>
          <w:p>
            <w:pPr>
              <w:widowControl/>
              <w:rPr>
                <w:rFonts w:ascii="宋体" w:hAnsi="宋体" w:cs="宋体"/>
                <w:kern w:val="0"/>
                <w:sz w:val="16"/>
                <w:szCs w:val="20"/>
              </w:rPr>
            </w:pPr>
          </w:p>
        </w:tc>
        <w:tc>
          <w:tcPr>
            <w:tcW w:w="2113"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kern w:val="0"/>
                <w:sz w:val="16"/>
                <w:szCs w:val="20"/>
              </w:rPr>
            </w:pPr>
            <w:r>
              <w:rPr>
                <w:rFonts w:hint="eastAsia" w:ascii="宋体" w:hAnsi="宋体" w:cs="宋体"/>
                <w:kern w:val="0"/>
                <w:sz w:val="16"/>
                <w:szCs w:val="20"/>
              </w:rPr>
              <w:t>小计</w:t>
            </w:r>
          </w:p>
        </w:tc>
        <w:tc>
          <w:tcPr>
            <w:tcW w:w="540" w:type="pct"/>
            <w:tcBorders>
              <w:top w:val="single" w:color="auto" w:sz="4" w:space="0"/>
              <w:left w:val="nil"/>
              <w:bottom w:val="single" w:color="auto" w:sz="4" w:space="0"/>
              <w:right w:val="single" w:color="auto" w:sz="4" w:space="0"/>
            </w:tcBorders>
            <w:shd w:val="clear" w:color="000000" w:fill="C0C0C0"/>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000000" w:fill="C0C0C0"/>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289" w:hRule="atLeast"/>
        </w:trPr>
        <w:tc>
          <w:tcPr>
            <w:tcW w:w="1290" w:type="pct"/>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照顾购买房时结算的款项  G</w:t>
            </w:r>
          </w:p>
        </w:tc>
        <w:tc>
          <w:tcPr>
            <w:tcW w:w="1077" w:type="pct"/>
            <w:gridSpan w:val="2"/>
            <w:tcBorders>
              <w:top w:val="single" w:color="auto" w:sz="4" w:space="0"/>
              <w:left w:val="nil"/>
              <w:bottom w:val="single" w:color="auto" w:sz="4" w:space="0"/>
              <w:right w:val="single" w:color="auto" w:sz="4" w:space="0"/>
            </w:tcBorders>
            <w:shd w:val="clear" w:color="000000" w:fill="FFFFFF"/>
            <w:vAlign w:val="center"/>
          </w:tcPr>
          <w:p>
            <w:pPr>
              <w:widowControl/>
              <w:rPr>
                <w:rFonts w:ascii="宋体" w:hAnsi="宋体" w:cs="宋体"/>
                <w:kern w:val="0"/>
                <w:sz w:val="16"/>
                <w:szCs w:val="20"/>
              </w:rPr>
            </w:pPr>
            <w:r>
              <w:rPr>
                <w:rFonts w:hint="eastAsia" w:ascii="宋体" w:hAnsi="宋体" w:cs="宋体"/>
                <w:kern w:val="0"/>
                <w:sz w:val="16"/>
                <w:szCs w:val="20"/>
              </w:rPr>
              <w:t>交房时面积误差产生的款</w:t>
            </w:r>
          </w:p>
        </w:tc>
        <w:tc>
          <w:tcPr>
            <w:tcW w:w="540"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auto" w:sz="4" w:space="0"/>
            </w:tcBorders>
            <w:shd w:val="clear" w:color="auto" w:fill="auto"/>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jc w:val="center"/>
              <w:rPr>
                <w:rFonts w:ascii="宋体" w:hAnsi="宋体" w:cs="宋体"/>
                <w:kern w:val="0"/>
                <w:sz w:val="16"/>
                <w:szCs w:val="18"/>
              </w:rPr>
            </w:pPr>
            <w:r>
              <w:rPr>
                <w:rFonts w:hint="eastAsia" w:ascii="宋体" w:hAnsi="宋体" w:cs="宋体"/>
                <w:kern w:val="0"/>
                <w:sz w:val="16"/>
                <w:szCs w:val="18"/>
              </w:rPr>
              <w:t>±1</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r>
        <w:tblPrEx>
          <w:tblCellMar>
            <w:top w:w="0" w:type="dxa"/>
            <w:left w:w="108" w:type="dxa"/>
            <w:bottom w:w="0" w:type="dxa"/>
            <w:right w:w="108" w:type="dxa"/>
          </w:tblCellMar>
        </w:tblPrEx>
        <w:trPr>
          <w:trHeight w:val="308" w:hRule="atLeast"/>
        </w:trPr>
        <w:tc>
          <w:tcPr>
            <w:tcW w:w="2368" w:type="pct"/>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rPr>
                <w:rFonts w:ascii="宋体" w:hAnsi="宋体" w:cs="宋体"/>
                <w:kern w:val="0"/>
                <w:sz w:val="16"/>
                <w:szCs w:val="20"/>
              </w:rPr>
            </w:pPr>
            <w:r>
              <w:rPr>
                <w:rFonts w:hint="eastAsia" w:ascii="宋体" w:hAnsi="宋体" w:cs="宋体"/>
                <w:kern w:val="0"/>
                <w:sz w:val="16"/>
                <w:szCs w:val="20"/>
              </w:rPr>
              <w:t xml:space="preserve">                        合计                   </w:t>
            </w:r>
          </w:p>
        </w:tc>
        <w:tc>
          <w:tcPr>
            <w:tcW w:w="540" w:type="pct"/>
            <w:tcBorders>
              <w:top w:val="single" w:color="auto" w:sz="4" w:space="0"/>
              <w:left w:val="nil"/>
              <w:bottom w:val="single" w:color="auto" w:sz="4" w:space="0"/>
              <w:right w:val="single" w:color="000000" w:sz="4" w:space="0"/>
            </w:tcBorders>
            <w:shd w:val="clear" w:color="000000" w:fill="C0C0C0"/>
            <w:noWrap/>
            <w:vAlign w:val="center"/>
          </w:tcPr>
          <w:p>
            <w:pPr>
              <w:widowControl/>
              <w:rPr>
                <w:rFonts w:ascii="宋体" w:hAnsi="宋体" w:cs="宋体"/>
                <w:kern w:val="0"/>
                <w:sz w:val="16"/>
              </w:rPr>
            </w:pPr>
            <w:r>
              <w:rPr>
                <w:rFonts w:hint="eastAsia" w:ascii="宋体" w:hAnsi="宋体" w:cs="宋体"/>
                <w:kern w:val="0"/>
                <w:sz w:val="16"/>
              </w:rPr>
              <w:t>　</w:t>
            </w:r>
          </w:p>
        </w:tc>
        <w:tc>
          <w:tcPr>
            <w:tcW w:w="1308" w:type="pct"/>
            <w:tcBorders>
              <w:top w:val="single" w:color="auto" w:sz="4" w:space="0"/>
              <w:left w:val="nil"/>
              <w:bottom w:val="single" w:color="auto" w:sz="4" w:space="0"/>
              <w:right w:val="single" w:color="000000" w:sz="4" w:space="0"/>
            </w:tcBorders>
            <w:shd w:val="clear" w:color="000000" w:fill="C0C0C0"/>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308" w:type="pct"/>
            <w:tcBorders>
              <w:top w:val="nil"/>
              <w:left w:val="nil"/>
              <w:bottom w:val="single" w:color="auto" w:sz="4" w:space="0"/>
              <w:right w:val="single" w:color="auto" w:sz="4" w:space="0"/>
            </w:tcBorders>
            <w:shd w:val="clear" w:color="000000" w:fill="C0C0C0"/>
            <w:noWrap/>
            <w:vAlign w:val="center"/>
          </w:tcPr>
          <w:p>
            <w:pPr>
              <w:widowControl/>
              <w:rPr>
                <w:rFonts w:ascii="宋体" w:hAnsi="宋体" w:cs="宋体"/>
                <w:kern w:val="0"/>
                <w:sz w:val="16"/>
                <w:szCs w:val="18"/>
              </w:rPr>
            </w:pPr>
            <w:r>
              <w:rPr>
                <w:rFonts w:hint="eastAsia" w:ascii="宋体" w:hAnsi="宋体" w:cs="宋体"/>
                <w:kern w:val="0"/>
                <w:sz w:val="16"/>
                <w:szCs w:val="18"/>
              </w:rPr>
              <w:t>　</w:t>
            </w:r>
          </w:p>
        </w:tc>
        <w:tc>
          <w:tcPr>
            <w:tcW w:w="476" w:type="pct"/>
            <w:tcBorders>
              <w:top w:val="nil"/>
              <w:left w:val="nil"/>
              <w:bottom w:val="single" w:color="auto" w:sz="4" w:space="0"/>
              <w:right w:val="single" w:color="auto" w:sz="4" w:space="0"/>
            </w:tcBorders>
            <w:shd w:val="clear" w:color="auto" w:fill="auto"/>
            <w:noWrap/>
            <w:vAlign w:val="center"/>
          </w:tcPr>
          <w:p>
            <w:pPr>
              <w:widowControl/>
              <w:rPr>
                <w:rFonts w:ascii="宋体" w:hAnsi="宋体" w:cs="宋体"/>
                <w:kern w:val="0"/>
                <w:sz w:val="16"/>
              </w:rPr>
            </w:pPr>
            <w:r>
              <w:rPr>
                <w:rFonts w:hint="eastAsia" w:ascii="宋体" w:hAnsi="宋体" w:cs="宋体"/>
                <w:kern w:val="0"/>
                <w:sz w:val="16"/>
              </w:rPr>
              <w:t>　</w:t>
            </w:r>
          </w:p>
        </w:tc>
      </w:tr>
    </w:tbl>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层高小于2.2m的房屋夹层按房屋建安造价补偿，不予认定补偿安置面积；层高2.2m及以上的夹层、阁楼，按规定予以认定补偿安置面积，夹层、阁楼现状建筑面积不大于下一层现状建筑面积50%的可不计入总层数，同时不享受照顾购买面积。利用坡屋顶空间作为阁楼层的建筑形式，阁楼层与原房同时设计建造的，其楼底高度在2.2m以上（含）计算建筑面积，阁楼层层高小于2.2m部分不计算建筑面积。坡屋顶阁楼不计入总层数。</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jc w:val="both"/>
        <w:rPr>
          <w:rFonts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地下层</w:t>
      </w:r>
      <w:r>
        <w:rPr>
          <w:rFonts w:hint="eastAsia" w:ascii="仿宋_GB2312" w:eastAsia="仿宋_GB2312"/>
          <w:sz w:val="32"/>
          <w:szCs w:val="32"/>
          <w:lang w:val="zh-CN"/>
        </w:rPr>
        <w:t>露出室外地面超过其层高1／2以上的，按规定给予认定补偿安置面积，并计入总层数；</w:t>
      </w:r>
      <w:r>
        <w:rPr>
          <w:rFonts w:ascii="仿宋_GB2312" w:eastAsia="仿宋_GB2312"/>
          <w:sz w:val="32"/>
          <w:szCs w:val="32"/>
          <w:lang w:val="zh-CN"/>
        </w:rPr>
        <w:t>地下层</w:t>
      </w:r>
      <w:r>
        <w:rPr>
          <w:rFonts w:hint="eastAsia" w:ascii="仿宋_GB2312" w:eastAsia="仿宋_GB2312"/>
          <w:sz w:val="32"/>
          <w:szCs w:val="32"/>
          <w:lang w:val="zh-CN"/>
        </w:rPr>
        <w:t>露出室外地面在其层高1／3(不含1／3）至1／2（含1／2）的，按规定给予认定一半的补偿安置面积，不计入总层数；</w:t>
      </w:r>
      <w:r>
        <w:rPr>
          <w:rFonts w:ascii="仿宋_GB2312" w:eastAsia="仿宋_GB2312"/>
          <w:sz w:val="32"/>
          <w:szCs w:val="32"/>
          <w:lang w:val="zh-CN"/>
        </w:rPr>
        <w:t>地下层</w:t>
      </w:r>
      <w:r>
        <w:rPr>
          <w:rFonts w:hint="eastAsia" w:ascii="仿宋_GB2312" w:eastAsia="仿宋_GB2312"/>
          <w:sz w:val="32"/>
          <w:szCs w:val="32"/>
          <w:lang w:val="zh-CN"/>
        </w:rPr>
        <w:t>露出室外地面不超过其层高1／3的，只给予房屋建安造价补偿，不予认定补偿安置面积，不计入总层数。</w:t>
      </w:r>
    </w:p>
    <w:p>
      <w:pPr>
        <w:pStyle w:val="2"/>
        <w:shd w:val="clear" w:color="auto" w:fill="auto"/>
        <w:spacing w:after="0" w:line="600" w:lineRule="exact"/>
        <w:ind w:firstLine="480" w:firstLineChars="150"/>
        <w:jc w:val="both"/>
        <w:rPr>
          <w:rFonts w:ascii="仿宋_GB2312" w:eastAsia="仿宋_GB2312"/>
          <w:sz w:val="32"/>
          <w:szCs w:val="32"/>
          <w:lang w:val="zh-CN"/>
        </w:rPr>
      </w:pPr>
      <w:r>
        <w:rPr>
          <w:rFonts w:hint="eastAsia" w:ascii="仿宋_GB2312" w:eastAsia="仿宋_GB2312"/>
          <w:sz w:val="32"/>
          <w:szCs w:val="32"/>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jc w:val="both"/>
        <w:rPr>
          <w:rFonts w:hint="eastAsia" w:ascii="仿宋_GB2312" w:eastAsia="仿宋_GB2312"/>
          <w:b/>
          <w:bCs/>
          <w:sz w:val="32"/>
          <w:szCs w:val="32"/>
          <w:lang w:val="zh-CN"/>
        </w:rPr>
      </w:pPr>
      <w:r>
        <w:rPr>
          <w:rFonts w:hint="eastAsia" w:ascii="仿宋_GB2312" w:eastAsia="仿宋_GB2312"/>
          <w:b/>
          <w:bCs/>
          <w:sz w:val="32"/>
          <w:szCs w:val="32"/>
          <w:lang w:val="zh-CN"/>
        </w:rPr>
        <w:t>十一、安置办法</w:t>
      </w:r>
    </w:p>
    <w:p>
      <w:pPr>
        <w:pStyle w:val="2"/>
        <w:shd w:val="clear" w:color="auto" w:fill="auto"/>
        <w:spacing w:after="0" w:line="600" w:lineRule="exact"/>
        <w:ind w:firstLine="640" w:firstLineChars="200"/>
        <w:jc w:val="both"/>
        <w:rPr>
          <w:rFonts w:ascii="仿宋_GB2312" w:eastAsia="仿宋_GB2312"/>
          <w:kern w:val="0"/>
          <w:sz w:val="32"/>
          <w:szCs w:val="32"/>
          <w:lang w:val="zh-CN"/>
        </w:rPr>
      </w:pPr>
      <w:r>
        <w:rPr>
          <w:rFonts w:hint="eastAsia" w:ascii="仿宋_GB2312" w:eastAsia="仿宋_GB2312"/>
          <w:kern w:val="0"/>
          <w:sz w:val="32"/>
          <w:szCs w:val="32"/>
          <w:lang w:val="zh-CN"/>
        </w:rPr>
        <w:t>按货币补偿方式补偿，由被征收人自行解决安置用房。</w:t>
      </w:r>
    </w:p>
    <w:p>
      <w:pPr>
        <w:pStyle w:val="2"/>
        <w:shd w:val="clear" w:color="auto" w:fill="auto"/>
        <w:spacing w:after="0" w:line="600" w:lineRule="exact"/>
        <w:ind w:firstLine="643" w:firstLineChars="200"/>
        <w:jc w:val="both"/>
        <w:rPr>
          <w:rFonts w:ascii="仿宋_GB2312" w:eastAsia="仿宋_GB2312"/>
          <w:b/>
          <w:sz w:val="32"/>
          <w:szCs w:val="32"/>
          <w:lang w:val="zh-CN"/>
        </w:rPr>
      </w:pPr>
      <w:r>
        <w:rPr>
          <w:rFonts w:hint="eastAsia" w:ascii="仿宋_GB2312" w:eastAsia="仿宋_GB2312"/>
          <w:b/>
          <w:sz w:val="32"/>
          <w:szCs w:val="32"/>
          <w:lang w:val="zh-CN"/>
        </w:rPr>
        <w:t>十二、征收过渡</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（一）征收补助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根据经认定补偿安置面积，按15元/㎡标准计算征收费一次；不足1000元的按1000元计算。</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（二）临时过渡</w:t>
      </w:r>
    </w:p>
    <w:p>
      <w:pPr>
        <w:pStyle w:val="2"/>
        <w:shd w:val="clear" w:color="auto" w:fill="auto"/>
        <w:spacing w:after="0" w:line="600" w:lineRule="exact"/>
        <w:ind w:firstLine="800" w:firstLineChars="250"/>
        <w:jc w:val="both"/>
        <w:rPr>
          <w:rFonts w:ascii="仿宋_GB2312" w:eastAsia="仿宋_GB2312"/>
          <w:sz w:val="32"/>
          <w:szCs w:val="32"/>
          <w:lang w:val="zh-CN"/>
        </w:rPr>
      </w:pPr>
      <w:r>
        <w:rPr>
          <w:rFonts w:hint="eastAsia" w:ascii="仿宋_GB2312" w:eastAsia="仿宋_GB2312"/>
          <w:sz w:val="32"/>
          <w:szCs w:val="32"/>
          <w:lang w:val="zh-CN"/>
        </w:rPr>
        <w:t>1、过渡方式：鼓励被征收人自行过渡并予奖励；自行过渡确有困难的，可申请安排临时周转房过渡，有使用临时周转房的，不予发放临时过渡费</w:t>
      </w:r>
      <w:r>
        <w:rPr>
          <w:rFonts w:hint="eastAsia" w:ascii="仿宋_GB2312" w:eastAsia="仿宋_GB2312"/>
          <w:sz w:val="32"/>
          <w:szCs w:val="32"/>
        </w:rPr>
        <w:t>。</w:t>
      </w:r>
    </w:p>
    <w:p>
      <w:pPr>
        <w:pStyle w:val="2"/>
        <w:shd w:val="clear" w:color="auto" w:fill="auto"/>
        <w:spacing w:after="0" w:line="600" w:lineRule="exact"/>
        <w:ind w:firstLine="800" w:firstLineChars="250"/>
        <w:jc w:val="both"/>
        <w:rPr>
          <w:rFonts w:ascii="仿宋_GB2312" w:eastAsia="仿宋_GB2312"/>
          <w:sz w:val="32"/>
          <w:szCs w:val="32"/>
          <w:lang w:val="zh-CN"/>
        </w:rPr>
      </w:pPr>
      <w:r>
        <w:rPr>
          <w:rFonts w:hint="eastAsia" w:ascii="仿宋_GB2312" w:eastAsia="仿宋_GB2312"/>
          <w:sz w:val="32"/>
          <w:szCs w:val="32"/>
          <w:lang w:val="zh-CN"/>
        </w:rPr>
        <w:t>2、补助标准：根据认定补偿安置面积（不含照顾购买面积）按10元/㎡·月标准计算。</w:t>
      </w:r>
    </w:p>
    <w:p>
      <w:pPr>
        <w:pStyle w:val="2"/>
        <w:shd w:val="clear" w:color="auto" w:fill="auto"/>
        <w:spacing w:after="0" w:line="600" w:lineRule="exact"/>
        <w:ind w:firstLine="800" w:firstLineChars="250"/>
        <w:jc w:val="both"/>
        <w:rPr>
          <w:rFonts w:ascii="仿宋_GB2312" w:eastAsia="仿宋_GB2312"/>
          <w:sz w:val="32"/>
          <w:szCs w:val="32"/>
          <w:lang w:val="zh-CN"/>
        </w:rPr>
      </w:pPr>
      <w:r>
        <w:rPr>
          <w:rFonts w:hint="eastAsia" w:ascii="仿宋_GB2312" w:eastAsia="仿宋_GB2312"/>
          <w:sz w:val="32"/>
          <w:szCs w:val="32"/>
          <w:lang w:val="zh-CN"/>
        </w:rPr>
        <w:t>3、过渡期限：被征收人签订协议并封房交拆之日算起，给予6个月临时过渡费。</w:t>
      </w:r>
    </w:p>
    <w:p>
      <w:pPr>
        <w:pStyle w:val="2"/>
        <w:shd w:val="clear" w:color="auto" w:fill="auto"/>
        <w:spacing w:after="0" w:line="600" w:lineRule="exact"/>
        <w:ind w:firstLine="803" w:firstLineChars="250"/>
        <w:jc w:val="both"/>
        <w:rPr>
          <w:rFonts w:ascii="仿宋_GB2312" w:eastAsia="仿宋_GB2312"/>
          <w:b/>
          <w:sz w:val="32"/>
          <w:szCs w:val="32"/>
          <w:lang w:val="zh-CN"/>
        </w:rPr>
      </w:pPr>
      <w:r>
        <w:rPr>
          <w:rFonts w:hint="eastAsia" w:ascii="仿宋_GB2312" w:eastAsia="仿宋_GB2312"/>
          <w:b/>
          <w:sz w:val="32"/>
          <w:szCs w:val="32"/>
          <w:lang w:val="zh-CN"/>
        </w:rPr>
        <w:t>十三、签约协商期限</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本项目红线范围内房屋征收签约协商期限规定如下：</w:t>
      </w:r>
    </w:p>
    <w:p>
      <w:pPr>
        <w:pStyle w:val="2"/>
        <w:shd w:val="clear" w:color="auto" w:fill="auto"/>
        <w:spacing w:after="0" w:line="600" w:lineRule="exact"/>
        <w:ind w:firstLine="480" w:firstLineChars="150"/>
        <w:jc w:val="both"/>
        <w:rPr>
          <w:rFonts w:ascii="仿宋_GB2312" w:eastAsia="仿宋_GB2312"/>
          <w:sz w:val="32"/>
          <w:szCs w:val="32"/>
          <w:lang w:val="zh-CN"/>
        </w:rPr>
      </w:pPr>
      <w:r>
        <w:rPr>
          <w:rFonts w:hint="eastAsia" w:ascii="仿宋_GB2312" w:eastAsia="仿宋_GB2312"/>
          <w:sz w:val="32"/>
          <w:szCs w:val="32"/>
          <w:lang w:val="zh-CN"/>
        </w:rPr>
        <w:t>（一）宣传发动和房屋权属、面积核对阶段：自本方案发布</w:t>
      </w:r>
    </w:p>
    <w:p>
      <w:pPr>
        <w:pStyle w:val="2"/>
        <w:shd w:val="clear" w:color="auto" w:fill="auto"/>
        <w:spacing w:after="0" w:line="600" w:lineRule="exact"/>
        <w:jc w:val="both"/>
        <w:rPr>
          <w:rFonts w:ascii="仿宋_GB2312" w:eastAsia="仿宋_GB2312"/>
          <w:sz w:val="32"/>
          <w:szCs w:val="32"/>
          <w:lang w:val="zh-CN"/>
        </w:rPr>
      </w:pPr>
      <w:r>
        <w:rPr>
          <w:rFonts w:hint="eastAsia" w:ascii="仿宋_GB2312" w:eastAsia="仿宋_GB2312"/>
          <w:sz w:val="32"/>
          <w:szCs w:val="32"/>
          <w:lang w:val="zh-CN"/>
        </w:rPr>
        <w:t>之日起至协商签约期限开始日，该阶段达成协议，可提前签约。</w:t>
      </w:r>
    </w:p>
    <w:p>
      <w:pPr>
        <w:pStyle w:val="2"/>
        <w:shd w:val="clear" w:color="auto" w:fill="auto"/>
        <w:spacing w:after="0" w:line="600" w:lineRule="exact"/>
        <w:ind w:left="319" w:leftChars="152" w:firstLine="160" w:firstLineChars="50"/>
        <w:jc w:val="both"/>
        <w:rPr>
          <w:rFonts w:ascii="仿宋_GB2312" w:eastAsia="仿宋_GB2312"/>
          <w:sz w:val="32"/>
          <w:szCs w:val="32"/>
          <w:lang w:val="zh-CN"/>
        </w:rPr>
      </w:pPr>
      <w:r>
        <w:rPr>
          <w:rFonts w:hint="eastAsia" w:ascii="仿宋_GB2312" w:eastAsia="仿宋_GB2312"/>
          <w:sz w:val="32"/>
          <w:szCs w:val="32"/>
          <w:lang w:val="zh-CN"/>
        </w:rPr>
        <w:t>（二）房屋征收协商签约期限：以正式方案公布为准。</w:t>
      </w:r>
    </w:p>
    <w:p>
      <w:pPr>
        <w:pStyle w:val="2"/>
        <w:shd w:val="clear" w:color="auto" w:fill="auto"/>
        <w:spacing w:after="0" w:line="600" w:lineRule="exact"/>
        <w:ind w:firstLine="643" w:firstLineChars="200"/>
        <w:jc w:val="both"/>
        <w:rPr>
          <w:rFonts w:ascii="仿宋_GB2312" w:eastAsia="仿宋_GB2312"/>
          <w:b/>
          <w:sz w:val="32"/>
          <w:szCs w:val="32"/>
          <w:lang w:val="zh-CN"/>
        </w:rPr>
      </w:pPr>
      <w:r>
        <w:rPr>
          <w:rFonts w:hint="eastAsia" w:ascii="仿宋_GB2312" w:eastAsia="仿宋_GB2312"/>
          <w:b/>
          <w:sz w:val="32"/>
          <w:szCs w:val="32"/>
          <w:lang w:val="zh-CN"/>
        </w:rPr>
        <w:t>十四、奖励措施</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被征收人在规定签约期限内签订协议并封房交拆的，可享受下列奖励：</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lang w:val="zh-CN"/>
        </w:rPr>
        <w:t>（一）按时签约奖励：按认定补偿安置面积计算，给予300元/㎡奖励。</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（二）被征收人另可享受下列奖励：</w:t>
      </w:r>
    </w:p>
    <w:p>
      <w:pPr>
        <w:pStyle w:val="2"/>
        <w:shd w:val="clear" w:color="auto" w:fill="auto"/>
        <w:spacing w:after="0" w:line="600" w:lineRule="exact"/>
        <w:ind w:firstLine="640" w:firstLineChars="200"/>
        <w:jc w:val="both"/>
        <w:rPr>
          <w:rFonts w:ascii="仿宋_GB2312" w:eastAsia="仿宋_GB2312"/>
          <w:sz w:val="32"/>
          <w:szCs w:val="32"/>
        </w:rPr>
      </w:pPr>
      <w:r>
        <w:rPr>
          <w:rFonts w:hint="eastAsia" w:ascii="仿宋_GB2312" w:eastAsia="仿宋_GB2312"/>
          <w:sz w:val="32"/>
          <w:szCs w:val="32"/>
        </w:rPr>
        <w:t>1、自行</w:t>
      </w:r>
      <w:r>
        <w:rPr>
          <w:rFonts w:hint="eastAsia" w:ascii="仿宋_GB2312" w:eastAsia="仿宋_GB2312"/>
          <w:sz w:val="32"/>
          <w:szCs w:val="32"/>
          <w:lang w:val="zh-CN"/>
        </w:rPr>
        <w:t>封房交拆奖励：按认定补偿安置面积计算，给予</w:t>
      </w:r>
      <w:r>
        <w:rPr>
          <w:rFonts w:hint="eastAsia" w:ascii="仿宋_GB2312" w:eastAsia="仿宋_GB2312"/>
          <w:sz w:val="32"/>
          <w:szCs w:val="32"/>
        </w:rPr>
        <w:t>4</w:t>
      </w:r>
      <w:r>
        <w:rPr>
          <w:rFonts w:hint="eastAsia" w:ascii="仿宋_GB2312" w:eastAsia="仿宋_GB2312"/>
          <w:sz w:val="32"/>
          <w:szCs w:val="32"/>
          <w:lang w:val="zh-CN"/>
        </w:rPr>
        <w:t>00元/㎡奖励。</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rPr>
        <w:t>2、</w:t>
      </w:r>
      <w:r>
        <w:rPr>
          <w:rFonts w:hint="eastAsia" w:ascii="仿宋_GB2312" w:eastAsia="仿宋_GB2312"/>
          <w:sz w:val="32"/>
          <w:szCs w:val="32"/>
          <w:lang w:val="zh-CN"/>
        </w:rPr>
        <w:t>自行过渡奖励：被征收人自行过渡的，按认定补偿安置面积计算，给予200元/㎡奖励。</w:t>
      </w:r>
    </w:p>
    <w:p>
      <w:pPr>
        <w:pStyle w:val="2"/>
        <w:shd w:val="clear" w:color="auto" w:fill="auto"/>
        <w:spacing w:after="0" w:line="600" w:lineRule="exact"/>
        <w:ind w:firstLine="640" w:firstLineChars="200"/>
        <w:jc w:val="both"/>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rPr>
        <w:t>3、在规定期限内签订协议并封房交拆的，按照认定的补偿安置面积给予</w:t>
      </w:r>
      <w:r>
        <w:rPr>
          <w:rFonts w:hint="eastAsia" w:ascii="仿宋_GB2312" w:eastAsia="仿宋_GB2312"/>
          <w:sz w:val="32"/>
          <w:szCs w:val="32"/>
          <w:lang w:val="en-US" w:eastAsia="zh-CN"/>
        </w:rPr>
        <w:t>8</w:t>
      </w:r>
      <w:r>
        <w:rPr>
          <w:rFonts w:hint="eastAsia" w:ascii="仿宋_GB2312" w:eastAsia="仿宋_GB2312"/>
          <w:sz w:val="32"/>
          <w:szCs w:val="32"/>
          <w:lang w:val="zh-CN"/>
        </w:rPr>
        <w:t>00元/㎡</w:t>
      </w:r>
      <w:r>
        <w:rPr>
          <w:rFonts w:hint="eastAsia" w:ascii="仿宋_GB2312" w:eastAsia="仿宋_GB2312"/>
          <w:sz w:val="32"/>
          <w:szCs w:val="32"/>
          <w:highlight w:val="none"/>
          <w:lang w:val="zh-CN"/>
        </w:rPr>
        <w:t>的补差款。</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val="zh-CN"/>
        </w:rPr>
        <w:t>埕地、空地奖励：征收未经审批和镇街清理的埕地、空地，渔溪镇给予3.5万元/亩，上迳镇给予2.1万元/亩的奖励，被认定不予补偿安置的建筑占地面积参照此项奖励。已享受该补助的埕地、空地在征地面积中不再享受预留地政策。经审批和镇街清理的埕地、空地按审批或清理的价格补偿，同时不享受该补助。</w:t>
      </w:r>
    </w:p>
    <w:p>
      <w:pPr>
        <w:pStyle w:val="2"/>
        <w:shd w:val="clear" w:color="auto" w:fill="auto"/>
        <w:spacing w:after="0" w:line="600" w:lineRule="exact"/>
        <w:ind w:firstLine="640" w:firstLineChars="200"/>
        <w:jc w:val="both"/>
        <w:rPr>
          <w:rFonts w:hint="eastAsia" w:ascii="仿宋_GB2312" w:eastAsia="仿宋_GB2312"/>
          <w:sz w:val="32"/>
          <w:szCs w:val="32"/>
          <w:lang w:val="zh-CN"/>
        </w:rPr>
      </w:pPr>
      <w:r>
        <w:rPr>
          <w:rFonts w:hint="eastAsia" w:ascii="仿宋_GB2312" w:eastAsia="仿宋_GB2312"/>
          <w:sz w:val="32"/>
          <w:szCs w:val="32"/>
        </w:rPr>
        <w:t>5、</w:t>
      </w:r>
      <w:r>
        <w:rPr>
          <w:rFonts w:hint="eastAsia" w:ascii="仿宋_GB2312" w:eastAsia="仿宋_GB2312"/>
          <w:sz w:val="32"/>
          <w:szCs w:val="32"/>
          <w:lang w:val="zh-CN"/>
        </w:rPr>
        <w:t>公摊面积奖励：在签约期内签订协议并封房交拆的，以被征收房屋整栋为单位，按原房屋认定补偿安置面积的</w:t>
      </w:r>
      <w:r>
        <w:rPr>
          <w:rFonts w:ascii="仿宋_GB2312" w:eastAsia="仿宋_GB2312"/>
          <w:sz w:val="32"/>
          <w:szCs w:val="32"/>
          <w:lang w:val="zh-CN"/>
        </w:rPr>
        <w:t>10%</w:t>
      </w:r>
      <w:r>
        <w:rPr>
          <w:rFonts w:hint="eastAsia" w:ascii="仿宋_GB2312" w:eastAsia="仿宋_GB2312"/>
          <w:sz w:val="32"/>
          <w:szCs w:val="32"/>
          <w:lang w:val="zh-CN"/>
        </w:rPr>
        <w:t>给予公摊面积奖励，且每栋最多不超过10㎡。公摊面积奖励以2800元/㎡计价。</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整栋房屋分栋的条件为具备以下条件之一：</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1、项目启动征收前已存在分开的产权证；</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2、整栋房屋中有分开独立的楼梯。</w:t>
      </w:r>
    </w:p>
    <w:p>
      <w:pPr>
        <w:pStyle w:val="2"/>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十五、住宅改为经营性用房按时征收补助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ascii="仿宋_GB2312" w:eastAsia="仿宋_GB2312"/>
          <w:sz w:val="32"/>
          <w:szCs w:val="32"/>
          <w:lang w:val="zh-CN"/>
        </w:rPr>
        <w:t>未经规划部门批准、房管部门登记，将</w:t>
      </w:r>
      <w:r>
        <w:rPr>
          <w:rFonts w:hint="eastAsia" w:ascii="仿宋_GB2312" w:eastAsia="仿宋_GB2312"/>
          <w:sz w:val="32"/>
          <w:szCs w:val="32"/>
          <w:lang w:val="zh-CN"/>
        </w:rPr>
        <w:t>临街住宅改做经营性用</w:t>
      </w:r>
      <w:r>
        <w:rPr>
          <w:rFonts w:ascii="仿宋_GB2312" w:eastAsia="仿宋_GB2312"/>
          <w:sz w:val="32"/>
          <w:szCs w:val="32"/>
          <w:lang w:val="zh-CN"/>
        </w:rPr>
        <w:t>房</w:t>
      </w:r>
      <w:r>
        <w:rPr>
          <w:rFonts w:hint="eastAsia" w:ascii="仿宋_GB2312" w:eastAsia="仿宋_GB2312"/>
          <w:sz w:val="32"/>
          <w:szCs w:val="32"/>
          <w:lang w:val="zh-CN"/>
        </w:rPr>
        <w:t>的</w:t>
      </w:r>
      <w:r>
        <w:rPr>
          <w:rFonts w:ascii="仿宋_GB2312" w:eastAsia="仿宋_GB2312"/>
          <w:sz w:val="32"/>
          <w:szCs w:val="32"/>
          <w:lang w:val="zh-CN"/>
        </w:rPr>
        <w:t>，</w:t>
      </w:r>
      <w:r>
        <w:rPr>
          <w:rFonts w:hint="eastAsia" w:ascii="仿宋_GB2312" w:eastAsia="仿宋_GB2312"/>
          <w:sz w:val="32"/>
          <w:szCs w:val="32"/>
          <w:lang w:val="zh-CN"/>
        </w:rPr>
        <w:t>按住宅性质予以认定补偿，在规定期限内签订协议并封房交拆的，可按以下情况另给予补助：</w:t>
      </w:r>
    </w:p>
    <w:p>
      <w:pPr>
        <w:pStyle w:val="2"/>
        <w:shd w:val="clear" w:color="auto" w:fill="auto"/>
        <w:spacing w:after="0" w:line="600" w:lineRule="exact"/>
        <w:ind w:firstLine="640" w:firstLineChars="200"/>
        <w:jc w:val="both"/>
        <w:rPr>
          <w:rFonts w:ascii="仿宋_GB2312" w:eastAsia="仿宋_GB2312"/>
          <w:sz w:val="32"/>
          <w:szCs w:val="32"/>
          <w:u w:val="single"/>
          <w:lang w:val="zh-CN"/>
        </w:rPr>
      </w:pPr>
      <w:r>
        <w:rPr>
          <w:rFonts w:hint="eastAsia" w:ascii="仿宋_GB2312" w:eastAsia="仿宋_GB2312"/>
          <w:sz w:val="32"/>
          <w:szCs w:val="32"/>
          <w:lang w:val="zh-CN"/>
        </w:rPr>
        <w:t>（一）在</w:t>
      </w:r>
      <w:r>
        <w:rPr>
          <w:rFonts w:ascii="仿宋_GB2312" w:eastAsia="仿宋_GB2312"/>
          <w:sz w:val="32"/>
          <w:szCs w:val="32"/>
          <w:lang w:val="zh-CN"/>
        </w:rPr>
        <w:t>2011年6月30日前，住宅底层已改为</w:t>
      </w:r>
      <w:r>
        <w:rPr>
          <w:rFonts w:hint="eastAsia" w:ascii="仿宋_GB2312" w:eastAsia="仿宋_GB2312"/>
          <w:sz w:val="32"/>
          <w:szCs w:val="32"/>
          <w:lang w:val="zh-CN"/>
        </w:rPr>
        <w:t>经营性用</w:t>
      </w:r>
      <w:r>
        <w:rPr>
          <w:rFonts w:ascii="仿宋_GB2312" w:eastAsia="仿宋_GB2312"/>
          <w:sz w:val="32"/>
          <w:szCs w:val="32"/>
          <w:lang w:val="zh-CN"/>
        </w:rPr>
        <w:t>房且现状仍处于经营状态，并持有工商营业执照和税务登记证明的，</w:t>
      </w:r>
      <w:r>
        <w:rPr>
          <w:rFonts w:hint="eastAsia" w:ascii="仿宋_GB2312" w:eastAsia="仿宋_GB2312"/>
          <w:sz w:val="32"/>
          <w:szCs w:val="32"/>
          <w:lang w:val="zh-CN"/>
        </w:rPr>
        <w:t>按住宅房屋临街(路)底层第一自然间进深10m内的认定补偿安置面积给予补助，进深10m内的不予认定补偿安置面积及超过10m进深部分不予补助。补助的标准为：临12m及以上道路的，按补助面积给予2000元/㎡的一次性补助；临12m以下6m以上道路的，按补助面积给予1000元/㎡的一次性补助；临6m以下3m以上道路的，按补助面积给予300元/㎡的一次性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rPr>
        <w:t>(二）</w:t>
      </w:r>
      <w:r>
        <w:rPr>
          <w:rFonts w:hint="eastAsia" w:ascii="仿宋_GB2312" w:eastAsia="仿宋_GB2312"/>
          <w:sz w:val="32"/>
          <w:szCs w:val="32"/>
          <w:lang w:val="zh-CN"/>
        </w:rPr>
        <w:t>在</w:t>
      </w:r>
      <w:r>
        <w:rPr>
          <w:rFonts w:ascii="仿宋_GB2312" w:eastAsia="仿宋_GB2312"/>
          <w:sz w:val="32"/>
          <w:szCs w:val="32"/>
          <w:lang w:val="zh-CN"/>
        </w:rPr>
        <w:t>2011年6月30日前，住宅底层改为</w:t>
      </w:r>
      <w:r>
        <w:rPr>
          <w:rFonts w:hint="eastAsia" w:ascii="仿宋_GB2312" w:eastAsia="仿宋_GB2312"/>
          <w:sz w:val="32"/>
          <w:szCs w:val="32"/>
          <w:lang w:val="zh-CN"/>
        </w:rPr>
        <w:t>经营</w:t>
      </w:r>
      <w:r>
        <w:rPr>
          <w:rFonts w:ascii="仿宋_GB2312" w:eastAsia="仿宋_GB2312"/>
          <w:sz w:val="32"/>
          <w:szCs w:val="32"/>
          <w:lang w:val="zh-CN"/>
        </w:rPr>
        <w:t>性用房</w:t>
      </w:r>
      <w:r>
        <w:rPr>
          <w:rFonts w:hint="eastAsia" w:ascii="仿宋_GB2312" w:eastAsia="仿宋_GB2312"/>
          <w:sz w:val="32"/>
          <w:szCs w:val="32"/>
        </w:rPr>
        <w:t>且现状仍处于经营状态</w:t>
      </w:r>
      <w:r>
        <w:rPr>
          <w:rFonts w:ascii="仿宋_GB2312" w:eastAsia="仿宋_GB2312"/>
          <w:sz w:val="32"/>
          <w:szCs w:val="32"/>
          <w:lang w:val="zh-CN"/>
        </w:rPr>
        <w:t>，未持有工商营业执照和税务登记证明的，</w:t>
      </w:r>
      <w:r>
        <w:rPr>
          <w:rFonts w:hint="eastAsia" w:ascii="仿宋_GB2312" w:eastAsia="仿宋_GB2312"/>
          <w:sz w:val="32"/>
          <w:szCs w:val="32"/>
          <w:lang w:val="zh-CN"/>
        </w:rPr>
        <w:t>按住宅房屋临街(路)底层第一自然间进深10m内的认定补偿安置面积给予补助，进深10m内的不予认定补偿安置面积及超过10m进深部分不予补助。补助的标准为：临12m及以上道路的，按补助面积给予600元/㎡的一次性补助；临12m以下6m以上道路的，按补助面积给予300元/㎡的一次性补助；临6m以下3m以上道路的，按补助面积给予200元/㎡的一次性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（三）</w:t>
      </w:r>
      <w:r>
        <w:rPr>
          <w:rFonts w:ascii="仿宋_GB2312" w:eastAsia="仿宋_GB2312"/>
          <w:sz w:val="32"/>
          <w:szCs w:val="32"/>
          <w:lang w:val="zh-CN"/>
        </w:rPr>
        <w:t>在2011年6月30日后，住宅底层改为</w:t>
      </w:r>
      <w:r>
        <w:rPr>
          <w:rFonts w:hint="eastAsia" w:ascii="仿宋_GB2312" w:eastAsia="仿宋_GB2312"/>
          <w:sz w:val="32"/>
          <w:szCs w:val="32"/>
          <w:lang w:val="zh-CN"/>
        </w:rPr>
        <w:t>经营</w:t>
      </w:r>
      <w:r>
        <w:rPr>
          <w:rFonts w:ascii="仿宋_GB2312" w:eastAsia="仿宋_GB2312"/>
          <w:sz w:val="32"/>
          <w:szCs w:val="32"/>
          <w:lang w:val="zh-CN"/>
        </w:rPr>
        <w:t>性用房的，按原房屋</w:t>
      </w:r>
      <w:r>
        <w:rPr>
          <w:rFonts w:hint="eastAsia" w:ascii="仿宋_GB2312" w:eastAsia="仿宋_GB2312"/>
          <w:sz w:val="32"/>
          <w:szCs w:val="32"/>
          <w:lang w:val="zh-CN"/>
        </w:rPr>
        <w:t>审批</w:t>
      </w:r>
      <w:r>
        <w:rPr>
          <w:rFonts w:ascii="仿宋_GB2312" w:eastAsia="仿宋_GB2312"/>
          <w:sz w:val="32"/>
          <w:szCs w:val="32"/>
          <w:lang w:val="zh-CN"/>
        </w:rPr>
        <w:t>用途予以认定</w:t>
      </w:r>
      <w:r>
        <w:rPr>
          <w:rFonts w:hint="eastAsia" w:ascii="仿宋_GB2312" w:eastAsia="仿宋_GB2312"/>
          <w:sz w:val="32"/>
          <w:szCs w:val="32"/>
          <w:lang w:val="zh-CN"/>
        </w:rPr>
        <w:t>，</w:t>
      </w:r>
      <w:r>
        <w:rPr>
          <w:rFonts w:ascii="仿宋_GB2312" w:eastAsia="仿宋_GB2312"/>
          <w:sz w:val="32"/>
          <w:szCs w:val="32"/>
          <w:lang w:val="zh-CN"/>
        </w:rPr>
        <w:t>一律</w:t>
      </w:r>
      <w:r>
        <w:rPr>
          <w:rFonts w:hint="eastAsia" w:ascii="仿宋_GB2312" w:eastAsia="仿宋_GB2312"/>
          <w:sz w:val="32"/>
          <w:szCs w:val="32"/>
          <w:lang w:val="zh-CN"/>
        </w:rPr>
        <w:t>不再另外补助。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（四）</w:t>
      </w:r>
      <w:r>
        <w:rPr>
          <w:rFonts w:ascii="仿宋_GB2312" w:eastAsia="仿宋_GB2312"/>
          <w:sz w:val="32"/>
          <w:szCs w:val="32"/>
          <w:lang w:val="zh-CN"/>
        </w:rPr>
        <w:t>沿路的</w:t>
      </w:r>
      <w:r>
        <w:rPr>
          <w:rFonts w:hint="eastAsia" w:ascii="仿宋_GB2312" w:eastAsia="仿宋_GB2312"/>
          <w:sz w:val="32"/>
          <w:szCs w:val="32"/>
          <w:lang w:val="zh-CN"/>
        </w:rPr>
        <w:t>工业用房、</w:t>
      </w:r>
      <w:r>
        <w:rPr>
          <w:rFonts w:ascii="仿宋_GB2312" w:eastAsia="仿宋_GB2312"/>
          <w:sz w:val="32"/>
          <w:szCs w:val="32"/>
          <w:lang w:val="zh-CN"/>
        </w:rPr>
        <w:t>办公用房、</w:t>
      </w:r>
      <w:r>
        <w:rPr>
          <w:rFonts w:hint="eastAsia" w:ascii="仿宋_GB2312" w:eastAsia="仿宋_GB2312"/>
          <w:sz w:val="32"/>
          <w:szCs w:val="32"/>
          <w:lang w:val="zh-CN"/>
        </w:rPr>
        <w:t>临时</w:t>
      </w:r>
      <w:r>
        <w:rPr>
          <w:rFonts w:ascii="仿宋_GB2312" w:eastAsia="仿宋_GB2312"/>
          <w:sz w:val="32"/>
          <w:szCs w:val="32"/>
          <w:lang w:val="zh-CN"/>
        </w:rPr>
        <w:t>搭盖及不具备</w:t>
      </w:r>
      <w:r>
        <w:rPr>
          <w:rFonts w:hint="eastAsia" w:ascii="仿宋_GB2312" w:eastAsia="仿宋_GB2312"/>
          <w:sz w:val="32"/>
          <w:szCs w:val="32"/>
          <w:lang w:val="zh-CN"/>
        </w:rPr>
        <w:t>经营</w:t>
      </w:r>
      <w:r>
        <w:rPr>
          <w:rFonts w:ascii="仿宋_GB2312" w:eastAsia="仿宋_GB2312"/>
          <w:sz w:val="32"/>
          <w:szCs w:val="32"/>
          <w:lang w:val="zh-CN"/>
        </w:rPr>
        <w:t>性用房门面结构的住宅，底层改为</w:t>
      </w:r>
      <w:r>
        <w:rPr>
          <w:rFonts w:hint="eastAsia" w:ascii="仿宋_GB2312" w:eastAsia="仿宋_GB2312"/>
          <w:sz w:val="32"/>
          <w:szCs w:val="32"/>
          <w:lang w:val="zh-CN"/>
        </w:rPr>
        <w:t>经营</w:t>
      </w:r>
      <w:r>
        <w:rPr>
          <w:rFonts w:ascii="仿宋_GB2312" w:eastAsia="仿宋_GB2312"/>
          <w:sz w:val="32"/>
          <w:szCs w:val="32"/>
          <w:lang w:val="zh-CN"/>
        </w:rPr>
        <w:t>性用房的，按</w:t>
      </w:r>
      <w:r>
        <w:rPr>
          <w:rFonts w:hint="eastAsia" w:ascii="仿宋_GB2312" w:eastAsia="仿宋_GB2312"/>
          <w:sz w:val="32"/>
          <w:szCs w:val="32"/>
          <w:lang w:val="zh-CN"/>
        </w:rPr>
        <w:t>原建筑审批</w:t>
      </w:r>
      <w:r>
        <w:rPr>
          <w:rFonts w:ascii="仿宋_GB2312" w:eastAsia="仿宋_GB2312"/>
          <w:sz w:val="32"/>
          <w:szCs w:val="32"/>
          <w:lang w:val="zh-CN"/>
        </w:rPr>
        <w:t>用途予以补偿</w:t>
      </w:r>
      <w:r>
        <w:rPr>
          <w:rFonts w:hint="eastAsia" w:ascii="仿宋_GB2312" w:eastAsia="仿宋_GB2312"/>
          <w:sz w:val="32"/>
          <w:szCs w:val="32"/>
          <w:lang w:val="zh-CN"/>
        </w:rPr>
        <w:t>，</w:t>
      </w:r>
      <w:r>
        <w:rPr>
          <w:rFonts w:ascii="仿宋_GB2312" w:eastAsia="仿宋_GB2312"/>
          <w:sz w:val="32"/>
          <w:szCs w:val="32"/>
          <w:lang w:val="zh-CN"/>
        </w:rPr>
        <w:t>一律</w:t>
      </w:r>
      <w:r>
        <w:rPr>
          <w:rFonts w:hint="eastAsia" w:ascii="仿宋_GB2312" w:eastAsia="仿宋_GB2312"/>
          <w:sz w:val="32"/>
          <w:szCs w:val="32"/>
          <w:lang w:val="zh-CN"/>
        </w:rPr>
        <w:t>不再另外补助。</w:t>
      </w:r>
      <w:r>
        <w:rPr>
          <w:rFonts w:ascii="仿宋_GB2312" w:eastAsia="仿宋_GB2312"/>
          <w:sz w:val="32"/>
          <w:szCs w:val="32"/>
          <w:lang w:val="zh-CN"/>
        </w:rPr>
        <w:t xml:space="preserve">  </w:t>
      </w:r>
    </w:p>
    <w:p>
      <w:pPr>
        <w:pStyle w:val="13"/>
        <w:shd w:val="clear" w:color="auto" w:fill="auto"/>
        <w:spacing w:line="600" w:lineRule="exact"/>
        <w:ind w:right="3101" w:firstLine="157" w:firstLineChars="49"/>
        <w:jc w:val="both"/>
        <w:rPr>
          <w:rFonts w:ascii="仿宋_GB2312" w:eastAsia="仿宋_GB2312"/>
          <w:b w:val="0"/>
          <w:bCs w:val="0"/>
          <w:sz w:val="32"/>
          <w:szCs w:val="32"/>
          <w:lang w:val="zh-CN"/>
        </w:rPr>
      </w:pPr>
      <w:r>
        <w:rPr>
          <w:rFonts w:hint="eastAsia" w:ascii="仿宋_GB2312" w:eastAsia="仿宋_GB2312"/>
          <w:sz w:val="32"/>
          <w:szCs w:val="32"/>
          <w:lang w:val="zh-CN"/>
        </w:rPr>
        <w:t xml:space="preserve">   十六、其它补偿</w:t>
      </w:r>
      <w:r>
        <w:rPr>
          <w:rFonts w:hint="eastAsia" w:ascii="仿宋_GB2312" w:eastAsia="仿宋_GB2312"/>
          <w:b w:val="0"/>
          <w:bCs w:val="0"/>
          <w:sz w:val="32"/>
          <w:szCs w:val="32"/>
          <w:lang w:val="zh-CN"/>
        </w:rPr>
        <w:t xml:space="preserve">  </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zh-CN"/>
        </w:rPr>
        <w:t>房屋的附属物补偿按</w:t>
      </w:r>
      <w:r>
        <w:rPr>
          <w:rFonts w:hint="eastAsia" w:ascii="仿宋_GB2312" w:hAnsi="Times New Roman" w:eastAsia="仿宋_GB2312" w:cs="Times New Roman"/>
          <w:kern w:val="0"/>
          <w:sz w:val="32"/>
          <w:szCs w:val="32"/>
          <w:lang w:val="zh-CN" w:eastAsia="zh-CN" w:bidi="ar-SA"/>
        </w:rPr>
        <w:t>附表五</w:t>
      </w:r>
      <w:r>
        <w:rPr>
          <w:rFonts w:hint="eastAsia" w:ascii="仿宋_GB2312" w:eastAsia="仿宋_GB2312"/>
          <w:sz w:val="32"/>
          <w:szCs w:val="32"/>
          <w:lang w:val="zh-CN"/>
        </w:rPr>
        <w:t>标准给予货币补偿。征收红线范围苗木及地上附着物征收的方案参照</w:t>
      </w:r>
      <w:r>
        <w:rPr>
          <w:rFonts w:hint="eastAsia" w:ascii="仿宋_GB2312" w:eastAsia="仿宋_GB2312"/>
          <w:color w:val="000000"/>
          <w:sz w:val="32"/>
          <w:szCs w:val="32"/>
          <w:lang w:val="zh-CN"/>
        </w:rPr>
        <w:t>《福清市人民政府关于公布福清市征收土地地上附着物和青苗等补偿标准的通知》（融政规</w:t>
      </w:r>
      <w:r>
        <w:rPr>
          <w:rFonts w:hint="eastAsia" w:ascii="仿宋_GB2312" w:hAnsi="Arial" w:eastAsia="仿宋_GB2312" w:cs="Arial"/>
          <w:color w:val="333333"/>
          <w:sz w:val="32"/>
          <w:szCs w:val="32"/>
          <w:shd w:val="clear" w:color="auto" w:fill="FFFFFF"/>
        </w:rPr>
        <w:t>〔</w:t>
      </w:r>
      <w:r>
        <w:rPr>
          <w:rFonts w:hint="eastAsia" w:ascii="仿宋_GB2312" w:hAnsi="宋体" w:eastAsia="仿宋_GB2312"/>
          <w:sz w:val="32"/>
          <w:szCs w:val="32"/>
        </w:rPr>
        <w:t>2024〕</w:t>
      </w:r>
      <w:r>
        <w:rPr>
          <w:rFonts w:hint="eastAsia" w:ascii="仿宋_GB2312" w:eastAsia="仿宋_GB2312"/>
          <w:color w:val="000000"/>
          <w:sz w:val="32"/>
          <w:szCs w:val="32"/>
        </w:rPr>
        <w:t>1</w:t>
      </w:r>
      <w:r>
        <w:rPr>
          <w:rFonts w:hint="eastAsia" w:ascii="仿宋_GB2312" w:eastAsia="仿宋_GB2312"/>
          <w:color w:val="000000"/>
          <w:sz w:val="32"/>
          <w:szCs w:val="32"/>
          <w:lang w:val="zh-CN"/>
        </w:rPr>
        <w:t>号）</w:t>
      </w:r>
      <w:r>
        <w:rPr>
          <w:rFonts w:hint="eastAsia" w:ascii="仿宋_GB2312" w:eastAsia="仿宋_GB2312"/>
          <w:sz w:val="32"/>
          <w:szCs w:val="32"/>
          <w:lang w:val="zh-CN"/>
        </w:rPr>
        <w:t>执行。</w:t>
      </w:r>
    </w:p>
    <w:p>
      <w:pPr>
        <w:pStyle w:val="13"/>
        <w:shd w:val="clear" w:color="auto" w:fill="auto"/>
        <w:spacing w:line="600" w:lineRule="exact"/>
        <w:jc w:val="center"/>
        <w:rPr>
          <w:rFonts w:ascii="仿宋_GB2312" w:eastAsia="仿宋_GB2312"/>
          <w:sz w:val="32"/>
          <w:szCs w:val="32"/>
          <w:lang w:val="zh-CN"/>
        </w:rPr>
      </w:pPr>
      <w:r>
        <w:rPr>
          <w:rFonts w:hint="eastAsia" w:ascii="仿宋_GB2312" w:eastAsia="仿宋_GB2312"/>
          <w:sz w:val="32"/>
          <w:szCs w:val="32"/>
          <w:lang w:val="zh-CN"/>
        </w:rPr>
        <w:t>第四部分</w:t>
      </w:r>
      <w:r>
        <w:rPr>
          <w:rFonts w:ascii="仿宋_GB2312" w:eastAsia="仿宋_GB2312"/>
          <w:sz w:val="32"/>
          <w:szCs w:val="32"/>
          <w:lang w:val="zh-CN"/>
        </w:rPr>
        <w:t xml:space="preserve">  </w:t>
      </w:r>
      <w:r>
        <w:rPr>
          <w:rFonts w:hint="eastAsia" w:ascii="仿宋_GB2312" w:eastAsia="仿宋_GB2312"/>
          <w:sz w:val="32"/>
          <w:szCs w:val="32"/>
          <w:lang w:val="zh-CN"/>
        </w:rPr>
        <w:t>保障措施</w:t>
      </w:r>
    </w:p>
    <w:p>
      <w:pPr>
        <w:pStyle w:val="13"/>
        <w:shd w:val="clear" w:color="auto" w:fill="auto"/>
        <w:spacing w:line="600" w:lineRule="exact"/>
        <w:ind w:right="3101" w:firstLine="630" w:firstLineChars="196"/>
        <w:jc w:val="both"/>
        <w:rPr>
          <w:rFonts w:ascii="仿宋_GB2312" w:eastAsia="仿宋_GB2312"/>
          <w:sz w:val="32"/>
          <w:szCs w:val="32"/>
          <w:lang w:val="zh-CN"/>
        </w:rPr>
      </w:pPr>
    </w:p>
    <w:p>
      <w:pPr>
        <w:pStyle w:val="13"/>
        <w:shd w:val="clear" w:color="auto" w:fill="auto"/>
        <w:spacing w:line="600" w:lineRule="exact"/>
        <w:ind w:right="3101" w:firstLine="630" w:firstLineChars="196"/>
        <w:jc w:val="both"/>
        <w:rPr>
          <w:rFonts w:ascii="仿宋_GB2312" w:eastAsia="仿宋_GB2312"/>
          <w:sz w:val="32"/>
          <w:szCs w:val="32"/>
          <w:lang w:val="zh-CN"/>
        </w:rPr>
      </w:pPr>
      <w:r>
        <w:rPr>
          <w:rFonts w:hint="eastAsia" w:ascii="仿宋_GB2312" w:eastAsia="仿宋_GB2312"/>
          <w:sz w:val="32"/>
          <w:szCs w:val="32"/>
          <w:lang w:val="zh-CN"/>
        </w:rPr>
        <w:t>十七、过渡租金保障</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被征收人现居住在本区域内，在规定签约期限内签订协议并封房的，因住宅临时过渡费较低导致自行过渡确实困难的，可申请增加过渡租金保障，由所在镇街根据实际过渡人口困难情况给予适当保障。</w:t>
      </w:r>
    </w:p>
    <w:p>
      <w:pPr>
        <w:pStyle w:val="2"/>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十八、失地农民养老保障</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符合条件的被征地农民给予办理养老保险，由人力资源与社会保障部门依据《福建省征地补偿和被征地农民社会保障办法》（福建省人民政府第177号令）、《福清市被征地农民养老保障试行办法》（融政综</w:t>
      </w:r>
      <w:r>
        <w:rPr>
          <w:rFonts w:hint="eastAsia" w:ascii="仿宋_GB2312" w:hAnsi="Arial" w:eastAsia="仿宋_GB2312" w:cs="Arial"/>
          <w:color w:val="333333"/>
          <w:sz w:val="32"/>
          <w:szCs w:val="32"/>
          <w:shd w:val="clear" w:color="auto" w:fill="FFFFFF"/>
        </w:rPr>
        <w:t>〔</w:t>
      </w:r>
      <w:r>
        <w:rPr>
          <w:rFonts w:hint="eastAsia" w:ascii="仿宋_GB2312" w:hAnsi="宋体" w:eastAsia="仿宋_GB2312"/>
          <w:sz w:val="32"/>
          <w:szCs w:val="32"/>
        </w:rPr>
        <w:t>2009〕</w:t>
      </w:r>
      <w:r>
        <w:rPr>
          <w:rFonts w:hint="eastAsia" w:ascii="仿宋_GB2312" w:eastAsia="仿宋_GB2312"/>
          <w:sz w:val="32"/>
          <w:szCs w:val="32"/>
          <w:lang w:val="zh-CN"/>
        </w:rPr>
        <w:t>179号）、《福清市被征地农民养老保障实施细则》（融政办</w:t>
      </w:r>
      <w:r>
        <w:rPr>
          <w:rFonts w:hint="eastAsia" w:ascii="仿宋_GB2312" w:hAnsi="Arial" w:eastAsia="仿宋_GB2312" w:cs="Arial"/>
          <w:color w:val="333333"/>
          <w:sz w:val="32"/>
          <w:szCs w:val="32"/>
          <w:shd w:val="clear" w:color="auto" w:fill="FFFFFF"/>
        </w:rPr>
        <w:t>〔</w:t>
      </w:r>
      <w:r>
        <w:rPr>
          <w:rFonts w:hint="eastAsia" w:ascii="仿宋_GB2312" w:hAnsi="宋体" w:eastAsia="仿宋_GB2312"/>
          <w:sz w:val="32"/>
          <w:szCs w:val="32"/>
        </w:rPr>
        <w:t>2009〕</w:t>
      </w:r>
      <w:r>
        <w:rPr>
          <w:rFonts w:hint="eastAsia" w:ascii="仿宋_GB2312" w:eastAsia="仿宋_GB2312"/>
          <w:sz w:val="32"/>
          <w:szCs w:val="32"/>
          <w:lang w:val="zh-CN"/>
        </w:rPr>
        <w:t>164号）等有关规定执行。</w:t>
      </w:r>
    </w:p>
    <w:p>
      <w:pPr>
        <w:pStyle w:val="13"/>
        <w:shd w:val="clear" w:color="auto" w:fill="auto"/>
        <w:spacing w:line="638" w:lineRule="exact"/>
        <w:ind w:firstLine="643" w:firstLineChars="200"/>
        <w:jc w:val="both"/>
        <w:rPr>
          <w:rFonts w:ascii="仿宋_GB2312" w:eastAsia="仿宋_GB2312"/>
          <w:sz w:val="32"/>
          <w:szCs w:val="32"/>
          <w:lang w:val="zh-CN"/>
        </w:rPr>
      </w:pPr>
      <w:r>
        <w:rPr>
          <w:rFonts w:hint="eastAsia" w:ascii="仿宋_GB2312" w:eastAsia="仿宋_GB2312"/>
          <w:sz w:val="32"/>
          <w:szCs w:val="32"/>
          <w:lang w:val="zh-CN"/>
        </w:rPr>
        <w:t>十九、困难保障</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eastAsia="仿宋_GB2312"/>
          <w:sz w:val="32"/>
          <w:szCs w:val="32"/>
        </w:rPr>
        <w:t>在规定签约期限内签订协议并封房交拆</w:t>
      </w:r>
      <w:r>
        <w:rPr>
          <w:rFonts w:hint="eastAsia" w:ascii="仿宋_GB2312" w:eastAsia="仿宋_GB2312"/>
          <w:sz w:val="32"/>
          <w:szCs w:val="32"/>
          <w:lang w:val="zh-CN"/>
        </w:rPr>
        <w:t>的低保户、五保户、孤寡老人一次性给予30000元</w:t>
      </w:r>
      <w:r>
        <w:rPr>
          <w:rFonts w:ascii="仿宋_GB2312" w:eastAsia="仿宋_GB2312"/>
          <w:sz w:val="32"/>
          <w:szCs w:val="32"/>
          <w:lang w:val="zh-CN"/>
        </w:rPr>
        <w:t>/</w:t>
      </w:r>
      <w:r>
        <w:rPr>
          <w:rFonts w:hint="eastAsia" w:ascii="仿宋_GB2312" w:eastAsia="仿宋_GB2312"/>
          <w:sz w:val="32"/>
          <w:szCs w:val="32"/>
          <w:lang w:val="zh-CN"/>
        </w:rPr>
        <w:t>户的补助。</w:t>
      </w:r>
    </w:p>
    <w:p>
      <w:pPr>
        <w:pStyle w:val="2"/>
        <w:shd w:val="clear" w:color="auto" w:fill="auto"/>
        <w:spacing w:after="0" w:line="600" w:lineRule="exact"/>
        <w:ind w:firstLine="643" w:firstLineChars="200"/>
        <w:jc w:val="both"/>
        <w:rPr>
          <w:rFonts w:eastAsia="仿宋_GB2312"/>
          <w:b/>
          <w:bCs/>
          <w:sz w:val="32"/>
          <w:szCs w:val="32"/>
          <w:lang w:val="zh-CN"/>
        </w:rPr>
      </w:pPr>
      <w:r>
        <w:rPr>
          <w:rFonts w:hint="eastAsia" w:eastAsia="仿宋_GB2312"/>
          <w:b/>
          <w:bCs/>
          <w:sz w:val="32"/>
          <w:szCs w:val="32"/>
          <w:lang w:val="zh-CN"/>
        </w:rPr>
        <w:t>二十、老人生活费补助</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自签订征收补偿协议之日起的过渡期间内，户籍在项目区域内的被征收人（含户籍在一起的其直系亲属）或在项目区域有确权登记在本人或配偶名下房屋的被征收人，按时签订协议并封房的，自男满60周岁、女满55周岁当月起，每人每月给予300元生活费补助。其中</w:t>
      </w:r>
      <w:r>
        <w:rPr>
          <w:rFonts w:hint="eastAsia" w:ascii="仿宋_GB2312" w:hAnsi="仿宋_GB2312" w:eastAsia="仿宋_GB2312" w:cs="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1、享受老人生活费补助期限上限为36个月。签订协议并封房后36个月内,被征收人根据到龄当月(男需满60周岁、女需满55周岁)至36个月之间的时间计算补助。</w:t>
      </w:r>
    </w:p>
    <w:p>
      <w:pPr>
        <w:ind w:firstLine="640" w:firstLineChars="200"/>
        <w:rPr>
          <w:rFonts w:ascii="仿宋_GB2312" w:eastAsia="仿宋_GB2312"/>
          <w:sz w:val="32"/>
          <w:szCs w:val="32"/>
          <w:lang w:val="zh-CN"/>
        </w:rPr>
      </w:pPr>
      <w:r>
        <w:rPr>
          <w:rFonts w:hint="eastAsia" w:ascii="仿宋_GB2312" w:hAnsi="仿宋_GB2312" w:eastAsia="仿宋_GB2312" w:cs="仿宋_GB2312"/>
          <w:sz w:val="32"/>
          <w:szCs w:val="32"/>
        </w:rPr>
        <w:t>2、</w:t>
      </w:r>
      <w:r>
        <w:rPr>
          <w:rFonts w:hint="eastAsia" w:ascii="仿宋_GB2312" w:eastAsia="仿宋_GB2312"/>
          <w:sz w:val="32"/>
          <w:szCs w:val="32"/>
          <w:lang w:val="zh-CN"/>
        </w:rPr>
        <w:t>征收围墙内埕地、空地、临时搭盖房屋、</w:t>
      </w:r>
      <w:r>
        <w:rPr>
          <w:rFonts w:hint="eastAsia" w:ascii="仿宋_GB2312" w:hAnsi="仿宋_GB2312" w:eastAsia="仿宋_GB2312" w:cs="仿宋_GB2312"/>
          <w:sz w:val="32"/>
          <w:szCs w:val="32"/>
        </w:rPr>
        <w:t>商业用房、办公用房和工业用房的被征收人均不享受老人生活补助。</w:t>
      </w:r>
    </w:p>
    <w:p>
      <w:pPr>
        <w:pStyle w:val="2"/>
        <w:shd w:val="clear" w:color="auto" w:fill="auto"/>
        <w:spacing w:after="0" w:line="600" w:lineRule="exact"/>
        <w:ind w:firstLine="640" w:firstLineChars="200"/>
        <w:jc w:val="both"/>
        <w:rPr>
          <w:rFonts w:ascii="仿宋_GB2312" w:eastAsia="仿宋_GB2312"/>
          <w:b/>
          <w:bCs/>
          <w:sz w:val="32"/>
          <w:szCs w:val="32"/>
          <w:u w:val="single"/>
          <w:lang w:val="zh-CN"/>
        </w:rPr>
      </w:pPr>
      <w:r>
        <w:rPr>
          <w:rFonts w:hint="eastAsia" w:ascii="仿宋_GB2312" w:eastAsia="仿宋_GB2312"/>
          <w:sz w:val="32"/>
          <w:szCs w:val="32"/>
        </w:rPr>
        <w:t>3、</w:t>
      </w:r>
      <w:r>
        <w:rPr>
          <w:rFonts w:hint="eastAsia" w:ascii="仿宋_GB2312" w:eastAsia="仿宋_GB2312"/>
          <w:sz w:val="32"/>
          <w:szCs w:val="32"/>
          <w:lang w:val="zh-CN"/>
        </w:rPr>
        <w:t>老人生活补助由属地镇街申报，经审核后一次性拨付。</w:t>
      </w:r>
    </w:p>
    <w:p>
      <w:pPr>
        <w:pStyle w:val="2"/>
        <w:shd w:val="clear" w:color="auto" w:fill="auto"/>
        <w:spacing w:after="0" w:line="600" w:lineRule="exact"/>
        <w:ind w:firstLine="643" w:firstLineChars="200"/>
        <w:jc w:val="both"/>
        <w:rPr>
          <w:rFonts w:ascii="仿宋_GB2312" w:eastAsia="仿宋_GB2312"/>
          <w:b/>
          <w:sz w:val="32"/>
          <w:szCs w:val="32"/>
          <w:lang w:val="zh-CN"/>
        </w:rPr>
      </w:pPr>
      <w:r>
        <w:rPr>
          <w:rFonts w:hint="eastAsia" w:ascii="仿宋_GB2312" w:eastAsia="仿宋_GB2312"/>
          <w:b/>
          <w:sz w:val="32"/>
          <w:szCs w:val="32"/>
          <w:lang w:val="zh-CN"/>
        </w:rPr>
        <w:t>二十一、其它类别房屋补偿安置</w:t>
      </w:r>
    </w:p>
    <w:p>
      <w:pPr>
        <w:ind w:firstLine="640" w:firstLineChars="200"/>
        <w:rPr>
          <w:rFonts w:ascii="仿宋_GB2312" w:eastAsia="仿宋_GB2312"/>
          <w:sz w:val="32"/>
          <w:szCs w:val="32"/>
          <w:lang w:val="zh-CN"/>
        </w:rPr>
      </w:pPr>
      <w:r>
        <w:rPr>
          <w:rFonts w:hint="eastAsia" w:ascii="仿宋_GB2312" w:eastAsia="仿宋_GB2312"/>
          <w:sz w:val="32"/>
          <w:szCs w:val="32"/>
          <w:lang w:val="zh-CN"/>
        </w:rPr>
        <w:t>村老人会、村文化活动中心等村级群众公共场所的补偿安置，参照同区段住宅补偿标准给予货币补偿，不予安置地块安置和产权调换，补偿安置面积按规定认定后可不受不超150㎡条款的限制，但同时也不享受照顾购买面积的政策。</w:t>
      </w:r>
    </w:p>
    <w:p>
      <w:pPr>
        <w:ind w:firstLine="640" w:firstLineChars="200"/>
        <w:rPr>
          <w:rFonts w:ascii="仿宋_GB2312" w:eastAsia="仿宋_GB2312"/>
          <w:sz w:val="32"/>
          <w:szCs w:val="32"/>
          <w:lang w:val="zh-CN"/>
        </w:rPr>
      </w:pPr>
      <w:r>
        <w:rPr>
          <w:rFonts w:hint="eastAsia" w:ascii="仿宋_GB2312" w:eastAsia="仿宋_GB2312"/>
          <w:sz w:val="32"/>
          <w:szCs w:val="32"/>
          <w:lang w:val="zh-CN"/>
        </w:rPr>
        <w:t>土地房屋审批性质为经营性（商业）用地用房或工业用地用房的按评估方式确定补偿价格后，按货币方式给予补偿。</w:t>
      </w:r>
    </w:p>
    <w:p>
      <w:pPr>
        <w:ind w:firstLine="640" w:firstLineChars="200"/>
        <w:rPr>
          <w:rFonts w:ascii="仿宋_GB2312" w:eastAsia="仿宋_GB2312"/>
          <w:sz w:val="32"/>
          <w:szCs w:val="32"/>
          <w:lang w:val="zh-CN"/>
        </w:rPr>
      </w:pPr>
    </w:p>
    <w:p>
      <w:pPr>
        <w:ind w:firstLine="643" w:firstLineChars="200"/>
        <w:jc w:val="center"/>
        <w:rPr>
          <w:rFonts w:ascii="仿宋_GB2312" w:eastAsia="仿宋_GB2312"/>
          <w:sz w:val="32"/>
          <w:szCs w:val="32"/>
          <w:lang w:val="zh-CN"/>
        </w:rPr>
      </w:pPr>
      <w:r>
        <w:rPr>
          <w:rFonts w:hint="eastAsia" w:ascii="仿宋_GB2312" w:eastAsia="仿宋_GB2312"/>
          <w:b/>
          <w:bCs/>
          <w:sz w:val="32"/>
          <w:szCs w:val="32"/>
          <w:lang w:val="zh-CN"/>
        </w:rPr>
        <w:t>第五部分</w:t>
      </w:r>
      <w:r>
        <w:rPr>
          <w:rFonts w:ascii="仿宋_GB2312" w:eastAsia="仿宋_GB2312"/>
          <w:b/>
          <w:bCs/>
          <w:sz w:val="32"/>
          <w:szCs w:val="32"/>
          <w:lang w:val="zh-CN"/>
        </w:rPr>
        <w:t xml:space="preserve">    </w:t>
      </w:r>
      <w:r>
        <w:rPr>
          <w:rFonts w:hint="eastAsia" w:ascii="仿宋_GB2312" w:eastAsia="仿宋_GB2312"/>
          <w:b/>
          <w:bCs/>
          <w:sz w:val="32"/>
          <w:szCs w:val="32"/>
          <w:lang w:val="zh-CN"/>
        </w:rPr>
        <w:t>其他规定</w:t>
      </w:r>
    </w:p>
    <w:p>
      <w:pPr>
        <w:pStyle w:val="2"/>
        <w:shd w:val="clear" w:color="auto" w:fill="auto"/>
        <w:spacing w:after="0" w:line="600" w:lineRule="exact"/>
        <w:ind w:firstLine="643" w:firstLineChars="200"/>
        <w:jc w:val="both"/>
        <w:rPr>
          <w:rFonts w:ascii="仿宋_GB2312" w:eastAsia="仿宋_GB2312"/>
          <w:b/>
          <w:sz w:val="32"/>
          <w:szCs w:val="32"/>
          <w:lang w:val="zh-CN"/>
        </w:rPr>
      </w:pPr>
    </w:p>
    <w:p>
      <w:pPr>
        <w:pStyle w:val="2"/>
        <w:shd w:val="clear" w:color="auto" w:fill="auto"/>
        <w:spacing w:after="0" w:line="600" w:lineRule="exact"/>
        <w:ind w:firstLine="643" w:firstLineChars="200"/>
        <w:jc w:val="both"/>
        <w:rPr>
          <w:rFonts w:ascii="仿宋_GB2312" w:eastAsia="仿宋_GB2312"/>
          <w:b/>
          <w:sz w:val="32"/>
          <w:szCs w:val="32"/>
          <w:lang w:val="zh-CN"/>
        </w:rPr>
      </w:pPr>
      <w:r>
        <w:rPr>
          <w:rFonts w:hint="eastAsia" w:ascii="仿宋_GB2312" w:eastAsia="仿宋_GB2312"/>
          <w:b/>
          <w:sz w:val="32"/>
          <w:szCs w:val="32"/>
          <w:lang w:val="zh-CN"/>
        </w:rPr>
        <w:t>二十二、房屋权属不清的处理</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jc w:val="both"/>
        <w:rPr>
          <w:rFonts w:ascii="仿宋_GB2312" w:eastAsia="仿宋_GB2312"/>
          <w:b/>
          <w:sz w:val="32"/>
          <w:szCs w:val="32"/>
          <w:lang w:val="zh-CN"/>
        </w:rPr>
      </w:pPr>
      <w:r>
        <w:rPr>
          <w:rFonts w:hint="eastAsia" w:ascii="仿宋_GB2312" w:eastAsia="仿宋_GB2312"/>
          <w:b/>
          <w:sz w:val="32"/>
          <w:szCs w:val="32"/>
          <w:lang w:val="zh-CN"/>
        </w:rPr>
        <w:t>二十三、设定他项权利的处理</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二十四、超出签约期限内征收的处理办法</w:t>
      </w:r>
    </w:p>
    <w:p>
      <w:pPr>
        <w:spacing w:line="600" w:lineRule="exact"/>
        <w:ind w:firstLine="480" w:firstLineChars="150"/>
        <w:rPr>
          <w:rFonts w:ascii="仿宋_GB2312" w:eastAsia="仿宋_GB2312"/>
          <w:kern w:val="0"/>
          <w:sz w:val="32"/>
          <w:szCs w:val="32"/>
          <w:lang w:val="zh-CN"/>
        </w:rPr>
      </w:pPr>
      <w:r>
        <w:rPr>
          <w:rFonts w:hint="eastAsia" w:ascii="仿宋_GB2312" w:eastAsia="仿宋_GB2312"/>
          <w:kern w:val="0"/>
          <w:sz w:val="32"/>
          <w:szCs w:val="32"/>
          <w:lang w:val="zh-CN"/>
        </w:rPr>
        <w:t>（一）被征收人超过规定签约期限仍未签订协议并封房的，不享受本实施方案有关的补助、奖励、照顾、保障奖励措施。坚决杜绝超期限征收反而多得利的现象发生。</w:t>
      </w:r>
    </w:p>
    <w:p>
      <w:pPr>
        <w:pStyle w:val="2"/>
        <w:shd w:val="clear" w:color="auto" w:fill="auto"/>
        <w:spacing w:after="0" w:line="600" w:lineRule="exact"/>
        <w:ind w:firstLine="480" w:firstLineChars="150"/>
        <w:jc w:val="both"/>
        <w:rPr>
          <w:rFonts w:ascii="仿宋_GB2312" w:eastAsia="仿宋_GB2312"/>
          <w:sz w:val="32"/>
          <w:szCs w:val="32"/>
        </w:rPr>
      </w:pPr>
      <w:r>
        <w:rPr>
          <w:rFonts w:hint="eastAsia" w:ascii="仿宋_GB2312" w:eastAsia="仿宋_GB2312"/>
          <w:sz w:val="32"/>
          <w:szCs w:val="32"/>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sz w:val="32"/>
          <w:szCs w:val="32"/>
        </w:rPr>
      </w:pPr>
      <w:r>
        <w:rPr>
          <w:rFonts w:hint="eastAsia" w:ascii="仿宋_GB2312" w:eastAsia="仿宋_GB2312"/>
          <w:sz w:val="32"/>
          <w:szCs w:val="32"/>
          <w:lang w:val="zh-CN"/>
        </w:rPr>
        <w:t>（三）被征收人在法定期限内不申请行政复议或者不提起行政诉讼，在补偿决定规定的期限内又不征收的，由相关部门依法申请人民法院强制执行。</w:t>
      </w:r>
    </w:p>
    <w:p>
      <w:pPr>
        <w:pStyle w:val="2"/>
        <w:shd w:val="clear" w:color="auto" w:fill="auto"/>
        <w:spacing w:after="0" w:line="600" w:lineRule="exact"/>
        <w:ind w:firstLine="640" w:firstLineChars="200"/>
        <w:jc w:val="both"/>
        <w:rPr>
          <w:rFonts w:ascii="仿宋_GB2312" w:eastAsia="仿宋_GB2312"/>
          <w:sz w:val="32"/>
          <w:szCs w:val="32"/>
        </w:rPr>
      </w:pPr>
      <w:r>
        <w:rPr>
          <w:rFonts w:ascii="仿宋_GB2312" w:eastAsia="仿宋_GB2312"/>
          <w:sz w:val="32"/>
          <w:szCs w:val="32"/>
          <w:lang w:val="zh-CN"/>
        </w:rPr>
        <w:t>(</w:t>
      </w:r>
      <w:r>
        <w:rPr>
          <w:rFonts w:hint="eastAsia" w:ascii="仿宋_GB2312" w:eastAsia="仿宋_GB2312"/>
          <w:sz w:val="32"/>
          <w:szCs w:val="32"/>
          <w:lang w:val="zh-CN"/>
        </w:rPr>
        <w:t>四）故意扰乱征收工作程序、煽动闹事、妨碍征收工作人员正常工作的，由公安机关按照《中华人民共和国治安管理处罚法》规定处罚，构成犯罪的由司法机关追究刑事责任。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sz w:val="32"/>
          <w:szCs w:val="32"/>
          <w:lang w:val="zh-CN"/>
        </w:rPr>
      </w:pPr>
      <w:r>
        <w:rPr>
          <w:rFonts w:hint="eastAsia" w:ascii="仿宋_GB2312" w:eastAsia="仿宋_GB2312"/>
          <w:b/>
          <w:bCs/>
          <w:sz w:val="32"/>
          <w:szCs w:val="32"/>
          <w:lang w:val="zh-CN"/>
        </w:rPr>
        <w:t>二十五、房屋搬迁程序</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（三）被征收人应当按规定的签约期限签订协议且征收完毕，并办好封房移交手续。</w:t>
      </w:r>
    </w:p>
    <w:p>
      <w:pPr>
        <w:pStyle w:val="2"/>
        <w:shd w:val="clear" w:color="auto" w:fill="auto"/>
        <w:spacing w:after="0" w:line="600" w:lineRule="exact"/>
        <w:ind w:firstLine="640" w:firstLineChars="200"/>
        <w:jc w:val="both"/>
        <w:rPr>
          <w:rFonts w:hint="eastAsia" w:ascii="仿宋_GB2312" w:eastAsia="仿宋_GB2312"/>
          <w:sz w:val="32"/>
          <w:szCs w:val="32"/>
          <w:lang w:val="zh-CN"/>
        </w:rPr>
      </w:pPr>
      <w:r>
        <w:rPr>
          <w:rFonts w:hint="eastAsia" w:ascii="仿宋_GB2312" w:eastAsia="仿宋_GB2312"/>
          <w:sz w:val="32"/>
          <w:szCs w:val="32"/>
          <w:lang w:val="zh-CN"/>
        </w:rPr>
        <w:t>（四）被征收人在签订协议时，需携带各种证明材料原件并提交户口簿、产权证件、建筑许可证、土地使用证、镇（街）清理建房手续（持有有效凭证）、户主身份证等资料复印件各</w:t>
      </w:r>
      <w:r>
        <w:rPr>
          <w:rFonts w:ascii="仿宋_GB2312" w:eastAsia="仿宋_GB2312"/>
          <w:sz w:val="32"/>
          <w:szCs w:val="32"/>
          <w:lang w:val="zh-CN"/>
        </w:rPr>
        <w:t>2</w:t>
      </w:r>
      <w:r>
        <w:rPr>
          <w:rFonts w:hint="eastAsia" w:ascii="仿宋_GB2312" w:eastAsia="仿宋_GB2312"/>
          <w:sz w:val="32"/>
          <w:szCs w:val="32"/>
          <w:lang w:val="zh-CN"/>
        </w:rPr>
        <w:t>份。</w:t>
      </w:r>
    </w:p>
    <w:p>
      <w:pPr>
        <w:pStyle w:val="2"/>
        <w:shd w:val="clear" w:color="auto" w:fill="auto"/>
        <w:spacing w:after="0" w:line="60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（五）征迁工作组按照《房屋征收存档材料清单》制作被征收人的档案内页，归档完毕后交由房屋征收实施单位（属地镇街）保管并负责相关查阅工作。</w:t>
      </w:r>
    </w:p>
    <w:p>
      <w:pPr>
        <w:pStyle w:val="2"/>
        <w:shd w:val="clear" w:color="auto" w:fill="auto"/>
        <w:spacing w:after="0" w:line="600" w:lineRule="exact"/>
        <w:jc w:val="both"/>
        <w:rPr>
          <w:rFonts w:ascii="仿宋_GB2312" w:eastAsia="仿宋_GB2312"/>
          <w:b/>
          <w:bCs/>
          <w:sz w:val="32"/>
          <w:szCs w:val="32"/>
          <w:lang w:val="zh-CN"/>
        </w:rPr>
      </w:pPr>
    </w:p>
    <w:p>
      <w:pPr>
        <w:pStyle w:val="2"/>
        <w:shd w:val="clear" w:color="auto" w:fill="auto"/>
        <w:spacing w:after="0" w:line="600" w:lineRule="exact"/>
        <w:jc w:val="center"/>
        <w:rPr>
          <w:rFonts w:ascii="仿宋_GB2312" w:eastAsia="仿宋_GB2312"/>
          <w:b/>
          <w:bCs/>
          <w:sz w:val="32"/>
          <w:szCs w:val="32"/>
          <w:lang w:val="zh-CN"/>
        </w:rPr>
      </w:pPr>
      <w:r>
        <w:rPr>
          <w:rFonts w:hint="eastAsia" w:ascii="仿宋_GB2312" w:eastAsia="仿宋_GB2312"/>
          <w:b/>
          <w:bCs/>
          <w:sz w:val="32"/>
          <w:szCs w:val="32"/>
          <w:lang w:val="zh-CN"/>
        </w:rPr>
        <w:t>第六部分</w:t>
      </w:r>
      <w:r>
        <w:rPr>
          <w:rFonts w:ascii="仿宋_GB2312" w:eastAsia="仿宋_GB2312"/>
          <w:b/>
          <w:bCs/>
          <w:sz w:val="32"/>
          <w:szCs w:val="32"/>
          <w:lang w:val="zh-CN"/>
        </w:rPr>
        <w:t xml:space="preserve">    </w:t>
      </w:r>
      <w:r>
        <w:rPr>
          <w:rFonts w:hint="eastAsia" w:ascii="仿宋_GB2312" w:eastAsia="仿宋_GB2312"/>
          <w:b/>
          <w:bCs/>
          <w:sz w:val="32"/>
          <w:szCs w:val="32"/>
          <w:lang w:val="zh-CN"/>
        </w:rPr>
        <w:t>附则</w:t>
      </w:r>
    </w:p>
    <w:p>
      <w:pPr>
        <w:pStyle w:val="13"/>
        <w:shd w:val="clear" w:color="auto" w:fill="auto"/>
        <w:spacing w:line="629" w:lineRule="exact"/>
        <w:ind w:left="20" w:firstLine="620"/>
        <w:jc w:val="both"/>
        <w:rPr>
          <w:rFonts w:ascii="仿宋_GB2312" w:eastAsia="仿宋_GB2312"/>
          <w:sz w:val="32"/>
          <w:szCs w:val="32"/>
          <w:lang w:val="zh-CN"/>
        </w:rPr>
      </w:pPr>
    </w:p>
    <w:p>
      <w:pPr>
        <w:pStyle w:val="13"/>
        <w:shd w:val="clear" w:color="auto" w:fill="auto"/>
        <w:spacing w:line="629" w:lineRule="exact"/>
        <w:ind w:left="20" w:firstLine="620"/>
        <w:jc w:val="both"/>
        <w:rPr>
          <w:rFonts w:ascii="仿宋_GB2312" w:eastAsia="仿宋_GB2312"/>
          <w:sz w:val="32"/>
          <w:szCs w:val="32"/>
        </w:rPr>
      </w:pPr>
      <w:r>
        <w:rPr>
          <w:rFonts w:hint="eastAsia" w:ascii="仿宋_GB2312" w:eastAsia="仿宋_GB2312"/>
          <w:sz w:val="32"/>
          <w:szCs w:val="32"/>
          <w:lang w:val="zh-CN"/>
        </w:rPr>
        <w:t>二十六、适用范围</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本方案适</w:t>
      </w:r>
      <w:r>
        <w:rPr>
          <w:rFonts w:hint="eastAsia" w:ascii="仿宋_GB2312" w:eastAsia="仿宋_GB2312"/>
          <w:sz w:val="32"/>
          <w:szCs w:val="32"/>
        </w:rPr>
        <w:t>用于</w:t>
      </w:r>
      <w:r>
        <w:rPr>
          <w:rFonts w:hint="eastAsia" w:ascii="仿宋_GB2312" w:eastAsia="仿宋_GB2312"/>
          <w:sz w:val="32"/>
          <w:szCs w:val="32"/>
          <w:lang w:val="zh-CN"/>
        </w:rPr>
        <w:t>黄檗山万福寺旅游道路</w:t>
      </w:r>
      <w:r>
        <w:rPr>
          <w:rFonts w:hint="eastAsia" w:ascii="仿宋_GB2312" w:eastAsia="仿宋_GB2312"/>
          <w:sz w:val="32"/>
          <w:szCs w:val="32"/>
        </w:rPr>
        <w:t>项目</w:t>
      </w:r>
      <w:r>
        <w:rPr>
          <w:rFonts w:hint="eastAsia" w:ascii="仿宋_GB2312" w:eastAsia="仿宋_GB2312"/>
          <w:sz w:val="32"/>
          <w:szCs w:val="32"/>
          <w:lang w:val="zh-CN"/>
        </w:rPr>
        <w:t>房屋征收补偿安置。涉及套房和集资房征收补偿方案另行制定。</w:t>
      </w:r>
    </w:p>
    <w:p>
      <w:pPr>
        <w:pStyle w:val="13"/>
        <w:shd w:val="clear" w:color="auto" w:fill="auto"/>
        <w:spacing w:line="629" w:lineRule="exact"/>
        <w:ind w:left="20" w:firstLine="620"/>
        <w:jc w:val="both"/>
        <w:rPr>
          <w:rFonts w:ascii="仿宋_GB2312" w:eastAsia="仿宋_GB2312"/>
          <w:sz w:val="32"/>
          <w:szCs w:val="32"/>
          <w:highlight w:val="none"/>
        </w:rPr>
      </w:pPr>
      <w:r>
        <w:rPr>
          <w:rFonts w:hint="eastAsia" w:ascii="仿宋_GB2312" w:eastAsia="仿宋_GB2312"/>
          <w:sz w:val="32"/>
          <w:szCs w:val="32"/>
          <w:highlight w:val="none"/>
          <w:lang w:val="zh-CN"/>
        </w:rPr>
        <w:t>二十七、未尽事宜</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该补偿方案未提及事项按国务院及福建省、福州市、福清市的有关规定实施。</w:t>
      </w:r>
    </w:p>
    <w:p>
      <w:pPr>
        <w:pStyle w:val="13"/>
        <w:shd w:val="clear" w:color="auto" w:fill="auto"/>
        <w:spacing w:line="629" w:lineRule="exact"/>
        <w:ind w:left="20" w:firstLine="620"/>
        <w:jc w:val="both"/>
        <w:rPr>
          <w:rFonts w:ascii="仿宋_GB2312" w:eastAsia="仿宋_GB2312"/>
          <w:sz w:val="32"/>
          <w:szCs w:val="32"/>
          <w:highlight w:val="none"/>
          <w:lang w:val="zh-CN"/>
        </w:rPr>
      </w:pPr>
      <w:r>
        <w:rPr>
          <w:rFonts w:hint="eastAsia" w:ascii="仿宋_GB2312" w:eastAsia="仿宋_GB2312"/>
          <w:sz w:val="32"/>
          <w:szCs w:val="32"/>
          <w:highlight w:val="none"/>
          <w:lang w:val="zh-CN"/>
        </w:rPr>
        <w:t>二十八、投诉监督</w:t>
      </w: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整个征收补偿工作将做到公正、公平、公开，欢迎被征收人监督。</w:t>
      </w:r>
    </w:p>
    <w:p>
      <w:pPr>
        <w:pStyle w:val="2"/>
        <w:shd w:val="clear" w:color="auto" w:fill="auto"/>
        <w:spacing w:after="0" w:line="600" w:lineRule="exact"/>
        <w:ind w:firstLine="640" w:firstLineChars="200"/>
        <w:jc w:val="both"/>
        <w:rPr>
          <w:rFonts w:hint="eastAsia" w:ascii="仿宋_GB2312" w:eastAsia="仿宋_GB2312"/>
          <w:sz w:val="32"/>
          <w:szCs w:val="32"/>
          <w:lang w:val="zh-CN"/>
        </w:rPr>
      </w:pPr>
    </w:p>
    <w:p>
      <w:pPr>
        <w:pStyle w:val="2"/>
        <w:shd w:val="clear" w:color="auto" w:fill="auto"/>
        <w:spacing w:after="0" w:line="600" w:lineRule="exact"/>
        <w:ind w:firstLine="640" w:firstLineChars="200"/>
        <w:jc w:val="both"/>
        <w:rPr>
          <w:rFonts w:ascii="仿宋_GB2312" w:eastAsia="仿宋_GB2312"/>
          <w:sz w:val="32"/>
          <w:szCs w:val="32"/>
          <w:lang w:val="zh-CN"/>
        </w:rPr>
      </w:pPr>
      <w:r>
        <w:rPr>
          <w:rFonts w:hint="eastAsia" w:ascii="仿宋_GB2312" w:eastAsia="仿宋_GB2312"/>
          <w:sz w:val="32"/>
          <w:szCs w:val="32"/>
          <w:lang w:val="zh-CN"/>
        </w:rPr>
        <w:t>附件：一、被征收房屋重置价标准</w:t>
      </w:r>
    </w:p>
    <w:p>
      <w:pPr>
        <w:pStyle w:val="2"/>
        <w:shd w:val="clear" w:color="auto" w:fill="auto"/>
        <w:spacing w:after="0" w:line="600" w:lineRule="exact"/>
        <w:ind w:firstLine="1600" w:firstLineChars="500"/>
        <w:jc w:val="both"/>
        <w:rPr>
          <w:rFonts w:ascii="仿宋_GB2312" w:eastAsia="仿宋_GB2312"/>
          <w:sz w:val="32"/>
          <w:szCs w:val="32"/>
          <w:lang w:val="zh-CN"/>
        </w:rPr>
      </w:pPr>
      <w:r>
        <w:rPr>
          <w:rFonts w:hint="eastAsia" w:ascii="仿宋_GB2312" w:eastAsia="仿宋_GB2312"/>
          <w:sz w:val="32"/>
          <w:szCs w:val="32"/>
          <w:lang w:val="zh-CN"/>
        </w:rPr>
        <w:t>二、被征收房屋成新率评定标准</w:t>
      </w:r>
    </w:p>
    <w:p>
      <w:pPr>
        <w:pStyle w:val="2"/>
        <w:shd w:val="clear" w:color="auto" w:fill="auto"/>
        <w:spacing w:after="0" w:line="600" w:lineRule="exact"/>
        <w:ind w:firstLine="1600" w:firstLineChars="500"/>
        <w:jc w:val="both"/>
        <w:rPr>
          <w:rFonts w:ascii="仿宋_GB2312" w:eastAsia="仿宋_GB2312"/>
          <w:sz w:val="32"/>
          <w:szCs w:val="32"/>
          <w:lang w:val="zh-CN"/>
        </w:rPr>
      </w:pPr>
      <w:r>
        <w:rPr>
          <w:rFonts w:hint="eastAsia" w:ascii="仿宋_GB2312" w:eastAsia="仿宋_GB2312"/>
          <w:sz w:val="32"/>
          <w:szCs w:val="32"/>
          <w:lang w:val="zh-CN"/>
        </w:rPr>
        <w:t>三、房屋二次装修重置价标准</w:t>
      </w:r>
    </w:p>
    <w:p>
      <w:pPr>
        <w:pStyle w:val="2"/>
        <w:shd w:val="clear" w:color="auto" w:fill="auto"/>
        <w:spacing w:after="0" w:line="600" w:lineRule="exact"/>
        <w:ind w:firstLine="1600" w:firstLineChars="500"/>
        <w:jc w:val="both"/>
        <w:rPr>
          <w:rFonts w:ascii="仿宋_GB2312" w:eastAsia="仿宋_GB2312"/>
          <w:sz w:val="32"/>
          <w:szCs w:val="32"/>
          <w:lang w:val="zh-CN"/>
        </w:rPr>
      </w:pPr>
      <w:r>
        <w:rPr>
          <w:rFonts w:hint="eastAsia" w:ascii="仿宋_GB2312" w:eastAsia="仿宋_GB2312"/>
          <w:sz w:val="32"/>
          <w:szCs w:val="32"/>
          <w:lang w:val="zh-CN"/>
        </w:rPr>
        <w:t>四、房屋二次装修成新率评定标准</w:t>
      </w:r>
    </w:p>
    <w:p>
      <w:pPr>
        <w:pStyle w:val="2"/>
        <w:shd w:val="clear" w:color="auto" w:fill="auto"/>
        <w:spacing w:after="0" w:line="600" w:lineRule="exact"/>
        <w:ind w:firstLine="1600" w:firstLineChars="500"/>
        <w:jc w:val="both"/>
        <w:rPr>
          <w:rFonts w:ascii="仿宋_GB2312" w:eastAsia="仿宋_GB2312"/>
          <w:sz w:val="32"/>
          <w:szCs w:val="32"/>
          <w:highlight w:val="none"/>
        </w:rPr>
      </w:pPr>
      <w:r>
        <w:rPr>
          <w:rFonts w:hint="eastAsia" w:ascii="仿宋_GB2312" w:eastAsia="仿宋_GB2312"/>
          <w:sz w:val="32"/>
          <w:szCs w:val="32"/>
          <w:highlight w:val="none"/>
          <w:lang w:val="zh-CN"/>
        </w:rPr>
        <w:t>五、房屋的附属物补偿标准</w:t>
      </w:r>
    </w:p>
    <w:p>
      <w:pPr>
        <w:pStyle w:val="2"/>
        <w:shd w:val="clear" w:color="auto" w:fill="auto"/>
        <w:spacing w:after="0" w:line="600" w:lineRule="exact"/>
        <w:ind w:firstLine="1600" w:firstLineChars="500"/>
        <w:jc w:val="both"/>
        <w:rPr>
          <w:rFonts w:ascii="仿宋_GB2312" w:eastAsia="仿宋_GB2312"/>
          <w:b/>
          <w:sz w:val="32"/>
          <w:szCs w:val="32"/>
          <w:highlight w:val="none"/>
        </w:rPr>
      </w:pPr>
      <w:r>
        <w:rPr>
          <w:rFonts w:hint="eastAsia" w:ascii="仿宋_GB2312" w:eastAsia="仿宋_GB2312"/>
          <w:sz w:val="32"/>
          <w:szCs w:val="32"/>
          <w:highlight w:val="none"/>
          <w:lang w:val="zh-CN"/>
        </w:rPr>
        <w:t>六、</w:t>
      </w:r>
      <w:r>
        <w:rPr>
          <w:rFonts w:hint="eastAsia" w:ascii="仿宋_GB2312" w:eastAsia="仿宋_GB2312"/>
          <w:sz w:val="32"/>
          <w:szCs w:val="32"/>
          <w:highlight w:val="none"/>
        </w:rPr>
        <w:t>临时搭盖的补偿规定</w:t>
      </w:r>
    </w:p>
    <w:p>
      <w:pPr>
        <w:widowControl/>
        <w:rPr>
          <w:rFonts w:ascii="仿宋_GB2312" w:eastAsia="仿宋_GB2312"/>
          <w:b/>
          <w:kern w:val="0"/>
          <w:sz w:val="32"/>
          <w:szCs w:val="32"/>
        </w:rPr>
      </w:pPr>
      <w:r>
        <w:rPr>
          <w:rFonts w:ascii="仿宋_GB2312" w:eastAsia="仿宋_GB2312"/>
          <w:b/>
          <w:kern w:val="0"/>
          <w:sz w:val="32"/>
          <w:szCs w:val="32"/>
        </w:rPr>
        <w:br w:type="page"/>
      </w:r>
    </w:p>
    <w:p>
      <w:pPr>
        <w:rPr>
          <w:rFonts w:ascii="仿宋_GB2312" w:eastAsia="仿宋_GB2312"/>
          <w:b/>
          <w:kern w:val="0"/>
          <w:sz w:val="32"/>
          <w:szCs w:val="32"/>
        </w:rPr>
      </w:pPr>
      <w:r>
        <w:rPr>
          <w:rFonts w:hint="eastAsia" w:ascii="仿宋_GB2312" w:eastAsia="仿宋_GB2312"/>
          <w:b/>
          <w:kern w:val="0"/>
          <w:sz w:val="32"/>
          <w:szCs w:val="32"/>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类别</w:t>
            </w:r>
          </w:p>
        </w:tc>
        <w:tc>
          <w:tcPr>
            <w:tcW w:w="91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900"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单价</w:t>
            </w:r>
          </w:p>
          <w:p>
            <w:pPr>
              <w:widowControl/>
              <w:ind w:right="-202" w:rightChars="-96"/>
              <w:jc w:val="center"/>
              <w:rPr>
                <w:rFonts w:ascii="仿宋_GB2312" w:hAnsi="宋体" w:eastAsia="仿宋_GB2312" w:cs="宋体"/>
                <w:b/>
                <w:bCs/>
                <w:kern w:val="0"/>
                <w:szCs w:val="21"/>
              </w:rPr>
            </w:pPr>
            <w:r>
              <w:rPr>
                <w:rFonts w:hint="eastAsia" w:ascii="仿宋_GB2312" w:hAnsi="宋体" w:eastAsia="仿宋_GB2312" w:cs="宋体"/>
                <w:b/>
                <w:kern w:val="0"/>
                <w:szCs w:val="21"/>
              </w:rPr>
              <w:t>元/</w:t>
            </w:r>
            <w:r>
              <w:rPr>
                <w:rFonts w:hint="eastAsia" w:ascii="仿宋_GB2312" w:hAnsi="宋体" w:cs="宋体"/>
                <w:b/>
                <w:kern w:val="0"/>
                <w:szCs w:val="21"/>
              </w:rPr>
              <w:t>㎡</w:t>
            </w:r>
          </w:p>
        </w:tc>
        <w:tc>
          <w:tcPr>
            <w:tcW w:w="6023"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主要特征</w:t>
            </w:r>
          </w:p>
        </w:tc>
        <w:tc>
          <w:tcPr>
            <w:tcW w:w="2061"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框架</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vAlign w:val="center"/>
          </w:tcPr>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1、屋顶为直接浇筑砼斜屋面的：有贴瓦的补价500元/</w:t>
            </w:r>
            <w:r>
              <w:rPr>
                <w:rFonts w:hint="eastAsia" w:ascii="宋体" w:hAnsi="宋体" w:cs="宋体"/>
                <w:kern w:val="0"/>
                <w:sz w:val="18"/>
                <w:szCs w:val="18"/>
              </w:rPr>
              <w:t>㎡</w:t>
            </w:r>
            <w:r>
              <w:rPr>
                <w:rFonts w:hint="eastAsia" w:ascii="仿宋_GB2312" w:hAnsi="仿宋_GB2312" w:eastAsia="仿宋_GB2312" w:cs="仿宋_GB2312"/>
                <w:kern w:val="0"/>
                <w:sz w:val="18"/>
                <w:szCs w:val="18"/>
              </w:rPr>
              <w:t>，未贴瓦的补价</w:t>
            </w:r>
            <w:r>
              <w:rPr>
                <w:rFonts w:hint="eastAsia" w:ascii="仿宋_GB2312" w:hAnsi="宋体" w:eastAsia="仿宋_GB2312" w:cs="宋体"/>
                <w:kern w:val="0"/>
                <w:sz w:val="18"/>
                <w:szCs w:val="18"/>
              </w:rPr>
              <w:t>350元/</w:t>
            </w:r>
            <w:r>
              <w:rPr>
                <w:rFonts w:hint="eastAsia" w:ascii="宋体" w:hAnsi="宋体" w:cs="宋体"/>
                <w:kern w:val="0"/>
                <w:sz w:val="18"/>
                <w:szCs w:val="18"/>
              </w:rPr>
              <w:t>㎡</w:t>
            </w:r>
            <w:r>
              <w:rPr>
                <w:rFonts w:hint="eastAsia" w:ascii="仿宋_GB2312" w:hAnsi="仿宋_GB2312" w:eastAsia="仿宋_GB2312" w:cs="仿宋_GB2312"/>
                <w:kern w:val="0"/>
                <w:sz w:val="18"/>
                <w:szCs w:val="18"/>
              </w:rPr>
              <w:t>；屋顶为砼板面再加斜屋面的：有贴瓦的补价</w:t>
            </w:r>
            <w:r>
              <w:rPr>
                <w:rFonts w:hint="eastAsia" w:ascii="仿宋_GB2312" w:hAnsi="宋体" w:eastAsia="仿宋_GB2312" w:cs="宋体"/>
                <w:kern w:val="0"/>
                <w:sz w:val="18"/>
                <w:szCs w:val="18"/>
              </w:rPr>
              <w:t>820元/</w:t>
            </w:r>
            <w:r>
              <w:rPr>
                <w:rFonts w:hint="eastAsia" w:ascii="宋体" w:hAnsi="宋体" w:cs="宋体"/>
                <w:kern w:val="0"/>
                <w:sz w:val="18"/>
                <w:szCs w:val="18"/>
              </w:rPr>
              <w:t>㎡</w:t>
            </w:r>
            <w:r>
              <w:rPr>
                <w:rFonts w:hint="eastAsia" w:ascii="仿宋_GB2312" w:hAnsi="仿宋_GB2312" w:eastAsia="仿宋_GB2312" w:cs="仿宋_GB2312"/>
                <w:kern w:val="0"/>
                <w:sz w:val="18"/>
                <w:szCs w:val="18"/>
              </w:rPr>
              <w:t>，未贴瓦的补价</w:t>
            </w:r>
            <w:r>
              <w:rPr>
                <w:rFonts w:hint="eastAsia" w:ascii="仿宋_GB2312" w:hAnsi="宋体" w:eastAsia="仿宋_GB2312" w:cs="宋体"/>
                <w:kern w:val="0"/>
                <w:sz w:val="18"/>
                <w:szCs w:val="18"/>
              </w:rPr>
              <w:t>670元/</w:t>
            </w:r>
            <w:r>
              <w:rPr>
                <w:rFonts w:hint="eastAsia" w:ascii="宋体" w:hAnsi="宋体" w:cs="宋体"/>
                <w:kern w:val="0"/>
                <w:sz w:val="18"/>
                <w:szCs w:val="18"/>
              </w:rPr>
              <w:t>㎡</w:t>
            </w:r>
            <w:r>
              <w:rPr>
                <w:rFonts w:hint="eastAsia" w:ascii="仿宋_GB2312" w:hAnsi="仿宋_GB2312" w:eastAsia="仿宋_GB2312" w:cs="仿宋_GB2312"/>
                <w:kern w:val="0"/>
                <w:sz w:val="18"/>
                <w:szCs w:val="18"/>
              </w:rPr>
              <w:t>。以上补价面积为顶层外墙体外轮廓线投影面积</w:t>
            </w:r>
            <w:r>
              <w:rPr>
                <w:rFonts w:hint="eastAsia" w:ascii="仿宋_GB2312" w:hAnsi="宋体" w:eastAsia="仿宋_GB2312" w:cs="宋体"/>
                <w:kern w:val="0"/>
                <w:sz w:val="18"/>
                <w:szCs w:val="18"/>
              </w:rPr>
              <w:t>。</w:t>
            </w:r>
          </w:p>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2、被征收房屋层高超过4米（含4米）的，</w:t>
            </w:r>
            <w:r>
              <w:rPr>
                <w:rFonts w:hint="eastAsia" w:ascii="仿宋_GB2312" w:hAnsi="宋体" w:eastAsia="仿宋_GB2312" w:cs="宋体"/>
                <w:kern w:val="0"/>
                <w:sz w:val="18"/>
                <w:szCs w:val="18"/>
                <w:lang w:eastAsia="zh-CN"/>
              </w:rPr>
              <w:t>选择货币补偿的，</w:t>
            </w:r>
            <w:r>
              <w:rPr>
                <w:rFonts w:hint="eastAsia" w:ascii="仿宋_GB2312" w:hAnsi="宋体" w:eastAsia="仿宋_GB2312" w:cs="宋体"/>
                <w:kern w:val="0"/>
                <w:sz w:val="18"/>
                <w:szCs w:val="18"/>
              </w:rPr>
              <w:t>重置价标准提高20%；被征收房屋层高超过6米（含6米）的，</w:t>
            </w:r>
            <w:r>
              <w:rPr>
                <w:rFonts w:hint="eastAsia" w:ascii="仿宋_GB2312" w:hAnsi="宋体" w:eastAsia="仿宋_GB2312" w:cs="宋体"/>
                <w:kern w:val="0"/>
                <w:sz w:val="18"/>
                <w:szCs w:val="18"/>
                <w:lang w:eastAsia="zh-CN"/>
              </w:rPr>
              <w:t>选择货币补偿的，</w:t>
            </w:r>
            <w:r>
              <w:rPr>
                <w:rFonts w:hint="eastAsia" w:ascii="仿宋_GB2312" w:hAnsi="宋体" w:eastAsia="仿宋_GB2312" w:cs="宋体"/>
                <w:kern w:val="0"/>
                <w:sz w:val="18"/>
                <w:szCs w:val="18"/>
              </w:rPr>
              <w:t>重置价标准提高40%；被征收房屋层高超过8米(含8米)的，</w:t>
            </w:r>
            <w:r>
              <w:rPr>
                <w:rFonts w:hint="eastAsia" w:ascii="仿宋_GB2312" w:hAnsi="宋体" w:eastAsia="仿宋_GB2312" w:cs="宋体"/>
                <w:kern w:val="0"/>
                <w:sz w:val="18"/>
                <w:szCs w:val="18"/>
                <w:lang w:eastAsia="zh-CN"/>
              </w:rPr>
              <w:t>选择货币补偿的，</w:t>
            </w:r>
            <w:r>
              <w:rPr>
                <w:rFonts w:hint="eastAsia" w:ascii="仿宋_GB2312" w:hAnsi="宋体" w:eastAsia="仿宋_GB2312" w:cs="宋体"/>
                <w:kern w:val="0"/>
                <w:sz w:val="18"/>
                <w:szCs w:val="18"/>
              </w:rPr>
              <w:t>重置价标准提高60%。</w:t>
            </w:r>
          </w:p>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3、被征收房屋外墙局部(至少一层外墙面以上或所有外墙角加窗门套补价100元/㎡；外墙满挂普通石材的补价200元/㎡；外墙满挂高档石材的补价350元/㎡。　</w:t>
            </w:r>
          </w:p>
          <w:p>
            <w:pPr>
              <w:widowControl/>
              <w:rPr>
                <w:rFonts w:ascii="仿宋_GB2312" w:hAnsi="宋体" w:eastAsia="仿宋_GB2312" w:cs="宋体"/>
                <w:kern w:val="0"/>
                <w:sz w:val="18"/>
                <w:szCs w:val="18"/>
              </w:rPr>
            </w:pPr>
            <w:r>
              <w:rPr>
                <w:rFonts w:hint="eastAsia" w:ascii="仿宋_GB2312" w:hAnsi="宋体" w:eastAsia="仿宋_GB2312" w:cs="宋体"/>
                <w:kern w:val="0"/>
                <w:sz w:val="18"/>
                <w:szCs w:val="18"/>
              </w:rPr>
              <w:t>4、框架结构房屋经现场沿三条边界挖掘不少于三处确认为孔桩基础的，按基底占地面积给予250元/㎡的补偿。</w:t>
            </w:r>
          </w:p>
          <w:p>
            <w:pPr>
              <w:rPr>
                <w:rFonts w:ascii="仿宋_GB2312" w:hAnsi="宋体" w:eastAsia="仿宋_GB2312" w:cs="宋体"/>
                <w:kern w:val="0"/>
                <w:sz w:val="24"/>
              </w:rPr>
            </w:pPr>
          </w:p>
          <w:p>
            <w:pPr>
              <w:rPr>
                <w:rFonts w:ascii="仿宋_GB2312" w:hAnsi="仿宋_GB2312" w:eastAsia="仿宋_GB2312" w:cs="仿宋_GB2312"/>
                <w:kern w:val="0"/>
                <w:sz w:val="18"/>
                <w:szCs w:val="18"/>
              </w:rPr>
            </w:pPr>
          </w:p>
          <w:p>
            <w:pPr>
              <w:widowControl/>
              <w:rPr>
                <w:rFonts w:ascii="仿宋_GB2312" w:hAnsi="宋体" w:eastAsia="仿宋_GB2312" w:cs="宋体"/>
                <w:kern w:val="0"/>
                <w:sz w:val="24"/>
              </w:rPr>
            </w:pPr>
            <w:r>
              <w:rPr>
                <w:rFonts w:hint="eastAsia" w:ascii="仿宋_GB2312" w:hAnsi="宋体" w:eastAsia="仿宋_GB2312" w:cs="宋体"/>
                <w:kern w:val="0"/>
                <w:sz w:val="24"/>
              </w:rPr>
              <w:t>　</w:t>
            </w:r>
          </w:p>
          <w:p>
            <w:pPr>
              <w:widowControl/>
              <w:rPr>
                <w:rFonts w:ascii="仿宋_GB2312" w:hAnsi="宋体" w:eastAsia="仿宋_GB2312" w:cs="宋体"/>
                <w:kern w:val="0"/>
                <w:sz w:val="24"/>
              </w:rPr>
            </w:pPr>
            <w:r>
              <w:rPr>
                <w:rFonts w:hint="eastAsia" w:ascii="仿宋_GB2312" w:hAnsi="宋体" w:eastAsia="仿宋_GB2312" w:cs="宋体"/>
                <w:kern w:val="0"/>
                <w:sz w:val="24"/>
              </w:rPr>
              <w:t>　</w:t>
            </w:r>
          </w:p>
          <w:p>
            <w:pPr>
              <w:rPr>
                <w:rFonts w:ascii="仿宋_GB2312" w:hAnsi="仿宋_GB2312" w:eastAsia="仿宋_GB2312" w:cs="仿宋_GB2312"/>
                <w:kern w:val="0"/>
                <w:sz w:val="18"/>
                <w:szCs w:val="18"/>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外墙部分条砖贴面、砌清水砖或同档次外墙饰面；铝合金门窗、胶合板门。</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外墙水泥砂浆抹面，未做饰面；胶合板门，铝合金窗。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外墙无装修，无水泥砂浆抹面；胶合板门，铝合金窗，木窗。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只完成主体工程并填充内外墙（无门窗）。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砖混</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外墙三面以上条砖贴面或清水砖或同档次外墙饰面；铝合金门窗、胶合板门。</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外墙部分条砖贴面或清水砖或同档次外墙饰面；铝合金门窗、胶合板门。</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外墙水泥砂浆抹面，未做饰面；胶合板门，铝合金窗。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外墙无装修，无水泥砂浆抹面；胶合板门，铝合金窗（小部分木窗）。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只完成主体工程（尚未安装门窗）。</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石混</w:t>
            </w:r>
          </w:p>
          <w:p>
            <w:pPr>
              <w:widowControl/>
              <w:jc w:val="center"/>
              <w:rPr>
                <w:rFonts w:ascii="仿宋_GB2312" w:hAnsi="宋体" w:eastAsia="仿宋_GB2312" w:cs="宋体"/>
                <w:kern w:val="0"/>
                <w:sz w:val="24"/>
              </w:rPr>
            </w:pPr>
            <w:r>
              <w:rPr>
                <w:rFonts w:hint="eastAsia" w:ascii="仿宋_GB2312" w:hAnsi="宋体" w:eastAsia="仿宋_GB2312" w:cs="宋体"/>
                <w:kern w:val="0"/>
                <w:sz w:val="24"/>
              </w:rPr>
              <w:t>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710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680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外墙为方整石厚24cm承重，毛条石基础，钢筋砼楼、屋盖，楼层二层或二层以上。</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外墙厚45cm承重，乱毛石基础，钢筋砼楼、屋盖。</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石、石木结构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610</w:t>
            </w:r>
          </w:p>
        </w:tc>
        <w:tc>
          <w:tcPr>
            <w:tcW w:w="6023" w:type="dxa"/>
            <w:tcBorders>
              <w:top w:val="nil"/>
              <w:left w:val="nil"/>
              <w:bottom w:val="nil"/>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外墙厚45cm承重，乱毛石基础，石、木瓦屋面，木基层。</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580</w:t>
            </w:r>
          </w:p>
        </w:tc>
        <w:tc>
          <w:tcPr>
            <w:tcW w:w="6023" w:type="dxa"/>
            <w:tcBorders>
              <w:top w:val="single" w:color="auto" w:sz="8" w:space="0"/>
              <w:left w:val="nil"/>
              <w:bottom w:val="nil"/>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外墙方整石厚24cm承重，乱毛石基础，石、木瓦屋面，木基层。</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木结构</w:t>
            </w:r>
          </w:p>
        </w:tc>
        <w:tc>
          <w:tcPr>
            <w:tcW w:w="916" w:type="dxa"/>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1000</w:t>
            </w:r>
          </w:p>
        </w:tc>
        <w:tc>
          <w:tcPr>
            <w:tcW w:w="6023" w:type="dxa"/>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旧式(五或七落柱)排架扇,木瓦屋面,木基层,条石架井柱基,板壁,部分抹灰假墙。</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砖木结构</w:t>
            </w: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24 cm 墙承重,毛条石基础,普通人字形屋架,木瓦屋面,木基层,木楼盖。</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widowControl/>
              <w:rPr>
                <w:rFonts w:ascii="仿宋_GB2312" w:hAnsi="宋体" w:eastAsia="仿宋_GB2312" w:cs="宋体"/>
                <w:kern w:val="0"/>
                <w:sz w:val="24"/>
              </w:rPr>
            </w:pPr>
          </w:p>
        </w:tc>
        <w:tc>
          <w:tcPr>
            <w:tcW w:w="916"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山墙厚18 cm 或18 cm 以下,山墙搁檩,毛条石基础,木瓦屋面,木基层。 </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土木结构</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450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外墙面正面清水砖，梁柱用材较好，木隔断，门窗齐全。</w:t>
            </w:r>
          </w:p>
        </w:tc>
        <w:tc>
          <w:tcPr>
            <w:tcW w:w="2061" w:type="dxa"/>
            <w:vMerge w:val="continue"/>
            <w:tcBorders>
              <w:left w:val="single" w:color="auto" w:sz="8" w:space="0"/>
              <w:right w:val="single" w:color="auto" w:sz="8" w:space="0"/>
            </w:tcBorders>
            <w:vAlign w:val="center"/>
          </w:tcPr>
          <w:p>
            <w:pPr>
              <w:rPr>
                <w:rFonts w:ascii="仿宋_GB2312" w:hAnsi="宋体" w:eastAsia="仿宋_GB2312" w:cs="宋体"/>
                <w:kern w:val="0"/>
                <w:sz w:val="24"/>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简易结构</w:t>
            </w:r>
          </w:p>
        </w:tc>
        <w:tc>
          <w:tcPr>
            <w:tcW w:w="900"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300</w:t>
            </w:r>
          </w:p>
        </w:tc>
        <w:tc>
          <w:tcPr>
            <w:tcW w:w="6023"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vAlign w:val="center"/>
          </w:tcPr>
          <w:p>
            <w:pPr>
              <w:widowControl/>
              <w:rPr>
                <w:rFonts w:ascii="仿宋_GB2312" w:hAnsi="宋体" w:eastAsia="仿宋_GB2312" w:cs="宋体"/>
                <w:kern w:val="0"/>
                <w:sz w:val="24"/>
              </w:rPr>
            </w:pPr>
          </w:p>
        </w:tc>
      </w:tr>
    </w:tbl>
    <w:p>
      <w:pPr>
        <w:rPr>
          <w:rFonts w:ascii="仿宋_GB2312" w:eastAsia="仿宋_GB2312"/>
          <w:b/>
          <w:kern w:val="0"/>
          <w:sz w:val="32"/>
          <w:szCs w:val="32"/>
        </w:rPr>
      </w:pPr>
      <w:r>
        <w:rPr>
          <w:rFonts w:hint="eastAsia" w:ascii="仿宋_GB2312" w:eastAsia="仿宋_GB2312"/>
          <w:b/>
          <w:kern w:val="0"/>
          <w:sz w:val="32"/>
          <w:szCs w:val="32"/>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932"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成新率</w:t>
            </w:r>
          </w:p>
        </w:tc>
        <w:tc>
          <w:tcPr>
            <w:tcW w:w="7345" w:type="dxa"/>
            <w:tcBorders>
              <w:top w:val="single" w:color="auto" w:sz="8" w:space="0"/>
              <w:left w:val="nil"/>
              <w:bottom w:val="single" w:color="auto"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1-5</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95%</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6-10</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11-20</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85%</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能正常使用，房屋使用年限</w:t>
            </w:r>
            <w:r>
              <w:rPr>
                <w:rFonts w:eastAsia="仿宋_GB2312"/>
                <w:kern w:val="0"/>
                <w:sz w:val="24"/>
              </w:rPr>
              <w:t>21-30</w:t>
            </w:r>
            <w:r>
              <w:rPr>
                <w:rFonts w:hint="eastAsia" w:ascii="仿宋_GB2312" w:hAnsi="宋体" w:eastAsia="仿宋_GB2312" w:cs="宋体"/>
                <w:kern w:val="0"/>
                <w:sz w:val="24"/>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尚能正常使用，房屋使用年限</w:t>
            </w:r>
            <w:r>
              <w:rPr>
                <w:rFonts w:eastAsia="仿宋_GB2312"/>
                <w:kern w:val="0"/>
                <w:sz w:val="24"/>
              </w:rPr>
              <w:t>30</w:t>
            </w:r>
            <w:r>
              <w:rPr>
                <w:rFonts w:hint="eastAsia" w:ascii="仿宋_GB2312" w:hAnsi="宋体" w:eastAsia="仿宋_GB2312" w:cs="宋体"/>
                <w:kern w:val="0"/>
                <w:sz w:val="24"/>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六等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七等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不能正常使用，房屋年久失修，结构有明显变形或损坏，屋面严重漏雨</w:t>
            </w:r>
            <w:r>
              <w:rPr>
                <w:rFonts w:eastAsia="仿宋_GB2312"/>
                <w:kern w:val="0"/>
                <w:sz w:val="24"/>
              </w:rPr>
              <w:t xml:space="preserve"> </w:t>
            </w:r>
            <w:r>
              <w:rPr>
                <w:rFonts w:hint="eastAsia" w:ascii="仿宋_GB2312" w:hAnsi="宋体" w:eastAsia="仿宋_GB2312" w:cs="宋体"/>
                <w:kern w:val="0"/>
                <w:sz w:val="24"/>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八等</w:t>
            </w:r>
          </w:p>
        </w:tc>
        <w:tc>
          <w:tcPr>
            <w:tcW w:w="932"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7345" w:type="dxa"/>
            <w:tcBorders>
              <w:top w:val="nil"/>
              <w:left w:val="nil"/>
              <w:bottom w:val="single" w:color="auto" w:sz="8" w:space="0"/>
              <w:right w:val="single" w:color="auto" w:sz="8"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承重构件已属危险构件，结构丧失稳定及承载能力，随时有倒塌可能，不能确保住用安全。（危险房）</w:t>
            </w:r>
          </w:p>
        </w:tc>
      </w:tr>
    </w:tbl>
    <w:p>
      <w:pPr>
        <w:pStyle w:val="2"/>
        <w:shd w:val="clear" w:color="auto" w:fill="auto"/>
        <w:spacing w:after="0" w:line="600" w:lineRule="exact"/>
        <w:jc w:val="both"/>
        <w:rPr>
          <w:rFonts w:ascii="仿宋_GB2312" w:eastAsia="仿宋_GB2312"/>
          <w:b/>
          <w:sz w:val="32"/>
          <w:szCs w:val="32"/>
        </w:rPr>
      </w:pPr>
    </w:p>
    <w:p>
      <w:pPr>
        <w:pStyle w:val="2"/>
        <w:shd w:val="clear" w:color="auto" w:fill="auto"/>
        <w:spacing w:after="0" w:line="600" w:lineRule="exact"/>
        <w:jc w:val="both"/>
        <w:rPr>
          <w:rFonts w:ascii="仿宋_GB2312" w:eastAsia="仿宋_GB2312"/>
          <w:b/>
          <w:sz w:val="32"/>
          <w:szCs w:val="32"/>
          <w:lang w:val="zh-CN"/>
        </w:rPr>
      </w:pPr>
      <w:r>
        <w:rPr>
          <w:rFonts w:hint="eastAsia" w:ascii="仿宋_GB2312" w:eastAsia="仿宋_GB2312"/>
          <w:b/>
          <w:sz w:val="32"/>
          <w:szCs w:val="32"/>
        </w:rPr>
        <w:t>附表三 房屋二次</w:t>
      </w:r>
      <w:r>
        <w:rPr>
          <w:rFonts w:hint="eastAsia" w:ascii="仿宋_GB2312" w:eastAsia="仿宋_GB2312"/>
          <w:b/>
          <w:sz w:val="32"/>
          <w:szCs w:val="32"/>
          <w:lang w:val="zh-CN"/>
        </w:rPr>
        <w:t>装修重置价标准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档次</w:t>
            </w:r>
          </w:p>
        </w:tc>
        <w:tc>
          <w:tcPr>
            <w:tcW w:w="985"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单价</w:t>
            </w:r>
          </w:p>
          <w:p>
            <w:pPr>
              <w:widowControl/>
              <w:ind w:firstLine="103" w:firstLineChars="49"/>
              <w:jc w:val="center"/>
              <w:rPr>
                <w:rFonts w:ascii="仿宋_GB2312" w:hAnsi="宋体" w:eastAsia="仿宋_GB2312" w:cs="宋体"/>
                <w:b/>
                <w:bCs/>
                <w:kern w:val="0"/>
                <w:szCs w:val="21"/>
              </w:rPr>
            </w:pPr>
            <w:r>
              <w:rPr>
                <w:rFonts w:hint="eastAsia" w:ascii="仿宋_GB2312" w:hAnsi="宋体" w:eastAsia="仿宋_GB2312" w:cs="宋体"/>
                <w:b/>
                <w:kern w:val="0"/>
                <w:szCs w:val="21"/>
              </w:rPr>
              <w:t>元/</w:t>
            </w:r>
            <w:r>
              <w:rPr>
                <w:rFonts w:hint="eastAsia" w:ascii="仿宋_GB2312" w:hAnsi="宋体" w:cs="宋体"/>
                <w:b/>
                <w:kern w:val="0"/>
                <w:szCs w:val="21"/>
              </w:rPr>
              <w:t>㎡</w:t>
            </w:r>
          </w:p>
        </w:tc>
        <w:tc>
          <w:tcPr>
            <w:tcW w:w="7652" w:type="dxa"/>
            <w:vMerge w:val="restart"/>
            <w:tcBorders>
              <w:top w:val="single" w:color="auto" w:sz="8" w:space="0"/>
              <w:left w:val="single" w:color="auto" w:sz="8" w:space="0"/>
              <w:bottom w:val="single" w:color="000000" w:sz="8" w:space="0"/>
              <w:right w:val="single" w:color="000000"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985" w:type="dxa"/>
            <w:vMerge w:val="continue"/>
            <w:tcBorders>
              <w:top w:val="single" w:color="auto" w:sz="8" w:space="0"/>
              <w:left w:val="single" w:color="auto" w:sz="8" w:space="0"/>
              <w:bottom w:val="single" w:color="000000" w:sz="8" w:space="0"/>
              <w:right w:val="single" w:color="auto" w:sz="8" w:space="0"/>
            </w:tcBorders>
            <w:vAlign w:val="center"/>
          </w:tcPr>
          <w:p>
            <w:pPr>
              <w:widowControl/>
              <w:rPr>
                <w:rFonts w:ascii="仿宋_GB2312" w:hAnsi="宋体" w:eastAsia="仿宋_GB2312" w:cs="宋体"/>
                <w:b/>
                <w:bCs/>
                <w:kern w:val="0"/>
                <w:szCs w:val="21"/>
              </w:rPr>
            </w:pPr>
          </w:p>
        </w:tc>
        <w:tc>
          <w:tcPr>
            <w:tcW w:w="7652" w:type="dxa"/>
            <w:vMerge w:val="continue"/>
            <w:tcBorders>
              <w:top w:val="single" w:color="auto" w:sz="8" w:space="0"/>
              <w:left w:val="single" w:color="auto" w:sz="8" w:space="0"/>
              <w:bottom w:val="single" w:color="000000" w:sz="8" w:space="0"/>
              <w:right w:val="single" w:color="000000" w:sz="8" w:space="0"/>
            </w:tcBorders>
            <w:vAlign w:val="center"/>
          </w:tcPr>
          <w:p>
            <w:pPr>
              <w:widowControl/>
              <w:rPr>
                <w:rFonts w:ascii="仿宋_GB2312" w:hAnsi="宋体" w:eastAsia="仿宋_GB2312" w:cs="宋体"/>
                <w:b/>
                <w:bCs/>
                <w:kern w:val="0"/>
                <w:szCs w:val="21"/>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一档</w:t>
            </w:r>
          </w:p>
        </w:tc>
        <w:tc>
          <w:tcPr>
            <w:tcW w:w="985" w:type="dxa"/>
            <w:tcBorders>
              <w:top w:val="nil"/>
              <w:left w:val="nil"/>
              <w:bottom w:val="single" w:color="auto" w:sz="8" w:space="0"/>
              <w:right w:val="nil"/>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900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hint="eastAsia" w:ascii="仿宋_GB2312" w:hAnsi="宋体" w:eastAsia="仿宋_GB2312" w:cs="宋体"/>
                <w:kern w:val="0"/>
                <w:sz w:val="24"/>
                <w:lang w:eastAsia="zh-CN"/>
              </w:rPr>
            </w:pPr>
            <w:r>
              <w:rPr>
                <w:rFonts w:hint="eastAsia" w:ascii="仿宋_GB2312" w:hAnsi="宋体" w:eastAsia="仿宋_GB2312" w:cs="宋体"/>
                <w:kern w:val="0"/>
                <w:sz w:val="24"/>
              </w:rPr>
              <w:t>地面为豪华高级花岗岩、高级缸砖、瓷砖踢脚线(木质踢脚线);内墙面为ICI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电；楼梯高级实木扶手或不锈钢扶手，高级花岗岩或高级缸砖踏步。同时具备以下装修情形的可补价200元/㎡：厨房设置集成橱柜、电视背景墙挂石或镶木、楼梯踏步铺设实木地板、卫生间设置名牌浴缸，按实际装修对应的层数相应的建筑面积计算</w:t>
            </w:r>
            <w:r>
              <w:rPr>
                <w:rFonts w:hint="eastAsia" w:ascii="仿宋_GB2312" w:hAnsi="宋体" w:eastAsia="仿宋_GB2312" w:cs="宋体"/>
                <w:kern w:val="0"/>
                <w:sz w:val="24"/>
                <w:lang w:eastAsia="zh-CN"/>
              </w:rPr>
              <w:t>，该项补偿需由镇街党政联席会议研究通过。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二档</w:t>
            </w:r>
          </w:p>
        </w:tc>
        <w:tc>
          <w:tcPr>
            <w:tcW w:w="985" w:type="dxa"/>
            <w:tcBorders>
              <w:top w:val="nil"/>
              <w:left w:val="nil"/>
              <w:bottom w:val="single" w:color="auto" w:sz="8" w:space="0"/>
              <w:right w:val="nil"/>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800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hint="eastAsia" w:ascii="仿宋_GB2312" w:hAnsi="宋体" w:eastAsia="仿宋_GB2312" w:cs="宋体"/>
                <w:kern w:val="0"/>
                <w:sz w:val="24"/>
              </w:rPr>
            </w:pPr>
            <w:r>
              <w:rPr>
                <w:rFonts w:hint="eastAsia" w:ascii="仿宋_GB2312" w:hAnsi="宋体" w:eastAsia="仿宋_GB2312" w:cs="宋体"/>
                <w:kern w:val="0"/>
                <w:sz w:val="24"/>
              </w:rPr>
              <w:t>地面为豪华高级花岗岩、缸砖、木地板,瓷砖踢脚线(木质踢脚线);内墙面为ICI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三档</w:t>
            </w:r>
          </w:p>
        </w:tc>
        <w:tc>
          <w:tcPr>
            <w:tcW w:w="985" w:type="dxa"/>
            <w:tcBorders>
              <w:top w:val="nil"/>
              <w:left w:val="nil"/>
              <w:bottom w:val="single" w:color="auto" w:sz="8" w:space="0"/>
              <w:right w:val="nil"/>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700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入户门为防盗门，地面为高级花岗岩、缸砖，瓷砖踢脚线</w:t>
            </w:r>
            <w:r>
              <w:rPr>
                <w:rFonts w:ascii="仿宋_GB2312" w:hAnsi="宋体" w:eastAsia="仿宋_GB2312" w:cs="宋体"/>
                <w:kern w:val="0"/>
                <w:sz w:val="24"/>
              </w:rPr>
              <w:t>(</w:t>
            </w:r>
            <w:r>
              <w:rPr>
                <w:rFonts w:hint="eastAsia" w:ascii="仿宋_GB2312" w:hAnsi="宋体" w:eastAsia="仿宋_GB2312" w:cs="宋体"/>
                <w:kern w:val="0"/>
                <w:sz w:val="24"/>
              </w:rPr>
              <w:t>木质踢脚线</w:t>
            </w:r>
            <w:r>
              <w:rPr>
                <w:rFonts w:ascii="仿宋_GB2312" w:hAnsi="宋体" w:eastAsia="仿宋_GB2312" w:cs="宋体"/>
                <w:kern w:val="0"/>
                <w:sz w:val="24"/>
              </w:rPr>
              <w:t>);</w:t>
            </w:r>
            <w:r>
              <w:rPr>
                <w:rFonts w:hint="eastAsia" w:ascii="仿宋_GB2312" w:hAnsi="宋体" w:eastAsia="仿宋_GB2312" w:cs="宋体"/>
                <w:kern w:val="0"/>
                <w:sz w:val="24"/>
              </w:rPr>
              <w:t>内墙面为</w:t>
            </w:r>
            <w:r>
              <w:rPr>
                <w:rFonts w:ascii="仿宋_GB2312" w:hAnsi="宋体" w:eastAsia="仿宋_GB2312" w:cs="宋体"/>
                <w:kern w:val="0"/>
                <w:sz w:val="24"/>
              </w:rPr>
              <w:t>ICI</w:t>
            </w:r>
            <w:r>
              <w:rPr>
                <w:rFonts w:hint="eastAsia" w:ascii="仿宋_GB2312" w:hAnsi="宋体" w:eastAsia="仿宋_GB2312" w:cs="宋体"/>
                <w:kern w:val="0"/>
                <w:sz w:val="24"/>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ascii="仿宋_GB2312" w:hAnsi="宋体" w:eastAsia="仿宋_GB2312" w:cs="宋体"/>
                <w:kern w:val="0"/>
                <w:sz w:val="24"/>
              </w:rPr>
              <w:t>;</w:t>
            </w:r>
            <w:r>
              <w:rPr>
                <w:rFonts w:hint="eastAsia" w:ascii="仿宋_GB2312" w:hAnsi="宋体" w:eastAsia="仿宋_GB2312" w:cs="宋体"/>
                <w:kern w:val="0"/>
                <w:sz w:val="24"/>
              </w:rPr>
              <w:t>卫生间磁砖地板，磁砖贴内墙面，吊顶，卫生洁具（带有不可移动卫浴）；电话、电视、对讲等预埋管、线、盒、出线座等弱电；楼梯实木扶手或不锈钢扶手</w:t>
            </w:r>
            <w:r>
              <w:rPr>
                <w:rFonts w:ascii="仿宋_GB2312" w:hAnsi="宋体" w:eastAsia="仿宋_GB2312" w:cs="宋体"/>
                <w:kern w:val="0"/>
                <w:sz w:val="24"/>
              </w:rPr>
              <w:t>,</w:t>
            </w:r>
            <w:r>
              <w:rPr>
                <w:rFonts w:hint="eastAsia" w:ascii="仿宋_GB2312" w:hAnsi="宋体" w:eastAsia="仿宋_GB2312" w:cs="宋体"/>
                <w:kern w:val="0"/>
                <w:sz w:val="24"/>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四档</w:t>
            </w:r>
          </w:p>
        </w:tc>
        <w:tc>
          <w:tcPr>
            <w:tcW w:w="985" w:type="dxa"/>
            <w:tcBorders>
              <w:top w:val="nil"/>
              <w:left w:val="nil"/>
              <w:bottom w:val="single" w:color="auto" w:sz="8" w:space="0"/>
              <w:right w:val="nil"/>
            </w:tcBorders>
            <w:vAlign w:val="center"/>
          </w:tcPr>
          <w:p>
            <w:pPr>
              <w:widowControl/>
              <w:spacing w:line="300" w:lineRule="exact"/>
              <w:ind w:firstLine="120" w:firstLineChars="50"/>
              <w:jc w:val="center"/>
              <w:rPr>
                <w:rFonts w:ascii="仿宋_GB2312" w:hAnsi="宋体" w:eastAsia="仿宋_GB2312" w:cs="宋体"/>
                <w:kern w:val="0"/>
                <w:sz w:val="24"/>
              </w:rPr>
            </w:pPr>
            <w:r>
              <w:rPr>
                <w:rFonts w:hint="eastAsia" w:ascii="仿宋_GB2312" w:hAnsi="宋体" w:eastAsia="仿宋_GB2312" w:cs="宋体"/>
                <w:kern w:val="0"/>
                <w:sz w:val="24"/>
              </w:rPr>
              <w:t>600</w:t>
            </w:r>
          </w:p>
        </w:tc>
        <w:tc>
          <w:tcPr>
            <w:tcW w:w="7652" w:type="dxa"/>
            <w:tcBorders>
              <w:top w:val="nil"/>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入户门为防盗门，地面为高级花岗岩或缸砖；瓷砖踢脚线，内墙面为</w:t>
            </w:r>
            <w:r>
              <w:rPr>
                <w:rFonts w:ascii="仿宋_GB2312" w:hAnsi="宋体" w:eastAsia="仿宋_GB2312" w:cs="宋体"/>
                <w:kern w:val="0"/>
                <w:sz w:val="24"/>
              </w:rPr>
              <w:t>ICI</w:t>
            </w:r>
            <w:r>
              <w:rPr>
                <w:rFonts w:hint="eastAsia" w:ascii="仿宋_GB2312" w:hAnsi="宋体" w:eastAsia="仿宋_GB2312" w:cs="宋体"/>
                <w:kern w:val="0"/>
                <w:sz w:val="24"/>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五档</w:t>
            </w:r>
          </w:p>
        </w:tc>
        <w:tc>
          <w:tcPr>
            <w:tcW w:w="98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firstLine="120" w:firstLineChars="50"/>
              <w:jc w:val="center"/>
              <w:rPr>
                <w:rFonts w:ascii="仿宋_GB2312" w:hAnsi="宋体" w:eastAsia="仿宋_GB2312" w:cs="宋体"/>
                <w:kern w:val="0"/>
                <w:sz w:val="24"/>
              </w:rPr>
            </w:pPr>
            <w:r>
              <w:rPr>
                <w:rFonts w:hint="eastAsia" w:ascii="仿宋_GB2312" w:hAnsi="宋体" w:eastAsia="仿宋_GB2312" w:cs="宋体"/>
                <w:kern w:val="0"/>
                <w:sz w:val="24"/>
              </w:rPr>
              <w:t>500</w:t>
            </w:r>
          </w:p>
        </w:tc>
        <w:tc>
          <w:tcPr>
            <w:tcW w:w="7652"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入户门为防盗门，地面为中档花岗岩或缸砖；瓷砖踢脚线，内墙面为</w:t>
            </w:r>
            <w:r>
              <w:rPr>
                <w:rFonts w:ascii="仿宋_GB2312" w:hAnsi="宋体" w:eastAsia="仿宋_GB2312" w:cs="宋体"/>
                <w:kern w:val="0"/>
                <w:sz w:val="24"/>
              </w:rPr>
              <w:t>ICI</w:t>
            </w:r>
            <w:r>
              <w:rPr>
                <w:rFonts w:hint="eastAsia" w:ascii="仿宋_GB2312" w:hAnsi="宋体" w:eastAsia="仿宋_GB2312" w:cs="宋体"/>
                <w:kern w:val="0"/>
                <w:sz w:val="24"/>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六档</w:t>
            </w:r>
          </w:p>
        </w:tc>
        <w:tc>
          <w:tcPr>
            <w:tcW w:w="985" w:type="dxa"/>
            <w:tcBorders>
              <w:top w:val="single" w:color="auto" w:sz="8" w:space="0"/>
              <w:left w:val="single" w:color="auto" w:sz="8" w:space="0"/>
              <w:bottom w:val="single" w:color="auto" w:sz="8" w:space="0"/>
              <w:right w:val="single" w:color="auto" w:sz="8" w:space="0"/>
            </w:tcBorders>
            <w:vAlign w:val="center"/>
          </w:tcPr>
          <w:p>
            <w:pPr>
              <w:widowControl/>
              <w:spacing w:line="300" w:lineRule="exact"/>
              <w:ind w:firstLine="120" w:firstLineChars="50"/>
              <w:jc w:val="center"/>
              <w:rPr>
                <w:rFonts w:ascii="仿宋_GB2312" w:hAnsi="宋体" w:eastAsia="仿宋_GB2312" w:cs="宋体"/>
                <w:kern w:val="0"/>
                <w:sz w:val="24"/>
              </w:rPr>
            </w:pPr>
            <w:r>
              <w:rPr>
                <w:rFonts w:hint="eastAsia" w:ascii="仿宋_GB2312" w:hAnsi="宋体" w:eastAsia="仿宋_GB2312" w:cs="宋体"/>
                <w:kern w:val="0"/>
                <w:sz w:val="24"/>
              </w:rPr>
              <w:t>400</w:t>
            </w:r>
          </w:p>
        </w:tc>
        <w:tc>
          <w:tcPr>
            <w:tcW w:w="7652" w:type="dxa"/>
            <w:tcBorders>
              <w:top w:val="single" w:color="auto" w:sz="8" w:space="0"/>
              <w:left w:val="single" w:color="auto" w:sz="8" w:space="0"/>
              <w:bottom w:val="single" w:color="auto" w:sz="8" w:space="0"/>
              <w:right w:val="single" w:color="auto"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入户门为防盗门，地面为中档花岗岩或缸砖；瓷砖踢脚线</w:t>
            </w:r>
            <w:r>
              <w:rPr>
                <w:rFonts w:ascii="仿宋_GB2312" w:hAnsi="宋体" w:eastAsia="仿宋_GB2312" w:cs="宋体"/>
                <w:kern w:val="0"/>
                <w:sz w:val="24"/>
              </w:rPr>
              <w:t>;</w:t>
            </w:r>
            <w:r>
              <w:rPr>
                <w:rFonts w:hint="eastAsia" w:ascii="仿宋_GB2312" w:hAnsi="宋体" w:eastAsia="仿宋_GB2312" w:cs="宋体"/>
                <w:kern w:val="0"/>
                <w:sz w:val="24"/>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七档</w:t>
            </w:r>
          </w:p>
        </w:tc>
        <w:tc>
          <w:tcPr>
            <w:tcW w:w="985" w:type="dxa"/>
            <w:tcBorders>
              <w:top w:val="single" w:color="auto" w:sz="8" w:space="0"/>
              <w:left w:val="nil"/>
              <w:bottom w:val="single" w:color="auto" w:sz="8" w:space="0"/>
              <w:right w:val="nil"/>
            </w:tcBorders>
            <w:vAlign w:val="center"/>
          </w:tcPr>
          <w:p>
            <w:pPr>
              <w:widowControl/>
              <w:spacing w:line="300" w:lineRule="exact"/>
              <w:ind w:firstLine="120" w:firstLineChars="50"/>
              <w:jc w:val="center"/>
              <w:rPr>
                <w:rFonts w:ascii="仿宋_GB2312" w:hAnsi="宋体" w:eastAsia="仿宋_GB2312" w:cs="宋体"/>
                <w:kern w:val="0"/>
                <w:sz w:val="24"/>
              </w:rPr>
            </w:pPr>
            <w:r>
              <w:rPr>
                <w:rFonts w:hint="eastAsia" w:ascii="仿宋_GB2312" w:hAnsi="宋体" w:eastAsia="仿宋_GB2312" w:cs="宋体"/>
                <w:kern w:val="0"/>
                <w:sz w:val="24"/>
              </w:rPr>
              <w:t>300</w:t>
            </w:r>
          </w:p>
        </w:tc>
        <w:tc>
          <w:tcPr>
            <w:tcW w:w="7652" w:type="dxa"/>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八档</w:t>
            </w:r>
          </w:p>
        </w:tc>
        <w:tc>
          <w:tcPr>
            <w:tcW w:w="985" w:type="dxa"/>
            <w:tcBorders>
              <w:top w:val="single" w:color="auto" w:sz="8" w:space="0"/>
              <w:left w:val="nil"/>
              <w:bottom w:val="single" w:color="auto" w:sz="8" w:space="0"/>
              <w:right w:val="nil"/>
            </w:tcBorders>
            <w:vAlign w:val="center"/>
          </w:tcPr>
          <w:p>
            <w:pPr>
              <w:widowControl/>
              <w:spacing w:line="300" w:lineRule="exact"/>
              <w:ind w:firstLine="120" w:firstLineChars="50"/>
              <w:jc w:val="center"/>
              <w:rPr>
                <w:rFonts w:ascii="仿宋_GB2312" w:hAnsi="宋体" w:eastAsia="仿宋_GB2312" w:cs="宋体"/>
                <w:kern w:val="0"/>
                <w:sz w:val="24"/>
              </w:rPr>
            </w:pPr>
            <w:r>
              <w:rPr>
                <w:rFonts w:hint="eastAsia" w:ascii="仿宋_GB2312" w:hAnsi="宋体" w:eastAsia="仿宋_GB2312" w:cs="宋体"/>
                <w:kern w:val="0"/>
                <w:sz w:val="24"/>
              </w:rPr>
              <w:t>200</w:t>
            </w:r>
          </w:p>
        </w:tc>
        <w:tc>
          <w:tcPr>
            <w:tcW w:w="7652" w:type="dxa"/>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地面为普通瓷砖；厅后墙贴瓷砖</w:t>
            </w:r>
            <w:r>
              <w:rPr>
                <w:rFonts w:ascii="仿宋_GB2312" w:hAnsi="宋体" w:eastAsia="仿宋_GB2312" w:cs="宋体"/>
                <w:kern w:val="0"/>
                <w:sz w:val="24"/>
              </w:rPr>
              <w:t>,</w:t>
            </w:r>
            <w:r>
              <w:rPr>
                <w:rFonts w:hint="eastAsia" w:ascii="仿宋_GB2312" w:hAnsi="宋体" w:eastAsia="仿宋_GB2312" w:cs="宋体"/>
                <w:kern w:val="0"/>
                <w:sz w:val="24"/>
              </w:rPr>
              <w:t>墙面部分贴瓷砖</w:t>
            </w:r>
            <w:r>
              <w:rPr>
                <w:rFonts w:ascii="仿宋_GB2312" w:hAnsi="宋体" w:eastAsia="仿宋_GB2312" w:cs="宋体"/>
                <w:kern w:val="0"/>
                <w:sz w:val="24"/>
              </w:rPr>
              <w:t>,</w:t>
            </w:r>
            <w:r>
              <w:rPr>
                <w:rFonts w:hint="eastAsia" w:ascii="仿宋_GB2312" w:hAnsi="宋体" w:eastAsia="仿宋_GB2312" w:cs="宋体"/>
                <w:kern w:val="0"/>
                <w:sz w:val="24"/>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vAlign w:val="center"/>
          </w:tcPr>
          <w:p>
            <w:pPr>
              <w:widowControl/>
              <w:spacing w:line="300" w:lineRule="exact"/>
              <w:jc w:val="center"/>
              <w:rPr>
                <w:rFonts w:ascii="仿宋_GB2312" w:hAnsi="宋体" w:eastAsia="仿宋_GB2312" w:cs="宋体"/>
                <w:kern w:val="0"/>
                <w:sz w:val="24"/>
              </w:rPr>
            </w:pPr>
            <w:r>
              <w:rPr>
                <w:rFonts w:hint="eastAsia" w:ascii="仿宋_GB2312" w:hAnsi="宋体" w:eastAsia="仿宋_GB2312" w:cs="宋体"/>
                <w:kern w:val="0"/>
                <w:sz w:val="24"/>
              </w:rPr>
              <w:t>九档</w:t>
            </w:r>
          </w:p>
        </w:tc>
        <w:tc>
          <w:tcPr>
            <w:tcW w:w="985" w:type="dxa"/>
            <w:tcBorders>
              <w:top w:val="single" w:color="auto" w:sz="8" w:space="0"/>
              <w:left w:val="nil"/>
              <w:bottom w:val="single" w:color="auto" w:sz="8" w:space="0"/>
              <w:right w:val="nil"/>
            </w:tcBorders>
            <w:vAlign w:val="center"/>
          </w:tcPr>
          <w:p>
            <w:pPr>
              <w:widowControl/>
              <w:spacing w:line="300" w:lineRule="exact"/>
              <w:ind w:firstLine="120" w:firstLineChars="50"/>
              <w:jc w:val="center"/>
              <w:rPr>
                <w:rFonts w:ascii="仿宋_GB2312" w:hAnsi="宋体" w:eastAsia="仿宋_GB2312" w:cs="宋体"/>
                <w:kern w:val="0"/>
                <w:sz w:val="24"/>
              </w:rPr>
            </w:pPr>
            <w:r>
              <w:rPr>
                <w:rFonts w:hint="eastAsia" w:ascii="仿宋_GB2312" w:hAnsi="宋体" w:eastAsia="仿宋_GB2312" w:cs="宋体"/>
                <w:kern w:val="0"/>
                <w:sz w:val="24"/>
              </w:rPr>
              <w:t>100</w:t>
            </w:r>
          </w:p>
        </w:tc>
        <w:tc>
          <w:tcPr>
            <w:tcW w:w="7652" w:type="dxa"/>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vAlign w:val="center"/>
          </w:tcPr>
          <w:p>
            <w:pPr>
              <w:widowControl/>
              <w:spacing w:line="300" w:lineRule="exact"/>
              <w:rPr>
                <w:rFonts w:ascii="仿宋_GB2312" w:hAnsi="宋体" w:eastAsia="仿宋_GB2312" w:cs="宋体"/>
                <w:kern w:val="0"/>
                <w:sz w:val="24"/>
              </w:rPr>
            </w:pPr>
            <w:r>
              <w:rPr>
                <w:rFonts w:hint="eastAsia" w:ascii="仿宋_GB2312" w:hAnsi="宋体" w:eastAsia="仿宋_GB2312" w:cs="宋体"/>
                <w:kern w:val="0"/>
                <w:sz w:val="24"/>
              </w:rPr>
              <w:t>备注：以上装修档次区分应同时结合装修用料档次、做工精细度、造型细木面积的多少等进行综合判断。</w:t>
            </w:r>
          </w:p>
        </w:tc>
      </w:tr>
    </w:tbl>
    <w:p>
      <w:pPr>
        <w:pStyle w:val="2"/>
        <w:shd w:val="clear" w:color="auto" w:fill="auto"/>
        <w:spacing w:after="0" w:line="600" w:lineRule="exact"/>
        <w:jc w:val="both"/>
        <w:rPr>
          <w:rFonts w:ascii="仿宋_GB2312" w:eastAsia="仿宋_GB2312"/>
          <w:b/>
          <w:sz w:val="32"/>
          <w:szCs w:val="32"/>
        </w:rPr>
      </w:pPr>
    </w:p>
    <w:p>
      <w:pPr>
        <w:pStyle w:val="2"/>
        <w:shd w:val="clear" w:color="auto" w:fill="auto"/>
        <w:spacing w:after="0" w:line="600" w:lineRule="exact"/>
        <w:jc w:val="both"/>
        <w:rPr>
          <w:rFonts w:ascii="仿宋_GB2312" w:eastAsia="仿宋_GB2312"/>
          <w:b/>
          <w:sz w:val="32"/>
          <w:szCs w:val="32"/>
        </w:rPr>
      </w:pPr>
    </w:p>
    <w:p>
      <w:pPr>
        <w:pStyle w:val="2"/>
        <w:shd w:val="clear" w:color="auto" w:fill="auto"/>
        <w:spacing w:after="0" w:line="600" w:lineRule="exact"/>
        <w:jc w:val="both"/>
        <w:rPr>
          <w:rFonts w:ascii="仿宋_GB2312" w:eastAsia="仿宋_GB2312"/>
          <w:b/>
          <w:sz w:val="32"/>
          <w:szCs w:val="32"/>
        </w:rPr>
      </w:pPr>
      <w:r>
        <w:rPr>
          <w:rFonts w:hint="eastAsia" w:ascii="仿宋_GB2312" w:eastAsia="仿宋_GB2312"/>
          <w:b/>
          <w:sz w:val="32"/>
          <w:szCs w:val="32"/>
        </w:rPr>
        <w:t>附表四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vAlign w:val="center"/>
          </w:tcPr>
          <w:p>
            <w:pPr>
              <w:widowControl/>
              <w:ind w:right="-90" w:rightChars="-43"/>
              <w:jc w:val="center"/>
              <w:rPr>
                <w:rFonts w:ascii="仿宋_GB2312" w:hAnsi="宋体" w:eastAsia="仿宋_GB2312" w:cs="宋体"/>
                <w:b/>
                <w:bCs/>
                <w:kern w:val="0"/>
                <w:szCs w:val="21"/>
              </w:rPr>
            </w:pPr>
            <w:r>
              <w:rPr>
                <w:rFonts w:hint="eastAsia" w:ascii="仿宋_GB2312" w:hAnsi="宋体" w:eastAsia="仿宋_GB2312" w:cs="宋体"/>
                <w:b/>
                <w:bCs/>
                <w:kern w:val="0"/>
                <w:szCs w:val="21"/>
              </w:rPr>
              <w:t>等级</w:t>
            </w:r>
          </w:p>
        </w:tc>
        <w:tc>
          <w:tcPr>
            <w:tcW w:w="839" w:type="dxa"/>
            <w:vAlign w:val="center"/>
          </w:tcPr>
          <w:p>
            <w:pPr>
              <w:widowControl/>
              <w:ind w:right="-342" w:rightChars="-163"/>
              <w:jc w:val="both"/>
              <w:rPr>
                <w:rFonts w:ascii="仿宋_GB2312" w:hAnsi="宋体" w:eastAsia="仿宋_GB2312" w:cs="宋体"/>
                <w:b/>
                <w:bCs/>
                <w:kern w:val="0"/>
                <w:szCs w:val="21"/>
              </w:rPr>
            </w:pPr>
            <w:r>
              <w:rPr>
                <w:rFonts w:hint="eastAsia" w:ascii="仿宋_GB2312" w:hAnsi="宋体" w:eastAsia="仿宋_GB2312" w:cs="宋体"/>
                <w:b/>
                <w:bCs/>
                <w:kern w:val="0"/>
                <w:szCs w:val="21"/>
              </w:rPr>
              <w:t>成新率</w:t>
            </w:r>
          </w:p>
        </w:tc>
        <w:tc>
          <w:tcPr>
            <w:tcW w:w="6643"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基本评定标准</w:t>
            </w:r>
          </w:p>
        </w:tc>
        <w:tc>
          <w:tcPr>
            <w:tcW w:w="1048" w:type="dxa"/>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新旧</w:t>
            </w:r>
          </w:p>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98%</w:t>
            </w:r>
          </w:p>
        </w:tc>
        <w:tc>
          <w:tcPr>
            <w:tcW w:w="6643"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楼地面：完好、平整；门窗：开启灵活，五金完好，漆面光亮；内粉饰：完好，无痕迹，漆面光亮；顶棚：完好；细木：完好，无痕迹，漆面光亮；洁具、灯具：使用正常，外观颜色无变化。整体装修外观如同新做。</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二等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90%</w:t>
            </w:r>
          </w:p>
        </w:tc>
        <w:tc>
          <w:tcPr>
            <w:tcW w:w="6643" w:type="dxa"/>
          </w:tcPr>
          <w:p>
            <w:pPr>
              <w:widowControl/>
              <w:rPr>
                <w:rFonts w:ascii="仿宋_GB2312" w:hAnsi="宋体" w:eastAsia="仿宋_GB2312" w:cs="宋体"/>
                <w:kern w:val="0"/>
                <w:sz w:val="24"/>
              </w:rPr>
            </w:pPr>
            <w:r>
              <w:rPr>
                <w:rFonts w:hint="eastAsia" w:ascii="仿宋_GB2312" w:hAnsi="宋体" w:eastAsia="仿宋_GB2312" w:cs="宋体"/>
                <w:kern w:val="0"/>
                <w:sz w:val="24"/>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三等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80%</w:t>
            </w:r>
          </w:p>
        </w:tc>
        <w:tc>
          <w:tcPr>
            <w:tcW w:w="6643"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四等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70%</w:t>
            </w:r>
          </w:p>
        </w:tc>
        <w:tc>
          <w:tcPr>
            <w:tcW w:w="6643"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楼地面：磨损严重、起砂、不平；门窗：尚能开关，局部腐朽变形，五金锈蚀，油漆老化；内粉饰：部分裂缝、剥落；顶棚：较旧；细木：陈旧、局部咸蚀、开列；洁具、灯具：尚能但简单陈旧。整体装修外观较旧。</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五等</w:t>
            </w:r>
          </w:p>
        </w:tc>
        <w:tc>
          <w:tcPr>
            <w:tcW w:w="839"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50%</w:t>
            </w:r>
          </w:p>
        </w:tc>
        <w:tc>
          <w:tcPr>
            <w:tcW w:w="6643" w:type="dxa"/>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旧</w:t>
            </w:r>
          </w:p>
        </w:tc>
      </w:tr>
    </w:tbl>
    <w:p>
      <w:pPr>
        <w:pStyle w:val="2"/>
        <w:shd w:val="clear" w:color="auto" w:fill="auto"/>
        <w:spacing w:after="223" w:line="280" w:lineRule="exact"/>
        <w:jc w:val="both"/>
        <w:rPr>
          <w:rFonts w:ascii="仿宋_GB2312" w:eastAsia="仿宋_GB2312"/>
          <w:sz w:val="32"/>
          <w:szCs w:val="32"/>
        </w:rPr>
        <w:sectPr>
          <w:headerReference r:id="rId3" w:type="default"/>
          <w:footerReference r:id="rId4" w:type="default"/>
          <w:footerReference r:id="rId5" w:type="even"/>
          <w:pgSz w:w="11906" w:h="16838"/>
          <w:pgMar w:top="1440" w:right="1446" w:bottom="1440" w:left="1469" w:header="851" w:footer="992" w:gutter="0"/>
          <w:cols w:space="720" w:num="1"/>
          <w:docGrid w:type="lines" w:linePitch="312" w:charSpace="0"/>
        </w:sectPr>
      </w:pPr>
      <w:bookmarkStart w:id="5" w:name="bookmark16"/>
    </w:p>
    <w:bookmarkEnd w:id="5"/>
    <w:tbl>
      <w:tblPr>
        <w:tblStyle w:val="5"/>
        <w:tblW w:w="8865" w:type="dxa"/>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vAlign w:val="center"/>
          </w:tcPr>
          <w:p>
            <w:pPr>
              <w:widowControl/>
              <w:rPr>
                <w:rFonts w:ascii="仿宋_GB2312" w:eastAsia="仿宋_GB2312"/>
                <w:b/>
                <w:kern w:val="0"/>
                <w:sz w:val="24"/>
              </w:rPr>
            </w:pPr>
            <w:r>
              <w:rPr>
                <w:rFonts w:hint="eastAsia" w:ascii="仿宋_GB2312" w:eastAsia="仿宋_GB2312"/>
                <w:b/>
                <w:kern w:val="0"/>
                <w:sz w:val="32"/>
                <w:szCs w:val="32"/>
              </w:rPr>
              <w:t>附表五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b/>
                <w:kern w:val="0"/>
                <w:sz w:val="24"/>
              </w:rPr>
            </w:pPr>
            <w:r>
              <w:rPr>
                <w:rFonts w:hint="eastAsia" w:ascii="仿宋_GB2312" w:hAnsi="宋体" w:eastAsia="仿宋_GB2312" w:cs="宋体"/>
                <w:b/>
                <w:kern w:val="0"/>
                <w:sz w:val="24"/>
              </w:rPr>
              <w:t>序号</w:t>
            </w:r>
          </w:p>
        </w:tc>
        <w:tc>
          <w:tcPr>
            <w:tcW w:w="255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s="宋体"/>
                <w:b/>
                <w:kern w:val="0"/>
                <w:sz w:val="24"/>
              </w:rPr>
            </w:pPr>
            <w:r>
              <w:rPr>
                <w:rFonts w:hint="eastAsia" w:ascii="仿宋_GB2312" w:hAnsi="宋体" w:eastAsia="仿宋_GB2312" w:cs="宋体"/>
                <w:b/>
                <w:kern w:val="0"/>
                <w:sz w:val="24"/>
              </w:rPr>
              <w:t>项目</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kern w:val="0"/>
                <w:sz w:val="24"/>
              </w:rPr>
            </w:pPr>
            <w:r>
              <w:rPr>
                <w:rFonts w:hint="eastAsia" w:ascii="仿宋_GB2312" w:hAnsi="宋体" w:eastAsia="仿宋_GB2312" w:cs="宋体"/>
                <w:b/>
                <w:kern w:val="0"/>
                <w:sz w:val="24"/>
              </w:rPr>
              <w:t>单价</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b/>
                <w:kern w:val="0"/>
                <w:sz w:val="24"/>
              </w:rPr>
            </w:pPr>
            <w:r>
              <w:rPr>
                <w:rFonts w:hint="eastAsia" w:ascii="仿宋_GB2312" w:hAnsi="宋体" w:eastAsia="仿宋_GB2312" w:cs="宋体"/>
                <w:b/>
                <w:kern w:val="0"/>
                <w:sz w:val="24"/>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夯土围墙</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260元/m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砖砌围墙（含基础）</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360元/m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石围墙</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190元/m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普通水井</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4</w:t>
            </w:r>
            <w:r>
              <w:rPr>
                <w:rFonts w:hint="eastAsia" w:ascii="仿宋_GB2312" w:eastAsia="仿宋_GB2312" w:cs="宋体"/>
                <w:kern w:val="0"/>
                <w:sz w:val="24"/>
              </w:rPr>
              <w:t>000</w:t>
            </w:r>
            <w:r>
              <w:rPr>
                <w:rFonts w:hint="eastAsia" w:ascii="仿宋_GB2312" w:hAnsi="宋体" w:eastAsia="仿宋_GB2312" w:cs="宋体"/>
                <w:kern w:val="0"/>
                <w:sz w:val="24"/>
              </w:rPr>
              <w:t>元/口</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超7m每延1m加5</w:t>
            </w:r>
            <w:r>
              <w:rPr>
                <w:rFonts w:hint="eastAsia" w:ascii="仿宋_GB2312" w:eastAsia="仿宋_GB2312" w:cs="宋体"/>
                <w:kern w:val="0"/>
                <w:sz w:val="24"/>
              </w:rPr>
              <w:t>00</w:t>
            </w:r>
            <w:r>
              <w:rPr>
                <w:rFonts w:hint="eastAsia" w:ascii="仿宋_GB2312" w:hAnsi="宋体" w:eastAsia="仿宋_GB2312" w:cs="宋体"/>
                <w:kern w:val="0"/>
                <w:sz w:val="24"/>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室外普通厨房洗菜池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元/个</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石板埕地</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12</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7</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埕地水泥花砖地面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70元/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8</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埕地水磨石地面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90元/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9</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埕地瓷缸砖地面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80元/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w:t>
            </w:r>
            <w:r>
              <w:rPr>
                <w:rFonts w:hint="eastAsia" w:ascii="仿宋_GB2312" w:eastAsia="仿宋_GB2312" w:cs="宋体"/>
                <w:kern w:val="0"/>
                <w:sz w:val="24"/>
              </w:rPr>
              <w:t>0</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埕地花岗石贴面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120元/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埕地波化砖贴面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120元/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围墙铁栏杆</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10</w:t>
            </w:r>
            <w:r>
              <w:rPr>
                <w:rFonts w:hint="eastAsia" w:ascii="仿宋_GB2312" w:eastAsia="仿宋_GB2312" w:cs="宋体"/>
                <w:kern w:val="0"/>
                <w:sz w:val="24"/>
              </w:rPr>
              <w:t>0</w:t>
            </w:r>
            <w:r>
              <w:rPr>
                <w:rFonts w:hint="eastAsia" w:ascii="仿宋_GB2312" w:hAnsi="宋体" w:eastAsia="仿宋_GB2312" w:cs="宋体"/>
                <w:kern w:val="0"/>
                <w:sz w:val="24"/>
              </w:rPr>
              <w:t>—160元/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普通围墙铁门</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—350元/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室外厨房用蓄水池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20</w:t>
            </w:r>
            <w:r>
              <w:rPr>
                <w:rFonts w:hint="eastAsia" w:ascii="仿宋_GB2312" w:eastAsia="仿宋_GB2312" w:cs="宋体"/>
                <w:kern w:val="0"/>
                <w:sz w:val="24"/>
              </w:rPr>
              <w:t>0</w:t>
            </w:r>
            <w:r>
              <w:rPr>
                <w:rFonts w:hint="eastAsia" w:ascii="仿宋_GB2312" w:hAnsi="宋体" w:eastAsia="仿宋_GB2312" w:cs="宋体"/>
                <w:kern w:val="0"/>
                <w:sz w:val="24"/>
              </w:rPr>
              <w:t>—400元/个</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室外蓄水池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550元/m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按容积计</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化粪池</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100</w:t>
            </w:r>
            <w:r>
              <w:rPr>
                <w:rFonts w:hint="eastAsia" w:ascii="仿宋_GB2312" w:eastAsia="仿宋_GB2312" w:cs="宋体"/>
                <w:kern w:val="0"/>
                <w:sz w:val="24"/>
              </w:rPr>
              <w:t>0</w:t>
            </w:r>
            <w:r>
              <w:rPr>
                <w:rFonts w:hint="eastAsia" w:ascii="仿宋_GB2312" w:hAnsi="宋体" w:eastAsia="仿宋_GB2312" w:cs="宋体"/>
                <w:kern w:val="0"/>
                <w:sz w:val="24"/>
              </w:rPr>
              <w:t>—1500元/座</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17</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有线电视</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330元/户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18</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电话</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180元/户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19</w:t>
            </w:r>
          </w:p>
        </w:tc>
        <w:tc>
          <w:tcPr>
            <w:tcW w:w="2551" w:type="dxa"/>
            <w:gridSpan w:val="2"/>
            <w:tcBorders>
              <w:top w:val="single" w:color="auto" w:sz="4" w:space="0"/>
              <w:left w:val="nil"/>
              <w:bottom w:val="single" w:color="auto" w:sz="4" w:space="0"/>
              <w:right w:val="single" w:color="000000"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晒坪</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70元/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20</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室外砼地面</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7</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整毛石护坡</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26</w:t>
            </w:r>
            <w:r>
              <w:rPr>
                <w:rFonts w:hint="eastAsia" w:ascii="仿宋_GB2312" w:eastAsia="仿宋_GB2312" w:cs="宋体"/>
                <w:kern w:val="0"/>
                <w:sz w:val="24"/>
              </w:rPr>
              <w:t>0</w:t>
            </w:r>
            <w:r>
              <w:rPr>
                <w:rFonts w:hint="eastAsia" w:ascii="仿宋_GB2312" w:hAnsi="宋体" w:eastAsia="仿宋_GB2312" w:cs="宋体"/>
                <w:kern w:val="0"/>
                <w:sz w:val="24"/>
              </w:rPr>
              <w:t>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乱毛石护坡</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18</w:t>
            </w:r>
            <w:r>
              <w:rPr>
                <w:rFonts w:hint="eastAsia" w:ascii="仿宋_GB2312" w:eastAsia="仿宋_GB2312" w:cs="宋体"/>
                <w:kern w:val="0"/>
                <w:sz w:val="24"/>
              </w:rPr>
              <w:t>0</w:t>
            </w:r>
            <w:r>
              <w:rPr>
                <w:rFonts w:hint="eastAsia" w:ascii="仿宋_GB2312" w:hAnsi="宋体" w:eastAsia="仿宋_GB2312" w:cs="宋体"/>
                <w:kern w:val="0"/>
                <w:sz w:val="24"/>
              </w:rPr>
              <w:t>元/m</w:t>
            </w:r>
            <w:r>
              <w:rPr>
                <w:rFonts w:hint="eastAsia" w:ascii="仿宋_GB2312" w:hAnsi="宋体" w:cs="宋体"/>
                <w:kern w:val="0"/>
                <w:sz w:val="24"/>
              </w:rPr>
              <w:t>³</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门亭</w:t>
            </w:r>
          </w:p>
        </w:tc>
        <w:tc>
          <w:tcPr>
            <w:tcW w:w="2694" w:type="dxa"/>
            <w:tcBorders>
              <w:top w:val="nil"/>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有盖门亭（含柱）500—600元/</w:t>
            </w:r>
            <w:r>
              <w:rPr>
                <w:rFonts w:hint="eastAsia" w:ascii="仿宋_GB2312" w:hAnsi="宋体" w:cs="宋体"/>
                <w:kern w:val="0"/>
                <w:sz w:val="24"/>
              </w:rPr>
              <w:t>㎡</w:t>
            </w:r>
            <w:r>
              <w:rPr>
                <w:rFonts w:hint="eastAsia" w:ascii="仿宋_GB2312" w:hAnsi="宋体" w:eastAsia="仿宋_GB2312" w:cs="宋体"/>
                <w:kern w:val="0"/>
                <w:sz w:val="24"/>
              </w:rPr>
              <w:t>；双层带斜顶门亭（含柱和斜顶贴瓦）800—1000元/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按顶盖投影面积计</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毛石基础</w:t>
            </w:r>
          </w:p>
        </w:tc>
        <w:tc>
          <w:tcPr>
            <w:tcW w:w="2694" w:type="dxa"/>
            <w:tcBorders>
              <w:top w:val="single" w:color="auto" w:sz="4" w:space="0"/>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9</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r>
              <w:rPr>
                <w:rFonts w:hint="eastAsia" w:ascii="仿宋_GB2312" w:hAnsi="宋体" w:eastAsia="仿宋_GB2312" w:cs="宋体"/>
                <w:kern w:val="0"/>
                <w:sz w:val="24"/>
              </w:rPr>
              <w:t>（含砼地圈梁的毛石基础12</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r>
              <w:rPr>
                <w:rFonts w:hint="eastAsia" w:ascii="仿宋_GB2312" w:hAnsi="宋体" w:eastAsia="仿宋_GB2312" w:cs="宋体"/>
                <w:kern w:val="0"/>
                <w:sz w:val="24"/>
              </w:rPr>
              <w:t>）</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专指上无建筑物基础</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钢筋砼基础</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15</w:t>
            </w:r>
            <w:r>
              <w:rPr>
                <w:rFonts w:hint="eastAsia" w:ascii="仿宋_GB2312" w:eastAsia="仿宋_GB2312" w:cs="宋体"/>
                <w:kern w:val="0"/>
                <w:sz w:val="24"/>
              </w:rPr>
              <w:t>0</w:t>
            </w:r>
            <w:r>
              <w:rPr>
                <w:rFonts w:hint="eastAsia" w:ascii="仿宋_GB2312" w:hAnsi="宋体" w:eastAsia="仿宋_GB2312" w:cs="宋体"/>
                <w:kern w:val="0"/>
                <w:sz w:val="24"/>
              </w:rPr>
              <w:t>元/</w:t>
            </w:r>
            <w:r>
              <w:rPr>
                <w:rFonts w:hint="eastAsia" w:ascii="仿宋_GB2312" w:hAnsi="宋体" w:cs="宋体"/>
                <w:kern w:val="0"/>
                <w:sz w:val="24"/>
              </w:rPr>
              <w:t>㎡</w:t>
            </w:r>
          </w:p>
        </w:tc>
        <w:tc>
          <w:tcPr>
            <w:tcW w:w="2754" w:type="dxa"/>
            <w:tcBorders>
              <w:top w:val="single" w:color="auto" w:sz="4" w:space="0"/>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机井</w:t>
            </w:r>
          </w:p>
        </w:tc>
        <w:tc>
          <w:tcPr>
            <w:tcW w:w="2694" w:type="dxa"/>
            <w:tcBorders>
              <w:top w:val="single" w:color="auto" w:sz="4" w:space="0"/>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27</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罗马式立柱（4m多）</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200</w:t>
            </w:r>
            <w:r>
              <w:rPr>
                <w:rFonts w:hint="eastAsia" w:ascii="仿宋_GB2312" w:eastAsia="仿宋_GB2312" w:cs="宋体"/>
                <w:kern w:val="0"/>
                <w:sz w:val="24"/>
              </w:rPr>
              <w:t>0</w:t>
            </w:r>
            <w:r>
              <w:rPr>
                <w:rFonts w:hint="eastAsia" w:ascii="仿宋_GB2312" w:hAnsi="宋体" w:eastAsia="仿宋_GB2312" w:cs="宋体"/>
                <w:kern w:val="0"/>
                <w:sz w:val="24"/>
              </w:rPr>
              <w:t>—3000元/套</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指混凝土浇筑</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28</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简易木阁楼</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200—300元/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29</w:t>
            </w:r>
          </w:p>
        </w:tc>
        <w:tc>
          <w:tcPr>
            <w:tcW w:w="126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炉灶</w:t>
            </w: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土</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w:t>
            </w:r>
            <w:r>
              <w:rPr>
                <w:rFonts w:hint="eastAsia" w:ascii="仿宋_GB2312" w:eastAsia="仿宋_GB2312" w:cs="宋体"/>
                <w:kern w:val="0"/>
                <w:sz w:val="24"/>
              </w:rPr>
              <w:t>000</w:t>
            </w:r>
            <w:r>
              <w:rPr>
                <w:rFonts w:hint="eastAsia" w:ascii="仿宋_GB2312" w:hAnsi="宋体" w:eastAsia="仿宋_GB2312" w:cs="宋体"/>
                <w:kern w:val="0"/>
                <w:sz w:val="24"/>
              </w:rPr>
              <w:t>元/口</w:t>
            </w:r>
          </w:p>
        </w:tc>
        <w:tc>
          <w:tcPr>
            <w:tcW w:w="2754" w:type="dxa"/>
            <w:vMerge w:val="restart"/>
            <w:tcBorders>
              <w:top w:val="nil"/>
              <w:left w:val="single" w:color="auto" w:sz="4" w:space="0"/>
              <w:bottom w:val="single" w:color="000000"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30</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砖</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300</w:t>
            </w:r>
            <w:r>
              <w:rPr>
                <w:rFonts w:hint="eastAsia" w:ascii="仿宋_GB2312" w:eastAsia="仿宋_GB2312" w:cs="宋体"/>
                <w:kern w:val="0"/>
                <w:sz w:val="24"/>
              </w:rPr>
              <w:t>0</w:t>
            </w:r>
            <w:r>
              <w:rPr>
                <w:rFonts w:hint="eastAsia" w:ascii="仿宋_GB2312" w:hAnsi="宋体" w:eastAsia="仿宋_GB2312" w:cs="宋体"/>
                <w:kern w:val="0"/>
                <w:sz w:val="24"/>
              </w:rPr>
              <w:t>元/口</w:t>
            </w:r>
          </w:p>
        </w:tc>
        <w:tc>
          <w:tcPr>
            <w:tcW w:w="2754" w:type="dxa"/>
            <w:vMerge w:val="continue"/>
            <w:tcBorders>
              <w:top w:val="nil"/>
              <w:left w:val="single" w:color="auto" w:sz="4" w:space="0"/>
              <w:bottom w:val="single" w:color="000000" w:sz="4" w:space="0"/>
              <w:right w:val="single" w:color="auto" w:sz="4" w:space="0"/>
            </w:tcBorders>
            <w:vAlign w:val="center"/>
          </w:tcPr>
          <w:p>
            <w:pPr>
              <w:widowControl/>
              <w:rPr>
                <w:rFonts w:ascii="仿宋_GB2312" w:eastAsia="仿宋_GB2312" w:cs="宋体"/>
                <w:kern w:val="0"/>
                <w:sz w:val="24"/>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31</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瓷贴</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400</w:t>
            </w:r>
            <w:r>
              <w:rPr>
                <w:rFonts w:hint="eastAsia" w:ascii="仿宋_GB2312" w:eastAsia="仿宋_GB2312" w:cs="宋体"/>
                <w:kern w:val="0"/>
                <w:sz w:val="24"/>
              </w:rPr>
              <w:t>0</w:t>
            </w:r>
            <w:r>
              <w:rPr>
                <w:rFonts w:hint="eastAsia" w:ascii="仿宋_GB2312" w:hAnsi="宋体" w:eastAsia="仿宋_GB2312" w:cs="宋体"/>
                <w:kern w:val="0"/>
                <w:sz w:val="24"/>
              </w:rPr>
              <w:t>元/口</w:t>
            </w:r>
          </w:p>
        </w:tc>
        <w:tc>
          <w:tcPr>
            <w:tcW w:w="2754" w:type="dxa"/>
            <w:vMerge w:val="continue"/>
            <w:tcBorders>
              <w:top w:val="nil"/>
              <w:left w:val="single" w:color="auto" w:sz="4" w:space="0"/>
              <w:bottom w:val="single" w:color="000000" w:sz="4" w:space="0"/>
              <w:right w:val="single" w:color="auto" w:sz="4" w:space="0"/>
            </w:tcBorders>
            <w:vAlign w:val="center"/>
          </w:tcPr>
          <w:p>
            <w:pPr>
              <w:widowControl/>
              <w:rPr>
                <w:rFonts w:ascii="仿宋_GB2312" w:eastAsia="仿宋_GB2312" w:cs="宋体"/>
                <w:kern w:val="0"/>
                <w:sz w:val="24"/>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猪舍</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156元/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鸡舍</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132元/</w:t>
            </w:r>
            <w:r>
              <w:rPr>
                <w:rFonts w:hint="eastAsia" w:ascii="仿宋_GB2312" w:hAnsi="宋体" w:cs="宋体"/>
                <w:kern w:val="0"/>
                <w:sz w:val="24"/>
              </w:rPr>
              <w:t>㎡</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34</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不锈钢水塔</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1000元/个</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35</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庭院灯</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w:t>
            </w:r>
            <w:r>
              <w:rPr>
                <w:rFonts w:hint="eastAsia" w:ascii="仿宋_GB2312" w:eastAsia="仿宋_GB2312" w:cs="宋体"/>
                <w:kern w:val="0"/>
                <w:sz w:val="24"/>
              </w:rPr>
              <w:t>00</w:t>
            </w:r>
            <w:r>
              <w:rPr>
                <w:rFonts w:hint="eastAsia" w:ascii="仿宋_GB2312" w:hAnsi="宋体" w:eastAsia="仿宋_GB2312" w:cs="宋体"/>
                <w:kern w:val="0"/>
                <w:sz w:val="24"/>
              </w:rPr>
              <w:t>—500元/杆</w:t>
            </w:r>
          </w:p>
        </w:tc>
        <w:tc>
          <w:tcPr>
            <w:tcW w:w="2754" w:type="dxa"/>
            <w:tcBorders>
              <w:top w:val="nil"/>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36</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宽带移机</w:t>
            </w:r>
          </w:p>
        </w:tc>
        <w:tc>
          <w:tcPr>
            <w:tcW w:w="2694" w:type="dxa"/>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220元/部</w:t>
            </w:r>
          </w:p>
        </w:tc>
        <w:tc>
          <w:tcPr>
            <w:tcW w:w="2754" w:type="dxa"/>
            <w:tcBorders>
              <w:top w:val="single" w:color="auto" w:sz="4" w:space="0"/>
              <w:left w:val="nil"/>
              <w:bottom w:val="single" w:color="auto"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37</w:t>
            </w:r>
          </w:p>
        </w:tc>
        <w:tc>
          <w:tcPr>
            <w:tcW w:w="1264"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三相电</w:t>
            </w: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20A</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1680元/部</w:t>
            </w:r>
          </w:p>
        </w:tc>
        <w:tc>
          <w:tcPr>
            <w:tcW w:w="2754" w:type="dxa"/>
            <w:vMerge w:val="restart"/>
            <w:tcBorders>
              <w:top w:val="nil"/>
              <w:left w:val="single" w:color="auto" w:sz="4" w:space="0"/>
              <w:bottom w:val="single" w:color="000000" w:sz="4" w:space="0"/>
              <w:right w:val="single" w:color="auto" w:sz="4" w:space="0"/>
            </w:tcBorders>
            <w:vAlign w:val="center"/>
          </w:tcPr>
          <w:p>
            <w:pPr>
              <w:widowControl/>
              <w:rPr>
                <w:rFonts w:ascii="仿宋_GB2312" w:eastAsia="仿宋_GB2312" w:cs="宋体"/>
                <w:kern w:val="0"/>
                <w:sz w:val="24"/>
              </w:rPr>
            </w:pPr>
            <w:r>
              <w:rPr>
                <w:rFonts w:hint="eastAsia" w:ascii="仿宋_GB2312" w:hAnsi="宋体" w:eastAsia="仿宋_GB2312" w:cs="宋体"/>
                <w:kern w:val="0"/>
                <w:sz w:val="24"/>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38</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40A</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3350元/部</w:t>
            </w:r>
          </w:p>
        </w:tc>
        <w:tc>
          <w:tcPr>
            <w:tcW w:w="2754" w:type="dxa"/>
            <w:vMerge w:val="continue"/>
            <w:tcBorders>
              <w:top w:val="nil"/>
              <w:left w:val="single" w:color="auto" w:sz="4" w:space="0"/>
              <w:bottom w:val="single" w:color="000000" w:sz="4" w:space="0"/>
              <w:right w:val="single" w:color="auto" w:sz="4" w:space="0"/>
            </w:tcBorders>
            <w:vAlign w:val="center"/>
          </w:tcPr>
          <w:p>
            <w:pPr>
              <w:widowControl/>
              <w:rPr>
                <w:rFonts w:ascii="仿宋_GB2312" w:eastAsia="仿宋_GB2312" w:cs="宋体"/>
                <w:kern w:val="0"/>
                <w:sz w:val="24"/>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39</w:t>
            </w:r>
          </w:p>
        </w:tc>
        <w:tc>
          <w:tcPr>
            <w:tcW w:w="1264"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4"/>
              </w:rPr>
            </w:pPr>
          </w:p>
        </w:tc>
        <w:tc>
          <w:tcPr>
            <w:tcW w:w="1287"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60A</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5020元/部</w:t>
            </w:r>
          </w:p>
        </w:tc>
        <w:tc>
          <w:tcPr>
            <w:tcW w:w="2754" w:type="dxa"/>
            <w:vMerge w:val="continue"/>
            <w:tcBorders>
              <w:top w:val="nil"/>
              <w:left w:val="single" w:color="auto" w:sz="4" w:space="0"/>
              <w:bottom w:val="single" w:color="000000" w:sz="4" w:space="0"/>
              <w:right w:val="single" w:color="auto" w:sz="4" w:space="0"/>
            </w:tcBorders>
            <w:vAlign w:val="center"/>
          </w:tcPr>
          <w:p>
            <w:pPr>
              <w:widowControl/>
              <w:rPr>
                <w:rFonts w:ascii="仿宋_GB2312" w:eastAsia="仿宋_GB2312" w:cs="宋体"/>
                <w:kern w:val="0"/>
                <w:sz w:val="24"/>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40</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空调移机</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元/台</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41</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太阳能热水器移机</w:t>
            </w:r>
          </w:p>
        </w:tc>
        <w:tc>
          <w:tcPr>
            <w:tcW w:w="269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30</w:t>
            </w:r>
            <w:r>
              <w:rPr>
                <w:rFonts w:hint="eastAsia" w:ascii="仿宋_GB2312" w:eastAsia="仿宋_GB2312" w:cs="宋体"/>
                <w:kern w:val="0"/>
                <w:sz w:val="24"/>
              </w:rPr>
              <w:t>0</w:t>
            </w:r>
            <w:r>
              <w:rPr>
                <w:rFonts w:hint="eastAsia" w:ascii="仿宋_GB2312" w:hAnsi="宋体" w:eastAsia="仿宋_GB2312" w:cs="宋体"/>
                <w:kern w:val="0"/>
                <w:sz w:val="24"/>
              </w:rPr>
              <w:t>元/台</w:t>
            </w:r>
          </w:p>
        </w:tc>
        <w:tc>
          <w:tcPr>
            <w:tcW w:w="2754" w:type="dxa"/>
            <w:tcBorders>
              <w:top w:val="nil"/>
              <w:left w:val="nil"/>
              <w:bottom w:val="single" w:color="auto" w:sz="4" w:space="0"/>
              <w:right w:val="single" w:color="auto" w:sz="4" w:space="0"/>
            </w:tcBorders>
            <w:vAlign w:val="center"/>
          </w:tcPr>
          <w:p>
            <w:pPr>
              <w:widowControl/>
              <w:jc w:val="center"/>
              <w:rPr>
                <w:rFonts w:ascii="仿宋_GB2312" w:eastAsia="仿宋_GB2312" w:cs="宋体"/>
                <w:kern w:val="0"/>
                <w:sz w:val="24"/>
              </w:rPr>
            </w:pPr>
            <w:r>
              <w:rPr>
                <w:rFonts w:hint="eastAsia" w:ascii="仿宋_GB2312" w:hAnsi="宋体" w:eastAsia="仿宋_GB2312" w:cs="宋体"/>
                <w:kern w:val="0"/>
                <w:sz w:val="24"/>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42</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供水表立户费</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1200元/户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43</w:t>
            </w:r>
          </w:p>
        </w:tc>
        <w:tc>
          <w:tcPr>
            <w:tcW w:w="255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供电表立户费</w:t>
            </w:r>
          </w:p>
        </w:tc>
        <w:tc>
          <w:tcPr>
            <w:tcW w:w="269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300元/户</w:t>
            </w:r>
          </w:p>
        </w:tc>
        <w:tc>
          <w:tcPr>
            <w:tcW w:w="27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注：本表未涵盖内容，属地</w:t>
            </w:r>
            <w:r>
              <w:rPr>
                <w:rFonts w:hint="eastAsia" w:ascii="仿宋_GB2312" w:hAnsi="宋体" w:eastAsia="仿宋_GB2312" w:cs="宋体"/>
                <w:kern w:val="0"/>
                <w:sz w:val="24"/>
                <w:lang w:eastAsia="zh-CN"/>
              </w:rPr>
              <w:t>镇（街）</w:t>
            </w:r>
            <w:r>
              <w:rPr>
                <w:rFonts w:hint="eastAsia" w:ascii="仿宋_GB2312" w:hAnsi="宋体" w:eastAsia="仿宋_GB2312" w:cs="宋体"/>
                <w:kern w:val="0"/>
                <w:sz w:val="24"/>
              </w:rPr>
              <w:t>通过市场询价或委托评估确定。</w:t>
            </w:r>
          </w:p>
        </w:tc>
      </w:tr>
    </w:tbl>
    <w:p>
      <w:pPr>
        <w:widowControl/>
        <w:rPr>
          <w:rFonts w:ascii="仿宋_GB2312" w:hAnsi="宋体" w:eastAsia="仿宋_GB2312" w:cs="宋体"/>
          <w:kern w:val="0"/>
          <w:sz w:val="24"/>
        </w:rPr>
      </w:pPr>
    </w:p>
    <w:p>
      <w:pPr>
        <w:widowControl/>
        <w:rPr>
          <w:rFonts w:ascii="仿宋_GB2312" w:hAnsi="宋体" w:eastAsia="仿宋_GB2312" w:cs="宋体"/>
          <w:kern w:val="0"/>
          <w:sz w:val="24"/>
        </w:rPr>
      </w:pPr>
    </w:p>
    <w:p>
      <w:pPr>
        <w:rPr>
          <w:rFonts w:ascii="仿宋_GB2312" w:eastAsia="仿宋_GB2312"/>
          <w:b/>
          <w:kern w:val="0"/>
          <w:sz w:val="32"/>
          <w:szCs w:val="32"/>
        </w:rPr>
      </w:pPr>
      <w:r>
        <w:rPr>
          <w:rFonts w:hint="eastAsia" w:ascii="仿宋_GB2312" w:eastAsia="仿宋_GB2312"/>
          <w:b/>
          <w:kern w:val="0"/>
          <w:sz w:val="32"/>
          <w:szCs w:val="32"/>
        </w:rPr>
        <w:t>附表六          临时搭盖的补偿规定</w:t>
      </w:r>
    </w:p>
    <w:p>
      <w:pPr>
        <w:ind w:firstLine="640" w:firstLineChars="200"/>
        <w:rPr>
          <w:rFonts w:ascii="仿宋_GB2312" w:hAnsi="仿宋_GB2312" w:eastAsia="仿宋_GB2312" w:cs="仿宋_GB2312"/>
          <w:sz w:val="32"/>
          <w:szCs w:val="32"/>
        </w:rPr>
      </w:pP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在房屋征收过程存在较多的临时搭盖问题，本着既实事求是又遏制临时搭盖的原则，对房屋征收过程遇到的临时搭盖补偿问题作如下规定。</w:t>
      </w:r>
    </w:p>
    <w:p>
      <w:pPr>
        <w:numPr>
          <w:ilvl w:val="0"/>
          <w:numId w:val="1"/>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临时搭盖的认定依据</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有以下情形之一的即认定为临时搭盖：</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1、以空心砖、加气砖、水泥砖为承重墙体；</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2、以简易钢结构为承重体系；</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3、以12cm厚粘土实心砖为承重墙体；</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4、未采用钢筋混凝土或烧结粘土瓦为屋顶（如：采用铁皮、石棉瓦、油毡为屋顶）。</w:t>
      </w:r>
    </w:p>
    <w:p>
      <w:pPr>
        <w:numPr>
          <w:ilvl w:val="0"/>
          <w:numId w:val="1"/>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临时搭盖的建筑面积计算规定</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1、临时搭盖不论层数均按单层计算建筑面积。</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2、临时搭盖不论层高均按一般层高单层计算建筑面积。</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3、以临时搭盖外墙面轮廓线计算建筑面积。</w:t>
      </w:r>
    </w:p>
    <w:p>
      <w:pPr>
        <w:numPr>
          <w:ilvl w:val="0"/>
          <w:numId w:val="1"/>
        </w:num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临时搭盖的补偿计算</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1、临时搭盖的建筑重置价补偿标准为100-300</w:t>
      </w:r>
      <w:r>
        <w:rPr>
          <w:rFonts w:hint="eastAsia" w:ascii="仿宋_GB2312" w:eastAsia="仿宋_GB2312"/>
          <w:sz w:val="32"/>
          <w:szCs w:val="32"/>
          <w:lang w:val="zh-CN"/>
        </w:rPr>
        <w:t>元/㎡</w:t>
      </w:r>
      <w:r>
        <w:rPr>
          <w:rFonts w:hint="eastAsia" w:ascii="仿宋_GB2312" w:hAnsi="仿宋_GB2312" w:eastAsia="仿宋_GB2312" w:cs="仿宋_GB2312"/>
          <w:sz w:val="32"/>
          <w:szCs w:val="32"/>
        </w:rPr>
        <w:t>。</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2、临时搭盖的二次装修重置价补偿不得超过其建筑重置价补偿。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3、采用18cm或24cm厚粘土实心砖为承重墙体的，可参照砖木结构二等略低标准给予建筑重置价补偿。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4、临时搭盖除建筑重置价和二次装修重置价补偿外，不再享有含征收补助在内的其他任何补偿。</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5、实施突击抢建的，由项目所在镇（街）负责拆除并不予任何补偿。</w:t>
      </w:r>
    </w:p>
    <w:p>
      <w:pPr>
        <w:widowControl/>
        <w:rPr>
          <w:rFonts w:ascii="仿宋_GB2312" w:hAnsi="宋体" w:eastAsia="仿宋_GB2312" w:cs="宋体"/>
          <w:kern w:val="0"/>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7</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TBiN2M3OTJhMmJiOTdiNDBkMWZmODlkMmFmZDYifQ=="/>
  </w:docVars>
  <w:rsids>
    <w:rsidRoot w:val="00172A27"/>
    <w:rsid w:val="00000B91"/>
    <w:rsid w:val="000028B2"/>
    <w:rsid w:val="000050E6"/>
    <w:rsid w:val="00006056"/>
    <w:rsid w:val="00020338"/>
    <w:rsid w:val="0002041F"/>
    <w:rsid w:val="00026B25"/>
    <w:rsid w:val="00026C31"/>
    <w:rsid w:val="00030CB0"/>
    <w:rsid w:val="00036B0C"/>
    <w:rsid w:val="00041432"/>
    <w:rsid w:val="000420F0"/>
    <w:rsid w:val="00046D70"/>
    <w:rsid w:val="00052C74"/>
    <w:rsid w:val="00052F89"/>
    <w:rsid w:val="0005448F"/>
    <w:rsid w:val="00056603"/>
    <w:rsid w:val="00057029"/>
    <w:rsid w:val="00061203"/>
    <w:rsid w:val="00062A17"/>
    <w:rsid w:val="000636EE"/>
    <w:rsid w:val="00063C57"/>
    <w:rsid w:val="00065941"/>
    <w:rsid w:val="00070875"/>
    <w:rsid w:val="00073D9C"/>
    <w:rsid w:val="0007659E"/>
    <w:rsid w:val="0007680D"/>
    <w:rsid w:val="000804D8"/>
    <w:rsid w:val="00080E7C"/>
    <w:rsid w:val="00081768"/>
    <w:rsid w:val="000822CC"/>
    <w:rsid w:val="000823FD"/>
    <w:rsid w:val="000830D0"/>
    <w:rsid w:val="00083423"/>
    <w:rsid w:val="00097EA8"/>
    <w:rsid w:val="000A0262"/>
    <w:rsid w:val="000A0B53"/>
    <w:rsid w:val="000A2240"/>
    <w:rsid w:val="000A34F4"/>
    <w:rsid w:val="000A39EB"/>
    <w:rsid w:val="000A4C47"/>
    <w:rsid w:val="000A4C67"/>
    <w:rsid w:val="000A6F88"/>
    <w:rsid w:val="000A769F"/>
    <w:rsid w:val="000B339F"/>
    <w:rsid w:val="000B5F38"/>
    <w:rsid w:val="000C09A8"/>
    <w:rsid w:val="000C0FA9"/>
    <w:rsid w:val="000C15D2"/>
    <w:rsid w:val="000C4055"/>
    <w:rsid w:val="000C7AC1"/>
    <w:rsid w:val="000D27B8"/>
    <w:rsid w:val="000D5BC5"/>
    <w:rsid w:val="000D6282"/>
    <w:rsid w:val="000E3A33"/>
    <w:rsid w:val="000E63A3"/>
    <w:rsid w:val="000F3209"/>
    <w:rsid w:val="000F6232"/>
    <w:rsid w:val="000F6496"/>
    <w:rsid w:val="000F6B4B"/>
    <w:rsid w:val="00104FF9"/>
    <w:rsid w:val="00106433"/>
    <w:rsid w:val="00107813"/>
    <w:rsid w:val="00107F67"/>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1B61"/>
    <w:rsid w:val="00167E63"/>
    <w:rsid w:val="00172A27"/>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34F0"/>
    <w:rsid w:val="0021512D"/>
    <w:rsid w:val="002172F4"/>
    <w:rsid w:val="0022211A"/>
    <w:rsid w:val="002223A8"/>
    <w:rsid w:val="00224EBF"/>
    <w:rsid w:val="00226218"/>
    <w:rsid w:val="00241A17"/>
    <w:rsid w:val="002439A4"/>
    <w:rsid w:val="00243EEF"/>
    <w:rsid w:val="0024512B"/>
    <w:rsid w:val="002451A0"/>
    <w:rsid w:val="00246A81"/>
    <w:rsid w:val="00254468"/>
    <w:rsid w:val="00260471"/>
    <w:rsid w:val="00271053"/>
    <w:rsid w:val="00271FEC"/>
    <w:rsid w:val="00272D9B"/>
    <w:rsid w:val="0027749B"/>
    <w:rsid w:val="002806B2"/>
    <w:rsid w:val="0029108F"/>
    <w:rsid w:val="00294620"/>
    <w:rsid w:val="00296B0F"/>
    <w:rsid w:val="002A1B1D"/>
    <w:rsid w:val="002A3FE9"/>
    <w:rsid w:val="002A637F"/>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2183"/>
    <w:rsid w:val="00316425"/>
    <w:rsid w:val="00322C83"/>
    <w:rsid w:val="00323BA9"/>
    <w:rsid w:val="003270EE"/>
    <w:rsid w:val="003344C8"/>
    <w:rsid w:val="00337CE4"/>
    <w:rsid w:val="00337F8E"/>
    <w:rsid w:val="0034047E"/>
    <w:rsid w:val="00343AD8"/>
    <w:rsid w:val="0035286D"/>
    <w:rsid w:val="00353941"/>
    <w:rsid w:val="00353ACE"/>
    <w:rsid w:val="00354743"/>
    <w:rsid w:val="003665AC"/>
    <w:rsid w:val="00367741"/>
    <w:rsid w:val="00370B61"/>
    <w:rsid w:val="00374EC4"/>
    <w:rsid w:val="003826AC"/>
    <w:rsid w:val="003854F7"/>
    <w:rsid w:val="00391B37"/>
    <w:rsid w:val="00394E23"/>
    <w:rsid w:val="003965A3"/>
    <w:rsid w:val="003A4BEE"/>
    <w:rsid w:val="003A6079"/>
    <w:rsid w:val="003A735D"/>
    <w:rsid w:val="003A7A9D"/>
    <w:rsid w:val="003B3C77"/>
    <w:rsid w:val="003B4E98"/>
    <w:rsid w:val="003C1640"/>
    <w:rsid w:val="003D7AA8"/>
    <w:rsid w:val="003E0529"/>
    <w:rsid w:val="003E207A"/>
    <w:rsid w:val="003E313C"/>
    <w:rsid w:val="003E512C"/>
    <w:rsid w:val="003E5357"/>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B2A51"/>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19B"/>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82831"/>
    <w:rsid w:val="0059108A"/>
    <w:rsid w:val="00592041"/>
    <w:rsid w:val="00592A11"/>
    <w:rsid w:val="005934DA"/>
    <w:rsid w:val="0059399A"/>
    <w:rsid w:val="005A3AD5"/>
    <w:rsid w:val="005A4D4C"/>
    <w:rsid w:val="005A7B34"/>
    <w:rsid w:val="005B5AC6"/>
    <w:rsid w:val="005B5E23"/>
    <w:rsid w:val="005B607B"/>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2B07"/>
    <w:rsid w:val="00613792"/>
    <w:rsid w:val="00615DA0"/>
    <w:rsid w:val="00622D54"/>
    <w:rsid w:val="006305D3"/>
    <w:rsid w:val="00632816"/>
    <w:rsid w:val="00634168"/>
    <w:rsid w:val="006360BA"/>
    <w:rsid w:val="006365B5"/>
    <w:rsid w:val="00637235"/>
    <w:rsid w:val="0064085E"/>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3724"/>
    <w:rsid w:val="00696ADD"/>
    <w:rsid w:val="00697ECF"/>
    <w:rsid w:val="006A1388"/>
    <w:rsid w:val="006A5150"/>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0E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077E"/>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92C"/>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37D0"/>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515A"/>
    <w:rsid w:val="008E7408"/>
    <w:rsid w:val="008E7AC6"/>
    <w:rsid w:val="008F73EC"/>
    <w:rsid w:val="00901413"/>
    <w:rsid w:val="0090445A"/>
    <w:rsid w:val="00912534"/>
    <w:rsid w:val="00920EAF"/>
    <w:rsid w:val="0092281E"/>
    <w:rsid w:val="0092581C"/>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7592C"/>
    <w:rsid w:val="009808B4"/>
    <w:rsid w:val="0098186B"/>
    <w:rsid w:val="00982096"/>
    <w:rsid w:val="00992B56"/>
    <w:rsid w:val="00995A10"/>
    <w:rsid w:val="00997916"/>
    <w:rsid w:val="009A0151"/>
    <w:rsid w:val="009A1101"/>
    <w:rsid w:val="009A4AD7"/>
    <w:rsid w:val="009B09A5"/>
    <w:rsid w:val="009B1523"/>
    <w:rsid w:val="009B387E"/>
    <w:rsid w:val="009B5117"/>
    <w:rsid w:val="009B5121"/>
    <w:rsid w:val="009B6967"/>
    <w:rsid w:val="009C0967"/>
    <w:rsid w:val="009C0B81"/>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568B"/>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E5C"/>
    <w:rsid w:val="00A57F3D"/>
    <w:rsid w:val="00A6337D"/>
    <w:rsid w:val="00A641EE"/>
    <w:rsid w:val="00A64639"/>
    <w:rsid w:val="00A74BDC"/>
    <w:rsid w:val="00A74D86"/>
    <w:rsid w:val="00A81747"/>
    <w:rsid w:val="00A8222C"/>
    <w:rsid w:val="00A82830"/>
    <w:rsid w:val="00A82BDE"/>
    <w:rsid w:val="00A83D96"/>
    <w:rsid w:val="00A83FCD"/>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45B2"/>
    <w:rsid w:val="00AC72B6"/>
    <w:rsid w:val="00AD31D2"/>
    <w:rsid w:val="00AD3805"/>
    <w:rsid w:val="00AD518A"/>
    <w:rsid w:val="00AE435B"/>
    <w:rsid w:val="00AE7140"/>
    <w:rsid w:val="00AF1FB5"/>
    <w:rsid w:val="00AF269B"/>
    <w:rsid w:val="00AF3272"/>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4192"/>
    <w:rsid w:val="00BC5022"/>
    <w:rsid w:val="00BD037F"/>
    <w:rsid w:val="00BD0751"/>
    <w:rsid w:val="00BD5D40"/>
    <w:rsid w:val="00BE0EC2"/>
    <w:rsid w:val="00BE17F4"/>
    <w:rsid w:val="00BE18CC"/>
    <w:rsid w:val="00BE4E1C"/>
    <w:rsid w:val="00BE605D"/>
    <w:rsid w:val="00BF7BE2"/>
    <w:rsid w:val="00C032DF"/>
    <w:rsid w:val="00C06995"/>
    <w:rsid w:val="00C149F4"/>
    <w:rsid w:val="00C17A87"/>
    <w:rsid w:val="00C205D5"/>
    <w:rsid w:val="00C22BD0"/>
    <w:rsid w:val="00C22F66"/>
    <w:rsid w:val="00C2632B"/>
    <w:rsid w:val="00C349FB"/>
    <w:rsid w:val="00C379FF"/>
    <w:rsid w:val="00C40A0E"/>
    <w:rsid w:val="00C4333C"/>
    <w:rsid w:val="00C43965"/>
    <w:rsid w:val="00C612C2"/>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4B10"/>
    <w:rsid w:val="00CD75BC"/>
    <w:rsid w:val="00CE017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578A"/>
    <w:rsid w:val="00DC7C02"/>
    <w:rsid w:val="00DC7DD8"/>
    <w:rsid w:val="00DD2640"/>
    <w:rsid w:val="00DD738D"/>
    <w:rsid w:val="00DE6530"/>
    <w:rsid w:val="00DE7C63"/>
    <w:rsid w:val="00DF0908"/>
    <w:rsid w:val="00DF1FDB"/>
    <w:rsid w:val="00DF4E2E"/>
    <w:rsid w:val="00E0668C"/>
    <w:rsid w:val="00E11100"/>
    <w:rsid w:val="00E142CF"/>
    <w:rsid w:val="00E14D19"/>
    <w:rsid w:val="00E1651C"/>
    <w:rsid w:val="00E17DF7"/>
    <w:rsid w:val="00E224D6"/>
    <w:rsid w:val="00E24E18"/>
    <w:rsid w:val="00E2795F"/>
    <w:rsid w:val="00E322FA"/>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5D0"/>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04BAF"/>
    <w:rsid w:val="00F0728D"/>
    <w:rsid w:val="00F105FF"/>
    <w:rsid w:val="00F1143C"/>
    <w:rsid w:val="00F11795"/>
    <w:rsid w:val="00F23F42"/>
    <w:rsid w:val="00F247A2"/>
    <w:rsid w:val="00F31AD5"/>
    <w:rsid w:val="00F31EDE"/>
    <w:rsid w:val="00F3453C"/>
    <w:rsid w:val="00F34E55"/>
    <w:rsid w:val="00F37B3D"/>
    <w:rsid w:val="00F4183F"/>
    <w:rsid w:val="00F42B4F"/>
    <w:rsid w:val="00F46549"/>
    <w:rsid w:val="00F53EDE"/>
    <w:rsid w:val="00F65E6E"/>
    <w:rsid w:val="00F83E2F"/>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947FC3"/>
    <w:rsid w:val="01D27EC4"/>
    <w:rsid w:val="01E117B9"/>
    <w:rsid w:val="01F00AB6"/>
    <w:rsid w:val="0207272A"/>
    <w:rsid w:val="020B14CD"/>
    <w:rsid w:val="028127D2"/>
    <w:rsid w:val="02F64548"/>
    <w:rsid w:val="03011A10"/>
    <w:rsid w:val="031E07C6"/>
    <w:rsid w:val="034F4185"/>
    <w:rsid w:val="035A359C"/>
    <w:rsid w:val="03696905"/>
    <w:rsid w:val="03891585"/>
    <w:rsid w:val="04025AE2"/>
    <w:rsid w:val="04027EE3"/>
    <w:rsid w:val="044C0B64"/>
    <w:rsid w:val="04554499"/>
    <w:rsid w:val="047B53B0"/>
    <w:rsid w:val="04ED23F9"/>
    <w:rsid w:val="04F55261"/>
    <w:rsid w:val="0506561A"/>
    <w:rsid w:val="05290E24"/>
    <w:rsid w:val="055B3A3D"/>
    <w:rsid w:val="057524EE"/>
    <w:rsid w:val="057D2C4A"/>
    <w:rsid w:val="05C877CC"/>
    <w:rsid w:val="05D4006B"/>
    <w:rsid w:val="067E6BD3"/>
    <w:rsid w:val="06F82052"/>
    <w:rsid w:val="06FF4F50"/>
    <w:rsid w:val="07633062"/>
    <w:rsid w:val="07DB0435"/>
    <w:rsid w:val="07E3097C"/>
    <w:rsid w:val="0803189C"/>
    <w:rsid w:val="081D5432"/>
    <w:rsid w:val="083F5782"/>
    <w:rsid w:val="08A066FD"/>
    <w:rsid w:val="08A16DD8"/>
    <w:rsid w:val="08C65D1E"/>
    <w:rsid w:val="08CC3D7A"/>
    <w:rsid w:val="093A1835"/>
    <w:rsid w:val="09423056"/>
    <w:rsid w:val="095D74F7"/>
    <w:rsid w:val="0984242B"/>
    <w:rsid w:val="09A020EF"/>
    <w:rsid w:val="0A046B83"/>
    <w:rsid w:val="0A141BC7"/>
    <w:rsid w:val="0A856592"/>
    <w:rsid w:val="0A9E6597"/>
    <w:rsid w:val="0AA52811"/>
    <w:rsid w:val="0AE77A1F"/>
    <w:rsid w:val="0B3C37C1"/>
    <w:rsid w:val="0B9054A7"/>
    <w:rsid w:val="0BDF722F"/>
    <w:rsid w:val="0CF40D87"/>
    <w:rsid w:val="0D063813"/>
    <w:rsid w:val="0D540DB5"/>
    <w:rsid w:val="0DFF2AD7"/>
    <w:rsid w:val="0E2475FF"/>
    <w:rsid w:val="0E964359"/>
    <w:rsid w:val="0E974009"/>
    <w:rsid w:val="0EA64AE2"/>
    <w:rsid w:val="0EAA2FF1"/>
    <w:rsid w:val="0EB26DC4"/>
    <w:rsid w:val="0F7C6B07"/>
    <w:rsid w:val="0FB95E70"/>
    <w:rsid w:val="0FF148D7"/>
    <w:rsid w:val="10440000"/>
    <w:rsid w:val="11124F95"/>
    <w:rsid w:val="11174A76"/>
    <w:rsid w:val="117665C5"/>
    <w:rsid w:val="11A31485"/>
    <w:rsid w:val="11AD56D5"/>
    <w:rsid w:val="1216408C"/>
    <w:rsid w:val="125D56A2"/>
    <w:rsid w:val="128D22C7"/>
    <w:rsid w:val="12B46205"/>
    <w:rsid w:val="12CC5894"/>
    <w:rsid w:val="13123160"/>
    <w:rsid w:val="133800A6"/>
    <w:rsid w:val="137A0B9B"/>
    <w:rsid w:val="13862F37"/>
    <w:rsid w:val="13B47D66"/>
    <w:rsid w:val="13C32C71"/>
    <w:rsid w:val="13D03B7D"/>
    <w:rsid w:val="140317CF"/>
    <w:rsid w:val="14535B84"/>
    <w:rsid w:val="146D59C2"/>
    <w:rsid w:val="15431667"/>
    <w:rsid w:val="154E3F37"/>
    <w:rsid w:val="15860A56"/>
    <w:rsid w:val="15C92902"/>
    <w:rsid w:val="15CB4B8E"/>
    <w:rsid w:val="15CD7F6B"/>
    <w:rsid w:val="161F180C"/>
    <w:rsid w:val="161F18D6"/>
    <w:rsid w:val="163657A1"/>
    <w:rsid w:val="16457622"/>
    <w:rsid w:val="164756E1"/>
    <w:rsid w:val="1649310C"/>
    <w:rsid w:val="16564FC0"/>
    <w:rsid w:val="166C7EE9"/>
    <w:rsid w:val="16854A6A"/>
    <w:rsid w:val="168B3A44"/>
    <w:rsid w:val="16E24384"/>
    <w:rsid w:val="178F6E4C"/>
    <w:rsid w:val="17C00706"/>
    <w:rsid w:val="17EE003C"/>
    <w:rsid w:val="185F0FC1"/>
    <w:rsid w:val="18CB3E99"/>
    <w:rsid w:val="18F31102"/>
    <w:rsid w:val="18FE24B3"/>
    <w:rsid w:val="193E0A8B"/>
    <w:rsid w:val="19553204"/>
    <w:rsid w:val="199E717D"/>
    <w:rsid w:val="19D035CE"/>
    <w:rsid w:val="1A7056EB"/>
    <w:rsid w:val="1A8C3502"/>
    <w:rsid w:val="1ABC1634"/>
    <w:rsid w:val="1AC20350"/>
    <w:rsid w:val="1B9625DE"/>
    <w:rsid w:val="1BE03F4B"/>
    <w:rsid w:val="1C403CE3"/>
    <w:rsid w:val="1CF06B3B"/>
    <w:rsid w:val="1DAC2CE4"/>
    <w:rsid w:val="1DBE37FF"/>
    <w:rsid w:val="1DC76241"/>
    <w:rsid w:val="1E1C0422"/>
    <w:rsid w:val="1E4946EC"/>
    <w:rsid w:val="1E721941"/>
    <w:rsid w:val="1E895C65"/>
    <w:rsid w:val="1EE469DB"/>
    <w:rsid w:val="1F344DC8"/>
    <w:rsid w:val="1F4F579A"/>
    <w:rsid w:val="1F923E71"/>
    <w:rsid w:val="1FC46C00"/>
    <w:rsid w:val="1FEA4FFD"/>
    <w:rsid w:val="20D20016"/>
    <w:rsid w:val="21147137"/>
    <w:rsid w:val="21184DB4"/>
    <w:rsid w:val="211B14CF"/>
    <w:rsid w:val="21240FFB"/>
    <w:rsid w:val="21353652"/>
    <w:rsid w:val="21E573F5"/>
    <w:rsid w:val="21F015D4"/>
    <w:rsid w:val="226955D4"/>
    <w:rsid w:val="22697DE6"/>
    <w:rsid w:val="2270477B"/>
    <w:rsid w:val="234A0CD7"/>
    <w:rsid w:val="23D57518"/>
    <w:rsid w:val="24256156"/>
    <w:rsid w:val="242E1792"/>
    <w:rsid w:val="24665C72"/>
    <w:rsid w:val="249D1040"/>
    <w:rsid w:val="24B22244"/>
    <w:rsid w:val="24E95DD0"/>
    <w:rsid w:val="25061BD4"/>
    <w:rsid w:val="252B19AC"/>
    <w:rsid w:val="252C2672"/>
    <w:rsid w:val="25805531"/>
    <w:rsid w:val="25A22C56"/>
    <w:rsid w:val="26040640"/>
    <w:rsid w:val="26297D33"/>
    <w:rsid w:val="263B4D60"/>
    <w:rsid w:val="264E7927"/>
    <w:rsid w:val="26531ED4"/>
    <w:rsid w:val="26687C5C"/>
    <w:rsid w:val="26A84E7A"/>
    <w:rsid w:val="26A9175B"/>
    <w:rsid w:val="27305192"/>
    <w:rsid w:val="27906EE8"/>
    <w:rsid w:val="280D47EC"/>
    <w:rsid w:val="282375E5"/>
    <w:rsid w:val="282D3300"/>
    <w:rsid w:val="285B3E57"/>
    <w:rsid w:val="28A43F3D"/>
    <w:rsid w:val="292C4E37"/>
    <w:rsid w:val="29370C4D"/>
    <w:rsid w:val="2947531F"/>
    <w:rsid w:val="294B1A5E"/>
    <w:rsid w:val="294B76D0"/>
    <w:rsid w:val="29C40102"/>
    <w:rsid w:val="29EE3D5D"/>
    <w:rsid w:val="2A6B5A06"/>
    <w:rsid w:val="2A9F5A13"/>
    <w:rsid w:val="2ABB5621"/>
    <w:rsid w:val="2AE91A91"/>
    <w:rsid w:val="2B261FDD"/>
    <w:rsid w:val="2B2F226B"/>
    <w:rsid w:val="2BAC556F"/>
    <w:rsid w:val="2BB00BE2"/>
    <w:rsid w:val="2C164832"/>
    <w:rsid w:val="2C1A068D"/>
    <w:rsid w:val="2C6460D4"/>
    <w:rsid w:val="2C6A469C"/>
    <w:rsid w:val="2CB84136"/>
    <w:rsid w:val="2CEF299A"/>
    <w:rsid w:val="2D302B7D"/>
    <w:rsid w:val="2D320026"/>
    <w:rsid w:val="2D9078D9"/>
    <w:rsid w:val="2DB451F6"/>
    <w:rsid w:val="2DB4638C"/>
    <w:rsid w:val="2DE235AC"/>
    <w:rsid w:val="2E2E0787"/>
    <w:rsid w:val="2E6C16D6"/>
    <w:rsid w:val="2E6E03C4"/>
    <w:rsid w:val="2E911BEA"/>
    <w:rsid w:val="2ECD7008"/>
    <w:rsid w:val="2ED82C7D"/>
    <w:rsid w:val="2F517EEE"/>
    <w:rsid w:val="2F5B747E"/>
    <w:rsid w:val="2F762B07"/>
    <w:rsid w:val="2FCF5434"/>
    <w:rsid w:val="2FE22DA5"/>
    <w:rsid w:val="30217178"/>
    <w:rsid w:val="30455CEF"/>
    <w:rsid w:val="30980F47"/>
    <w:rsid w:val="310437B2"/>
    <w:rsid w:val="313A307D"/>
    <w:rsid w:val="3172715A"/>
    <w:rsid w:val="324A49D1"/>
    <w:rsid w:val="32726213"/>
    <w:rsid w:val="32757E7F"/>
    <w:rsid w:val="32DF4EA1"/>
    <w:rsid w:val="33AE7368"/>
    <w:rsid w:val="340D76D4"/>
    <w:rsid w:val="345A63BB"/>
    <w:rsid w:val="346E0FD9"/>
    <w:rsid w:val="347D2FD6"/>
    <w:rsid w:val="349F467B"/>
    <w:rsid w:val="34AD46B0"/>
    <w:rsid w:val="34B561E0"/>
    <w:rsid w:val="351671EE"/>
    <w:rsid w:val="35AB7FB9"/>
    <w:rsid w:val="362A0508"/>
    <w:rsid w:val="3652430D"/>
    <w:rsid w:val="366476F3"/>
    <w:rsid w:val="379A0BAB"/>
    <w:rsid w:val="382D2F72"/>
    <w:rsid w:val="38865EEB"/>
    <w:rsid w:val="392D3B3E"/>
    <w:rsid w:val="39C514C9"/>
    <w:rsid w:val="39CD234B"/>
    <w:rsid w:val="3A0C2671"/>
    <w:rsid w:val="3A6317CC"/>
    <w:rsid w:val="3B2330CF"/>
    <w:rsid w:val="3B342A07"/>
    <w:rsid w:val="3B605268"/>
    <w:rsid w:val="3B974E55"/>
    <w:rsid w:val="3B9D1CE1"/>
    <w:rsid w:val="3BD5527A"/>
    <w:rsid w:val="3BE6022F"/>
    <w:rsid w:val="3BE61128"/>
    <w:rsid w:val="3C404B82"/>
    <w:rsid w:val="3CBB387A"/>
    <w:rsid w:val="3D1C3E3B"/>
    <w:rsid w:val="3D9117CF"/>
    <w:rsid w:val="3DE926CA"/>
    <w:rsid w:val="3E30369B"/>
    <w:rsid w:val="3E6637A9"/>
    <w:rsid w:val="3E741EFD"/>
    <w:rsid w:val="3E9A0B1E"/>
    <w:rsid w:val="3EED2975"/>
    <w:rsid w:val="3F657DBF"/>
    <w:rsid w:val="3FCA548A"/>
    <w:rsid w:val="3FDE2B25"/>
    <w:rsid w:val="3FDF2B71"/>
    <w:rsid w:val="40256B05"/>
    <w:rsid w:val="403E5436"/>
    <w:rsid w:val="40857991"/>
    <w:rsid w:val="408707A9"/>
    <w:rsid w:val="410A568D"/>
    <w:rsid w:val="410E166C"/>
    <w:rsid w:val="41396CD7"/>
    <w:rsid w:val="4153338C"/>
    <w:rsid w:val="41B03718"/>
    <w:rsid w:val="41D504DC"/>
    <w:rsid w:val="41D5755A"/>
    <w:rsid w:val="428B6380"/>
    <w:rsid w:val="42A038C8"/>
    <w:rsid w:val="42A05648"/>
    <w:rsid w:val="42D340DE"/>
    <w:rsid w:val="43084129"/>
    <w:rsid w:val="43205D7F"/>
    <w:rsid w:val="432A3CD2"/>
    <w:rsid w:val="4363703B"/>
    <w:rsid w:val="43B835F7"/>
    <w:rsid w:val="43C87DD5"/>
    <w:rsid w:val="441A4CBC"/>
    <w:rsid w:val="447645FB"/>
    <w:rsid w:val="44BA10F1"/>
    <w:rsid w:val="44CD5C33"/>
    <w:rsid w:val="44D10FE2"/>
    <w:rsid w:val="44FA6BE7"/>
    <w:rsid w:val="455C0125"/>
    <w:rsid w:val="456B1626"/>
    <w:rsid w:val="45701CC6"/>
    <w:rsid w:val="45AB574C"/>
    <w:rsid w:val="45C42CE3"/>
    <w:rsid w:val="464227B9"/>
    <w:rsid w:val="46473C1B"/>
    <w:rsid w:val="466D7AE1"/>
    <w:rsid w:val="46AB4B1D"/>
    <w:rsid w:val="46B459C8"/>
    <w:rsid w:val="471F0558"/>
    <w:rsid w:val="47333503"/>
    <w:rsid w:val="475E0BEF"/>
    <w:rsid w:val="47825722"/>
    <w:rsid w:val="47AB219B"/>
    <w:rsid w:val="47BE37E1"/>
    <w:rsid w:val="4803096C"/>
    <w:rsid w:val="48146AB4"/>
    <w:rsid w:val="48490571"/>
    <w:rsid w:val="48585583"/>
    <w:rsid w:val="48B772BC"/>
    <w:rsid w:val="48C22E0F"/>
    <w:rsid w:val="48F17772"/>
    <w:rsid w:val="493C384C"/>
    <w:rsid w:val="49687979"/>
    <w:rsid w:val="49E2661E"/>
    <w:rsid w:val="4A372611"/>
    <w:rsid w:val="4A8D3414"/>
    <w:rsid w:val="4ADC3708"/>
    <w:rsid w:val="4AED21F8"/>
    <w:rsid w:val="4B074543"/>
    <w:rsid w:val="4B5E1C84"/>
    <w:rsid w:val="4B851713"/>
    <w:rsid w:val="4B8722B7"/>
    <w:rsid w:val="4B971EF3"/>
    <w:rsid w:val="4BA6642B"/>
    <w:rsid w:val="4BB50933"/>
    <w:rsid w:val="4BEE652D"/>
    <w:rsid w:val="4C494C45"/>
    <w:rsid w:val="4C8D7009"/>
    <w:rsid w:val="4CCA50DD"/>
    <w:rsid w:val="4D1A69DD"/>
    <w:rsid w:val="4D3C2B29"/>
    <w:rsid w:val="4D4C44E7"/>
    <w:rsid w:val="4D9117CA"/>
    <w:rsid w:val="4DB93822"/>
    <w:rsid w:val="4DF0395C"/>
    <w:rsid w:val="4DF84694"/>
    <w:rsid w:val="4E874BB5"/>
    <w:rsid w:val="4E98632C"/>
    <w:rsid w:val="4EAD5060"/>
    <w:rsid w:val="4F0726A8"/>
    <w:rsid w:val="4F9E40AA"/>
    <w:rsid w:val="50231D07"/>
    <w:rsid w:val="506E768D"/>
    <w:rsid w:val="507F1338"/>
    <w:rsid w:val="508F1446"/>
    <w:rsid w:val="509C3DCD"/>
    <w:rsid w:val="50A75B2A"/>
    <w:rsid w:val="50B16A07"/>
    <w:rsid w:val="50B214A8"/>
    <w:rsid w:val="50FB5334"/>
    <w:rsid w:val="510148BF"/>
    <w:rsid w:val="512C2141"/>
    <w:rsid w:val="51F2337C"/>
    <w:rsid w:val="528A2F2D"/>
    <w:rsid w:val="52BE6D6C"/>
    <w:rsid w:val="52DA2057"/>
    <w:rsid w:val="531F5E23"/>
    <w:rsid w:val="532508DA"/>
    <w:rsid w:val="537B6C11"/>
    <w:rsid w:val="53A92559"/>
    <w:rsid w:val="541F0A38"/>
    <w:rsid w:val="54204EBC"/>
    <w:rsid w:val="542851EC"/>
    <w:rsid w:val="54436F0C"/>
    <w:rsid w:val="54D27A78"/>
    <w:rsid w:val="54E844DB"/>
    <w:rsid w:val="54F15A6E"/>
    <w:rsid w:val="550226B6"/>
    <w:rsid w:val="55B94FAC"/>
    <w:rsid w:val="55F371F9"/>
    <w:rsid w:val="55F67FAE"/>
    <w:rsid w:val="56155365"/>
    <w:rsid w:val="56267959"/>
    <w:rsid w:val="5651744E"/>
    <w:rsid w:val="56C049FC"/>
    <w:rsid w:val="56D1171C"/>
    <w:rsid w:val="56EF384A"/>
    <w:rsid w:val="57315AD3"/>
    <w:rsid w:val="578B4ACC"/>
    <w:rsid w:val="57D6538F"/>
    <w:rsid w:val="57D707BF"/>
    <w:rsid w:val="57EB29ED"/>
    <w:rsid w:val="57F331B1"/>
    <w:rsid w:val="581A2695"/>
    <w:rsid w:val="582F3B2C"/>
    <w:rsid w:val="58462183"/>
    <w:rsid w:val="58C87345"/>
    <w:rsid w:val="58F229A2"/>
    <w:rsid w:val="597635C6"/>
    <w:rsid w:val="59CE4750"/>
    <w:rsid w:val="59FF54DE"/>
    <w:rsid w:val="5A5C2FF8"/>
    <w:rsid w:val="5A6134F5"/>
    <w:rsid w:val="5A6B04E4"/>
    <w:rsid w:val="5A9C50FA"/>
    <w:rsid w:val="5AB126F6"/>
    <w:rsid w:val="5ACC2C79"/>
    <w:rsid w:val="5ADA4644"/>
    <w:rsid w:val="5B072717"/>
    <w:rsid w:val="5B0C771A"/>
    <w:rsid w:val="5B7343E4"/>
    <w:rsid w:val="5B7F0A93"/>
    <w:rsid w:val="5BEE3995"/>
    <w:rsid w:val="5C4727C3"/>
    <w:rsid w:val="5C8F4FF2"/>
    <w:rsid w:val="5CD076FE"/>
    <w:rsid w:val="5CF66419"/>
    <w:rsid w:val="5D2F3C01"/>
    <w:rsid w:val="5D507A42"/>
    <w:rsid w:val="5D9923FF"/>
    <w:rsid w:val="5DA63D60"/>
    <w:rsid w:val="5E0F3FE5"/>
    <w:rsid w:val="5E2C4717"/>
    <w:rsid w:val="5E354578"/>
    <w:rsid w:val="5EA74DE4"/>
    <w:rsid w:val="5EC86D7F"/>
    <w:rsid w:val="5EE97014"/>
    <w:rsid w:val="5EFA24FB"/>
    <w:rsid w:val="5F165CC6"/>
    <w:rsid w:val="5F4B3757"/>
    <w:rsid w:val="5F650356"/>
    <w:rsid w:val="5F7807CB"/>
    <w:rsid w:val="5FBB6CD6"/>
    <w:rsid w:val="5FDF500E"/>
    <w:rsid w:val="5FF87025"/>
    <w:rsid w:val="60065B06"/>
    <w:rsid w:val="60894991"/>
    <w:rsid w:val="60C075D0"/>
    <w:rsid w:val="60D70696"/>
    <w:rsid w:val="60ED7877"/>
    <w:rsid w:val="610A1B60"/>
    <w:rsid w:val="61262229"/>
    <w:rsid w:val="61370CE5"/>
    <w:rsid w:val="61500EBB"/>
    <w:rsid w:val="617D7F45"/>
    <w:rsid w:val="618E4751"/>
    <w:rsid w:val="621D75D7"/>
    <w:rsid w:val="622C3805"/>
    <w:rsid w:val="62962D71"/>
    <w:rsid w:val="62D3004D"/>
    <w:rsid w:val="62D509B6"/>
    <w:rsid w:val="62DC0CDE"/>
    <w:rsid w:val="6334724C"/>
    <w:rsid w:val="63DA2433"/>
    <w:rsid w:val="63E87188"/>
    <w:rsid w:val="64021E38"/>
    <w:rsid w:val="645B110F"/>
    <w:rsid w:val="648C1355"/>
    <w:rsid w:val="64941EA5"/>
    <w:rsid w:val="649A3DAE"/>
    <w:rsid w:val="65026A55"/>
    <w:rsid w:val="653A4310"/>
    <w:rsid w:val="658018F6"/>
    <w:rsid w:val="6584688C"/>
    <w:rsid w:val="65B75E88"/>
    <w:rsid w:val="65E049B8"/>
    <w:rsid w:val="660A7801"/>
    <w:rsid w:val="661444AB"/>
    <w:rsid w:val="661956B5"/>
    <w:rsid w:val="66330ED0"/>
    <w:rsid w:val="66686AAB"/>
    <w:rsid w:val="667C3879"/>
    <w:rsid w:val="669C78C8"/>
    <w:rsid w:val="6723497F"/>
    <w:rsid w:val="67581514"/>
    <w:rsid w:val="6778711F"/>
    <w:rsid w:val="67F27407"/>
    <w:rsid w:val="68153468"/>
    <w:rsid w:val="68285284"/>
    <w:rsid w:val="68301B59"/>
    <w:rsid w:val="688E0C16"/>
    <w:rsid w:val="69C02C7B"/>
    <w:rsid w:val="69CE3320"/>
    <w:rsid w:val="69CF04D1"/>
    <w:rsid w:val="69FB3A54"/>
    <w:rsid w:val="6A065078"/>
    <w:rsid w:val="6A1A6973"/>
    <w:rsid w:val="6AB06BCF"/>
    <w:rsid w:val="6AC625B2"/>
    <w:rsid w:val="6B1F148D"/>
    <w:rsid w:val="6B25614C"/>
    <w:rsid w:val="6BE06F08"/>
    <w:rsid w:val="6C506A8D"/>
    <w:rsid w:val="6C762AD9"/>
    <w:rsid w:val="6CA15372"/>
    <w:rsid w:val="6CD6199A"/>
    <w:rsid w:val="6D6B5151"/>
    <w:rsid w:val="6DB05798"/>
    <w:rsid w:val="6DC50903"/>
    <w:rsid w:val="6DDF0DD6"/>
    <w:rsid w:val="6E9F2EE5"/>
    <w:rsid w:val="6F262639"/>
    <w:rsid w:val="6F307E18"/>
    <w:rsid w:val="6F5D1460"/>
    <w:rsid w:val="6FE756F2"/>
    <w:rsid w:val="701D3944"/>
    <w:rsid w:val="702627A1"/>
    <w:rsid w:val="702708DB"/>
    <w:rsid w:val="70463EF4"/>
    <w:rsid w:val="705D06FD"/>
    <w:rsid w:val="708504C8"/>
    <w:rsid w:val="70BD10C1"/>
    <w:rsid w:val="70FD0E5A"/>
    <w:rsid w:val="710A06AF"/>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2D46044"/>
    <w:rsid w:val="73202B37"/>
    <w:rsid w:val="737175E6"/>
    <w:rsid w:val="73BB403B"/>
    <w:rsid w:val="73C472B9"/>
    <w:rsid w:val="74745FA7"/>
    <w:rsid w:val="74A42250"/>
    <w:rsid w:val="74C23A26"/>
    <w:rsid w:val="74C60209"/>
    <w:rsid w:val="74EE0CE1"/>
    <w:rsid w:val="75104721"/>
    <w:rsid w:val="751C3537"/>
    <w:rsid w:val="751F1F98"/>
    <w:rsid w:val="752C38F7"/>
    <w:rsid w:val="756073B9"/>
    <w:rsid w:val="75641032"/>
    <w:rsid w:val="75A57272"/>
    <w:rsid w:val="75CA6A26"/>
    <w:rsid w:val="75E1748B"/>
    <w:rsid w:val="770135AD"/>
    <w:rsid w:val="770604C0"/>
    <w:rsid w:val="77370095"/>
    <w:rsid w:val="775F1688"/>
    <w:rsid w:val="776A0769"/>
    <w:rsid w:val="776C3D78"/>
    <w:rsid w:val="784624F0"/>
    <w:rsid w:val="787D1358"/>
    <w:rsid w:val="7883350C"/>
    <w:rsid w:val="788D63A7"/>
    <w:rsid w:val="7898237B"/>
    <w:rsid w:val="78C45DA6"/>
    <w:rsid w:val="78F03601"/>
    <w:rsid w:val="7916600B"/>
    <w:rsid w:val="791717F6"/>
    <w:rsid w:val="795255EB"/>
    <w:rsid w:val="79661AD2"/>
    <w:rsid w:val="79AC5526"/>
    <w:rsid w:val="79E2303F"/>
    <w:rsid w:val="7A0F59D5"/>
    <w:rsid w:val="7A1E5998"/>
    <w:rsid w:val="7A2777F4"/>
    <w:rsid w:val="7A406A6E"/>
    <w:rsid w:val="7A443120"/>
    <w:rsid w:val="7ABB220E"/>
    <w:rsid w:val="7B037BB0"/>
    <w:rsid w:val="7B0A69B2"/>
    <w:rsid w:val="7B336A3B"/>
    <w:rsid w:val="7B61183B"/>
    <w:rsid w:val="7B8B3E25"/>
    <w:rsid w:val="7BBB012F"/>
    <w:rsid w:val="7BF35F17"/>
    <w:rsid w:val="7CD902EB"/>
    <w:rsid w:val="7CDE3BF9"/>
    <w:rsid w:val="7D5F3A85"/>
    <w:rsid w:val="7E524C2F"/>
    <w:rsid w:val="7E872AE5"/>
    <w:rsid w:val="7EE029B2"/>
    <w:rsid w:val="7EFC5797"/>
    <w:rsid w:val="7F3513EA"/>
    <w:rsid w:val="7F38032B"/>
    <w:rsid w:val="7F446E7D"/>
    <w:rsid w:val="7FF945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eastAsia="MingLiU"/>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eastAsia="MingLiU"/>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eastAsia="MingLiU"/>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eastAsia="MingLiU"/>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正文文本 Char"/>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3EDE4-F216-45AF-977D-925F2F19FA3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24</Pages>
  <Words>12345</Words>
  <Characters>13046</Characters>
  <Lines>665</Lines>
  <Paragraphs>595</Paragraphs>
  <TotalTime>23</TotalTime>
  <ScaleCrop>false</ScaleCrop>
  <LinksUpToDate>false</LinksUpToDate>
  <CharactersWithSpaces>13336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RL.</cp:lastModifiedBy>
  <cp:lastPrinted>2024-09-12T00:44:00Z</cp:lastPrinted>
  <dcterms:modified xsi:type="dcterms:W3CDTF">2024-09-27T02:00:22Z</dcterms:modified>
  <dc:title>福清市石竹街道龙塘村</dc:title>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2AC673D0C4D34DBCA218AA60989502CC_13</vt:lpwstr>
  </property>
</Properties>
</file>