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AF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lang w:eastAsia="zh-CN"/>
        </w:rPr>
      </w:pPr>
    </w:p>
    <w:p w14:paraId="104EB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鼎脐山公园项目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w w:val="100"/>
          <w:kern w:val="0"/>
          <w:sz w:val="32"/>
          <w:szCs w:val="32"/>
          <w:highlight w:val="none"/>
          <w:lang w:val="en-US" w:eastAsia="zh-CN" w:bidi="ar-SA"/>
        </w:rPr>
      </w:pPr>
      <w:r>
        <w:rPr>
          <w:rFonts w:hint="eastAsia" w:ascii="仿宋_GB2312" w:hAnsi="Times New Roman" w:eastAsia="仿宋_GB2312" w:cs="Times New Roman"/>
          <w:w w:val="100"/>
          <w:kern w:val="0"/>
          <w:sz w:val="32"/>
          <w:szCs w:val="32"/>
          <w:highlight w:val="none"/>
          <w:lang w:val="en-US" w:eastAsia="zh-CN" w:bidi="ar-SA"/>
        </w:rPr>
        <w:t>（适用私人自建住宅部分征求意见稿）</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宋体" w:hAnsi="宋体" w:eastAsia="宋体"/>
          <w:w w:val="100"/>
          <w:sz w:val="44"/>
          <w:szCs w:val="44"/>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u w:val="none"/>
          <w:lang w:eastAsia="zh-CN"/>
        </w:rPr>
        <w:t>因鼎脐山公园项目</w:t>
      </w:r>
      <w:r>
        <w:rPr>
          <w:rFonts w:hint="eastAsia" w:ascii="仿宋_GB2312" w:eastAsia="仿宋_GB2312"/>
          <w:w w:val="100"/>
          <w:sz w:val="32"/>
          <w:szCs w:val="32"/>
          <w:u w:val="none"/>
          <w:lang w:val="en-US" w:eastAsia="zh-CN"/>
        </w:rPr>
        <w:t>(位于江阴化工区拓区二期征迁红线内）</w:t>
      </w:r>
      <w:r>
        <w:rPr>
          <w:rFonts w:hint="eastAsia" w:ascii="仿宋_GB2312" w:eastAsia="仿宋_GB2312"/>
          <w:w w:val="100"/>
          <w:sz w:val="32"/>
          <w:szCs w:val="32"/>
          <w:u w:val="none"/>
          <w:lang w:eastAsia="zh-CN"/>
        </w:rPr>
        <w:t>建设需要，福</w:t>
      </w:r>
      <w:r>
        <w:rPr>
          <w:rFonts w:hint="eastAsia" w:ascii="仿宋_GB2312" w:eastAsia="仿宋_GB2312"/>
          <w:w w:val="100"/>
          <w:sz w:val="32"/>
          <w:szCs w:val="32"/>
          <w:highlight w:val="none"/>
          <w:lang w:eastAsia="zh-CN"/>
        </w:rPr>
        <w:t>清市人民政府已决定征收</w:t>
      </w:r>
      <w:r>
        <w:rPr>
          <w:rFonts w:hint="eastAsia" w:ascii="仿宋_GB2312" w:eastAsia="仿宋_GB2312"/>
          <w:w w:val="100"/>
          <w:sz w:val="32"/>
          <w:szCs w:val="32"/>
          <w:u w:val="none"/>
          <w:lang w:eastAsia="zh-CN"/>
        </w:rPr>
        <w:t>鼎脐山公园</w:t>
      </w:r>
      <w:r>
        <w:rPr>
          <w:rFonts w:hint="eastAsia" w:ascii="仿宋_GB2312" w:eastAsia="仿宋_GB2312"/>
          <w:w w:val="100"/>
          <w:sz w:val="32"/>
          <w:szCs w:val="32"/>
          <w:highlight w:val="none"/>
          <w:lang w:eastAsia="zh-CN"/>
        </w:rPr>
        <w:t>项目红线内的房屋。根据《中华人民共和国土地管理法》、《国有土地上房屋征收与补偿条例》等有关法律、法规及政策规定，为规范征收补偿安置行为，维护被征收人合法权益，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w:t>
      </w:r>
      <w:r>
        <w:rPr>
          <w:rFonts w:hint="eastAsia" w:ascii="仿宋_GB2312" w:eastAsia="仿宋_GB2312"/>
          <w:w w:val="100"/>
          <w:sz w:val="32"/>
          <w:szCs w:val="32"/>
          <w:u w:val="none"/>
          <w:lang w:eastAsia="zh-CN"/>
        </w:rPr>
        <w:t>鼎脐山公园</w:t>
      </w:r>
      <w:r>
        <w:rPr>
          <w:rFonts w:hint="eastAsia" w:ascii="仿宋_GB2312" w:eastAsia="仿宋_GB2312"/>
          <w:w w:val="100"/>
          <w:sz w:val="32"/>
          <w:szCs w:val="32"/>
          <w:highlight w:val="none"/>
          <w:lang w:eastAsia="zh-CN"/>
        </w:rPr>
        <w:t>项目征迁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63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042903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融政山水苑</w:t>
            </w:r>
          </w:p>
          <w:p w14:paraId="4AB4C7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（政府储备地2020-025号）</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17C56A2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鑫悦雅居</w:t>
            </w:r>
          </w:p>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（政府储备地2020-026号)</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3D0A507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悦江新苑</w:t>
            </w:r>
          </w:p>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（政府储备地2013-050号）</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5069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7BD0B2D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yellow"/>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F8FE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锦祥华庭、锦融华庭</w:t>
            </w:r>
          </w:p>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81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筑融新苑、江源新苑</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tcBorders>
              <w:left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tcBorders>
              <w:left w:val="single" w:color="auto" w:sz="4" w:space="0"/>
              <w:right w:val="single" w:color="auto" w:sz="4" w:space="0"/>
            </w:tcBorders>
            <w:noWrap w:val="0"/>
            <w:vAlign w:val="center"/>
          </w:tcPr>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（融政山水苑</w:t>
      </w:r>
      <w:r>
        <w:rPr>
          <w:rFonts w:hint="eastAsia" w:ascii="仿宋_GB2312" w:eastAsia="仿宋_GB2312" w:cs="Times New Roman"/>
          <w:color w:val="auto"/>
          <w:kern w:val="2"/>
          <w:sz w:val="32"/>
          <w:szCs w:val="32"/>
          <w:highlight w:val="none"/>
          <w:u w:val="none"/>
          <w:lang w:val="zh-CN" w:eastAsia="zh-CN" w:bidi="ar-SA"/>
        </w:rPr>
        <w:t>、鑫悦雅居、悦江新苑、锦悦华庭、政府储备地2020-021、024号整合地块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664A3D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bookmarkStart w:id="6" w:name="_GoBack"/>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征收红线范围苗木及地上附着物征收的方案按市政府、市资源局相关文件规定执行。</w:t>
      </w:r>
    </w:p>
    <w:bookmarkEnd w:id="6"/>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w:t>
      </w:r>
      <w:r>
        <w:rPr>
          <w:rFonts w:hint="eastAsia" w:ascii="仿宋_GB2312" w:eastAsia="仿宋_GB2312"/>
          <w:w w:val="100"/>
          <w:sz w:val="32"/>
          <w:szCs w:val="32"/>
          <w:u w:val="none"/>
          <w:lang w:eastAsia="zh-CN"/>
        </w:rPr>
        <w:t>鼎脐山公园</w:t>
      </w:r>
      <w:r>
        <w:rPr>
          <w:rFonts w:hint="eastAsia" w:ascii="仿宋_GB2312" w:eastAsia="仿宋_GB2312"/>
          <w:sz w:val="32"/>
          <w:szCs w:val="32"/>
          <w:lang w:eastAsia="zh-CN"/>
        </w:rPr>
        <w:t>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C96D64C">
      <w:pPr>
        <w:pStyle w:val="2"/>
        <w:shd w:val="clear" w:color="auto" w:fill="auto"/>
        <w:spacing w:after="0" w:line="600" w:lineRule="exact"/>
        <w:rPr>
          <w:rFonts w:hint="eastAsia" w:ascii="仿宋_GB2312" w:eastAsia="仿宋_GB2312"/>
          <w:sz w:val="32"/>
          <w:szCs w:val="32"/>
          <w:lang w:eastAsia="zh-CN"/>
        </w:rPr>
      </w:pPr>
    </w:p>
    <w:p w14:paraId="3BC4EDD0">
      <w:pPr>
        <w:pStyle w:val="2"/>
        <w:shd w:val="clear" w:color="auto" w:fill="auto"/>
        <w:spacing w:after="0" w:line="600" w:lineRule="exact"/>
        <w:rPr>
          <w:rFonts w:hint="eastAsia" w:ascii="仿宋_GB2312" w:eastAsia="仿宋_GB2312"/>
          <w:sz w:val="32"/>
          <w:szCs w:val="32"/>
          <w:lang w:eastAsia="zh-CN"/>
        </w:rPr>
      </w:pPr>
    </w:p>
    <w:p w14:paraId="531C5AD4">
      <w:pPr>
        <w:pStyle w:val="2"/>
        <w:shd w:val="clear" w:color="auto" w:fill="auto"/>
        <w:spacing w:after="0" w:line="600" w:lineRule="exact"/>
        <w:rPr>
          <w:rFonts w:hint="eastAsia" w:ascii="仿宋_GB2312" w:eastAsia="仿宋_GB2312"/>
          <w:sz w:val="32"/>
          <w:szCs w:val="32"/>
          <w:lang w:eastAsia="zh-CN"/>
        </w:rPr>
      </w:pPr>
    </w:p>
    <w:p w14:paraId="499636DC">
      <w:pPr>
        <w:pStyle w:val="2"/>
        <w:shd w:val="clear" w:color="auto" w:fill="auto"/>
        <w:spacing w:after="0" w:line="600" w:lineRule="exact"/>
        <w:rPr>
          <w:rFonts w:hint="eastAsia" w:ascii="仿宋_GB2312" w:eastAsia="仿宋_GB2312"/>
          <w:sz w:val="32"/>
          <w:szCs w:val="32"/>
          <w:lang w:eastAsia="zh-CN"/>
        </w:rPr>
      </w:pPr>
    </w:p>
    <w:p w14:paraId="56A22E64">
      <w:pPr>
        <w:pStyle w:val="2"/>
        <w:shd w:val="clear" w:color="auto" w:fill="auto"/>
        <w:spacing w:after="0" w:line="600" w:lineRule="exact"/>
        <w:rPr>
          <w:rFonts w:hint="eastAsia" w:ascii="仿宋_GB2312" w:eastAsia="仿宋_GB2312"/>
          <w:sz w:val="32"/>
          <w:szCs w:val="32"/>
          <w:lang w:eastAsia="zh-CN"/>
        </w:rPr>
      </w:pPr>
    </w:p>
    <w:p w14:paraId="407FA295">
      <w:pPr>
        <w:pStyle w:val="2"/>
        <w:shd w:val="clear" w:color="auto" w:fill="auto"/>
        <w:spacing w:after="0" w:line="600" w:lineRule="exact"/>
        <w:rPr>
          <w:rFonts w:hint="eastAsia" w:ascii="仿宋_GB2312" w:eastAsia="仿宋_GB2312"/>
          <w:sz w:val="32"/>
          <w:szCs w:val="32"/>
          <w:lang w:eastAsia="zh-CN"/>
        </w:rPr>
      </w:pPr>
    </w:p>
    <w:p w14:paraId="4626F126">
      <w:pPr>
        <w:pStyle w:val="2"/>
        <w:shd w:val="clear" w:color="auto" w:fill="auto"/>
        <w:spacing w:after="0" w:line="600" w:lineRule="exact"/>
        <w:rPr>
          <w:rFonts w:hint="eastAsia" w:ascii="仿宋_GB2312" w:eastAsia="仿宋_GB2312"/>
          <w:sz w:val="32"/>
          <w:szCs w:val="32"/>
          <w:lang w:eastAsia="zh-CN"/>
        </w:rPr>
      </w:pPr>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7D3EA2C2">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22A7EAE"/>
    <w:rsid w:val="04A55DD4"/>
    <w:rsid w:val="05895F9F"/>
    <w:rsid w:val="06B617A0"/>
    <w:rsid w:val="0742420A"/>
    <w:rsid w:val="07601DCB"/>
    <w:rsid w:val="099F2049"/>
    <w:rsid w:val="09BA378E"/>
    <w:rsid w:val="0A5F693D"/>
    <w:rsid w:val="0C137528"/>
    <w:rsid w:val="0E772D33"/>
    <w:rsid w:val="0E7904E9"/>
    <w:rsid w:val="131C4333"/>
    <w:rsid w:val="142D1028"/>
    <w:rsid w:val="14445F62"/>
    <w:rsid w:val="146855F8"/>
    <w:rsid w:val="147D31C1"/>
    <w:rsid w:val="1745261D"/>
    <w:rsid w:val="174C7B19"/>
    <w:rsid w:val="1A5B3192"/>
    <w:rsid w:val="1AFE7B53"/>
    <w:rsid w:val="1DEA251E"/>
    <w:rsid w:val="1FE86B9D"/>
    <w:rsid w:val="23B62C92"/>
    <w:rsid w:val="287E1AB2"/>
    <w:rsid w:val="2A097120"/>
    <w:rsid w:val="2A190C8D"/>
    <w:rsid w:val="2C7E592F"/>
    <w:rsid w:val="2CC12018"/>
    <w:rsid w:val="30EF3EBE"/>
    <w:rsid w:val="32364870"/>
    <w:rsid w:val="32445FEE"/>
    <w:rsid w:val="33F15375"/>
    <w:rsid w:val="34791C5F"/>
    <w:rsid w:val="34AE5759"/>
    <w:rsid w:val="3B602A65"/>
    <w:rsid w:val="3D86011B"/>
    <w:rsid w:val="3DCA3F61"/>
    <w:rsid w:val="3E1C6AFB"/>
    <w:rsid w:val="3F955FB0"/>
    <w:rsid w:val="3FC26292"/>
    <w:rsid w:val="4076724B"/>
    <w:rsid w:val="42094CDA"/>
    <w:rsid w:val="456A6258"/>
    <w:rsid w:val="4642189D"/>
    <w:rsid w:val="47C26847"/>
    <w:rsid w:val="492A0CAA"/>
    <w:rsid w:val="4B302D3D"/>
    <w:rsid w:val="4BE42CD8"/>
    <w:rsid w:val="4C3065B8"/>
    <w:rsid w:val="4C7D53DD"/>
    <w:rsid w:val="4C9566B2"/>
    <w:rsid w:val="4CFA2123"/>
    <w:rsid w:val="4D5048A0"/>
    <w:rsid w:val="52EA6CCC"/>
    <w:rsid w:val="531968AD"/>
    <w:rsid w:val="53A658C2"/>
    <w:rsid w:val="55CF4A91"/>
    <w:rsid w:val="56D71B8E"/>
    <w:rsid w:val="56FA1B4F"/>
    <w:rsid w:val="58F53681"/>
    <w:rsid w:val="597802A3"/>
    <w:rsid w:val="5C515B2D"/>
    <w:rsid w:val="5E634A2B"/>
    <w:rsid w:val="5FA82C46"/>
    <w:rsid w:val="60B31868"/>
    <w:rsid w:val="60D42AD5"/>
    <w:rsid w:val="61126670"/>
    <w:rsid w:val="61AE5DB2"/>
    <w:rsid w:val="627D30E4"/>
    <w:rsid w:val="62DE08E1"/>
    <w:rsid w:val="64A6271B"/>
    <w:rsid w:val="67875674"/>
    <w:rsid w:val="67BB4BB4"/>
    <w:rsid w:val="68BB3CD1"/>
    <w:rsid w:val="6E3359B1"/>
    <w:rsid w:val="6E900B48"/>
    <w:rsid w:val="70234307"/>
    <w:rsid w:val="71232D04"/>
    <w:rsid w:val="714F1A55"/>
    <w:rsid w:val="718F6F72"/>
    <w:rsid w:val="71EB01BA"/>
    <w:rsid w:val="72916C3D"/>
    <w:rsid w:val="77BA6581"/>
    <w:rsid w:val="79925726"/>
    <w:rsid w:val="7A6C23AA"/>
    <w:rsid w:val="7B5B3EA0"/>
    <w:rsid w:val="7B632555"/>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16763</Words>
  <Characters>17865</Characters>
  <Lines>0</Lines>
  <Paragraphs>0</Paragraphs>
  <TotalTime>2</TotalTime>
  <ScaleCrop>false</ScaleCrop>
  <LinksUpToDate>false</LinksUpToDate>
  <CharactersWithSpaces>17957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2024-09-26T07:50:00Z</cp:lastPrinted>
  <dcterms:modified xsi:type="dcterms:W3CDTF">2024-09-30T02:57:02Z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9206988FD9BA47139A3A9A62F8D7D7EE</vt:lpwstr>
  </property>
</Properties>
</file>