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760" w:type="dxa"/>
        <w:jc w:val="center"/>
        <w:tblInd w:w="93" w:type="dxa"/>
        <w:tblLayout w:type="fixed"/>
        <w:tblCellMar>
          <w:top w:w="0" w:type="dxa"/>
          <w:left w:w="108" w:type="dxa"/>
          <w:bottom w:w="0" w:type="dxa"/>
          <w:right w:w="108" w:type="dxa"/>
        </w:tblCellMar>
      </w:tblPr>
      <w:tblGrid>
        <w:gridCol w:w="1140"/>
        <w:gridCol w:w="8620"/>
      </w:tblGrid>
      <w:tr>
        <w:tblPrEx>
          <w:tblLayout w:type="fixed"/>
          <w:tblCellMar>
            <w:top w:w="0" w:type="dxa"/>
            <w:left w:w="108" w:type="dxa"/>
            <w:bottom w:w="0" w:type="dxa"/>
            <w:right w:w="108" w:type="dxa"/>
          </w:tblCellMar>
        </w:tblPrEx>
        <w:trPr>
          <w:trHeight w:val="450" w:hRule="atLeast"/>
          <w:jc w:val="center"/>
        </w:trPr>
        <w:tc>
          <w:tcPr>
            <w:tcW w:w="9760" w:type="dxa"/>
            <w:gridSpan w:val="2"/>
            <w:tcBorders>
              <w:bottom w:val="single" w:color="auto" w:sz="4" w:space="0"/>
            </w:tcBorders>
            <w:shd w:val="clear" w:color="auto" w:fill="auto"/>
            <w:vAlign w:val="center"/>
          </w:tcPr>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外商投资企业设立及变更备案管理办事指南</w:t>
            </w:r>
          </w:p>
        </w:tc>
      </w:tr>
      <w:tr>
        <w:tblPrEx>
          <w:tblLayout w:type="fixed"/>
          <w:tblCellMar>
            <w:top w:w="0" w:type="dxa"/>
            <w:left w:w="108" w:type="dxa"/>
            <w:bottom w:w="0" w:type="dxa"/>
            <w:right w:w="108" w:type="dxa"/>
          </w:tblCellMar>
        </w:tblPrEx>
        <w:trPr>
          <w:trHeight w:val="330"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事项名称</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外商投资企业设立及变更备案管理</w:t>
            </w:r>
          </w:p>
        </w:tc>
      </w:tr>
      <w:tr>
        <w:tblPrEx>
          <w:tblLayout w:type="fixed"/>
          <w:tblCellMar>
            <w:top w:w="0" w:type="dxa"/>
            <w:left w:w="108" w:type="dxa"/>
            <w:bottom w:w="0" w:type="dxa"/>
            <w:right w:w="108" w:type="dxa"/>
          </w:tblCellMar>
        </w:tblPrEx>
        <w:trPr>
          <w:trHeight w:val="330"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办理单位</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福清融侨经济技术开发区管理委员会</w:t>
            </w:r>
          </w:p>
        </w:tc>
      </w:tr>
      <w:tr>
        <w:tblPrEx>
          <w:tblLayout w:type="fixed"/>
          <w:tblCellMar>
            <w:top w:w="0" w:type="dxa"/>
            <w:left w:w="108" w:type="dxa"/>
            <w:bottom w:w="0" w:type="dxa"/>
            <w:right w:w="108" w:type="dxa"/>
          </w:tblCellMar>
        </w:tblPrEx>
        <w:trPr>
          <w:trHeight w:val="300"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事项编码</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Layout w:type="fixed"/>
          <w:tblCellMar>
            <w:top w:w="0" w:type="dxa"/>
            <w:left w:w="108" w:type="dxa"/>
            <w:bottom w:w="0" w:type="dxa"/>
            <w:right w:w="108" w:type="dxa"/>
          </w:tblCellMar>
        </w:tblPrEx>
        <w:trPr>
          <w:trHeight w:val="405"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事项类别</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eastAsia="宋体" w:cs="宋体"/>
                <w:color w:val="000000"/>
                <w:kern w:val="0"/>
                <w:sz w:val="20"/>
                <w:szCs w:val="20"/>
                <w:lang w:eastAsia="zh-CN"/>
              </w:rPr>
              <w:t>其他行政权力</w:t>
            </w:r>
          </w:p>
        </w:tc>
      </w:tr>
      <w:tr>
        <w:tblPrEx>
          <w:tblLayout w:type="fixed"/>
          <w:tblCellMar>
            <w:top w:w="0" w:type="dxa"/>
            <w:left w:w="108" w:type="dxa"/>
            <w:bottom w:w="0" w:type="dxa"/>
            <w:right w:w="108" w:type="dxa"/>
          </w:tblCellMar>
        </w:tblPrEx>
        <w:trPr>
          <w:trHeight w:val="1068"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设定依据</w:t>
            </w:r>
          </w:p>
        </w:tc>
        <w:tc>
          <w:tcPr>
            <w:tcW w:w="8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1、《关于外商投资企业设立及变更备案管理有关事项的公告》（商务部公告2017年第37号）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2、外商投资企业设立及变更适用备案管理的，应按照《</w:t>
            </w:r>
            <w:r>
              <w:rPr>
                <w:rFonts w:hint="eastAsia" w:ascii="宋体" w:hAnsi="宋体" w:eastAsia="宋体" w:cs="宋体"/>
                <w:b w:val="0"/>
                <w:bCs/>
                <w:i w:val="0"/>
                <w:caps w:val="0"/>
                <w:color w:val="auto"/>
                <w:spacing w:val="0"/>
                <w:sz w:val="20"/>
                <w:szCs w:val="20"/>
                <w:shd w:val="clear" w:fill="FFFFFF"/>
              </w:rPr>
              <w:t>外商投资企业设立及变更备案管理暂行办法</w:t>
            </w:r>
            <w:r>
              <w:rPr>
                <w:rFonts w:hint="eastAsia" w:ascii="宋体" w:hAnsi="宋体" w:eastAsia="宋体" w:cs="宋体"/>
                <w:i w:val="0"/>
                <w:color w:val="000000"/>
                <w:kern w:val="0"/>
                <w:sz w:val="20"/>
                <w:szCs w:val="20"/>
                <w:u w:val="none"/>
                <w:lang w:val="en-US" w:eastAsia="zh-CN" w:bidi="ar"/>
              </w:rPr>
              <w:t>》第五条、第六条、第七条的规定，通过外商投资综合管理系统在线填报《外商投资企业设立备案申报表》（以下简称《设立申报表》）或《外商投资企业变更备案申报表》（以下简称《变更申报表》）。其中，境内非外商投资企业变更为外商投资企业的，应当填报《设立申报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3、关于修改《外商投资企业设立及变更备案管理暂行办法》的决定（商务部令2017年第2号）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第三条的规定，各省、自治区、直辖市、计划单列市、新疆生产建设兵团、副省级城市的商务主管部门，以及自由贸易试验区、国家级经济技术开发区的相关机构是外商投资企业设立及变更的备案机构，负责本区域内外商投资企业设立及变更的备案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4、《福建省商务厅关于做好外商投资企业设立及变更备案有关工作的补充通知》（闽商务外资[2016]119号）</w:t>
            </w:r>
          </w:p>
        </w:tc>
      </w:tr>
      <w:tr>
        <w:tblPrEx>
          <w:tblLayout w:type="fixed"/>
          <w:tblCellMar>
            <w:top w:w="0" w:type="dxa"/>
            <w:left w:w="108" w:type="dxa"/>
            <w:bottom w:w="0" w:type="dxa"/>
            <w:right w:w="108" w:type="dxa"/>
          </w:tblCellMar>
        </w:tblPrEx>
        <w:trPr>
          <w:trHeight w:val="2430"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办理流程</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1、投资者自行判定是否属于备案范围；</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2、登陆</w:t>
            </w:r>
            <w:r>
              <w:rPr>
                <w:rFonts w:hint="eastAsia" w:ascii="宋体" w:hAnsi="宋体" w:eastAsia="宋体" w:cs="宋体"/>
                <w:color w:val="auto"/>
                <w:kern w:val="0"/>
                <w:sz w:val="20"/>
                <w:szCs w:val="20"/>
                <w:lang w:eastAsia="zh-CN"/>
              </w:rPr>
              <w:t>商务部业务系统统一平台</w:t>
            </w:r>
            <w:r>
              <w:rPr>
                <w:rFonts w:hint="eastAsia" w:ascii="宋体" w:hAnsi="宋体" w:eastAsia="宋体" w:cs="宋体"/>
                <w:kern w:val="0"/>
                <w:sz w:val="20"/>
                <w:szCs w:val="20"/>
              </w:rPr>
              <w:t>（网址：https://ecomp.mofcom.gov.cn/loginCorp.html）进行申报；</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3、备案机构对填报信息形式上的完整性和准确性进行核对，并对申报事项是否属于备案范围进行甄别；</w:t>
            </w:r>
          </w:p>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4、发布备案结果（通过备案系统发布）；</w:t>
            </w: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5、如需领取回执的，领取备案回执（外商投资企业或其投资者凭外商投资企业名称预核准材料</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复印件</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或外商投资企业营业执照</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复印件</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向备案机构领取备案回执</w:t>
            </w:r>
            <w:r>
              <w:rPr>
                <w:rFonts w:hint="eastAsia" w:ascii="宋体" w:hAnsi="宋体" w:eastAsia="宋体" w:cs="宋体"/>
                <w:kern w:val="0"/>
                <w:sz w:val="20"/>
                <w:szCs w:val="20"/>
                <w:lang w:eastAsia="zh-CN"/>
              </w:rPr>
              <w:t>）。</w:t>
            </w:r>
          </w:p>
        </w:tc>
      </w:tr>
      <w:tr>
        <w:tblPrEx>
          <w:tblLayout w:type="fixed"/>
          <w:tblCellMar>
            <w:top w:w="0" w:type="dxa"/>
            <w:left w:w="108" w:type="dxa"/>
            <w:bottom w:w="0" w:type="dxa"/>
            <w:right w:w="108" w:type="dxa"/>
          </w:tblCellMar>
        </w:tblPrEx>
        <w:trPr>
          <w:trHeight w:val="87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申请条件</w:t>
            </w:r>
          </w:p>
        </w:tc>
        <w:tc>
          <w:tcPr>
            <w:tcW w:w="8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不涉及《外商投资产业指导目录（2017年修订）》中外商投资准入特别管理措施（外商投资准入负面清单）；以及不涉及关联并购设立企业及变更。</w:t>
            </w:r>
          </w:p>
        </w:tc>
      </w:tr>
      <w:tr>
        <w:tblPrEx>
          <w:tblLayout w:type="fixed"/>
          <w:tblCellMar>
            <w:top w:w="0" w:type="dxa"/>
            <w:left w:w="108" w:type="dxa"/>
            <w:bottom w:w="0" w:type="dxa"/>
            <w:right w:w="108" w:type="dxa"/>
          </w:tblCellMar>
        </w:tblPrEx>
        <w:trPr>
          <w:trHeight w:val="1350"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申请材料</w:t>
            </w:r>
          </w:p>
        </w:tc>
        <w:tc>
          <w:tcPr>
            <w:tcW w:w="8620" w:type="dxa"/>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宋体" w:hAnsi="宋体" w:eastAsia="宋体" w:cs="宋体"/>
                <w:kern w:val="0"/>
                <w:sz w:val="20"/>
                <w:szCs w:val="20"/>
              </w:rPr>
            </w:pPr>
            <w:r>
              <w:rPr>
                <w:rFonts w:hint="eastAsia" w:ascii="宋体" w:hAnsi="宋体" w:eastAsia="宋体" w:cs="宋体"/>
                <w:kern w:val="0"/>
                <w:sz w:val="20"/>
                <w:szCs w:val="20"/>
              </w:rPr>
              <w:t>1、外商投资企业名称预先核准材料或外商投资企业营业执照；</w:t>
            </w:r>
          </w:p>
          <w:p>
            <w:pPr>
              <w:widowControl/>
              <w:spacing w:after="240"/>
              <w:jc w:val="left"/>
              <w:rPr>
                <w:rFonts w:hint="eastAsia" w:ascii="宋体" w:hAnsi="宋体" w:eastAsia="宋体" w:cs="宋体"/>
                <w:kern w:val="0"/>
                <w:sz w:val="20"/>
                <w:szCs w:val="20"/>
              </w:rPr>
            </w:pPr>
            <w:r>
              <w:rPr>
                <w:rFonts w:hint="eastAsia" w:ascii="宋体" w:hAnsi="宋体" w:eastAsia="宋体" w:cs="宋体"/>
                <w:kern w:val="0"/>
                <w:sz w:val="20"/>
                <w:szCs w:val="20"/>
              </w:rPr>
              <w:t>2、外商投资企业全体投资者（或全体发起人）或其授权代表签署的《外商投资企业设立备案申报承诺书》，或外商投资企业法定代表人或其授权代表签署的《外商投资企业变更备案申报承诺书》；</w:t>
            </w:r>
          </w:p>
          <w:p>
            <w:pPr>
              <w:widowControl/>
              <w:spacing w:after="240"/>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3、全体投资者（或全体发起人）或外商投资企业指定代表或者共同委托代理人的证明，包括授权托书及被委托人的身份证明； </w:t>
            </w:r>
          </w:p>
          <w:p>
            <w:pPr>
              <w:widowControl/>
              <w:spacing w:after="240"/>
              <w:jc w:val="left"/>
              <w:rPr>
                <w:rFonts w:hint="eastAsia" w:ascii="宋体" w:hAnsi="宋体" w:eastAsia="宋体" w:cs="宋体"/>
                <w:kern w:val="0"/>
                <w:sz w:val="20"/>
                <w:szCs w:val="20"/>
              </w:rPr>
            </w:pPr>
            <w:r>
              <w:rPr>
                <w:rFonts w:hint="eastAsia" w:ascii="宋体" w:hAnsi="宋体" w:eastAsia="宋体" w:cs="宋体"/>
                <w:kern w:val="0"/>
                <w:sz w:val="20"/>
                <w:szCs w:val="20"/>
              </w:rPr>
              <w:t>4、外商投资企业投资者或法定代表人委托他人签署相关文件的证明，包括授权委托书及被委托人的身份证明（未委托他人签署相关文件的，无需提供）；</w:t>
            </w:r>
          </w:p>
          <w:p>
            <w:pPr>
              <w:widowControl/>
              <w:spacing w:after="240"/>
              <w:jc w:val="left"/>
              <w:rPr>
                <w:rFonts w:hint="eastAsia" w:ascii="宋体" w:hAnsi="宋体" w:eastAsia="宋体" w:cs="宋体"/>
                <w:kern w:val="0"/>
                <w:sz w:val="20"/>
                <w:szCs w:val="20"/>
              </w:rPr>
            </w:pPr>
            <w:r>
              <w:rPr>
                <w:rFonts w:hint="eastAsia" w:ascii="宋体" w:hAnsi="宋体" w:eastAsia="宋体" w:cs="宋体"/>
                <w:kern w:val="0"/>
                <w:sz w:val="20"/>
                <w:szCs w:val="20"/>
              </w:rPr>
              <w:t>5、投资者主体资格证明或自然人身份证明（变更事项不涉及投资者基本信息变更的，无需提供）；</w:t>
            </w:r>
          </w:p>
          <w:p>
            <w:pPr>
              <w:widowControl/>
              <w:spacing w:after="240"/>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6、法定代表人自然人身份证明（变更事项不涉及法定代表人变更的，无需提供</w:t>
            </w:r>
            <w:r>
              <w:rPr>
                <w:rFonts w:hint="eastAsia" w:ascii="宋体" w:hAnsi="宋体" w:eastAsia="宋体" w:cs="宋体"/>
                <w:kern w:val="0"/>
                <w:sz w:val="20"/>
                <w:szCs w:val="20"/>
                <w:lang w:eastAsia="zh-CN"/>
              </w:rPr>
              <w:t>）；</w:t>
            </w:r>
          </w:p>
          <w:p>
            <w:pPr>
              <w:widowControl/>
              <w:spacing w:after="240"/>
              <w:jc w:val="left"/>
              <w:rPr>
                <w:rFonts w:hint="eastAsia" w:ascii="宋体" w:hAnsi="宋体" w:eastAsia="宋体" w:cs="宋体"/>
                <w:sz w:val="20"/>
                <w:szCs w:val="20"/>
                <w:lang w:eastAsia="zh-CN"/>
              </w:rPr>
            </w:pPr>
            <w:r>
              <w:rPr>
                <w:rFonts w:hint="eastAsia" w:ascii="宋体" w:hAnsi="宋体" w:eastAsia="宋体" w:cs="宋体"/>
                <w:kern w:val="0"/>
                <w:sz w:val="20"/>
                <w:szCs w:val="20"/>
                <w:lang w:val="en-US" w:eastAsia="zh-CN"/>
              </w:rPr>
              <w:t>7、</w:t>
            </w:r>
            <w:r>
              <w:rPr>
                <w:rFonts w:ascii="宋体" w:hAnsi="宋体" w:eastAsia="宋体" w:cs="宋体"/>
                <w:sz w:val="20"/>
                <w:szCs w:val="20"/>
              </w:rPr>
              <w:t>外商投资企业最终实际控制人股权架构图</w:t>
            </w:r>
            <w:r>
              <w:rPr>
                <w:rFonts w:hint="eastAsia" w:ascii="宋体" w:hAnsi="宋体" w:eastAsia="宋体" w:cs="宋体"/>
                <w:sz w:val="20"/>
                <w:szCs w:val="20"/>
                <w:lang w:eastAsia="zh-CN"/>
              </w:rPr>
              <w:t>（变更事项不涉及</w:t>
            </w:r>
            <w:r>
              <w:rPr>
                <w:rFonts w:ascii="宋体" w:hAnsi="宋体" w:eastAsia="宋体" w:cs="宋体"/>
                <w:sz w:val="20"/>
                <w:szCs w:val="20"/>
              </w:rPr>
              <w:t>外商投资企业最终实际控制人变更的，无需提供</w:t>
            </w:r>
            <w:r>
              <w:rPr>
                <w:rFonts w:hint="eastAsia" w:ascii="宋体" w:hAnsi="宋体" w:eastAsia="宋体" w:cs="宋体"/>
                <w:sz w:val="20"/>
                <w:szCs w:val="20"/>
                <w:lang w:eastAsia="zh-CN"/>
              </w:rPr>
              <w:t>）；</w:t>
            </w:r>
          </w:p>
          <w:p>
            <w:pPr>
              <w:widowControl/>
              <w:spacing w:after="24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r>
              <w:rPr>
                <w:rFonts w:ascii="宋体" w:hAnsi="宋体" w:eastAsia="宋体" w:cs="宋体"/>
                <w:sz w:val="20"/>
                <w:szCs w:val="20"/>
              </w:rPr>
              <w:t>涉及外国投资者以符合规定的境外公司股权作为支付手段，需提供获得境外公司股权的境内企业《企业境外投资证书》</w:t>
            </w:r>
            <w:r>
              <w:rPr>
                <w:rFonts w:hint="eastAsia" w:ascii="宋体" w:hAnsi="宋体" w:eastAsia="宋体" w:cs="宋体"/>
                <w:sz w:val="20"/>
                <w:szCs w:val="20"/>
                <w:lang w:eastAsia="zh-CN"/>
              </w:rPr>
              <w:t>。</w:t>
            </w:r>
          </w:p>
          <w:p>
            <w:pPr>
              <w:widowControl/>
              <w:spacing w:after="240"/>
              <w:jc w:val="left"/>
              <w:rPr>
                <w:rFonts w:hint="eastAsia" w:ascii="宋体" w:hAnsi="宋体" w:eastAsia="宋体" w:cs="宋体"/>
                <w:kern w:val="0"/>
                <w:sz w:val="20"/>
                <w:szCs w:val="20"/>
              </w:rPr>
            </w:pPr>
            <w:r>
              <w:rPr>
                <w:rFonts w:hint="eastAsia" w:ascii="宋体" w:hAnsi="宋体" w:eastAsia="宋体" w:cs="宋体"/>
                <w:kern w:val="0"/>
                <w:sz w:val="20"/>
                <w:szCs w:val="20"/>
              </w:rPr>
              <w:t>上述文件原件为外文的，应同时上传提交中文翻译件，外商投资企业或其投资者应确保中文翻译件内容与外文原件内容保持一致。</w:t>
            </w:r>
            <w:bookmarkStart w:id="0" w:name="_GoBack"/>
            <w:bookmarkEnd w:id="0"/>
          </w:p>
          <w:p>
            <w:pPr>
              <w:widowControl/>
              <w:spacing w:after="240"/>
              <w:jc w:val="left"/>
              <w:rPr>
                <w:rFonts w:ascii="宋体" w:hAnsi="宋体" w:eastAsia="宋体" w:cs="宋体"/>
                <w:kern w:val="0"/>
                <w:sz w:val="20"/>
                <w:szCs w:val="20"/>
              </w:rPr>
            </w:pPr>
            <w:r>
              <w:rPr>
                <w:rFonts w:hint="eastAsia" w:ascii="宋体" w:hAnsi="宋体" w:eastAsia="宋体" w:cs="宋体"/>
                <w:kern w:val="0"/>
                <w:sz w:val="20"/>
                <w:szCs w:val="20"/>
              </w:rPr>
              <w:t>（上述资料按要求在线提交扫描电子文件即可，无需现场递交纸质材料）</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收费标准</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收费依据</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无</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法定时限</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3个工作日 </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承诺时限</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3个工作日（提交补充信息的时间不计入备案机构的备案时限）</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办理结果</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其他</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年检要求</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需年报</w:t>
            </w:r>
          </w:p>
        </w:tc>
      </w:tr>
      <w:tr>
        <w:tblPrEx>
          <w:tblLayout w:type="fixed"/>
          <w:tblCellMar>
            <w:top w:w="0" w:type="dxa"/>
            <w:left w:w="108" w:type="dxa"/>
            <w:bottom w:w="0" w:type="dxa"/>
            <w:right w:w="108" w:type="dxa"/>
          </w:tblCellMar>
        </w:tblPrEx>
        <w:trPr>
          <w:trHeight w:val="585"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办理机构</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eastAsia="zh-CN"/>
              </w:rPr>
              <w:t>福清融侨经济技术开发区管理委员会计划财务处</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办理地址</w:t>
            </w:r>
          </w:p>
        </w:tc>
        <w:tc>
          <w:tcPr>
            <w:tcW w:w="8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lang w:val="en-US"/>
              </w:rPr>
            </w:pPr>
            <w:r>
              <w:rPr>
                <w:rFonts w:hint="eastAsia" w:ascii="宋体" w:hAnsi="宋体" w:eastAsia="宋体" w:cs="宋体"/>
                <w:kern w:val="0"/>
                <w:sz w:val="20"/>
                <w:szCs w:val="20"/>
              </w:rPr>
              <w:t>福清市</w:t>
            </w:r>
            <w:r>
              <w:rPr>
                <w:rFonts w:hint="eastAsia" w:ascii="宋体" w:hAnsi="宋体" w:eastAsia="宋体" w:cs="宋体"/>
                <w:kern w:val="0"/>
                <w:sz w:val="20"/>
                <w:szCs w:val="20"/>
                <w:lang w:eastAsia="zh-CN"/>
              </w:rPr>
              <w:t>石竹街道西环北路</w:t>
            </w:r>
            <w:r>
              <w:rPr>
                <w:rFonts w:hint="eastAsia" w:ascii="宋体" w:hAnsi="宋体" w:eastAsia="宋体" w:cs="宋体"/>
                <w:kern w:val="0"/>
                <w:sz w:val="20"/>
                <w:szCs w:val="20"/>
                <w:lang w:val="en-US" w:eastAsia="zh-CN"/>
              </w:rPr>
              <w:t>36号融侨开发区管委会办公大楼108室</w:t>
            </w:r>
          </w:p>
        </w:tc>
      </w:tr>
      <w:tr>
        <w:tblPrEx>
          <w:tblLayout w:type="fixed"/>
          <w:tblCellMar>
            <w:top w:w="0" w:type="dxa"/>
            <w:left w:w="108" w:type="dxa"/>
            <w:bottom w:w="0" w:type="dxa"/>
            <w:right w:w="108" w:type="dxa"/>
          </w:tblCellMar>
        </w:tblPrEx>
        <w:trPr>
          <w:trHeight w:val="915"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办理时间</w:t>
            </w:r>
          </w:p>
        </w:tc>
        <w:tc>
          <w:tcPr>
            <w:tcW w:w="8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星期一至星期五                                                                                                    夏令时：上午8:30—12:00  下午</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:00—</w:t>
            </w:r>
            <w:r>
              <w:rPr>
                <w:rFonts w:hint="eastAsia" w:ascii="宋体" w:hAnsi="宋体" w:eastAsia="宋体" w:cs="宋体"/>
                <w:kern w:val="0"/>
                <w:sz w:val="20"/>
                <w:szCs w:val="20"/>
                <w:lang w:val="en-US" w:eastAsia="zh-CN"/>
              </w:rPr>
              <w:t>6：00</w:t>
            </w:r>
            <w:r>
              <w:rPr>
                <w:rFonts w:hint="eastAsia" w:ascii="宋体" w:hAnsi="宋体" w:eastAsia="宋体" w:cs="宋体"/>
                <w:kern w:val="0"/>
                <w:sz w:val="20"/>
                <w:szCs w:val="20"/>
              </w:rPr>
              <w:t xml:space="preserve">                                                               非夏令时：上午8:30—12:00  下午</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:30—5:</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 xml:space="preserve">0 </w:t>
            </w:r>
          </w:p>
        </w:tc>
      </w:tr>
      <w:tr>
        <w:tblPrEx>
          <w:tblLayout w:type="fixed"/>
          <w:tblCellMar>
            <w:top w:w="0" w:type="dxa"/>
            <w:left w:w="108" w:type="dxa"/>
            <w:bottom w:w="0" w:type="dxa"/>
            <w:right w:w="108" w:type="dxa"/>
          </w:tblCellMar>
        </w:tblPrEx>
        <w:trPr>
          <w:trHeight w:val="435"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联系电话</w:t>
            </w:r>
          </w:p>
        </w:tc>
        <w:tc>
          <w:tcPr>
            <w:tcW w:w="8620"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0591－</w:t>
            </w:r>
            <w:r>
              <w:rPr>
                <w:rFonts w:hint="eastAsia" w:ascii="宋体" w:hAnsi="宋体" w:eastAsia="宋体" w:cs="宋体"/>
                <w:kern w:val="0"/>
                <w:sz w:val="20"/>
                <w:szCs w:val="20"/>
                <w:lang w:val="en-US" w:eastAsia="zh-CN"/>
              </w:rPr>
              <w:t>85360966</w:t>
            </w:r>
          </w:p>
        </w:tc>
      </w:tr>
      <w:tr>
        <w:tblPrEx>
          <w:tblLayout w:type="fixed"/>
          <w:tblCellMar>
            <w:top w:w="0" w:type="dxa"/>
            <w:left w:w="108" w:type="dxa"/>
            <w:bottom w:w="0" w:type="dxa"/>
            <w:right w:w="108" w:type="dxa"/>
          </w:tblCellMar>
        </w:tblPrEx>
        <w:trPr>
          <w:trHeight w:val="405"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投诉电话</w:t>
            </w:r>
          </w:p>
        </w:tc>
        <w:tc>
          <w:tcPr>
            <w:tcW w:w="8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0591－</w:t>
            </w:r>
            <w:r>
              <w:rPr>
                <w:rFonts w:hint="eastAsia" w:ascii="宋体" w:hAnsi="宋体" w:eastAsia="宋体" w:cs="宋体"/>
                <w:kern w:val="0"/>
                <w:sz w:val="20"/>
                <w:szCs w:val="20"/>
                <w:lang w:val="en-US" w:eastAsia="zh-CN"/>
              </w:rPr>
              <w:t>85377825</w:t>
            </w:r>
            <w:r>
              <w:rPr>
                <w:rFonts w:hint="eastAsia" w:ascii="宋体" w:hAnsi="宋体" w:eastAsia="宋体" w:cs="宋体"/>
                <w:kern w:val="0"/>
                <w:sz w:val="20"/>
                <w:szCs w:val="20"/>
                <w:lang w:eastAsia="zh-CN"/>
              </w:rPr>
              <w:t>　</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在线申报</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FF"/>
                <w:kern w:val="0"/>
                <w:sz w:val="20"/>
                <w:szCs w:val="20"/>
                <w:u w:val="single"/>
              </w:rPr>
            </w:pPr>
            <w:r>
              <w:rPr>
                <w:rFonts w:hint="eastAsia" w:ascii="宋体" w:hAnsi="宋体" w:eastAsia="宋体" w:cs="宋体"/>
                <w:kern w:val="0"/>
                <w:sz w:val="20"/>
                <w:szCs w:val="20"/>
              </w:rPr>
              <w:t>https://ecomp.mofcom.gov.cn/loginCorp.html</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状态查询</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FF"/>
                <w:kern w:val="0"/>
                <w:sz w:val="20"/>
                <w:szCs w:val="20"/>
                <w:u w:val="single"/>
              </w:rPr>
            </w:pPr>
            <w:r>
              <w:rPr>
                <w:rFonts w:hint="eastAsia" w:ascii="宋体" w:hAnsi="宋体" w:eastAsia="宋体" w:cs="宋体"/>
                <w:kern w:val="0"/>
                <w:sz w:val="20"/>
                <w:szCs w:val="20"/>
              </w:rPr>
              <w:t>https://ecomp.mofcom.gov.cn/loginCorp.html</w:t>
            </w:r>
          </w:p>
        </w:tc>
      </w:tr>
      <w:tr>
        <w:tblPrEx>
          <w:tblLayout w:type="fixed"/>
          <w:tblCellMar>
            <w:top w:w="0" w:type="dxa"/>
            <w:left w:w="108" w:type="dxa"/>
            <w:bottom w:w="0" w:type="dxa"/>
            <w:right w:w="108" w:type="dxa"/>
          </w:tblCellMar>
        </w:tblPrEx>
        <w:trPr>
          <w:trHeight w:val="499"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在线咨询</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FF"/>
                <w:kern w:val="0"/>
                <w:sz w:val="20"/>
                <w:szCs w:val="20"/>
                <w:u w:val="single"/>
              </w:rPr>
            </w:pPr>
            <w:r>
              <w:rPr>
                <w:rFonts w:hint="eastAsia" w:ascii="宋体" w:hAnsi="宋体" w:eastAsia="宋体" w:cs="宋体"/>
                <w:kern w:val="0"/>
                <w:sz w:val="20"/>
                <w:szCs w:val="20"/>
              </w:rPr>
              <w:t>https://ecomp.mofcom.gov.cn/loginCorp.html</w:t>
            </w:r>
          </w:p>
        </w:tc>
      </w:tr>
      <w:tr>
        <w:tblPrEx>
          <w:tblLayout w:type="fixed"/>
          <w:tblCellMar>
            <w:top w:w="0" w:type="dxa"/>
            <w:left w:w="108" w:type="dxa"/>
            <w:bottom w:w="0" w:type="dxa"/>
            <w:right w:w="108" w:type="dxa"/>
          </w:tblCellMar>
        </w:tblPrEx>
        <w:trPr>
          <w:trHeight w:val="405"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注意事项</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780" w:hRule="atLeast"/>
          <w:jc w:val="center"/>
        </w:trPr>
        <w:tc>
          <w:tcPr>
            <w:tcW w:w="11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企业办事</w:t>
            </w:r>
          </w:p>
        </w:tc>
        <w:tc>
          <w:tcPr>
            <w:tcW w:w="8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√设立变更  □纳税  □年检年审  □质量检查  □安全防护  □商务活动  □劳动保障  □人力资源  □资质认证  □建设管理  □破产注销  □综合其它</w:t>
            </w:r>
          </w:p>
        </w:tc>
      </w:tr>
    </w:tbl>
    <w:p>
      <w:pPr>
        <w:rP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64"/>
    <w:rsid w:val="0005480A"/>
    <w:rsid w:val="0006419D"/>
    <w:rsid w:val="001D75D1"/>
    <w:rsid w:val="002E631E"/>
    <w:rsid w:val="003126F8"/>
    <w:rsid w:val="004C372C"/>
    <w:rsid w:val="005626D5"/>
    <w:rsid w:val="006C1BC4"/>
    <w:rsid w:val="008D3466"/>
    <w:rsid w:val="00A10464"/>
    <w:rsid w:val="00AD2C91"/>
    <w:rsid w:val="00C57C4D"/>
    <w:rsid w:val="00CD05C5"/>
    <w:rsid w:val="00EE27C8"/>
    <w:rsid w:val="02CE6CE3"/>
    <w:rsid w:val="08FE06E3"/>
    <w:rsid w:val="12171AE8"/>
    <w:rsid w:val="1D880D3C"/>
    <w:rsid w:val="29937947"/>
    <w:rsid w:val="4E29344F"/>
    <w:rsid w:val="50220ABC"/>
    <w:rsid w:val="513E7A74"/>
    <w:rsid w:val="54913844"/>
    <w:rsid w:val="5A5B1BD7"/>
    <w:rsid w:val="62A90653"/>
    <w:rsid w:val="63147671"/>
    <w:rsid w:val="66A41B33"/>
    <w:rsid w:val="67586BA3"/>
    <w:rsid w:val="6D733A36"/>
    <w:rsid w:val="6EF525CA"/>
    <w:rsid w:val="70BF7F51"/>
    <w:rsid w:val="72572D27"/>
    <w:rsid w:val="72CA6ED0"/>
    <w:rsid w:val="75D17F26"/>
    <w:rsid w:val="7FC05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nhideWhenUsed/>
    <w:qFormat/>
    <w:uiPriority w:val="99"/>
    <w:rPr>
      <w:rFonts w:ascii="宋体" w:hAnsi="宋体" w:eastAsia="宋体" w:cs="宋体"/>
      <w:color w:val="333333"/>
      <w:u w:val="none"/>
    </w:rPr>
  </w:style>
  <w:style w:type="character" w:styleId="6">
    <w:name w:val="Hyperlink"/>
    <w:basedOn w:val="4"/>
    <w:unhideWhenUsed/>
    <w:qFormat/>
    <w:uiPriority w:val="99"/>
    <w:rPr>
      <w:rFonts w:ascii="宋体" w:hAnsi="宋体" w:eastAsia="宋体" w:cs="宋体"/>
      <w:color w:val="333333"/>
      <w:u w:val="none"/>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 w:type="character" w:customStyle="1" w:styleId="10">
    <w:name w:val="standarttreerow_lor"/>
    <w:basedOn w:val="4"/>
    <w:qFormat/>
    <w:uiPriority w:val="0"/>
  </w:style>
  <w:style w:type="character" w:customStyle="1" w:styleId="11">
    <w:name w:val="standarttreerow4"/>
    <w:basedOn w:val="4"/>
    <w:qFormat/>
    <w:uiPriority w:val="0"/>
  </w:style>
  <w:style w:type="character" w:customStyle="1" w:styleId="12">
    <w:name w:val="standarttreerow"/>
    <w:basedOn w:val="4"/>
    <w:qFormat/>
    <w:uiPriority w:val="0"/>
  </w:style>
  <w:style w:type="character" w:customStyle="1" w:styleId="13">
    <w:name w:val="standarttreerow_lor2"/>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246</Words>
  <Characters>1405</Characters>
  <Lines>11</Lines>
  <Paragraphs>3</Paragraphs>
  <TotalTime>86</TotalTime>
  <ScaleCrop>false</ScaleCrop>
  <LinksUpToDate>false</LinksUpToDate>
  <CharactersWithSpaces>1648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2017-02-08T08:02:00Z</dcterms:created>
  <dc:creator>admin</dc:creator>
  <cp:lastModifiedBy>孤帆远影</cp:lastModifiedBy>
  <cp:lastPrinted>2017-08-18T03:00:00Z</cp:lastPrinted>
  <dcterms:modified xsi:type="dcterms:W3CDTF">2018-05-04T08:15:31Z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