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仿宋_GB2312" w:cs="Times New Roman"/>
          <w:sz w:val="36"/>
          <w:szCs w:val="36"/>
        </w:rPr>
      </w:pPr>
      <w:bookmarkStart w:id="0" w:name="_Hlk57883707"/>
      <w:r>
        <w:drawing>
          <wp:inline distT="0" distB="0" distL="114300" distR="114300">
            <wp:extent cx="6640830" cy="9392920"/>
            <wp:effectExtent l="0" t="0" r="1270" b="5080"/>
            <wp:docPr id="18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1"/>
                    <pic:cNvPicPr>
                      <a:picLocks noChangeAspect="1"/>
                    </pic:cNvPicPr>
                  </pic:nvPicPr>
                  <pic:blipFill>
                    <a:blip r:embed="rId14"/>
                    <a:stretch>
                      <a:fillRect/>
                    </a:stretch>
                  </pic:blipFill>
                  <pic:spPr>
                    <a:xfrm>
                      <a:off x="0" y="0"/>
                      <a:ext cx="6640830" cy="9392920"/>
                    </a:xfrm>
                    <a:prstGeom prst="rect">
                      <a:avLst/>
                    </a:prstGeom>
                    <a:noFill/>
                    <a:ln>
                      <a:noFill/>
                    </a:ln>
                  </pic:spPr>
                </pic:pic>
              </a:graphicData>
            </a:graphic>
          </wp:inline>
        </w:drawing>
      </w:r>
    </w:p>
    <w:p>
      <w:pPr>
        <w:rPr>
          <w:rFonts w:hint="default" w:ascii="Times New Roman" w:hAnsi="Times New Roman" w:eastAsia="仿宋_GB2312" w:cs="Times New Roman"/>
          <w:sz w:val="36"/>
          <w:szCs w:val="36"/>
        </w:rPr>
        <w:sectPr>
          <w:footerReference r:id="rId3" w:type="default"/>
          <w:footerReference r:id="rId4" w:type="even"/>
          <w:pgSz w:w="11906" w:h="16838"/>
          <w:pgMar w:top="720" w:right="720" w:bottom="720" w:left="720" w:header="851" w:footer="1077" w:gutter="0"/>
          <w:pgNumType w:start="21"/>
          <w:cols w:space="720" w:num="1"/>
          <w:docGrid w:linePitch="312" w:charSpace="0"/>
        </w:sectPr>
      </w:pPr>
    </w:p>
    <w:p>
      <w:pPr>
        <w:jc w:val="center"/>
        <w:rPr>
          <w:rFonts w:hint="eastAsia" w:ascii="Times New Roman" w:hAnsi="Times New Roman" w:eastAsia="仿宋_GB2312" w:cs="Times New Roman"/>
          <w:sz w:val="36"/>
          <w:szCs w:val="36"/>
          <w:lang w:eastAsia="zh-CN"/>
        </w:rPr>
      </w:pPr>
      <w:r>
        <w:drawing>
          <wp:inline distT="0" distB="0" distL="114300" distR="114300">
            <wp:extent cx="6515100" cy="9389110"/>
            <wp:effectExtent l="0" t="0" r="0" b="8890"/>
            <wp:docPr id="187" name="图片 187" descr="SKM_C3682412180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SKM_C36824121809380"/>
                    <pic:cNvPicPr>
                      <a:picLocks noChangeAspect="1"/>
                    </pic:cNvPicPr>
                  </pic:nvPicPr>
                  <pic:blipFill>
                    <a:blip r:embed="rId15"/>
                    <a:srcRect l="5189" t="818" r="860" b="3440"/>
                    <a:stretch>
                      <a:fillRect/>
                    </a:stretch>
                  </pic:blipFill>
                  <pic:spPr>
                    <a:xfrm>
                      <a:off x="0" y="0"/>
                      <a:ext cx="6515100" cy="9389110"/>
                    </a:xfrm>
                    <a:prstGeom prst="rect">
                      <a:avLst/>
                    </a:prstGeom>
                  </pic:spPr>
                </pic:pic>
              </a:graphicData>
            </a:graphic>
          </wp:inline>
        </w:drawing>
      </w:r>
    </w:p>
    <w:p>
      <w:pPr>
        <w:adjustRightInd w:val="0"/>
        <w:snapToGrid w:val="0"/>
        <w:spacing w:line="288" w:lineRule="auto"/>
        <w:jc w:val="center"/>
        <w:outlineLvl w:val="9"/>
        <w:sectPr>
          <w:footerReference r:id="rId5" w:type="default"/>
          <w:footerReference r:id="rId6" w:type="even"/>
          <w:pgSz w:w="11906" w:h="16838"/>
          <w:pgMar w:top="720" w:right="720" w:bottom="720" w:left="720" w:header="851" w:footer="1077" w:gutter="0"/>
          <w:pgBorders>
            <w:top w:val="none" w:sz="0" w:space="0"/>
            <w:left w:val="none" w:sz="0" w:space="0"/>
            <w:bottom w:val="none" w:sz="0" w:space="0"/>
            <w:right w:val="none" w:sz="0" w:space="0"/>
          </w:pgBorders>
          <w:pgNumType w:start="21"/>
          <w:cols w:space="720" w:num="1"/>
          <w:docGrid w:linePitch="312" w:charSpace="0"/>
        </w:sectPr>
      </w:pPr>
    </w:p>
    <w:sdt>
      <w:sdtPr>
        <w:rPr>
          <w:rFonts w:ascii="宋体" w:hAnsi="宋体" w:eastAsia="宋体" w:cs="Times New Roman"/>
          <w:b/>
          <w:bCs/>
          <w:kern w:val="2"/>
          <w:sz w:val="32"/>
          <w:szCs w:val="32"/>
          <w:lang w:val="en-US" w:eastAsia="zh-CN" w:bidi="ar-SA"/>
        </w:rPr>
        <w:id w:val="147465328"/>
        <w15:color w:val="DBDBDB"/>
        <w:docPartObj>
          <w:docPartGallery w:val="Table of Contents"/>
          <w:docPartUnique/>
        </w:docPartObj>
      </w:sdtPr>
      <w:sdtEndPr>
        <w:rPr>
          <w:rFonts w:ascii="Times New Roman" w:hAnsi="Times New Roman" w:eastAsia="宋体" w:cs="Times New Roman"/>
          <w:b/>
          <w:bCs/>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TOC \o "1-1" \h \u </w:instrText>
          </w:r>
          <w:r>
            <w:rPr>
              <w:sz w:val="24"/>
              <w:szCs w:val="24"/>
            </w:rPr>
            <w:fldChar w:fldCharType="separate"/>
          </w:r>
          <w:r>
            <w:rPr>
              <w:sz w:val="24"/>
              <w:szCs w:val="24"/>
            </w:rPr>
            <w:fldChar w:fldCharType="begin"/>
          </w:r>
          <w:r>
            <w:rPr>
              <w:sz w:val="24"/>
              <w:szCs w:val="24"/>
            </w:rPr>
            <w:instrText xml:space="preserve"> HYPERLINK \l _Toc31691 </w:instrText>
          </w:r>
          <w:r>
            <w:rPr>
              <w:sz w:val="24"/>
              <w:szCs w:val="24"/>
            </w:rPr>
            <w:fldChar w:fldCharType="separate"/>
          </w:r>
          <w:r>
            <w:rPr>
              <w:rFonts w:hint="eastAsia" w:ascii="黑体" w:hAnsi="黑体" w:eastAsia="黑体"/>
              <w:snapToGrid w:val="0"/>
              <w:sz w:val="24"/>
              <w:szCs w:val="24"/>
            </w:rPr>
            <w:t>一、建设项目基本情况</w:t>
          </w:r>
          <w:r>
            <w:rPr>
              <w:sz w:val="24"/>
              <w:szCs w:val="24"/>
            </w:rPr>
            <w:tab/>
          </w:r>
          <w:r>
            <w:rPr>
              <w:sz w:val="24"/>
              <w:szCs w:val="24"/>
            </w:rPr>
            <w:fldChar w:fldCharType="begin"/>
          </w:r>
          <w:r>
            <w:rPr>
              <w:sz w:val="24"/>
              <w:szCs w:val="24"/>
            </w:rPr>
            <w:instrText xml:space="preserve"> PAGEREF _Toc31691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_Toc20479 </w:instrText>
          </w:r>
          <w:r>
            <w:rPr>
              <w:sz w:val="24"/>
              <w:szCs w:val="24"/>
            </w:rPr>
            <w:fldChar w:fldCharType="separate"/>
          </w:r>
          <w:r>
            <w:rPr>
              <w:rFonts w:hint="eastAsia" w:ascii="黑体" w:hAnsi="黑体" w:eastAsia="黑体" w:cs="黑体"/>
              <w:bCs/>
              <w:snapToGrid w:val="0"/>
              <w:sz w:val="24"/>
              <w:szCs w:val="24"/>
            </w:rPr>
            <w:t>二、建设内容</w:t>
          </w:r>
          <w:r>
            <w:rPr>
              <w:sz w:val="24"/>
              <w:szCs w:val="24"/>
            </w:rPr>
            <w:tab/>
          </w:r>
          <w:r>
            <w:rPr>
              <w:sz w:val="24"/>
              <w:szCs w:val="24"/>
            </w:rPr>
            <w:fldChar w:fldCharType="begin"/>
          </w:r>
          <w:r>
            <w:rPr>
              <w:sz w:val="24"/>
              <w:szCs w:val="24"/>
            </w:rPr>
            <w:instrText xml:space="preserve"> PAGEREF _Toc20479 \h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_Toc3002 </w:instrText>
          </w:r>
          <w:r>
            <w:rPr>
              <w:sz w:val="24"/>
              <w:szCs w:val="24"/>
            </w:rPr>
            <w:fldChar w:fldCharType="separate"/>
          </w:r>
          <w:r>
            <w:rPr>
              <w:rFonts w:hint="eastAsia" w:ascii="黑体" w:hAnsi="黑体" w:eastAsia="黑体"/>
              <w:bCs/>
              <w:snapToGrid w:val="0"/>
              <w:sz w:val="24"/>
              <w:szCs w:val="24"/>
            </w:rPr>
            <w:t>三、生态环境现状、保护目标及评价标准</w:t>
          </w:r>
          <w:r>
            <w:rPr>
              <w:sz w:val="24"/>
              <w:szCs w:val="24"/>
            </w:rPr>
            <w:tab/>
          </w:r>
          <w:r>
            <w:rPr>
              <w:sz w:val="24"/>
              <w:szCs w:val="24"/>
            </w:rPr>
            <w:fldChar w:fldCharType="begin"/>
          </w:r>
          <w:r>
            <w:rPr>
              <w:sz w:val="24"/>
              <w:szCs w:val="24"/>
            </w:rPr>
            <w:instrText xml:space="preserve"> PAGEREF _Toc3002 \h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_Toc15987 </w:instrText>
          </w:r>
          <w:r>
            <w:rPr>
              <w:sz w:val="24"/>
              <w:szCs w:val="24"/>
            </w:rPr>
            <w:fldChar w:fldCharType="separate"/>
          </w:r>
          <w:r>
            <w:rPr>
              <w:rFonts w:hint="eastAsia" w:ascii="黑体" w:hAnsi="黑体" w:eastAsia="黑体"/>
              <w:bCs/>
              <w:snapToGrid w:val="0"/>
              <w:sz w:val="24"/>
              <w:szCs w:val="24"/>
            </w:rPr>
            <w:t>四、生态环境影响分析</w:t>
          </w:r>
          <w:r>
            <w:rPr>
              <w:sz w:val="24"/>
              <w:szCs w:val="24"/>
            </w:rPr>
            <w:tab/>
          </w:r>
          <w:r>
            <w:rPr>
              <w:sz w:val="24"/>
              <w:szCs w:val="24"/>
            </w:rPr>
            <w:fldChar w:fldCharType="begin"/>
          </w:r>
          <w:r>
            <w:rPr>
              <w:sz w:val="24"/>
              <w:szCs w:val="24"/>
            </w:rPr>
            <w:instrText xml:space="preserve"> PAGEREF _Toc15987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_Toc1976 </w:instrText>
          </w:r>
          <w:r>
            <w:rPr>
              <w:sz w:val="24"/>
              <w:szCs w:val="24"/>
            </w:rPr>
            <w:fldChar w:fldCharType="separate"/>
          </w:r>
          <w:r>
            <w:rPr>
              <w:rFonts w:hint="eastAsia" w:ascii="黑体" w:hAnsi="黑体" w:eastAsia="黑体"/>
              <w:bCs/>
              <w:snapToGrid w:val="0"/>
              <w:sz w:val="24"/>
              <w:szCs w:val="24"/>
            </w:rPr>
            <w:t>五、主要生态环境保护措施</w:t>
          </w:r>
          <w:r>
            <w:rPr>
              <w:sz w:val="24"/>
              <w:szCs w:val="24"/>
            </w:rPr>
            <w:tab/>
          </w:r>
          <w:r>
            <w:rPr>
              <w:sz w:val="24"/>
              <w:szCs w:val="24"/>
            </w:rPr>
            <w:fldChar w:fldCharType="begin"/>
          </w:r>
          <w:r>
            <w:rPr>
              <w:sz w:val="24"/>
              <w:szCs w:val="24"/>
            </w:rPr>
            <w:instrText xml:space="preserve"> PAGEREF _Toc1976 \h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_Toc3595 </w:instrText>
          </w:r>
          <w:r>
            <w:rPr>
              <w:sz w:val="24"/>
              <w:szCs w:val="24"/>
            </w:rPr>
            <w:fldChar w:fldCharType="separate"/>
          </w:r>
          <w:r>
            <w:rPr>
              <w:rFonts w:hint="eastAsia" w:ascii="黑体" w:hAnsi="黑体" w:eastAsia="黑体"/>
              <w:bCs/>
              <w:snapToGrid w:val="0"/>
              <w:sz w:val="24"/>
              <w:szCs w:val="24"/>
            </w:rPr>
            <w:t>六、生态环境保护措施监督检查清单</w:t>
          </w:r>
          <w:r>
            <w:rPr>
              <w:sz w:val="24"/>
              <w:szCs w:val="24"/>
            </w:rPr>
            <w:tab/>
          </w:r>
          <w:r>
            <w:rPr>
              <w:sz w:val="24"/>
              <w:szCs w:val="24"/>
            </w:rPr>
            <w:fldChar w:fldCharType="begin"/>
          </w:r>
          <w:r>
            <w:rPr>
              <w:sz w:val="24"/>
              <w:szCs w:val="24"/>
            </w:rPr>
            <w:instrText xml:space="preserve"> PAGEREF _Toc3595 \h </w:instrText>
          </w:r>
          <w:r>
            <w:rPr>
              <w:sz w:val="24"/>
              <w:szCs w:val="24"/>
            </w:rPr>
            <w:fldChar w:fldCharType="separate"/>
          </w:r>
          <w:r>
            <w:rPr>
              <w:sz w:val="24"/>
              <w:szCs w:val="24"/>
            </w:rPr>
            <w:t>56</w:t>
          </w:r>
          <w:r>
            <w:rPr>
              <w:sz w:val="24"/>
              <w:szCs w:val="24"/>
            </w:rPr>
            <w:fldChar w:fldCharType="end"/>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_Toc3595 </w:instrText>
          </w:r>
          <w:r>
            <w:rPr>
              <w:sz w:val="24"/>
              <w:szCs w:val="24"/>
            </w:rPr>
            <w:fldChar w:fldCharType="separate"/>
          </w:r>
          <w:r>
            <w:rPr>
              <w:rFonts w:hint="eastAsia" w:ascii="黑体" w:hAnsi="黑体" w:eastAsia="黑体"/>
              <w:bCs/>
              <w:snapToGrid w:val="0"/>
              <w:sz w:val="24"/>
              <w:szCs w:val="24"/>
              <w:lang w:val="en-US" w:eastAsia="zh-CN"/>
            </w:rPr>
            <w:t>七</w:t>
          </w:r>
          <w:r>
            <w:rPr>
              <w:rFonts w:hint="eastAsia" w:ascii="黑体" w:hAnsi="黑体" w:eastAsia="黑体"/>
              <w:bCs/>
              <w:snapToGrid w:val="0"/>
              <w:sz w:val="24"/>
              <w:szCs w:val="24"/>
            </w:rPr>
            <w:t>、</w:t>
          </w:r>
          <w:r>
            <w:rPr>
              <w:rFonts w:hint="eastAsia" w:ascii="黑体" w:hAnsi="黑体" w:eastAsia="黑体"/>
              <w:bCs/>
              <w:snapToGrid w:val="0"/>
              <w:sz w:val="24"/>
              <w:szCs w:val="24"/>
              <w:lang w:val="en-US" w:eastAsia="zh-CN"/>
            </w:rPr>
            <w:t>结论</w:t>
          </w:r>
          <w:r>
            <w:rPr>
              <w:sz w:val="24"/>
              <w:szCs w:val="24"/>
            </w:rPr>
            <w:tab/>
          </w:r>
          <w:r>
            <w:rPr>
              <w:sz w:val="24"/>
              <w:szCs w:val="24"/>
            </w:rPr>
            <w:fldChar w:fldCharType="begin"/>
          </w:r>
          <w:r>
            <w:rPr>
              <w:sz w:val="24"/>
              <w:szCs w:val="24"/>
            </w:rPr>
            <w:instrText xml:space="preserve"> PAGEREF _Toc3595 \h </w:instrText>
          </w:r>
          <w:r>
            <w:rPr>
              <w:sz w:val="24"/>
              <w:szCs w:val="24"/>
            </w:rPr>
            <w:fldChar w:fldCharType="separate"/>
          </w:r>
          <w:r>
            <w:rPr>
              <w:sz w:val="24"/>
              <w:szCs w:val="24"/>
            </w:rPr>
            <w:t>56</w:t>
          </w:r>
          <w:r>
            <w:rPr>
              <w:sz w:val="24"/>
              <w:szCs w:val="24"/>
            </w:rPr>
            <w:fldChar w:fldCharType="end"/>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p>
        <w:p>
          <w:pPr>
            <w:keepNext w:val="0"/>
            <w:keepLines w:val="0"/>
            <w:pageBreakBefore w:val="0"/>
            <w:kinsoku/>
            <w:wordWrap/>
            <w:overflowPunct/>
            <w:topLinePunct w:val="0"/>
            <w:autoSpaceDE/>
            <w:autoSpaceDN/>
            <w:bidi w:val="0"/>
            <w:adjustRightInd w:val="0"/>
            <w:snapToGrid w:val="0"/>
            <w:spacing w:before="192" w:beforeLines="80" w:line="360" w:lineRule="auto"/>
            <w:jc w:val="both"/>
            <w:textAlignment w:val="auto"/>
            <w:rPr>
              <w:rFonts w:hint="default" w:ascii="Times New Roman" w:hAnsi="Times New Roman" w:eastAsia="宋体" w:cs="Times New Roman"/>
              <w:b/>
              <w:bCs w:val="0"/>
              <w:snapToGrid w:val="0"/>
              <w:kern w:val="0"/>
              <w:sz w:val="24"/>
              <w:szCs w:val="24"/>
              <w:lang w:val="en-US" w:eastAsia="zh-CN" w:bidi="ar-SA"/>
            </w:rPr>
          </w:pPr>
          <w:r>
            <w:rPr>
              <w:rFonts w:hint="default" w:ascii="Times New Roman" w:hAnsi="Times New Roman" w:eastAsia="宋体" w:cs="Times New Roman"/>
              <w:b/>
              <w:bCs w:val="0"/>
              <w:snapToGrid w:val="0"/>
              <w:kern w:val="0"/>
              <w:sz w:val="24"/>
              <w:szCs w:val="24"/>
              <w:lang w:val="en-US" w:eastAsia="zh-CN" w:bidi="ar-SA"/>
            </w:rPr>
            <w:t>福泽大道北延伸段项目道路工程声环境影响专项评价</w:t>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_Toc5165 </w:instrText>
          </w:r>
          <w:r>
            <w:rPr>
              <w:sz w:val="24"/>
              <w:szCs w:val="24"/>
            </w:rPr>
            <w:fldChar w:fldCharType="separate"/>
          </w:r>
          <w:r>
            <w:rPr>
              <w:rFonts w:hint="eastAsia" w:ascii="Times New Roman" w:hAnsi="Times New Roman"/>
              <w:bCs/>
              <w:snapToGrid w:val="0"/>
              <w:sz w:val="24"/>
              <w:szCs w:val="24"/>
              <w:lang w:val="en-US" w:eastAsia="zh-CN"/>
            </w:rPr>
            <w:t>附表1：声环境影响评价自查表</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eastAsia="宋体"/>
              <w:sz w:val="24"/>
              <w:szCs w:val="24"/>
              <w:lang w:val="en-US" w:eastAsia="zh-CN"/>
            </w:rPr>
          </w:pPr>
          <w:r>
            <w:rPr>
              <w:rFonts w:hint="eastAsia"/>
              <w:sz w:val="24"/>
              <w:szCs w:val="24"/>
              <w:lang w:val="en-US" w:eastAsia="zh-CN"/>
            </w:rPr>
            <w:t>附图</w:t>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_Toc4227 </w:instrText>
          </w:r>
          <w:r>
            <w:rPr>
              <w:sz w:val="24"/>
              <w:szCs w:val="24"/>
            </w:rPr>
            <w:fldChar w:fldCharType="separate"/>
          </w:r>
          <w:r>
            <w:rPr>
              <w:rFonts w:hint="default" w:ascii="Times New Roman" w:hAnsi="Times New Roman" w:cs="Times New Roman"/>
              <w:sz w:val="24"/>
              <w:szCs w:val="24"/>
            </w:rPr>
            <w:t>附图1 项目地理位置图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_Toc23163 </w:instrText>
          </w:r>
          <w:r>
            <w:rPr>
              <w:sz w:val="24"/>
              <w:szCs w:val="24"/>
            </w:rPr>
            <w:fldChar w:fldCharType="separate"/>
          </w:r>
          <w:r>
            <w:rPr>
              <w:rFonts w:hint="default" w:ascii="Times New Roman" w:hAnsi="Times New Roman" w:cs="Times New Roman"/>
              <w:sz w:val="24"/>
              <w:szCs w:val="24"/>
            </w:rPr>
            <w:t>附图2</w:t>
          </w:r>
          <w:r>
            <w:rPr>
              <w:rFonts w:hint="eastAsia" w:cs="Times New Roman"/>
              <w:sz w:val="24"/>
              <w:szCs w:val="24"/>
              <w:lang w:val="en-US" w:eastAsia="zh-CN"/>
            </w:rPr>
            <w:t>区域</w:t>
          </w:r>
          <w:r>
            <w:rPr>
              <w:rFonts w:hint="default" w:ascii="Times New Roman" w:hAnsi="Times New Roman" w:cs="Times New Roman"/>
              <w:sz w:val="24"/>
              <w:szCs w:val="24"/>
            </w:rPr>
            <w:t>规划图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_Toc22868 </w:instrText>
          </w:r>
          <w:r>
            <w:rPr>
              <w:sz w:val="24"/>
              <w:szCs w:val="24"/>
            </w:rPr>
            <w:fldChar w:fldCharType="separate"/>
          </w:r>
          <w:r>
            <w:rPr>
              <w:rFonts w:hint="default" w:ascii="Times New Roman" w:hAnsi="Times New Roman" w:cs="Times New Roman"/>
              <w:bCs/>
              <w:snapToGrid w:val="0"/>
              <w:sz w:val="24"/>
              <w:szCs w:val="24"/>
            </w:rPr>
            <w:t>附图3 项目所在区域道路规划图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_Toc14714 </w:instrText>
          </w:r>
          <w:r>
            <w:rPr>
              <w:sz w:val="24"/>
              <w:szCs w:val="24"/>
            </w:rPr>
            <w:fldChar w:fldCharType="separate"/>
          </w:r>
          <w:r>
            <w:rPr>
              <w:rFonts w:hint="default" w:ascii="Times New Roman" w:hAnsi="Times New Roman" w:cs="Times New Roman"/>
              <w:bCs/>
              <w:sz w:val="24"/>
              <w:szCs w:val="24"/>
            </w:rPr>
            <w:t xml:space="preserve">附图4 </w:t>
          </w:r>
          <w:r>
            <w:rPr>
              <w:rFonts w:hint="eastAsia" w:cs="Times New Roman"/>
              <w:bCs/>
              <w:sz w:val="24"/>
              <w:szCs w:val="24"/>
              <w:lang w:val="en-US" w:eastAsia="zh-CN"/>
            </w:rPr>
            <w:t>工程平面布置</w:t>
          </w:r>
          <w:r>
            <w:rPr>
              <w:rFonts w:hint="default" w:ascii="Times New Roman" w:hAnsi="Times New Roman" w:cs="Times New Roman"/>
              <w:bCs/>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_Toc27174 </w:instrText>
          </w:r>
          <w:r>
            <w:rPr>
              <w:sz w:val="24"/>
              <w:szCs w:val="24"/>
            </w:rPr>
            <w:fldChar w:fldCharType="separate"/>
          </w:r>
          <w:r>
            <w:rPr>
              <w:rFonts w:hint="default" w:ascii="Times New Roman" w:hAnsi="Times New Roman" w:cs="Times New Roman"/>
              <w:bCs/>
              <w:sz w:val="24"/>
              <w:szCs w:val="24"/>
            </w:rPr>
            <w:t>附图5 项目</w:t>
          </w:r>
          <w:r>
            <w:rPr>
              <w:rFonts w:hint="eastAsia" w:cs="Times New Roman"/>
              <w:bCs/>
              <w:sz w:val="24"/>
              <w:szCs w:val="24"/>
              <w:lang w:val="en-US" w:eastAsia="zh-CN"/>
            </w:rPr>
            <w:t>平纵断面</w:t>
          </w:r>
          <w:r>
            <w:rPr>
              <w:rFonts w:hint="default" w:ascii="Times New Roman" w:hAnsi="Times New Roman" w:cs="Times New Roman"/>
              <w:bCs/>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_Toc28467 </w:instrText>
          </w:r>
          <w:r>
            <w:rPr>
              <w:sz w:val="24"/>
              <w:szCs w:val="24"/>
            </w:rPr>
            <w:fldChar w:fldCharType="separate"/>
          </w:r>
          <w:r>
            <w:rPr>
              <w:rFonts w:hint="default" w:ascii="Times New Roman" w:hAnsi="Times New Roman" w:cs="Times New Roman"/>
              <w:bCs w:val="0"/>
              <w:sz w:val="24"/>
              <w:szCs w:val="24"/>
            </w:rPr>
            <w:t>附图</w:t>
          </w:r>
          <w:r>
            <w:rPr>
              <w:rFonts w:hint="eastAsia" w:ascii="Times New Roman" w:hAnsi="Times New Roman" w:cs="Times New Roman"/>
              <w:bCs w:val="0"/>
              <w:sz w:val="24"/>
              <w:szCs w:val="24"/>
              <w:lang w:val="en-US" w:eastAsia="zh-CN"/>
            </w:rPr>
            <w:t>6</w:t>
          </w:r>
          <w:r>
            <w:rPr>
              <w:rFonts w:hint="default" w:ascii="Times New Roman" w:hAnsi="Times New Roman" w:cs="Times New Roman"/>
              <w:bCs w:val="0"/>
              <w:sz w:val="24"/>
              <w:szCs w:val="24"/>
            </w:rPr>
            <w:t xml:space="preserve"> 道路</w:t>
          </w:r>
          <w:r>
            <w:rPr>
              <w:rFonts w:hint="eastAsia" w:ascii="Times New Roman" w:hAnsi="Times New Roman" w:cs="Times New Roman"/>
              <w:bCs w:val="0"/>
              <w:sz w:val="24"/>
              <w:szCs w:val="24"/>
              <w:lang w:val="en-US" w:eastAsia="zh-CN"/>
            </w:rPr>
            <w:t>平面</w:t>
          </w:r>
          <w:r>
            <w:rPr>
              <w:rFonts w:hint="default" w:ascii="Times New Roman" w:hAnsi="Times New Roman" w:cs="Times New Roman"/>
              <w:bCs w:val="0"/>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_Toc12935 </w:instrText>
          </w:r>
          <w:r>
            <w:rPr>
              <w:sz w:val="24"/>
              <w:szCs w:val="24"/>
            </w:rPr>
            <w:fldChar w:fldCharType="separate"/>
          </w:r>
          <w:r>
            <w:rPr>
              <w:rFonts w:hint="default" w:ascii="Times New Roman" w:hAnsi="Times New Roman" w:cs="Times New Roman"/>
              <w:bCs w:val="0"/>
              <w:sz w:val="24"/>
              <w:szCs w:val="24"/>
            </w:rPr>
            <w:t>附图7 项目桥位平面图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_Toc714 </w:instrText>
          </w:r>
          <w:r>
            <w:rPr>
              <w:sz w:val="24"/>
              <w:szCs w:val="24"/>
            </w:rPr>
            <w:fldChar w:fldCharType="separate"/>
          </w:r>
          <w:r>
            <w:rPr>
              <w:rFonts w:hint="default" w:ascii="Times New Roman" w:hAnsi="Times New Roman" w:cs="Times New Roman"/>
              <w:bCs w:val="0"/>
              <w:sz w:val="24"/>
              <w:szCs w:val="24"/>
            </w:rPr>
            <w:t>附图8 项目桥型</w:t>
          </w:r>
          <w:r>
            <w:rPr>
              <w:rFonts w:hint="eastAsia" w:ascii="Times New Roman" w:hAnsi="Times New Roman" w:cs="Times New Roman"/>
              <w:bCs w:val="0"/>
              <w:sz w:val="24"/>
              <w:szCs w:val="24"/>
              <w:lang w:val="en-US" w:eastAsia="zh-CN"/>
            </w:rPr>
            <w:t>立面</w:t>
          </w:r>
          <w:r>
            <w:rPr>
              <w:rFonts w:hint="default" w:ascii="Times New Roman" w:hAnsi="Times New Roman" w:cs="Times New Roman"/>
              <w:bCs w:val="0"/>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_Toc25562 </w:instrText>
          </w:r>
          <w:r>
            <w:rPr>
              <w:sz w:val="24"/>
              <w:szCs w:val="24"/>
            </w:rPr>
            <w:fldChar w:fldCharType="separate"/>
          </w:r>
          <w:r>
            <w:rPr>
              <w:rFonts w:hint="default" w:ascii="Times New Roman" w:hAnsi="Times New Roman" w:cs="Times New Roman"/>
              <w:bCs w:val="0"/>
              <w:sz w:val="24"/>
              <w:szCs w:val="24"/>
            </w:rPr>
            <w:t xml:space="preserve">附图9 </w:t>
          </w:r>
          <w:r>
            <w:rPr>
              <w:rFonts w:hint="eastAsia" w:ascii="Times New Roman" w:hAnsi="Times New Roman" w:cs="Times New Roman"/>
              <w:bCs w:val="0"/>
              <w:sz w:val="24"/>
              <w:szCs w:val="24"/>
              <w:lang w:val="en-US" w:eastAsia="zh-CN"/>
            </w:rPr>
            <w:t>桥型横断面</w:t>
          </w:r>
          <w:r>
            <w:rPr>
              <w:rFonts w:hint="default" w:ascii="Times New Roman" w:hAnsi="Times New Roman" w:cs="Times New Roman"/>
              <w:bCs w:val="0"/>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_Toc1039 </w:instrText>
          </w:r>
          <w:r>
            <w:rPr>
              <w:sz w:val="24"/>
              <w:szCs w:val="24"/>
            </w:rPr>
            <w:fldChar w:fldCharType="separate"/>
          </w:r>
          <w:r>
            <w:rPr>
              <w:rFonts w:hint="default" w:ascii="Times New Roman" w:hAnsi="Times New Roman" w:cs="Times New Roman"/>
              <w:bCs w:val="0"/>
              <w:sz w:val="24"/>
              <w:szCs w:val="24"/>
            </w:rPr>
            <w:t xml:space="preserve">附图10  </w:t>
          </w:r>
          <w:r>
            <w:rPr>
              <w:rFonts w:hint="eastAsia" w:ascii="Times New Roman" w:hAnsi="Times New Roman" w:cs="Times New Roman"/>
              <w:bCs w:val="0"/>
              <w:sz w:val="24"/>
              <w:szCs w:val="24"/>
              <w:lang w:val="en-US" w:eastAsia="zh-CN"/>
            </w:rPr>
            <w:t>雨水管线</w:t>
          </w:r>
          <w:r>
            <w:rPr>
              <w:rFonts w:hint="default" w:ascii="Times New Roman" w:hAnsi="Times New Roman" w:cs="Times New Roman"/>
              <w:bCs w:val="0"/>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_Toc28277 </w:instrText>
          </w:r>
          <w:r>
            <w:rPr>
              <w:sz w:val="24"/>
              <w:szCs w:val="24"/>
            </w:rPr>
            <w:fldChar w:fldCharType="separate"/>
          </w:r>
          <w:r>
            <w:rPr>
              <w:rFonts w:hint="default" w:ascii="Times New Roman" w:hAnsi="Times New Roman" w:cs="Times New Roman"/>
              <w:bCs w:val="0"/>
              <w:sz w:val="24"/>
              <w:szCs w:val="24"/>
            </w:rPr>
            <w:t xml:space="preserve">附图11  </w:t>
          </w:r>
          <w:r>
            <w:rPr>
              <w:rFonts w:hint="eastAsia" w:ascii="Times New Roman" w:hAnsi="Times New Roman" w:cs="Times New Roman"/>
              <w:bCs w:val="0"/>
              <w:sz w:val="24"/>
              <w:szCs w:val="24"/>
              <w:lang w:val="en-US" w:eastAsia="zh-CN"/>
            </w:rPr>
            <w:t>污水管线</w:t>
          </w:r>
          <w:r>
            <w:rPr>
              <w:rFonts w:hint="default" w:ascii="Times New Roman" w:hAnsi="Times New Roman" w:cs="Times New Roman"/>
              <w:bCs w:val="0"/>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_Toc20129 </w:instrText>
          </w:r>
          <w:r>
            <w:rPr>
              <w:sz w:val="24"/>
              <w:szCs w:val="24"/>
            </w:rPr>
            <w:fldChar w:fldCharType="separate"/>
          </w:r>
          <w:r>
            <w:rPr>
              <w:rFonts w:hint="default" w:ascii="Times New Roman" w:hAnsi="Times New Roman" w:cs="Times New Roman"/>
              <w:bCs w:val="0"/>
              <w:sz w:val="24"/>
              <w:szCs w:val="24"/>
            </w:rPr>
            <w:t xml:space="preserve">附图12  </w:t>
          </w:r>
          <w:r>
            <w:rPr>
              <w:rFonts w:hint="eastAsia" w:ascii="Times New Roman" w:hAnsi="Times New Roman" w:cs="Times New Roman"/>
              <w:bCs w:val="0"/>
              <w:sz w:val="24"/>
              <w:szCs w:val="24"/>
              <w:lang w:val="en-US" w:eastAsia="zh-CN"/>
            </w:rPr>
            <w:t>区域水系</w:t>
          </w:r>
          <w:r>
            <w:rPr>
              <w:rFonts w:hint="default" w:ascii="Times New Roman" w:hAnsi="Times New Roman" w:cs="Times New Roman"/>
              <w:bCs w:val="0"/>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_Toc3758 </w:instrText>
          </w:r>
          <w:r>
            <w:rPr>
              <w:sz w:val="24"/>
              <w:szCs w:val="24"/>
            </w:rPr>
            <w:fldChar w:fldCharType="separate"/>
          </w:r>
          <w:r>
            <w:rPr>
              <w:rFonts w:hint="default" w:ascii="Times New Roman" w:hAnsi="Times New Roman" w:cs="Times New Roman"/>
              <w:sz w:val="24"/>
              <w:szCs w:val="24"/>
            </w:rPr>
            <w:t>附图1</w:t>
          </w:r>
          <w:r>
            <w:rPr>
              <w:rFonts w:hint="eastAsia" w:cs="Times New Roman"/>
              <w:sz w:val="24"/>
              <w:szCs w:val="24"/>
              <w:lang w:val="en-US" w:eastAsia="zh-CN"/>
            </w:rPr>
            <w:t>3</w:t>
          </w:r>
          <w:r>
            <w:rPr>
              <w:rFonts w:hint="default" w:ascii="Times New Roman" w:hAnsi="Times New Roman" w:cs="Times New Roman"/>
              <w:sz w:val="24"/>
              <w:szCs w:val="24"/>
            </w:rPr>
            <w:t xml:space="preserve">  项目周边环境卫星示意图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_Toc12489 </w:instrText>
          </w:r>
          <w:r>
            <w:rPr>
              <w:sz w:val="24"/>
              <w:szCs w:val="24"/>
            </w:rPr>
            <w:fldChar w:fldCharType="separate"/>
          </w:r>
          <w:r>
            <w:rPr>
              <w:rFonts w:hint="default" w:ascii="Times New Roman" w:hAnsi="Times New Roman" w:cs="Times New Roman"/>
              <w:sz w:val="24"/>
              <w:szCs w:val="24"/>
            </w:rPr>
            <w:t>附图</w:t>
          </w:r>
          <w:r>
            <w:rPr>
              <w:rFonts w:hint="default" w:ascii="Times New Roman" w:hAnsi="Times New Roman" w:eastAsia="黑体" w:cs="Times New Roman"/>
              <w:sz w:val="24"/>
              <w:szCs w:val="24"/>
            </w:rPr>
            <w:t>1</w:t>
          </w:r>
          <w:r>
            <w:rPr>
              <w:rFonts w:hint="eastAsia" w:eastAsia="黑体" w:cs="Times New Roman"/>
              <w:sz w:val="24"/>
              <w:szCs w:val="24"/>
              <w:lang w:val="en-US" w:eastAsia="zh-CN"/>
            </w:rPr>
            <w:t>4</w:t>
          </w:r>
          <w:r>
            <w:rPr>
              <w:rFonts w:hint="default" w:ascii="Times New Roman" w:hAnsi="Times New Roman" w:eastAsia="黑体" w:cs="Times New Roman"/>
              <w:sz w:val="24"/>
              <w:szCs w:val="24"/>
            </w:rPr>
            <w:t xml:space="preserve"> </w:t>
          </w:r>
          <w:r>
            <w:rPr>
              <w:rFonts w:hint="default" w:ascii="Times New Roman" w:hAnsi="Times New Roman" w:eastAsia="宋体" w:cs="Times New Roman"/>
              <w:sz w:val="24"/>
              <w:szCs w:val="24"/>
            </w:rPr>
            <w:t>周边环境</w:t>
          </w:r>
          <w:r>
            <w:rPr>
              <w:rFonts w:hint="eastAsia" w:ascii="Times New Roman" w:hAnsi="Times New Roman" w:eastAsia="宋体" w:cs="Times New Roman"/>
              <w:sz w:val="24"/>
              <w:szCs w:val="24"/>
            </w:rPr>
            <w:t>航拍示意</w:t>
          </w:r>
          <w:r>
            <w:rPr>
              <w:rFonts w:hint="default" w:ascii="Times New Roman" w:hAnsi="Times New Roman" w:eastAsia="宋体" w:cs="Times New Roman"/>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_Toc22505 </w:instrText>
          </w:r>
          <w:r>
            <w:rPr>
              <w:sz w:val="24"/>
              <w:szCs w:val="24"/>
            </w:rPr>
            <w:fldChar w:fldCharType="separate"/>
          </w:r>
          <w:r>
            <w:rPr>
              <w:rFonts w:hint="default" w:ascii="Times New Roman" w:hAnsi="Times New Roman" w:cs="Times New Roman"/>
              <w:sz w:val="24"/>
              <w:szCs w:val="24"/>
            </w:rPr>
            <w:t>附图1</w:t>
          </w:r>
          <w:r>
            <w:rPr>
              <w:rFonts w:hint="eastAsia" w:cs="Times New Roman"/>
              <w:sz w:val="24"/>
              <w:szCs w:val="24"/>
              <w:lang w:val="en-US" w:eastAsia="zh-CN"/>
            </w:rPr>
            <w:t>5</w:t>
          </w:r>
          <w:r>
            <w:rPr>
              <w:rFonts w:hint="default" w:ascii="Times New Roman" w:hAnsi="Times New Roman" w:cs="Times New Roman"/>
              <w:sz w:val="24"/>
              <w:szCs w:val="24"/>
            </w:rPr>
            <w:t xml:space="preserve">  福清市生态环境功能区划</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_Toc23969 </w:instrText>
          </w:r>
          <w:r>
            <w:rPr>
              <w:sz w:val="24"/>
              <w:szCs w:val="24"/>
            </w:rPr>
            <w:fldChar w:fldCharType="separate"/>
          </w:r>
          <w:r>
            <w:rPr>
              <w:rFonts w:hint="default" w:ascii="Times New Roman" w:hAnsi="Times New Roman" w:cs="Times New Roman"/>
              <w:sz w:val="24"/>
              <w:szCs w:val="24"/>
            </w:rPr>
            <w:t>附图1</w:t>
          </w:r>
          <w:r>
            <w:rPr>
              <w:rFonts w:hint="eastAsia" w:cs="Times New Roman"/>
              <w:sz w:val="24"/>
              <w:szCs w:val="24"/>
              <w:lang w:val="en-US" w:eastAsia="zh-CN"/>
            </w:rPr>
            <w:t>6</w:t>
          </w:r>
          <w:r>
            <w:rPr>
              <w:rFonts w:hint="default" w:ascii="Times New Roman" w:hAnsi="Times New Roman" w:cs="Times New Roman"/>
              <w:sz w:val="24"/>
              <w:szCs w:val="24"/>
            </w:rPr>
            <w:t xml:space="preserve">  福清市</w:t>
          </w:r>
          <w:r>
            <w:rPr>
              <w:rFonts w:hint="eastAsia" w:cs="Times New Roman"/>
              <w:sz w:val="24"/>
              <w:szCs w:val="24"/>
              <w:lang w:val="en-US" w:eastAsia="zh-CN"/>
            </w:rPr>
            <w:t>建成区声</w:t>
          </w:r>
          <w:r>
            <w:rPr>
              <w:rFonts w:hint="default" w:ascii="Times New Roman" w:hAnsi="Times New Roman" w:cs="Times New Roman"/>
              <w:sz w:val="24"/>
              <w:szCs w:val="24"/>
            </w:rPr>
            <w:t>环境功能区划</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_Toc12510 </w:instrText>
          </w:r>
          <w:r>
            <w:rPr>
              <w:sz w:val="24"/>
              <w:szCs w:val="24"/>
            </w:rPr>
            <w:fldChar w:fldCharType="separate"/>
          </w:r>
          <w:r>
            <w:rPr>
              <w:rFonts w:hint="default" w:ascii="Times New Roman" w:hAnsi="Times New Roman" w:cs="Times New Roman"/>
              <w:sz w:val="24"/>
              <w:szCs w:val="24"/>
            </w:rPr>
            <w:t>附图1</w:t>
          </w:r>
          <w:r>
            <w:rPr>
              <w:rFonts w:hint="eastAsia" w:cs="Times New Roman"/>
              <w:sz w:val="24"/>
              <w:szCs w:val="24"/>
              <w:lang w:val="en-US" w:eastAsia="zh-CN"/>
            </w:rPr>
            <w:t>7</w:t>
          </w:r>
          <w:r>
            <w:rPr>
              <w:rFonts w:hint="default" w:ascii="Times New Roman" w:hAnsi="Times New Roman" w:cs="Times New Roman"/>
              <w:sz w:val="24"/>
              <w:szCs w:val="24"/>
            </w:rPr>
            <w:t xml:space="preserve"> </w:t>
          </w:r>
          <w:r>
            <w:rPr>
              <w:bCs/>
              <w:sz w:val="24"/>
              <w:szCs w:val="24"/>
            </w:rPr>
            <w:t xml:space="preserve"> </w:t>
          </w:r>
          <w:r>
            <w:rPr>
              <w:rFonts w:hint="eastAsia"/>
              <w:bCs/>
              <w:sz w:val="24"/>
              <w:szCs w:val="24"/>
              <w:lang w:val="en-US" w:eastAsia="zh-CN"/>
            </w:rPr>
            <w:t>福建省生态环境分区管控数据应用平台截</w:t>
          </w:r>
          <w:r>
            <w:rPr>
              <w:bCs/>
              <w:sz w:val="24"/>
              <w:szCs w:val="24"/>
            </w:rPr>
            <w:t>图</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rFonts w:hint="eastAsia" w:eastAsia="宋体"/>
              <w:sz w:val="24"/>
              <w:szCs w:val="24"/>
              <w:lang w:val="en-US" w:eastAsia="zh-CN"/>
            </w:rPr>
          </w:pPr>
          <w:r>
            <w:rPr>
              <w:rFonts w:hint="eastAsia"/>
              <w:sz w:val="24"/>
              <w:szCs w:val="24"/>
              <w:lang w:val="en-US" w:eastAsia="zh-CN"/>
            </w:rPr>
            <w:t>附件</w:t>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_Toc18670 </w:instrText>
          </w:r>
          <w:r>
            <w:rPr>
              <w:sz w:val="24"/>
              <w:szCs w:val="24"/>
            </w:rPr>
            <w:fldChar w:fldCharType="separate"/>
          </w:r>
          <w:r>
            <w:rPr>
              <w:rFonts w:hint="default" w:ascii="Times New Roman" w:hAnsi="Times New Roman" w:eastAsia="宋体" w:cs="Times New Roman"/>
              <w:bCs/>
              <w:sz w:val="24"/>
              <w:szCs w:val="24"/>
              <w:lang w:val="en-US" w:eastAsia="zh-CN"/>
            </w:rPr>
            <w:t>附件1 委托书</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_Toc20119 </w:instrText>
          </w:r>
          <w:r>
            <w:rPr>
              <w:sz w:val="24"/>
              <w:szCs w:val="24"/>
            </w:rPr>
            <w:fldChar w:fldCharType="separate"/>
          </w:r>
          <w:r>
            <w:rPr>
              <w:rFonts w:hint="default" w:ascii="Times New Roman" w:hAnsi="Times New Roman" w:cs="Times New Roman"/>
              <w:sz w:val="24"/>
              <w:szCs w:val="24"/>
            </w:rPr>
            <w:t>附件2工程可行性研究报告的批复</w:t>
          </w:r>
          <w:r>
            <w:rPr>
              <w:rFonts w:hint="eastAsia" w:cs="Times New Roman"/>
              <w:sz w:val="24"/>
              <w:szCs w:val="24"/>
              <w:lang w:val="en-US" w:eastAsia="zh-CN"/>
            </w:rPr>
            <w:t>及可研变更批复</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_Toc2684 </w:instrText>
          </w:r>
          <w:r>
            <w:rPr>
              <w:sz w:val="24"/>
              <w:szCs w:val="24"/>
            </w:rPr>
            <w:fldChar w:fldCharType="separate"/>
          </w:r>
          <w:r>
            <w:rPr>
              <w:rFonts w:hint="default" w:ascii="Times New Roman" w:hAnsi="Times New Roman" w:cs="Times New Roman"/>
              <w:sz w:val="24"/>
              <w:szCs w:val="24"/>
            </w:rPr>
            <w:t>附件3初步设计批复</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_Toc3296 </w:instrText>
          </w:r>
          <w:r>
            <w:rPr>
              <w:sz w:val="24"/>
              <w:szCs w:val="24"/>
            </w:rPr>
            <w:fldChar w:fldCharType="separate"/>
          </w:r>
          <w:r>
            <w:rPr>
              <w:rFonts w:hint="default" w:ascii="Times New Roman" w:hAnsi="Times New Roman" w:cs="Times New Roman"/>
              <w:sz w:val="24"/>
              <w:szCs w:val="24"/>
            </w:rPr>
            <w:t>附件4建设项目用地预审与选址意见书</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_Toc19822 </w:instrText>
          </w:r>
          <w:r>
            <w:rPr>
              <w:sz w:val="24"/>
              <w:szCs w:val="24"/>
            </w:rPr>
            <w:fldChar w:fldCharType="separate"/>
          </w:r>
          <w:r>
            <w:rPr>
              <w:rFonts w:hint="default" w:ascii="Times New Roman" w:hAnsi="Times New Roman" w:cs="Times New Roman"/>
              <w:sz w:val="24"/>
              <w:szCs w:val="24"/>
            </w:rPr>
            <w:t xml:space="preserve">附件5 </w:t>
          </w:r>
          <w:r>
            <w:rPr>
              <w:rFonts w:hint="eastAsia" w:cs="Times New Roman"/>
              <w:sz w:val="24"/>
              <w:szCs w:val="24"/>
              <w:lang w:val="en-US" w:eastAsia="zh-CN"/>
            </w:rPr>
            <w:t>使用林地审核同意书</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_Toc14019 </w:instrText>
          </w:r>
          <w:r>
            <w:rPr>
              <w:sz w:val="24"/>
              <w:szCs w:val="24"/>
            </w:rPr>
            <w:fldChar w:fldCharType="separate"/>
          </w:r>
          <w:r>
            <w:rPr>
              <w:rFonts w:hint="default" w:ascii="Times New Roman" w:hAnsi="Times New Roman" w:cs="Times New Roman"/>
              <w:sz w:val="24"/>
              <w:szCs w:val="24"/>
            </w:rPr>
            <w:t>附件</w:t>
          </w:r>
          <w:r>
            <w:rPr>
              <w:rFonts w:hint="eastAsia" w:cs="Times New Roman"/>
              <w:sz w:val="24"/>
              <w:szCs w:val="24"/>
              <w:lang w:val="en-US" w:eastAsia="zh-CN"/>
            </w:rPr>
            <w:t>6</w:t>
          </w:r>
          <w:r>
            <w:rPr>
              <w:rFonts w:hint="default" w:ascii="Times New Roman" w:hAnsi="Times New Roman" w:cs="Times New Roman"/>
              <w:sz w:val="24"/>
              <w:szCs w:val="24"/>
            </w:rPr>
            <w:t xml:space="preserve"> </w:t>
          </w:r>
          <w:r>
            <w:rPr>
              <w:rFonts w:hint="eastAsia" w:cs="Times New Roman"/>
              <w:sz w:val="24"/>
              <w:szCs w:val="24"/>
              <w:lang w:val="en-US" w:eastAsia="zh-CN"/>
            </w:rPr>
            <w:t>农转用批复</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_Toc13109 </w:instrText>
          </w:r>
          <w:r>
            <w:rPr>
              <w:sz w:val="24"/>
              <w:szCs w:val="24"/>
            </w:rPr>
            <w:fldChar w:fldCharType="separate"/>
          </w:r>
          <w:r>
            <w:rPr>
              <w:rFonts w:hint="default" w:ascii="Times New Roman" w:hAnsi="Times New Roman" w:cs="Times New Roman"/>
              <w:sz w:val="24"/>
              <w:szCs w:val="24"/>
            </w:rPr>
            <w:t>附件</w:t>
          </w:r>
          <w:r>
            <w:rPr>
              <w:rFonts w:hint="eastAsia" w:cs="Times New Roman"/>
              <w:sz w:val="24"/>
              <w:szCs w:val="24"/>
              <w:lang w:val="en-US" w:eastAsia="zh-CN"/>
            </w:rPr>
            <w:t>7</w:t>
          </w:r>
          <w:r>
            <w:rPr>
              <w:rFonts w:hint="default" w:ascii="Times New Roman" w:hAnsi="Times New Roman" w:cs="Times New Roman"/>
              <w:sz w:val="24"/>
              <w:szCs w:val="24"/>
            </w:rPr>
            <w:t xml:space="preserve"> </w:t>
          </w:r>
          <w:r>
            <w:rPr>
              <w:rFonts w:hint="eastAsia" w:cs="Times New Roman"/>
              <w:sz w:val="24"/>
              <w:szCs w:val="24"/>
              <w:lang w:val="en-US" w:eastAsia="zh-CN"/>
            </w:rPr>
            <w:t>水保批复</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_Toc10301 </w:instrText>
          </w:r>
          <w:r>
            <w:rPr>
              <w:sz w:val="24"/>
              <w:szCs w:val="24"/>
            </w:rPr>
            <w:fldChar w:fldCharType="separate"/>
          </w:r>
          <w:r>
            <w:rPr>
              <w:rFonts w:hint="default" w:ascii="Times New Roman" w:hAnsi="Times New Roman" w:cs="Times New Roman"/>
              <w:sz w:val="24"/>
              <w:szCs w:val="24"/>
            </w:rPr>
            <w:t>附件</w:t>
          </w:r>
          <w:r>
            <w:rPr>
              <w:rFonts w:hint="eastAsia" w:cs="Times New Roman"/>
              <w:sz w:val="24"/>
              <w:szCs w:val="24"/>
              <w:lang w:val="en-US" w:eastAsia="zh-CN"/>
            </w:rPr>
            <w:t>8</w:t>
          </w:r>
          <w:r>
            <w:rPr>
              <w:rFonts w:hint="default" w:ascii="Times New Roman" w:hAnsi="Times New Roman" w:cs="Times New Roman"/>
              <w:sz w:val="24"/>
              <w:szCs w:val="24"/>
            </w:rPr>
            <w:t xml:space="preserve"> </w:t>
          </w:r>
          <w:r>
            <w:rPr>
              <w:rFonts w:hint="eastAsia" w:ascii="Times New Roman" w:hAnsi="Times New Roman" w:cs="Times New Roman"/>
              <w:sz w:val="24"/>
              <w:szCs w:val="24"/>
              <w:lang w:val="en-US" w:eastAsia="zh-CN"/>
            </w:rPr>
            <w:t>项目选址会商报告</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_Toc3840 </w:instrText>
          </w:r>
          <w:r>
            <w:rPr>
              <w:sz w:val="24"/>
              <w:szCs w:val="24"/>
            </w:rPr>
            <w:fldChar w:fldCharType="separate"/>
          </w:r>
          <w:r>
            <w:rPr>
              <w:rFonts w:hint="default" w:ascii="Times New Roman" w:hAnsi="Times New Roman" w:cs="Times New Roman"/>
              <w:sz w:val="24"/>
              <w:szCs w:val="24"/>
            </w:rPr>
            <w:t>附件</w:t>
          </w:r>
          <w:r>
            <w:rPr>
              <w:rFonts w:hint="eastAsia" w:cs="Times New Roman"/>
              <w:sz w:val="24"/>
              <w:szCs w:val="24"/>
              <w:lang w:val="en-US" w:eastAsia="zh-CN"/>
            </w:rPr>
            <w:t>9</w:t>
          </w:r>
          <w:r>
            <w:rPr>
              <w:rFonts w:hint="default" w:ascii="Times New Roman" w:hAnsi="Times New Roman" w:cs="Times New Roman"/>
              <w:sz w:val="24"/>
              <w:szCs w:val="24"/>
            </w:rPr>
            <w:t xml:space="preserve"> </w:t>
          </w:r>
          <w:r>
            <w:rPr>
              <w:rFonts w:hint="eastAsia" w:cs="Times New Roman"/>
              <w:sz w:val="24"/>
              <w:szCs w:val="24"/>
              <w:lang w:val="en-US" w:eastAsia="zh-CN"/>
            </w:rPr>
            <w:t>噪声</w:t>
          </w:r>
          <w:r>
            <w:rPr>
              <w:rFonts w:hint="default" w:ascii="Times New Roman" w:hAnsi="Times New Roman" w:cs="Times New Roman"/>
              <w:sz w:val="24"/>
              <w:szCs w:val="24"/>
            </w:rPr>
            <w:t>检测报告</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_Toc14934 </w:instrText>
          </w:r>
          <w:r>
            <w:rPr>
              <w:sz w:val="24"/>
              <w:szCs w:val="24"/>
            </w:rPr>
            <w:fldChar w:fldCharType="separate"/>
          </w:r>
          <w:r>
            <w:rPr>
              <w:rFonts w:hint="default" w:ascii="Times New Roman" w:hAnsi="Times New Roman" w:cs="Times New Roman"/>
              <w:sz w:val="24"/>
              <w:szCs w:val="24"/>
            </w:rPr>
            <w:t>附件</w:t>
          </w:r>
          <w:r>
            <w:rPr>
              <w:rFonts w:hint="eastAsia" w:cs="Times New Roman"/>
              <w:sz w:val="24"/>
              <w:szCs w:val="24"/>
              <w:lang w:val="en-US" w:eastAsia="zh-CN"/>
            </w:rPr>
            <w:t>10</w:t>
          </w:r>
          <w:r>
            <w:rPr>
              <w:rFonts w:hint="default" w:ascii="Times New Roman" w:hAnsi="Times New Roman" w:cs="Times New Roman"/>
              <w:sz w:val="24"/>
              <w:szCs w:val="24"/>
            </w:rPr>
            <w:t xml:space="preserve"> </w:t>
          </w:r>
          <w:r>
            <w:rPr>
              <w:rFonts w:hint="eastAsia" w:cs="Times New Roman"/>
              <w:sz w:val="24"/>
              <w:szCs w:val="24"/>
              <w:lang w:val="en-US" w:eastAsia="zh-CN"/>
            </w:rPr>
            <w:t>三线一单综合查询报告</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_Toc17890 </w:instrText>
          </w:r>
          <w:r>
            <w:rPr>
              <w:sz w:val="24"/>
              <w:szCs w:val="24"/>
            </w:rPr>
            <w:fldChar w:fldCharType="separate"/>
          </w:r>
          <w:r>
            <w:rPr>
              <w:rFonts w:hint="default" w:ascii="Times New Roman" w:hAnsi="Times New Roman" w:cs="Times New Roman"/>
              <w:sz w:val="24"/>
              <w:szCs w:val="24"/>
            </w:rPr>
            <w:t>附件</w:t>
          </w:r>
          <w:r>
            <w:rPr>
              <w:rFonts w:hint="eastAsia" w:cs="Times New Roman"/>
              <w:sz w:val="24"/>
              <w:szCs w:val="24"/>
              <w:lang w:val="en-US" w:eastAsia="zh-CN"/>
            </w:rPr>
            <w:t>11</w:t>
          </w:r>
          <w:r>
            <w:rPr>
              <w:rFonts w:hint="default" w:ascii="Times New Roman" w:hAnsi="Times New Roman" w:cs="Times New Roman"/>
              <w:sz w:val="24"/>
              <w:szCs w:val="24"/>
            </w:rPr>
            <w:t>关于公开建设项目环评文件等信息情况的说明</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_Toc13634 </w:instrText>
          </w:r>
          <w:r>
            <w:rPr>
              <w:sz w:val="24"/>
              <w:szCs w:val="24"/>
            </w:rPr>
            <w:fldChar w:fldCharType="separate"/>
          </w:r>
          <w:r>
            <w:rPr>
              <w:rFonts w:hint="default" w:ascii="Times New Roman" w:hAnsi="Times New Roman" w:cs="Times New Roman"/>
              <w:sz w:val="24"/>
              <w:szCs w:val="24"/>
            </w:rPr>
            <w:t>附件</w:t>
          </w:r>
          <w:r>
            <w:rPr>
              <w:rFonts w:hint="eastAsia" w:cs="Times New Roman"/>
              <w:sz w:val="24"/>
              <w:szCs w:val="24"/>
              <w:lang w:val="en-US" w:eastAsia="zh-CN"/>
            </w:rPr>
            <w:t>12</w:t>
          </w:r>
          <w:r>
            <w:rPr>
              <w:rFonts w:hint="default" w:ascii="Times New Roman" w:hAnsi="Times New Roman" w:cs="Times New Roman"/>
              <w:sz w:val="24"/>
              <w:szCs w:val="24"/>
            </w:rPr>
            <w:t>申请环评批复的函</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_Toc16649 </w:instrText>
          </w:r>
          <w:r>
            <w:rPr>
              <w:sz w:val="24"/>
              <w:szCs w:val="24"/>
            </w:rPr>
            <w:fldChar w:fldCharType="separate"/>
          </w:r>
          <w:r>
            <w:rPr>
              <w:rFonts w:hint="default" w:ascii="Times New Roman" w:hAnsi="Times New Roman" w:cs="Times New Roman"/>
              <w:sz w:val="24"/>
              <w:szCs w:val="24"/>
            </w:rPr>
            <w:t>附件</w:t>
          </w:r>
          <w:r>
            <w:rPr>
              <w:rFonts w:hint="eastAsia" w:cs="Times New Roman"/>
              <w:sz w:val="24"/>
              <w:szCs w:val="24"/>
              <w:lang w:val="en-US" w:eastAsia="zh-CN"/>
            </w:rPr>
            <w:t>13</w:t>
          </w:r>
          <w:r>
            <w:rPr>
              <w:rFonts w:hint="default" w:ascii="Times New Roman" w:hAnsi="Times New Roman" w:cs="Times New Roman"/>
              <w:sz w:val="24"/>
              <w:szCs w:val="24"/>
            </w:rPr>
            <w:t>关于《福泽大道北延伸段项目环境影响报告表》公开文本删除内容、删除依据的说明</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_Toc8241 </w:instrText>
          </w:r>
          <w:r>
            <w:rPr>
              <w:sz w:val="24"/>
              <w:szCs w:val="24"/>
            </w:rPr>
            <w:fldChar w:fldCharType="separate"/>
          </w:r>
          <w:r>
            <w:rPr>
              <w:rFonts w:hint="default" w:ascii="Times New Roman" w:hAnsi="Times New Roman" w:cs="Times New Roman"/>
              <w:sz w:val="24"/>
              <w:szCs w:val="24"/>
            </w:rPr>
            <w:t>附件</w:t>
          </w:r>
          <w:r>
            <w:rPr>
              <w:rFonts w:hint="eastAsia" w:cs="Times New Roman"/>
              <w:sz w:val="24"/>
              <w:szCs w:val="24"/>
              <w:lang w:val="en-US" w:eastAsia="zh-CN"/>
            </w:rPr>
            <w:t>14</w:t>
          </w:r>
          <w:r>
            <w:rPr>
              <w:rFonts w:hint="default" w:ascii="Times New Roman" w:hAnsi="Times New Roman" w:cs="Times New Roman"/>
              <w:sz w:val="24"/>
              <w:szCs w:val="24"/>
            </w:rPr>
            <w:t>授权委托书</w:t>
          </w:r>
          <w:r>
            <w:rPr>
              <w:sz w:val="24"/>
              <w:szCs w:val="24"/>
            </w:rPr>
            <w:fldChar w:fldCharType="end"/>
          </w:r>
        </w:p>
        <w:p>
          <w:pPr>
            <w:pStyle w:val="64"/>
            <w:keepNext w:val="0"/>
            <w:keepLines w:val="0"/>
            <w:pageBreakBefore w:val="0"/>
            <w:tabs>
              <w:tab w:val="right" w:leader="dot" w:pos="9072"/>
            </w:tabs>
            <w:kinsoku/>
            <w:wordWrap/>
            <w:overflowPunct/>
            <w:topLinePunct w:val="0"/>
            <w:autoSpaceDE/>
            <w:autoSpaceDN/>
            <w:bidi w:val="0"/>
            <w:spacing w:line="360" w:lineRule="auto"/>
            <w:textAlignment w:val="auto"/>
            <w:rPr>
              <w:sz w:val="24"/>
              <w:szCs w:val="24"/>
            </w:rPr>
          </w:pPr>
          <w:r>
            <w:rPr>
              <w:sz w:val="24"/>
              <w:szCs w:val="24"/>
            </w:rPr>
            <w:fldChar w:fldCharType="begin"/>
          </w:r>
          <w:r>
            <w:rPr>
              <w:sz w:val="24"/>
              <w:szCs w:val="24"/>
            </w:rPr>
            <w:instrText xml:space="preserve"> HYPERLINK \l _Toc2737 </w:instrText>
          </w:r>
          <w:r>
            <w:rPr>
              <w:sz w:val="24"/>
              <w:szCs w:val="24"/>
            </w:rPr>
            <w:fldChar w:fldCharType="separate"/>
          </w:r>
          <w:r>
            <w:rPr>
              <w:rFonts w:hint="default" w:ascii="Times New Roman" w:hAnsi="Times New Roman" w:cs="Times New Roman"/>
              <w:sz w:val="24"/>
              <w:szCs w:val="24"/>
            </w:rPr>
            <w:t>附件1</w:t>
          </w:r>
          <w:r>
            <w:rPr>
              <w:rFonts w:hint="eastAsia" w:cs="Times New Roman"/>
              <w:sz w:val="24"/>
              <w:szCs w:val="24"/>
              <w:lang w:val="en-US" w:eastAsia="zh-CN"/>
            </w:rPr>
            <w:t>5</w:t>
          </w:r>
          <w:r>
            <w:rPr>
              <w:rFonts w:hint="default" w:ascii="Times New Roman" w:hAnsi="Times New Roman" w:cs="Times New Roman"/>
              <w:sz w:val="24"/>
              <w:szCs w:val="24"/>
            </w:rPr>
            <w:t>营业执照和法人身份证复印件</w:t>
          </w:r>
          <w:r>
            <w:rPr>
              <w:sz w:val="24"/>
              <w:szCs w:val="24"/>
            </w:rPr>
            <w:fldChar w:fldCharType="end"/>
          </w:r>
        </w:p>
        <w:p>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ascii="Times New Roman" w:hAnsi="Times New Roman" w:eastAsia="宋体" w:cs="Times New Roman"/>
              <w:kern w:val="2"/>
              <w:sz w:val="21"/>
              <w:szCs w:val="24"/>
              <w:lang w:val="en-US" w:eastAsia="zh-CN" w:bidi="ar-SA"/>
            </w:rPr>
          </w:pPr>
          <w:r>
            <w:rPr>
              <w:sz w:val="24"/>
              <w:szCs w:val="24"/>
            </w:rPr>
            <w:fldChar w:fldCharType="end"/>
          </w:r>
        </w:p>
      </w:sdtContent>
    </w:sdt>
    <w:p>
      <w:pPr>
        <w:adjustRightInd w:val="0"/>
        <w:snapToGrid w:val="0"/>
        <w:spacing w:line="288" w:lineRule="auto"/>
        <w:jc w:val="center"/>
        <w:outlineLvl w:val="9"/>
        <w:rPr>
          <w:rFonts w:ascii="Times New Roman" w:hAnsi="Times New Roman" w:eastAsia="宋体" w:cs="Times New Roman"/>
          <w:kern w:val="2"/>
          <w:sz w:val="21"/>
          <w:szCs w:val="24"/>
          <w:lang w:val="en-US" w:eastAsia="zh-CN" w:bidi="ar-SA"/>
        </w:rPr>
        <w:sectPr>
          <w:pgSz w:w="11906" w:h="16838"/>
          <w:pgMar w:top="1417" w:right="1417" w:bottom="1417" w:left="1417" w:header="851" w:footer="1077" w:gutter="0"/>
          <w:pgBorders>
            <w:top w:val="none" w:sz="0" w:space="0"/>
            <w:left w:val="none" w:sz="0" w:space="0"/>
            <w:bottom w:val="none" w:sz="0" w:space="0"/>
            <w:right w:val="none" w:sz="0" w:space="0"/>
          </w:pgBorders>
          <w:pgNumType w:start="21"/>
          <w:cols w:space="720" w:num="1"/>
          <w:docGrid w:linePitch="312" w:charSpace="0"/>
        </w:sectPr>
      </w:pPr>
    </w:p>
    <w:bookmarkEnd w:id="0"/>
    <w:p>
      <w:pPr>
        <w:pStyle w:val="22"/>
        <w:jc w:val="center"/>
        <w:outlineLvl w:val="0"/>
        <w:rPr>
          <w:rFonts w:hint="eastAsia" w:ascii="黑体" w:hAnsi="黑体" w:eastAsia="黑体"/>
          <w:snapToGrid w:val="0"/>
          <w:sz w:val="30"/>
          <w:szCs w:val="30"/>
        </w:rPr>
      </w:pPr>
      <w:bookmarkStart w:id="1" w:name="_Toc19573"/>
      <w:bookmarkStart w:id="2" w:name="_Toc12041"/>
      <w:bookmarkStart w:id="3" w:name="_Toc31691"/>
      <w:r>
        <w:rPr>
          <w:rFonts w:hint="eastAsia" w:ascii="黑体" w:hAnsi="黑体" w:eastAsia="黑体"/>
          <w:snapToGrid w:val="0"/>
          <w:sz w:val="32"/>
          <w:szCs w:val="32"/>
        </w:rPr>
        <w:t>一、建设项目基本情况</w:t>
      </w:r>
      <w:bookmarkEnd w:id="1"/>
      <w:bookmarkEnd w:id="2"/>
      <w:bookmarkEnd w:id="3"/>
    </w:p>
    <w:tbl>
      <w:tblPr>
        <w:tblStyle w:val="27"/>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70"/>
        <w:gridCol w:w="3199"/>
        <w:gridCol w:w="2218"/>
        <w:gridCol w:w="10"/>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建设项目名称</w:t>
            </w:r>
          </w:p>
        </w:tc>
        <w:tc>
          <w:tcPr>
            <w:tcW w:w="7969" w:type="dxa"/>
            <w:gridSpan w:val="4"/>
            <w:vAlign w:val="center"/>
          </w:tcPr>
          <w:p>
            <w:pPr>
              <w:adjustRightInd w:val="0"/>
              <w:snapToGrid w:val="0"/>
              <w:jc w:val="center"/>
              <w:rPr>
                <w:rFonts w:hint="eastAsia" w:ascii="宋体" w:hAnsi="宋体" w:eastAsia="宋体" w:cs="宋体"/>
                <w:sz w:val="24"/>
                <w:lang w:val="en-US" w:eastAsia="zh-CN"/>
              </w:rPr>
            </w:pPr>
            <w:bookmarkStart w:id="4" w:name="_Hlk184983855"/>
            <w:r>
              <w:rPr>
                <w:rFonts w:hint="eastAsia" w:ascii="宋体" w:hAnsi="宋体" w:cs="宋体"/>
                <w:sz w:val="24"/>
              </w:rPr>
              <w:t>福泽大道北延伸段</w:t>
            </w:r>
            <w:bookmarkEnd w:id="4"/>
            <w:r>
              <w:rPr>
                <w:rFonts w:hint="eastAsia" w:ascii="宋体" w:hAnsi="宋体" w:cs="宋体"/>
                <w:sz w:val="24"/>
                <w:lang w:val="en-US" w:eastAsia="zh-CN"/>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项目代码</w:t>
            </w:r>
          </w:p>
        </w:tc>
        <w:tc>
          <w:tcPr>
            <w:tcW w:w="7969" w:type="dxa"/>
            <w:gridSpan w:val="4"/>
            <w:vAlign w:val="center"/>
          </w:tcPr>
          <w:p>
            <w:pPr>
              <w:adjustRightInd w:val="0"/>
              <w:snapToGrid w:val="0"/>
              <w:jc w:val="center"/>
              <w:rPr>
                <w:sz w:val="24"/>
              </w:rPr>
            </w:pPr>
            <w:r>
              <w:rPr>
                <w:sz w:val="24"/>
              </w:rPr>
              <w:t>2302-350181-04-01-273926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建设单位联系人</w:t>
            </w:r>
          </w:p>
        </w:tc>
        <w:tc>
          <w:tcPr>
            <w:tcW w:w="3199" w:type="dxa"/>
            <w:vAlign w:val="center"/>
          </w:tcPr>
          <w:p>
            <w:pPr>
              <w:adjustRightInd w:val="0"/>
              <w:snapToGrid w:val="0"/>
              <w:jc w:val="center"/>
              <w:rPr>
                <w:rFonts w:hint="default" w:ascii="宋体" w:hAnsi="宋体" w:eastAsia="宋体" w:cs="宋体"/>
                <w:sz w:val="24"/>
                <w:lang w:val="en-US" w:eastAsia="zh-CN"/>
              </w:rPr>
            </w:pPr>
            <w:r>
              <w:rPr>
                <w:rFonts w:hint="eastAsia"/>
                <w:sz w:val="24"/>
                <w:lang w:val="en-US" w:eastAsia="zh-CN"/>
              </w:rPr>
              <w:t>***</w:t>
            </w:r>
          </w:p>
        </w:tc>
        <w:tc>
          <w:tcPr>
            <w:tcW w:w="2228" w:type="dxa"/>
            <w:gridSpan w:val="2"/>
            <w:vAlign w:val="center"/>
          </w:tcPr>
          <w:p>
            <w:pPr>
              <w:adjustRightInd w:val="0"/>
              <w:snapToGrid w:val="0"/>
              <w:jc w:val="center"/>
              <w:rPr>
                <w:sz w:val="24"/>
              </w:rPr>
            </w:pPr>
            <w:r>
              <w:rPr>
                <w:sz w:val="24"/>
              </w:rPr>
              <w:t>联系方式</w:t>
            </w:r>
          </w:p>
        </w:tc>
        <w:tc>
          <w:tcPr>
            <w:tcW w:w="2542" w:type="dxa"/>
            <w:vAlign w:val="center"/>
          </w:tcPr>
          <w:p>
            <w:pPr>
              <w:adjustRightInd w:val="0"/>
              <w:snapToGrid w:val="0"/>
              <w:jc w:val="center"/>
              <w:rPr>
                <w:rFonts w:hint="default" w:ascii="宋体" w:hAnsi="宋体" w:eastAsia="宋体" w:cs="宋体"/>
                <w:sz w:val="24"/>
                <w:lang w:val="en-US" w:eastAsia="zh-CN"/>
              </w:rPr>
            </w:pPr>
            <w:r>
              <w:rPr>
                <w:rFonts w:hint="eastAsia"/>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建设地点</w:t>
            </w:r>
          </w:p>
        </w:tc>
        <w:tc>
          <w:tcPr>
            <w:tcW w:w="7969" w:type="dxa"/>
            <w:gridSpan w:val="4"/>
            <w:vAlign w:val="center"/>
          </w:tcPr>
          <w:p>
            <w:pPr>
              <w:adjustRightInd w:val="0"/>
              <w:snapToGrid w:val="0"/>
              <w:jc w:val="center"/>
              <w:rPr>
                <w:sz w:val="24"/>
              </w:rPr>
            </w:pPr>
            <w:bookmarkStart w:id="5" w:name="_Hlk184983991"/>
            <w:r>
              <w:rPr>
                <w:rFonts w:hint="eastAsia"/>
                <w:sz w:val="24"/>
              </w:rPr>
              <w:t>福清市龙山街道、海口镇</w:t>
            </w:r>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地理坐标</w:t>
            </w:r>
          </w:p>
        </w:tc>
        <w:tc>
          <w:tcPr>
            <w:tcW w:w="7969" w:type="dxa"/>
            <w:gridSpan w:val="4"/>
            <w:vAlign w:val="center"/>
          </w:tcPr>
          <w:p>
            <w:pPr>
              <w:adjustRightInd w:val="0"/>
              <w:snapToGrid w:val="0"/>
              <w:jc w:val="center"/>
              <w:rPr>
                <w:sz w:val="24"/>
              </w:rPr>
            </w:pPr>
            <w:r>
              <w:rPr>
                <w:rFonts w:hAnsi="宋体"/>
                <w:sz w:val="24"/>
              </w:rPr>
              <w:t>起点（</w:t>
            </w:r>
            <w:r>
              <w:rPr>
                <w:sz w:val="24"/>
                <w:u w:val="single"/>
              </w:rPr>
              <w:t>119</w:t>
            </w:r>
            <w:r>
              <w:rPr>
                <w:rFonts w:hAnsi="宋体"/>
                <w:sz w:val="24"/>
              </w:rPr>
              <w:t>度</w:t>
            </w:r>
            <w:r>
              <w:rPr>
                <w:rFonts w:hint="eastAsia"/>
                <w:sz w:val="24"/>
                <w:u w:val="single"/>
              </w:rPr>
              <w:t>25</w:t>
            </w:r>
            <w:r>
              <w:rPr>
                <w:rFonts w:hAnsi="宋体"/>
                <w:sz w:val="24"/>
              </w:rPr>
              <w:t>分</w:t>
            </w:r>
            <w:r>
              <w:rPr>
                <w:rFonts w:hint="eastAsia"/>
                <w:sz w:val="24"/>
                <w:u w:val="single"/>
              </w:rPr>
              <w:t>37</w:t>
            </w:r>
            <w:r>
              <w:rPr>
                <w:sz w:val="24"/>
                <w:u w:val="single"/>
              </w:rPr>
              <w:t>.</w:t>
            </w:r>
            <w:r>
              <w:rPr>
                <w:rFonts w:hint="eastAsia"/>
                <w:sz w:val="24"/>
                <w:u w:val="single"/>
              </w:rPr>
              <w:t>120</w:t>
            </w:r>
            <w:r>
              <w:rPr>
                <w:rFonts w:hAnsi="宋体"/>
                <w:sz w:val="24"/>
              </w:rPr>
              <w:t>秒，</w:t>
            </w:r>
            <w:r>
              <w:rPr>
                <w:sz w:val="24"/>
                <w:u w:val="single"/>
              </w:rPr>
              <w:t>25</w:t>
            </w:r>
            <w:r>
              <w:rPr>
                <w:rFonts w:hAnsi="宋体"/>
                <w:sz w:val="24"/>
              </w:rPr>
              <w:t>度</w:t>
            </w:r>
            <w:r>
              <w:rPr>
                <w:sz w:val="24"/>
                <w:u w:val="single"/>
              </w:rPr>
              <w:t>4</w:t>
            </w:r>
            <w:r>
              <w:rPr>
                <w:rFonts w:hint="eastAsia"/>
                <w:sz w:val="24"/>
                <w:u w:val="single"/>
              </w:rPr>
              <w:t>4</w:t>
            </w:r>
            <w:r>
              <w:rPr>
                <w:rFonts w:hAnsi="宋体"/>
                <w:sz w:val="24"/>
              </w:rPr>
              <w:t>分</w:t>
            </w:r>
            <w:r>
              <w:rPr>
                <w:rFonts w:hint="eastAsia"/>
                <w:sz w:val="24"/>
                <w:u w:val="single"/>
              </w:rPr>
              <w:t>27.888</w:t>
            </w:r>
            <w:r>
              <w:rPr>
                <w:rFonts w:hAnsi="宋体"/>
                <w:sz w:val="24"/>
              </w:rPr>
              <w:t>秒）</w:t>
            </w:r>
          </w:p>
          <w:p>
            <w:pPr>
              <w:adjustRightInd w:val="0"/>
              <w:snapToGrid w:val="0"/>
              <w:jc w:val="center"/>
              <w:rPr>
                <w:sz w:val="24"/>
              </w:rPr>
            </w:pPr>
            <w:r>
              <w:rPr>
                <w:rFonts w:hAnsi="宋体"/>
                <w:sz w:val="24"/>
              </w:rPr>
              <w:t>终点（</w:t>
            </w:r>
            <w:r>
              <w:rPr>
                <w:sz w:val="24"/>
                <w:u w:val="single"/>
              </w:rPr>
              <w:t>119</w:t>
            </w:r>
            <w:r>
              <w:rPr>
                <w:rFonts w:hAnsi="宋体"/>
                <w:sz w:val="24"/>
              </w:rPr>
              <w:t>度</w:t>
            </w:r>
            <w:r>
              <w:rPr>
                <w:rFonts w:hint="eastAsia"/>
                <w:sz w:val="24"/>
                <w:u w:val="single"/>
              </w:rPr>
              <w:t>25</w:t>
            </w:r>
            <w:r>
              <w:rPr>
                <w:rFonts w:hAnsi="宋体"/>
                <w:sz w:val="24"/>
              </w:rPr>
              <w:t>分</w:t>
            </w:r>
            <w:r>
              <w:rPr>
                <w:rFonts w:hint="eastAsia"/>
                <w:sz w:val="24"/>
                <w:u w:val="single"/>
              </w:rPr>
              <w:t>22.172</w:t>
            </w:r>
            <w:r>
              <w:rPr>
                <w:rFonts w:hAnsi="宋体"/>
                <w:sz w:val="24"/>
              </w:rPr>
              <w:t>秒，</w:t>
            </w:r>
            <w:r>
              <w:rPr>
                <w:sz w:val="24"/>
                <w:u w:val="single"/>
              </w:rPr>
              <w:t>25</w:t>
            </w:r>
            <w:r>
              <w:rPr>
                <w:rFonts w:hAnsi="宋体"/>
                <w:sz w:val="24"/>
              </w:rPr>
              <w:t>度</w:t>
            </w:r>
            <w:r>
              <w:rPr>
                <w:sz w:val="24"/>
                <w:u w:val="single"/>
              </w:rPr>
              <w:t>4</w:t>
            </w:r>
            <w:r>
              <w:rPr>
                <w:rFonts w:hint="eastAsia"/>
                <w:sz w:val="24"/>
                <w:u w:val="single"/>
              </w:rPr>
              <w:t>4</w:t>
            </w:r>
            <w:r>
              <w:rPr>
                <w:rFonts w:hAnsi="宋体"/>
                <w:sz w:val="24"/>
              </w:rPr>
              <w:t>分</w:t>
            </w:r>
            <w:r>
              <w:rPr>
                <w:rFonts w:hint="eastAsia"/>
                <w:sz w:val="24"/>
                <w:u w:val="single"/>
              </w:rPr>
              <w:t>52.279</w:t>
            </w:r>
            <w:r>
              <w:rPr>
                <w:rFonts w:hAnsi="宋体"/>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建设项目</w:t>
            </w:r>
          </w:p>
          <w:p>
            <w:pPr>
              <w:adjustRightInd w:val="0"/>
              <w:snapToGrid w:val="0"/>
              <w:jc w:val="center"/>
              <w:rPr>
                <w:rFonts w:hint="eastAsia" w:ascii="宋体" w:hAnsi="宋体" w:cs="宋体"/>
                <w:sz w:val="24"/>
              </w:rPr>
            </w:pPr>
            <w:r>
              <w:rPr>
                <w:rFonts w:hint="eastAsia" w:ascii="宋体" w:hAnsi="宋体" w:cs="宋体"/>
                <w:sz w:val="24"/>
              </w:rPr>
              <w:t>行业类别</w:t>
            </w:r>
          </w:p>
        </w:tc>
        <w:tc>
          <w:tcPr>
            <w:tcW w:w="3199" w:type="dxa"/>
            <w:vAlign w:val="center"/>
          </w:tcPr>
          <w:p>
            <w:pPr>
              <w:adjustRightInd w:val="0"/>
              <w:snapToGrid w:val="0"/>
              <w:jc w:val="center"/>
              <w:rPr>
                <w:rFonts w:hint="eastAsia" w:ascii="宋体" w:hAnsi="宋体" w:cs="宋体"/>
                <w:sz w:val="24"/>
              </w:rPr>
            </w:pPr>
            <w:r>
              <w:rPr>
                <w:sz w:val="24"/>
              </w:rPr>
              <w:t>五十二、交通运输业、管道运输业-131、城市道路（不含维护；不含支路、人行天桥、人行地道）</w:t>
            </w:r>
            <w:r>
              <w:rPr>
                <w:rFonts w:hint="eastAsia"/>
                <w:sz w:val="24"/>
              </w:rPr>
              <w:t>、</w:t>
            </w:r>
            <w:r>
              <w:rPr>
                <w:sz w:val="24"/>
              </w:rPr>
              <w:t>城市桥梁</w:t>
            </w:r>
          </w:p>
        </w:tc>
        <w:tc>
          <w:tcPr>
            <w:tcW w:w="2218" w:type="dxa"/>
            <w:vAlign w:val="center"/>
          </w:tcPr>
          <w:p>
            <w:pPr>
              <w:adjustRightInd w:val="0"/>
              <w:snapToGrid w:val="0"/>
              <w:jc w:val="center"/>
              <w:rPr>
                <w:rFonts w:hint="eastAsia" w:ascii="宋体" w:hAnsi="宋体" w:cs="宋体"/>
                <w:sz w:val="24"/>
              </w:rPr>
            </w:pPr>
            <w:r>
              <w:rPr>
                <w:rFonts w:hint="eastAsia" w:ascii="宋体" w:hAnsi="宋体" w:cs="宋体"/>
                <w:sz w:val="24"/>
              </w:rPr>
              <w:t>用地（用海）面积（</w:t>
            </w:r>
            <w:r>
              <w:rPr>
                <w:rFonts w:ascii="宋体" w:hAnsi="宋体" w:cs="宋体"/>
                <w:sz w:val="24"/>
              </w:rPr>
              <w:t>m</w:t>
            </w:r>
            <w:r>
              <w:rPr>
                <w:rFonts w:ascii="宋体" w:hAnsi="宋体" w:cs="宋体"/>
                <w:sz w:val="24"/>
                <w:vertAlign w:val="superscript"/>
              </w:rPr>
              <w:t>2</w:t>
            </w:r>
            <w:r>
              <w:rPr>
                <w:rFonts w:hint="eastAsia" w:ascii="宋体" w:hAnsi="宋体" w:cs="宋体"/>
                <w:sz w:val="24"/>
              </w:rPr>
              <w:t>）</w:t>
            </w:r>
            <w:r>
              <w:rPr>
                <w:rFonts w:ascii="宋体" w:hAnsi="宋体" w:cs="宋体"/>
                <w:sz w:val="24"/>
              </w:rPr>
              <w:t>/</w:t>
            </w:r>
            <w:r>
              <w:rPr>
                <w:rFonts w:hint="eastAsia" w:ascii="宋体" w:hAnsi="宋体" w:cs="宋体"/>
                <w:sz w:val="24"/>
              </w:rPr>
              <w:t>长度（</w:t>
            </w:r>
            <w:r>
              <w:rPr>
                <w:rFonts w:ascii="宋体" w:hAnsi="宋体" w:cs="宋体"/>
                <w:sz w:val="24"/>
              </w:rPr>
              <w:t>km</w:t>
            </w:r>
            <w:r>
              <w:rPr>
                <w:rFonts w:hint="eastAsia" w:ascii="宋体" w:hAnsi="宋体" w:cs="宋体"/>
                <w:sz w:val="24"/>
              </w:rPr>
              <w:t>）</w:t>
            </w:r>
          </w:p>
        </w:tc>
        <w:tc>
          <w:tcPr>
            <w:tcW w:w="2552" w:type="dxa"/>
            <w:gridSpan w:val="2"/>
            <w:vAlign w:val="center"/>
          </w:tcPr>
          <w:p>
            <w:pPr>
              <w:adjustRightInd w:val="0"/>
              <w:snapToGrid w:val="0"/>
              <w:jc w:val="center"/>
              <w:rPr>
                <w:rFonts w:hint="eastAsia" w:ascii="宋体" w:hAnsi="宋体" w:cs="宋体"/>
                <w:sz w:val="24"/>
              </w:rPr>
            </w:pPr>
            <w:r>
              <w:rPr>
                <w:sz w:val="24"/>
              </w:rPr>
              <w:t>总用地面积：</w:t>
            </w:r>
            <w:r>
              <w:rPr>
                <w:sz w:val="24"/>
              </w:rPr>
              <w:fldChar w:fldCharType="begin"/>
            </w:r>
            <w:r>
              <w:rPr>
                <w:sz w:val="24"/>
              </w:rPr>
              <w:instrText xml:space="preserve"> </w:instrText>
            </w:r>
            <w:r>
              <w:rPr>
                <w:rFonts w:hint="eastAsia"/>
                <w:sz w:val="24"/>
              </w:rPr>
              <w:instrText xml:space="preserve">=SUM(ABOVE)</w:instrText>
            </w:r>
            <w:r>
              <w:rPr>
                <w:sz w:val="24"/>
              </w:rPr>
              <w:instrText xml:space="preserve"> </w:instrText>
            </w:r>
            <w:r>
              <w:rPr>
                <w:sz w:val="24"/>
              </w:rPr>
              <w:fldChar w:fldCharType="separate"/>
            </w:r>
            <w:r>
              <w:rPr>
                <w:sz w:val="24"/>
              </w:rPr>
              <w:t>43976</w:t>
            </w:r>
            <w:r>
              <w:rPr>
                <w:sz w:val="24"/>
              </w:rPr>
              <w:fldChar w:fldCharType="end"/>
            </w:r>
            <w:r>
              <w:rPr>
                <w:sz w:val="24"/>
              </w:rPr>
              <w:t>m</w:t>
            </w:r>
            <w:r>
              <w:rPr>
                <w:sz w:val="24"/>
                <w:vertAlign w:val="superscript"/>
              </w:rPr>
              <w:t>2</w:t>
            </w:r>
            <w:r>
              <w:rPr>
                <w:rFonts w:hint="eastAsia"/>
                <w:sz w:val="24"/>
              </w:rPr>
              <w:t>，其中</w:t>
            </w:r>
            <w:r>
              <w:rPr>
                <w:rFonts w:hint="eastAsia"/>
                <w:color w:val="auto"/>
                <w:sz w:val="24"/>
              </w:rPr>
              <w:t>永久用地40976</w:t>
            </w:r>
            <w:r>
              <w:rPr>
                <w:color w:val="auto"/>
                <w:sz w:val="24"/>
              </w:rPr>
              <w:t>m</w:t>
            </w:r>
            <w:r>
              <w:rPr>
                <w:color w:val="auto"/>
                <w:sz w:val="24"/>
                <w:vertAlign w:val="superscript"/>
              </w:rPr>
              <w:t>2</w:t>
            </w:r>
            <w:r>
              <w:rPr>
                <w:rFonts w:hint="eastAsia"/>
                <w:color w:val="auto"/>
                <w:sz w:val="24"/>
              </w:rPr>
              <w:t>，</w:t>
            </w:r>
            <w:r>
              <w:rPr>
                <w:color w:val="auto"/>
                <w:sz w:val="24"/>
              </w:rPr>
              <w:t>临时占地</w:t>
            </w:r>
            <w:r>
              <w:rPr>
                <w:rFonts w:hint="eastAsia"/>
                <w:color w:val="auto"/>
                <w:sz w:val="24"/>
              </w:rPr>
              <w:t>3000</w:t>
            </w:r>
            <w:r>
              <w:rPr>
                <w:color w:val="auto"/>
                <w:sz w:val="24"/>
              </w:rPr>
              <w:t>m</w:t>
            </w:r>
            <w:r>
              <w:rPr>
                <w:color w:val="auto"/>
                <w:sz w:val="24"/>
                <w:vertAlign w:val="superscript"/>
              </w:rPr>
              <w:t>2</w:t>
            </w:r>
            <w:r>
              <w:rPr>
                <w:rFonts w:hint="eastAsia"/>
                <w:color w:val="auto"/>
                <w:sz w:val="24"/>
              </w:rPr>
              <w:t>。</w:t>
            </w:r>
            <w:r>
              <w:rPr>
                <w:rFonts w:hint="eastAsia"/>
                <w:sz w:val="24"/>
              </w:rPr>
              <w:t>项目</w:t>
            </w:r>
            <w:r>
              <w:rPr>
                <w:sz w:val="24"/>
              </w:rPr>
              <w:t>长度</w:t>
            </w:r>
            <w:r>
              <w:rPr>
                <w:rFonts w:hint="eastAsia"/>
                <w:sz w:val="24"/>
              </w:rPr>
              <w:t>0.880</w:t>
            </w:r>
            <w:r>
              <w:rPr>
                <w:sz w:val="24"/>
              </w:rPr>
              <w:t>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建设性质</w:t>
            </w:r>
          </w:p>
        </w:tc>
        <w:tc>
          <w:tcPr>
            <w:tcW w:w="3199" w:type="dxa"/>
            <w:vAlign w:val="center"/>
          </w:tcPr>
          <w:p>
            <w:pPr>
              <w:adjustRightInd w:val="0"/>
              <w:snapToGrid w:val="0"/>
              <w:jc w:val="left"/>
              <w:rPr>
                <w:rFonts w:hint="eastAsia" w:ascii="宋体" w:hAnsi="宋体" w:cs="宋体"/>
                <w:sz w:val="24"/>
              </w:rPr>
            </w:pPr>
            <w:r>
              <w:rPr>
                <w:rFonts w:hint="eastAsia" w:ascii="宋体" w:hAnsi="宋体" w:cs="宋体"/>
                <w:sz w:val="24"/>
              </w:rPr>
              <w:sym w:font="Wingdings 2" w:char="0052"/>
            </w:r>
            <w:r>
              <w:rPr>
                <w:rFonts w:hint="eastAsia" w:ascii="宋体" w:hAnsi="宋体" w:cs="宋体"/>
                <w:sz w:val="24"/>
              </w:rPr>
              <w:t>新建（迁建）</w:t>
            </w:r>
          </w:p>
          <w:p>
            <w:pPr>
              <w:adjustRightInd w:val="0"/>
              <w:snapToGrid w:val="0"/>
              <w:jc w:val="left"/>
              <w:rPr>
                <w:rFonts w:hint="eastAsia" w:ascii="宋体" w:hAnsi="宋体" w:cs="宋体"/>
                <w:sz w:val="24"/>
              </w:rPr>
            </w:pPr>
            <w:r>
              <w:rPr>
                <w:rFonts w:hint="eastAsia" w:ascii="宋体" w:hAnsi="宋体" w:cs="宋体"/>
                <w:sz w:val="24"/>
              </w:rPr>
              <w:t>□改建</w:t>
            </w:r>
          </w:p>
          <w:p>
            <w:pPr>
              <w:adjustRightInd w:val="0"/>
              <w:snapToGrid w:val="0"/>
              <w:jc w:val="left"/>
              <w:rPr>
                <w:rFonts w:hint="eastAsia" w:ascii="宋体" w:hAnsi="宋体" w:cs="宋体"/>
                <w:sz w:val="24"/>
              </w:rPr>
            </w:pPr>
            <w:r>
              <w:rPr>
                <w:rFonts w:hint="eastAsia" w:ascii="宋体" w:hAnsi="宋体" w:cs="宋体"/>
                <w:sz w:val="24"/>
              </w:rPr>
              <w:t>□扩建</w:t>
            </w:r>
          </w:p>
          <w:p>
            <w:pPr>
              <w:adjustRightInd w:val="0"/>
              <w:snapToGrid w:val="0"/>
              <w:jc w:val="left"/>
              <w:rPr>
                <w:rFonts w:hint="eastAsia" w:ascii="宋体" w:hAnsi="宋体" w:cs="宋体"/>
                <w:sz w:val="24"/>
              </w:rPr>
            </w:pPr>
            <w:r>
              <w:rPr>
                <w:rFonts w:hint="eastAsia" w:ascii="宋体" w:hAnsi="宋体" w:cs="宋体"/>
                <w:sz w:val="24"/>
              </w:rPr>
              <w:t>□技术改造</w:t>
            </w:r>
          </w:p>
        </w:tc>
        <w:tc>
          <w:tcPr>
            <w:tcW w:w="2218" w:type="dxa"/>
            <w:vAlign w:val="center"/>
          </w:tcPr>
          <w:p>
            <w:pPr>
              <w:adjustRightInd w:val="0"/>
              <w:snapToGrid w:val="0"/>
              <w:jc w:val="center"/>
              <w:rPr>
                <w:rFonts w:hint="eastAsia" w:ascii="宋体" w:hAnsi="宋体" w:cs="宋体"/>
                <w:sz w:val="24"/>
              </w:rPr>
            </w:pPr>
            <w:r>
              <w:rPr>
                <w:rFonts w:hint="eastAsia" w:ascii="宋体" w:hAnsi="宋体" w:cs="宋体"/>
                <w:sz w:val="24"/>
              </w:rPr>
              <w:t>建设项目</w:t>
            </w:r>
          </w:p>
          <w:p>
            <w:pPr>
              <w:adjustRightInd w:val="0"/>
              <w:snapToGrid w:val="0"/>
              <w:jc w:val="center"/>
              <w:rPr>
                <w:rFonts w:hint="eastAsia" w:ascii="宋体" w:hAnsi="宋体" w:cs="宋体"/>
                <w:sz w:val="24"/>
              </w:rPr>
            </w:pPr>
            <w:r>
              <w:rPr>
                <w:rFonts w:hint="eastAsia" w:ascii="宋体" w:hAnsi="宋体" w:cs="宋体"/>
                <w:sz w:val="24"/>
              </w:rPr>
              <w:t>申报情形</w:t>
            </w:r>
          </w:p>
        </w:tc>
        <w:tc>
          <w:tcPr>
            <w:tcW w:w="2552" w:type="dxa"/>
            <w:gridSpan w:val="2"/>
            <w:vAlign w:val="center"/>
          </w:tcPr>
          <w:p>
            <w:pPr>
              <w:adjustRightInd w:val="0"/>
              <w:snapToGrid w:val="0"/>
              <w:jc w:val="left"/>
              <w:rPr>
                <w:rFonts w:hint="eastAsia" w:ascii="宋体" w:hAnsi="宋体" w:cs="宋体"/>
                <w:sz w:val="24"/>
              </w:rPr>
            </w:pPr>
            <w:r>
              <w:rPr>
                <w:rFonts w:hint="eastAsia" w:ascii="宋体" w:hAnsi="宋体" w:cs="宋体"/>
                <w:sz w:val="24"/>
              </w:rPr>
              <w:sym w:font="Wingdings 2" w:char="0052"/>
            </w:r>
            <w:r>
              <w:rPr>
                <w:rFonts w:hint="eastAsia" w:ascii="宋体" w:hAnsi="宋体" w:cs="宋体"/>
                <w:sz w:val="24"/>
              </w:rPr>
              <w:t>首次申报项目</w:t>
            </w:r>
          </w:p>
          <w:p>
            <w:pPr>
              <w:adjustRightInd w:val="0"/>
              <w:snapToGrid w:val="0"/>
              <w:jc w:val="left"/>
              <w:rPr>
                <w:rFonts w:hint="eastAsia" w:ascii="宋体" w:hAnsi="宋体" w:cs="宋体"/>
                <w:sz w:val="24"/>
              </w:rPr>
            </w:pPr>
            <w:r>
              <w:rPr>
                <w:rFonts w:hint="eastAsia" w:ascii="宋体" w:hAnsi="宋体" w:cs="宋体"/>
                <w:sz w:val="24"/>
              </w:rPr>
              <w:t>□不予批准后再次申报项目</w:t>
            </w:r>
          </w:p>
          <w:p>
            <w:pPr>
              <w:adjustRightInd w:val="0"/>
              <w:snapToGrid w:val="0"/>
              <w:jc w:val="left"/>
              <w:rPr>
                <w:rFonts w:hint="eastAsia" w:ascii="宋体" w:hAnsi="宋体" w:cs="宋体"/>
                <w:sz w:val="24"/>
              </w:rPr>
            </w:pPr>
            <w:r>
              <w:rPr>
                <w:rFonts w:hint="eastAsia" w:ascii="宋体" w:hAnsi="宋体" w:cs="宋体"/>
                <w:sz w:val="24"/>
              </w:rPr>
              <w:t>□超五年重新审核项目</w:t>
            </w:r>
          </w:p>
          <w:p>
            <w:pPr>
              <w:adjustRightInd w:val="0"/>
              <w:snapToGrid w:val="0"/>
              <w:rPr>
                <w:rFonts w:hint="eastAsia"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项目审批（核准</w:t>
            </w:r>
            <w:r>
              <w:rPr>
                <w:rFonts w:ascii="宋体" w:hAnsi="宋体" w:cs="宋体"/>
                <w:sz w:val="24"/>
              </w:rPr>
              <w:t>/</w:t>
            </w:r>
          </w:p>
          <w:p>
            <w:pPr>
              <w:adjustRightInd w:val="0"/>
              <w:snapToGrid w:val="0"/>
              <w:jc w:val="center"/>
              <w:rPr>
                <w:rFonts w:hint="eastAsia" w:ascii="宋体" w:hAnsi="宋体" w:cs="宋体"/>
                <w:sz w:val="24"/>
              </w:rPr>
            </w:pPr>
            <w:r>
              <w:rPr>
                <w:rFonts w:hint="eastAsia" w:ascii="宋体" w:hAnsi="宋体" w:cs="宋体"/>
                <w:sz w:val="24"/>
              </w:rPr>
              <w:t>备案）部门（选填）</w:t>
            </w:r>
          </w:p>
        </w:tc>
        <w:tc>
          <w:tcPr>
            <w:tcW w:w="3199" w:type="dxa"/>
            <w:vAlign w:val="center"/>
          </w:tcPr>
          <w:p>
            <w:pPr>
              <w:adjustRightInd w:val="0"/>
              <w:snapToGrid w:val="0"/>
              <w:jc w:val="center"/>
              <w:rPr>
                <w:rFonts w:hint="eastAsia" w:ascii="宋体" w:hAnsi="宋体" w:cs="宋体"/>
                <w:sz w:val="24"/>
              </w:rPr>
            </w:pPr>
            <w:r>
              <w:rPr>
                <w:sz w:val="24"/>
              </w:rPr>
              <w:t>福清市发展和改革局</w:t>
            </w:r>
          </w:p>
        </w:tc>
        <w:tc>
          <w:tcPr>
            <w:tcW w:w="2218" w:type="dxa"/>
            <w:vAlign w:val="center"/>
          </w:tcPr>
          <w:p>
            <w:pPr>
              <w:adjustRightInd w:val="0"/>
              <w:snapToGrid w:val="0"/>
              <w:jc w:val="center"/>
              <w:rPr>
                <w:rFonts w:hint="eastAsia" w:ascii="宋体" w:hAnsi="宋体" w:cs="宋体"/>
                <w:sz w:val="24"/>
              </w:rPr>
            </w:pPr>
            <w:r>
              <w:rPr>
                <w:rFonts w:hint="eastAsia" w:ascii="宋体" w:hAnsi="宋体" w:cs="宋体"/>
                <w:sz w:val="24"/>
              </w:rPr>
              <w:t>项目审批（核准</w:t>
            </w:r>
            <w:r>
              <w:rPr>
                <w:rFonts w:ascii="宋体" w:hAnsi="宋体" w:cs="宋体"/>
                <w:sz w:val="24"/>
              </w:rPr>
              <w:t>/</w:t>
            </w:r>
          </w:p>
          <w:p>
            <w:pPr>
              <w:adjustRightInd w:val="0"/>
              <w:snapToGrid w:val="0"/>
              <w:jc w:val="center"/>
              <w:rPr>
                <w:rFonts w:hint="eastAsia" w:ascii="宋体" w:hAnsi="宋体" w:cs="宋体"/>
                <w:sz w:val="24"/>
              </w:rPr>
            </w:pPr>
            <w:r>
              <w:rPr>
                <w:rFonts w:hint="eastAsia" w:ascii="宋体" w:hAnsi="宋体" w:cs="宋体"/>
                <w:sz w:val="24"/>
              </w:rPr>
              <w:t>备案）文号（选填）</w:t>
            </w:r>
          </w:p>
        </w:tc>
        <w:tc>
          <w:tcPr>
            <w:tcW w:w="2552" w:type="dxa"/>
            <w:gridSpan w:val="2"/>
            <w:vAlign w:val="center"/>
          </w:tcPr>
          <w:p>
            <w:pPr>
              <w:adjustRightInd w:val="0"/>
              <w:snapToGrid w:val="0"/>
              <w:jc w:val="center"/>
              <w:rPr>
                <w:rFonts w:hint="eastAsia" w:ascii="宋体" w:hAnsi="宋体" w:cs="宋体"/>
                <w:sz w:val="24"/>
              </w:rPr>
            </w:pPr>
            <w:r>
              <w:rPr>
                <w:color w:val="000000" w:themeColor="text1"/>
                <w:sz w:val="24"/>
                <w14:textFill>
                  <w14:solidFill>
                    <w14:schemeClr w14:val="tx1"/>
                  </w14:solidFill>
                </w14:textFill>
              </w:rPr>
              <w:t>融发改审批[2023]</w:t>
            </w:r>
            <w:r>
              <w:rPr>
                <w:rFonts w:hint="eastAsia"/>
                <w:color w:val="000000" w:themeColor="text1"/>
                <w:sz w:val="24"/>
                <w:lang w:val="en-US" w:eastAsia="zh-CN"/>
                <w14:textFill>
                  <w14:solidFill>
                    <w14:schemeClr w14:val="tx1"/>
                  </w14:solidFill>
                </w14:textFill>
              </w:rPr>
              <w:t>705</w:t>
            </w:r>
            <w:r>
              <w:rPr>
                <w:color w:val="000000" w:themeColor="text1"/>
                <w:sz w:val="24"/>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总投资（万元）</w:t>
            </w:r>
          </w:p>
        </w:tc>
        <w:tc>
          <w:tcPr>
            <w:tcW w:w="3199" w:type="dxa"/>
            <w:vAlign w:val="center"/>
          </w:tcPr>
          <w:p>
            <w:pPr>
              <w:adjustRightInd w:val="0"/>
              <w:snapToGrid w:val="0"/>
              <w:jc w:val="center"/>
              <w:rPr>
                <w:rFonts w:hint="eastAsia"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11417.04</w:t>
            </w:r>
          </w:p>
        </w:tc>
        <w:tc>
          <w:tcPr>
            <w:tcW w:w="2218" w:type="dxa"/>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环保投资（万元）</w:t>
            </w:r>
          </w:p>
        </w:tc>
        <w:tc>
          <w:tcPr>
            <w:tcW w:w="2552" w:type="dxa"/>
            <w:gridSpan w:val="2"/>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337.5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3199" w:type="dxa"/>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2.96</w:t>
            </w:r>
          </w:p>
        </w:tc>
        <w:tc>
          <w:tcPr>
            <w:tcW w:w="2218" w:type="dxa"/>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施工工期</w:t>
            </w:r>
          </w:p>
        </w:tc>
        <w:tc>
          <w:tcPr>
            <w:tcW w:w="2552" w:type="dxa"/>
            <w:gridSpan w:val="2"/>
            <w:vAlign w:val="center"/>
          </w:tcPr>
          <w:p>
            <w:pPr>
              <w:adjustRightInd w:val="0"/>
              <w:snapToGrid w:val="0"/>
              <w:jc w:val="center"/>
              <w:rPr>
                <w:rFonts w:hint="eastAsia"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70" w:type="dxa"/>
            <w:tcMar>
              <w:top w:w="16" w:type="dxa"/>
              <w:left w:w="16" w:type="dxa"/>
              <w:right w:w="16" w:type="dxa"/>
            </w:tcMar>
            <w:vAlign w:val="center"/>
          </w:tcPr>
          <w:p>
            <w:pPr>
              <w:adjustRightInd w:val="0"/>
              <w:snapToGrid w:val="0"/>
              <w:jc w:val="center"/>
              <w:rPr>
                <w:rFonts w:hint="eastAsia" w:ascii="宋体" w:hAnsi="宋体" w:cs="宋体"/>
                <w:sz w:val="24"/>
              </w:rPr>
            </w:pPr>
            <w:r>
              <w:rPr>
                <w:rFonts w:hint="eastAsia" w:ascii="宋体" w:hAnsi="宋体" w:cs="宋体"/>
                <w:sz w:val="24"/>
              </w:rPr>
              <w:t>是否开工建设</w:t>
            </w:r>
          </w:p>
        </w:tc>
        <w:tc>
          <w:tcPr>
            <w:tcW w:w="7969" w:type="dxa"/>
            <w:gridSpan w:val="4"/>
            <w:vAlign w:val="center"/>
          </w:tcPr>
          <w:p>
            <w:pPr>
              <w:adjustRightInd w:val="0"/>
              <w:snapToGrid w:val="0"/>
              <w:ind w:firstLine="105"/>
              <w:jc w:val="left"/>
              <w:rPr>
                <w:rFonts w:hint="eastAsia" w:ascii="宋体" w:hAnsi="宋体" w:cs="宋体"/>
                <w:sz w:val="24"/>
              </w:rPr>
            </w:pPr>
            <w:r>
              <w:rPr>
                <w:rFonts w:hint="eastAsia" w:ascii="宋体" w:hAnsi="宋体" w:cs="宋体"/>
                <w:sz w:val="24"/>
              </w:rPr>
              <w:sym w:font="Wingdings 2" w:char="0052"/>
            </w:r>
            <w:r>
              <w:rPr>
                <w:rFonts w:hint="eastAsia" w:ascii="宋体" w:hAnsi="宋体" w:cs="宋体"/>
                <w:sz w:val="24"/>
              </w:rPr>
              <w:t>否</w:t>
            </w:r>
          </w:p>
          <w:p>
            <w:pPr>
              <w:adjustRightInd w:val="0"/>
              <w:snapToGrid w:val="0"/>
              <w:ind w:firstLine="92"/>
              <w:jc w:val="left"/>
              <w:rPr>
                <w:rFonts w:hint="eastAsia" w:ascii="宋体" w:hAnsi="宋体" w:cs="宋体"/>
                <w:sz w:val="24"/>
              </w:rPr>
            </w:pPr>
            <w:r>
              <w:rPr>
                <w:rFonts w:hint="eastAsia" w:ascii="宋体" w:hAnsi="宋体" w:cs="宋体"/>
                <w:sz w:val="24"/>
              </w:rPr>
              <w:sym w:font="Wingdings 2" w:char="00A3"/>
            </w:r>
            <w:r>
              <w:rPr>
                <w:rFonts w:hint="eastAsia" w:ascii="宋体" w:hAnsi="宋体" w:cs="宋体"/>
                <w:sz w:val="24"/>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70" w:type="dxa"/>
            <w:tcMar>
              <w:top w:w="16" w:type="dxa"/>
              <w:left w:w="16" w:type="dxa"/>
              <w:right w:w="16" w:type="dxa"/>
            </w:tcMar>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专项评价设置情况</w:t>
            </w:r>
          </w:p>
        </w:tc>
        <w:tc>
          <w:tcPr>
            <w:tcW w:w="7969" w:type="dxa"/>
            <w:gridSpan w:val="4"/>
            <w:tcMar>
              <w:top w:w="16" w:type="dxa"/>
              <w:left w:w="16" w:type="dxa"/>
              <w:right w:w="16" w:type="dxa"/>
            </w:tcMar>
            <w:vAlign w:val="center"/>
          </w:tcPr>
          <w:p>
            <w:pPr>
              <w:autoSpaceDE w:val="0"/>
              <w:autoSpaceDN w:val="0"/>
              <w:adjustRightInd w:val="0"/>
              <w:snapToGrid w:val="0"/>
              <w:jc w:val="center"/>
              <w:rPr>
                <w:b/>
                <w:bCs/>
                <w:kern w:val="0"/>
                <w:sz w:val="24"/>
              </w:rPr>
            </w:pPr>
            <w:r>
              <w:rPr>
                <w:rFonts w:hint="eastAsia"/>
                <w:b/>
                <w:bCs/>
                <w:kern w:val="0"/>
                <w:sz w:val="24"/>
              </w:rPr>
              <w:t>表1-1 专项评价设置原则表</w:t>
            </w:r>
          </w:p>
          <w:tbl>
            <w:tblPr>
              <w:tblStyle w:val="27"/>
              <w:tblW w:w="494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3080"/>
              <w:gridCol w:w="2156"/>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autoSpaceDE w:val="0"/>
                    <w:autoSpaceDN w:val="0"/>
                    <w:adjustRightInd w:val="0"/>
                    <w:snapToGrid w:val="0"/>
                    <w:jc w:val="center"/>
                    <w:rPr>
                      <w:rFonts w:hint="eastAsia" w:ascii="宋体" w:hAnsi="宋体" w:cs="宋体"/>
                      <w:b/>
                      <w:bCs/>
                      <w:kern w:val="0"/>
                      <w:szCs w:val="21"/>
                    </w:rPr>
                  </w:pPr>
                  <w:r>
                    <w:rPr>
                      <w:rFonts w:hint="eastAsia" w:ascii="宋体" w:hAnsi="宋体" w:cs="宋体"/>
                      <w:b/>
                      <w:bCs/>
                      <w:kern w:val="0"/>
                      <w:szCs w:val="21"/>
                    </w:rPr>
                    <w:t>专项评价的类别</w:t>
                  </w:r>
                </w:p>
              </w:tc>
              <w:tc>
                <w:tcPr>
                  <w:tcW w:w="1963" w:type="pct"/>
                  <w:vAlign w:val="center"/>
                </w:tcPr>
                <w:p>
                  <w:pPr>
                    <w:autoSpaceDE w:val="0"/>
                    <w:autoSpaceDN w:val="0"/>
                    <w:adjustRightInd w:val="0"/>
                    <w:snapToGrid w:val="0"/>
                    <w:jc w:val="center"/>
                    <w:rPr>
                      <w:rFonts w:hint="eastAsia" w:ascii="宋体" w:hAnsi="宋体" w:cs="宋体"/>
                      <w:b/>
                      <w:bCs/>
                      <w:kern w:val="0"/>
                      <w:szCs w:val="21"/>
                    </w:rPr>
                  </w:pPr>
                  <w:r>
                    <w:rPr>
                      <w:rFonts w:hint="eastAsia" w:ascii="宋体" w:hAnsi="宋体" w:cs="宋体"/>
                      <w:b/>
                      <w:bCs/>
                      <w:kern w:val="0"/>
                      <w:szCs w:val="21"/>
                    </w:rPr>
                    <w:t>涉及项目类别</w:t>
                  </w:r>
                </w:p>
              </w:tc>
              <w:tc>
                <w:tcPr>
                  <w:tcW w:w="1374" w:type="pct"/>
                  <w:vAlign w:val="center"/>
                </w:tcPr>
                <w:p>
                  <w:pPr>
                    <w:autoSpaceDE w:val="0"/>
                    <w:autoSpaceDN w:val="0"/>
                    <w:adjustRightInd w:val="0"/>
                    <w:snapToGrid w:val="0"/>
                    <w:jc w:val="center"/>
                    <w:rPr>
                      <w:rFonts w:hint="eastAsia" w:ascii="宋体" w:hAnsi="宋体" w:cs="宋体"/>
                      <w:b/>
                      <w:bCs/>
                      <w:kern w:val="0"/>
                      <w:szCs w:val="21"/>
                    </w:rPr>
                  </w:pPr>
                  <w:r>
                    <w:rPr>
                      <w:rFonts w:hint="eastAsia" w:ascii="宋体" w:hAnsi="宋体" w:cs="宋体"/>
                      <w:b/>
                      <w:bCs/>
                      <w:kern w:val="0"/>
                      <w:szCs w:val="21"/>
                    </w:rPr>
                    <w:t>本项目情况</w:t>
                  </w:r>
                </w:p>
              </w:tc>
              <w:tc>
                <w:tcPr>
                  <w:tcW w:w="790" w:type="pct"/>
                  <w:vAlign w:val="center"/>
                </w:tcPr>
                <w:p>
                  <w:pPr>
                    <w:autoSpaceDE w:val="0"/>
                    <w:autoSpaceDN w:val="0"/>
                    <w:adjustRightInd w:val="0"/>
                    <w:snapToGrid w:val="0"/>
                    <w:jc w:val="center"/>
                    <w:rPr>
                      <w:rFonts w:hint="eastAsia" w:ascii="宋体" w:hAnsi="宋体" w:cs="宋体"/>
                      <w:b/>
                      <w:bCs/>
                      <w:kern w:val="0"/>
                      <w:szCs w:val="21"/>
                    </w:rPr>
                  </w:pPr>
                  <w:r>
                    <w:rPr>
                      <w:rFonts w:hint="eastAsia" w:ascii="宋体" w:hAnsi="宋体" w:cs="宋体"/>
                      <w:b/>
                      <w:bCs/>
                      <w:kern w:val="0"/>
                      <w:szCs w:val="21"/>
                    </w:rPr>
                    <w:t>是否设置专项评价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地表水</w:t>
                  </w:r>
                </w:p>
              </w:tc>
              <w:tc>
                <w:tcPr>
                  <w:tcW w:w="1963" w:type="pct"/>
                  <w:vAlign w:val="center"/>
                </w:tcPr>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水力发电∶引水式发电、涉及调峰发电的项目；人工湖、人工湿地︰全部；水库︰全部；引水工程∶全部（配套的管线工程等除外）；防洪除涝工程∶包含水库的项目；河湖整治∶涉及清淤且底泥存在重金属污染的项目</w:t>
                  </w:r>
                </w:p>
              </w:tc>
              <w:tc>
                <w:tcPr>
                  <w:tcW w:w="1374"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本项目不涉及水力发电、人工湖、人工湿地、引水工程、防洪除涝工程、河湖整治</w:t>
                  </w:r>
                </w:p>
              </w:tc>
              <w:tc>
                <w:tcPr>
                  <w:tcW w:w="790"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地下水</w:t>
                  </w:r>
                </w:p>
              </w:tc>
              <w:tc>
                <w:tcPr>
                  <w:tcW w:w="1963" w:type="pct"/>
                  <w:vAlign w:val="center"/>
                </w:tcPr>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陆地石油和天然气开采:全部；地下水(含矿泉水)开采:全部；地下水(含矿泉水)开采：含穿越可溶岩地层隧道的项目</w:t>
                  </w:r>
                </w:p>
              </w:tc>
              <w:tc>
                <w:tcPr>
                  <w:tcW w:w="1374"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本项目不涉及陆地石油和天然气开采、地下水(含矿泉水)开采及地下水(含矿泉水)开采</w:t>
                  </w:r>
                  <w:r>
                    <w:rPr>
                      <w:rFonts w:hint="eastAsia"/>
                      <w:color w:val="auto"/>
                      <w:kern w:val="0"/>
                      <w:szCs w:val="21"/>
                    </w:rPr>
                    <w:t>，不</w:t>
                  </w:r>
                  <w:r>
                    <w:rPr>
                      <w:rFonts w:hint="eastAsia"/>
                      <w:color w:val="auto"/>
                      <w:kern w:val="0"/>
                      <w:szCs w:val="21"/>
                      <w:lang w:val="en-US" w:eastAsia="zh-CN"/>
                    </w:rPr>
                    <w:t>涉及</w:t>
                  </w:r>
                  <w:r>
                    <w:rPr>
                      <w:color w:val="auto"/>
                      <w:kern w:val="0"/>
                      <w:szCs w:val="21"/>
                    </w:rPr>
                    <w:t>穿越可溶岩地层隧道</w:t>
                  </w:r>
                </w:p>
              </w:tc>
              <w:tc>
                <w:tcPr>
                  <w:tcW w:w="790"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生态</w:t>
                  </w:r>
                </w:p>
              </w:tc>
              <w:tc>
                <w:tcPr>
                  <w:tcW w:w="1963" w:type="pct"/>
                  <w:vAlign w:val="center"/>
                </w:tcPr>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涉及环境敏感区（不包括饮用水水源保护区，以居住、医疗卫生、文化教育、科研、行政办公为主要功能的区域，以及文物保护单位)的项目</w:t>
                  </w:r>
                </w:p>
              </w:tc>
              <w:tc>
                <w:tcPr>
                  <w:tcW w:w="1374"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项目位于福清市龙山街道、海口镇，不涉及生态红线等环境敏感区。</w:t>
                  </w:r>
                </w:p>
              </w:tc>
              <w:tc>
                <w:tcPr>
                  <w:tcW w:w="790"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大气</w:t>
                  </w:r>
                </w:p>
              </w:tc>
              <w:tc>
                <w:tcPr>
                  <w:tcW w:w="1963" w:type="pct"/>
                  <w:vAlign w:val="center"/>
                </w:tcPr>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油气、液体化工码头︰全部；干散货（含煤炭、矿石)、件杂、多用途、通用码头：涉及粉尘、挥发性有机物排放的项目</w:t>
                  </w:r>
                </w:p>
              </w:tc>
              <w:tc>
                <w:tcPr>
                  <w:tcW w:w="1374"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本项目不属于油气、液体化工码头、干散货（含煤炭、矿石)、件杂、多用途、通用码头</w:t>
                  </w:r>
                </w:p>
              </w:tc>
              <w:tc>
                <w:tcPr>
                  <w:tcW w:w="790"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噪声</w:t>
                  </w:r>
                </w:p>
              </w:tc>
              <w:tc>
                <w:tcPr>
                  <w:tcW w:w="1963" w:type="pct"/>
                  <w:vAlign w:val="center"/>
                </w:tcPr>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公路、铁路、机场等交通运输业涉及环境敏感区（以居住、医疗卫生、文化教育、科研、行政办公为主要功能的区域)的项目；城市道路（不含维护，不含支路、人行天桥、人行地道）：全部</w:t>
                  </w:r>
                </w:p>
              </w:tc>
              <w:tc>
                <w:tcPr>
                  <w:tcW w:w="1374"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本项目为城市道路建设项目，为城市主干路</w:t>
                  </w:r>
                </w:p>
              </w:tc>
              <w:tc>
                <w:tcPr>
                  <w:tcW w:w="790"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73"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环境风险</w:t>
                  </w:r>
                </w:p>
              </w:tc>
              <w:tc>
                <w:tcPr>
                  <w:tcW w:w="1963" w:type="pct"/>
                  <w:vAlign w:val="center"/>
                </w:tcPr>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石油和天然气开采：全部；</w:t>
                  </w:r>
                </w:p>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油气、液体化工码头：全部；</w:t>
                  </w:r>
                </w:p>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原油、成品油、天然气管线(不含城镇天然气管线、企业厂区内管线)，危险化学品输送管线(不含企业厂区内管线)：全部</w:t>
                  </w:r>
                </w:p>
              </w:tc>
              <w:tc>
                <w:tcPr>
                  <w:tcW w:w="1374"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本项目不涉及石油和天然气开采、油气、液体化工码头、原油、成品油、天然气管线及危险化学品输送管线</w:t>
                  </w:r>
                </w:p>
              </w:tc>
              <w:tc>
                <w:tcPr>
                  <w:tcW w:w="790" w:type="pct"/>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vAlign w:val="center"/>
                </w:tcPr>
                <w:p>
                  <w:pPr>
                    <w:autoSpaceDE w:val="0"/>
                    <w:autoSpaceDN w:val="0"/>
                    <w:adjustRightInd w:val="0"/>
                    <w:snapToGrid w:val="0"/>
                    <w:rPr>
                      <w:rFonts w:hint="eastAsia" w:ascii="宋体" w:hAnsi="宋体" w:cs="宋体"/>
                      <w:kern w:val="0"/>
                      <w:szCs w:val="21"/>
                    </w:rPr>
                  </w:pPr>
                  <w:r>
                    <w:rPr>
                      <w:rFonts w:hint="eastAsia" w:ascii="宋体" w:hAnsi="宋体" w:cs="宋体"/>
                      <w:kern w:val="0"/>
                      <w:szCs w:val="21"/>
                    </w:rPr>
                    <w:t>注：“涉及环境敏感区”是指建设项目位于、穿（跨）越（无害化通过的除外）环境敏感区，或环境影响范围涵盖环境敏感区。环境敏感区是指《建设项目环境影响评价分类管理名录》中针对该类项目所列的敏感区。</w:t>
                  </w:r>
                </w:p>
              </w:tc>
            </w:tr>
          </w:tbl>
          <w:p>
            <w:pPr>
              <w:pStyle w:val="26"/>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70" w:type="dxa"/>
            <w:tcMar>
              <w:top w:w="16" w:type="dxa"/>
              <w:left w:w="16" w:type="dxa"/>
              <w:right w:w="16" w:type="dxa"/>
            </w:tcMar>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规划情况</w:t>
            </w:r>
          </w:p>
        </w:tc>
        <w:tc>
          <w:tcPr>
            <w:tcW w:w="7969" w:type="dxa"/>
            <w:gridSpan w:val="4"/>
            <w:tcMar>
              <w:top w:w="16" w:type="dxa"/>
              <w:left w:w="16" w:type="dxa"/>
              <w:right w:w="16" w:type="dxa"/>
            </w:tcMar>
            <w:vAlign w:val="center"/>
          </w:tcPr>
          <w:p>
            <w:pPr>
              <w:snapToGrid w:val="0"/>
              <w:spacing w:before="120" w:beforeLines="50" w:line="360" w:lineRule="auto"/>
              <w:jc w:val="left"/>
              <w:rPr>
                <w:sz w:val="24"/>
              </w:rPr>
            </w:pPr>
            <w:r>
              <w:rPr>
                <w:sz w:val="24"/>
              </w:rPr>
              <w:t>规划名称：《</w:t>
            </w:r>
            <w:r>
              <w:rPr>
                <w:rFonts w:hint="eastAsia" w:ascii="宋体" w:hAnsi="宋体" w:cs="宋体"/>
                <w:sz w:val="24"/>
              </w:rPr>
              <w:t>福清市福泽片区控制性详细规划</w:t>
            </w:r>
            <w:r>
              <w:rPr>
                <w:sz w:val="24"/>
              </w:rPr>
              <w:t>》</w:t>
            </w:r>
          </w:p>
          <w:p>
            <w:pPr>
              <w:snapToGrid w:val="0"/>
              <w:spacing w:line="360" w:lineRule="auto"/>
              <w:jc w:val="left"/>
              <w:rPr>
                <w:sz w:val="24"/>
              </w:rPr>
            </w:pPr>
            <w:r>
              <w:rPr>
                <w:sz w:val="24"/>
              </w:rPr>
              <w:t>审批机关：</w:t>
            </w:r>
            <w:r>
              <w:rPr>
                <w:rFonts w:hint="eastAsia"/>
                <w:sz w:val="24"/>
              </w:rPr>
              <w:t>福清市人民政府</w:t>
            </w:r>
          </w:p>
          <w:p>
            <w:pPr>
              <w:autoSpaceDE w:val="0"/>
              <w:autoSpaceDN w:val="0"/>
              <w:adjustRightInd w:val="0"/>
              <w:snapToGrid w:val="0"/>
              <w:rPr>
                <w:rFonts w:hint="eastAsia" w:ascii="宋体" w:hAnsi="宋体" w:cs="宋体"/>
                <w:kern w:val="0"/>
                <w:szCs w:val="21"/>
              </w:rPr>
            </w:pPr>
            <w:r>
              <w:rPr>
                <w:sz w:val="24"/>
              </w:rPr>
              <w:t>审批文件名称及文号：</w:t>
            </w:r>
            <w:r>
              <w:rPr>
                <w:rFonts w:hint="eastAsia"/>
                <w:sz w:val="24"/>
              </w:rPr>
              <w:t>融政土〔2023〕129号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70" w:type="dxa"/>
            <w:tcMar>
              <w:top w:w="16" w:type="dxa"/>
              <w:left w:w="16" w:type="dxa"/>
              <w:right w:w="16" w:type="dxa"/>
            </w:tcMar>
            <w:vAlign w:val="center"/>
          </w:tcPr>
          <w:p>
            <w:pPr>
              <w:autoSpaceDE w:val="0"/>
              <w:autoSpaceDN w:val="0"/>
              <w:adjustRightInd w:val="0"/>
              <w:snapToGrid w:val="0"/>
              <w:jc w:val="center"/>
              <w:rPr>
                <w:rFonts w:hint="eastAsia" w:ascii="宋体" w:hAnsi="宋体" w:cs="宋体"/>
                <w:szCs w:val="21"/>
              </w:rPr>
            </w:pPr>
            <w:r>
              <w:rPr>
                <w:rFonts w:hint="eastAsia" w:ascii="宋体" w:hAnsi="宋体" w:cs="宋体"/>
                <w:szCs w:val="21"/>
              </w:rPr>
              <w:t>规划环境影响</w:t>
            </w:r>
          </w:p>
          <w:p>
            <w:pPr>
              <w:autoSpaceDE w:val="0"/>
              <w:autoSpaceDN w:val="0"/>
              <w:adjustRightInd w:val="0"/>
              <w:snapToGrid w:val="0"/>
              <w:jc w:val="center"/>
              <w:rPr>
                <w:rFonts w:hint="eastAsia" w:ascii="宋体" w:hAnsi="宋体" w:cs="宋体"/>
                <w:kern w:val="0"/>
                <w:szCs w:val="21"/>
              </w:rPr>
            </w:pPr>
            <w:r>
              <w:rPr>
                <w:rFonts w:hint="eastAsia" w:ascii="宋体" w:hAnsi="宋体" w:cs="宋体"/>
                <w:szCs w:val="21"/>
              </w:rPr>
              <w:t>评价情况</w:t>
            </w:r>
          </w:p>
        </w:tc>
        <w:tc>
          <w:tcPr>
            <w:tcW w:w="7969" w:type="dxa"/>
            <w:gridSpan w:val="4"/>
            <w:tcMar>
              <w:top w:w="16" w:type="dxa"/>
              <w:left w:w="16" w:type="dxa"/>
              <w:right w:w="16" w:type="dxa"/>
            </w:tcMar>
            <w:vAlign w:val="center"/>
          </w:tcPr>
          <w:p>
            <w:pPr>
              <w:adjustRightInd w:val="0"/>
              <w:snapToGrid w:val="0"/>
              <w:jc w:val="center"/>
              <w:rPr>
                <w:rFonts w:hint="eastAsia" w:ascii="宋体" w:hAnsi="宋体" w:cs="宋体"/>
                <w:kern w:val="0"/>
                <w:szCs w:val="21"/>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20" w:hRule="atLeast"/>
        </w:trPr>
        <w:tc>
          <w:tcPr>
            <w:tcW w:w="1070" w:type="dxa"/>
            <w:tcMar>
              <w:top w:w="16" w:type="dxa"/>
              <w:left w:w="16" w:type="dxa"/>
              <w:right w:w="16" w:type="dxa"/>
            </w:tcMar>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规划及</w:t>
            </w:r>
            <w:r>
              <w:rPr>
                <w:rFonts w:hint="eastAsia" w:ascii="宋体" w:hAnsi="宋体" w:cs="宋体"/>
                <w:szCs w:val="21"/>
              </w:rPr>
              <w:t>规划环境影响评价</w:t>
            </w:r>
            <w:r>
              <w:rPr>
                <w:rFonts w:hint="eastAsia" w:ascii="宋体" w:hAnsi="宋体" w:cs="宋体"/>
                <w:kern w:val="0"/>
                <w:szCs w:val="21"/>
              </w:rPr>
              <w:t>符合性分析</w:t>
            </w:r>
          </w:p>
        </w:tc>
        <w:tc>
          <w:tcPr>
            <w:tcW w:w="7969" w:type="dxa"/>
            <w:gridSpan w:val="4"/>
            <w:tcMar>
              <w:top w:w="16" w:type="dxa"/>
              <w:left w:w="16" w:type="dxa"/>
              <w:right w:w="16" w:type="dxa"/>
            </w:tcMar>
            <w:vAlign w:val="center"/>
          </w:tcPr>
          <w:p>
            <w:pPr>
              <w:pStyle w:val="51"/>
              <w:spacing w:before="120" w:after="0" w:afterLines="0"/>
              <w:rPr>
                <w:bCs w:val="0"/>
                <w:kern w:val="2"/>
                <w:sz w:val="24"/>
                <w:szCs w:val="24"/>
              </w:rPr>
            </w:pPr>
            <w:bookmarkStart w:id="6" w:name="_Toc100489289"/>
            <w:r>
              <w:rPr>
                <w:bCs w:val="0"/>
                <w:kern w:val="2"/>
                <w:sz w:val="24"/>
                <w:szCs w:val="24"/>
              </w:rPr>
              <w:t>1.1</w:t>
            </w:r>
            <w:r>
              <w:rPr>
                <w:rFonts w:hint="eastAsia"/>
                <w:bCs w:val="0"/>
                <w:kern w:val="2"/>
                <w:sz w:val="24"/>
                <w:szCs w:val="24"/>
              </w:rPr>
              <w:t xml:space="preserve"> </w:t>
            </w:r>
            <w:r>
              <w:rPr>
                <w:bCs w:val="0"/>
                <w:kern w:val="2"/>
                <w:sz w:val="24"/>
                <w:szCs w:val="24"/>
              </w:rPr>
              <w:t>与《</w:t>
            </w:r>
            <w:r>
              <w:rPr>
                <w:rFonts w:hint="eastAsia" w:ascii="宋体" w:hAnsi="宋体" w:cs="宋体"/>
                <w:sz w:val="24"/>
                <w:szCs w:val="24"/>
              </w:rPr>
              <w:t>福清市福泽片区控制性详细规划</w:t>
            </w:r>
            <w:r>
              <w:rPr>
                <w:bCs w:val="0"/>
                <w:kern w:val="2"/>
                <w:sz w:val="24"/>
                <w:szCs w:val="24"/>
              </w:rPr>
              <w:t>》符合性分析</w:t>
            </w:r>
            <w:bookmarkEnd w:id="6"/>
          </w:p>
          <w:p>
            <w:pPr>
              <w:pStyle w:val="52"/>
              <w:spacing w:line="360" w:lineRule="auto"/>
              <w:ind w:firstLine="480" w:firstLineChars="200"/>
              <w:jc w:val="left"/>
              <w:rPr>
                <w:bCs/>
                <w:sz w:val="24"/>
              </w:rPr>
            </w:pPr>
            <w:r>
              <w:rPr>
                <w:rFonts w:hint="eastAsia"/>
                <w:sz w:val="24"/>
              </w:rPr>
              <w:t>本</w:t>
            </w:r>
            <w:r>
              <w:rPr>
                <w:sz w:val="24"/>
              </w:rPr>
              <w:t>项目位于</w:t>
            </w:r>
            <w:r>
              <w:rPr>
                <w:rFonts w:hint="eastAsia" w:hAnsi="宋体"/>
                <w:sz w:val="24"/>
              </w:rPr>
              <w:t>福清市龙山街道、海口镇</w:t>
            </w:r>
            <w:r>
              <w:rPr>
                <w:sz w:val="24"/>
              </w:rPr>
              <w:t>，</w:t>
            </w:r>
            <w:r>
              <w:rPr>
                <w:rFonts w:hint="eastAsia"/>
                <w:sz w:val="24"/>
              </w:rPr>
              <w:t>道路等级</w:t>
            </w:r>
            <w:r>
              <w:rPr>
                <w:sz w:val="24"/>
              </w:rPr>
              <w:t>为城市主干道，</w:t>
            </w:r>
            <w:r>
              <w:rPr>
                <w:rFonts w:hint="eastAsia"/>
                <w:sz w:val="24"/>
              </w:rPr>
              <w:t>主要为承担福泽片区与周边路网衔接的功能，为福泽片区与城区交通联系的主要干道，并服务沿线周边地块，</w:t>
            </w:r>
            <w:r>
              <w:rPr>
                <w:sz w:val="24"/>
              </w:rPr>
              <w:t>作为区域交通基础建设的</w:t>
            </w:r>
            <w:r>
              <w:rPr>
                <w:rFonts w:hint="eastAsia"/>
                <w:sz w:val="24"/>
              </w:rPr>
              <w:t>重</w:t>
            </w:r>
            <w:r>
              <w:rPr>
                <w:sz w:val="24"/>
              </w:rPr>
              <w:t>要环节，提高区域交通便利，物流传输更便捷</w:t>
            </w:r>
            <w:r>
              <w:rPr>
                <w:rFonts w:hint="eastAsia"/>
                <w:sz w:val="24"/>
              </w:rPr>
              <w:t>。对片区开发建设和经济发展具有重要作用。</w:t>
            </w:r>
            <w:r>
              <w:rPr>
                <w:sz w:val="24"/>
              </w:rPr>
              <w:t>符合</w:t>
            </w:r>
            <w:r>
              <w:rPr>
                <w:bCs/>
                <w:sz w:val="24"/>
              </w:rPr>
              <w:t>《</w:t>
            </w:r>
            <w:r>
              <w:rPr>
                <w:rFonts w:hint="eastAsia" w:ascii="宋体" w:hAnsi="宋体" w:cs="宋体"/>
                <w:sz w:val="24"/>
              </w:rPr>
              <w:t>福清市福泽片区控制性详细规划</w:t>
            </w:r>
            <w:r>
              <w:rPr>
                <w:bCs/>
                <w:sz w:val="24"/>
              </w:rPr>
              <w:t>》规划要求。</w:t>
            </w:r>
          </w:p>
          <w:p>
            <w:pPr>
              <w:pStyle w:val="52"/>
              <w:spacing w:line="360" w:lineRule="auto"/>
              <w:ind w:firstLine="480" w:firstLineChars="200"/>
              <w:jc w:val="left"/>
              <w:rPr>
                <w:rFonts w:hint="default" w:ascii="宋体" w:hAnsi="宋体" w:eastAsia="宋体" w:cs="宋体"/>
                <w:kern w:val="0"/>
                <w:szCs w:val="21"/>
                <w:lang w:val="en-US" w:eastAsia="zh-CN"/>
              </w:rPr>
            </w:pPr>
            <w:r>
              <w:rPr>
                <w:rFonts w:hint="eastAsia" w:ascii="Times New Roman" w:hAnsi="Times New Roman" w:eastAsia="宋体" w:cs="Times New Roman"/>
                <w:sz w:val="24"/>
                <w:lang w:val="en-US" w:eastAsia="zh-CN"/>
              </w:rPr>
              <w:t>区域规划图及交通设施规划图见附图2、附图3。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539" w:hRule="atLeast"/>
        </w:trPr>
        <w:tc>
          <w:tcPr>
            <w:tcW w:w="1070" w:type="dxa"/>
            <w:tcMar>
              <w:top w:w="16" w:type="dxa"/>
              <w:left w:w="16" w:type="dxa"/>
              <w:right w:w="16" w:type="dxa"/>
            </w:tcMar>
            <w:vAlign w:val="center"/>
          </w:tcPr>
          <w:p>
            <w:pPr>
              <w:autoSpaceDE w:val="0"/>
              <w:autoSpaceDN w:val="0"/>
              <w:adjustRightInd w:val="0"/>
              <w:snapToGrid w:val="0"/>
              <w:spacing w:line="360" w:lineRule="auto"/>
              <w:jc w:val="center"/>
              <w:outlineLvl w:val="1"/>
              <w:rPr>
                <w:rFonts w:hint="eastAsia" w:ascii="宋体" w:hAnsi="宋体" w:cs="宋体"/>
                <w:kern w:val="0"/>
                <w:szCs w:val="21"/>
              </w:rPr>
            </w:pPr>
            <w:bookmarkStart w:id="7" w:name="_Hlk56690880"/>
            <w:r>
              <w:rPr>
                <w:rFonts w:hint="eastAsia" w:ascii="宋体" w:hAnsi="宋体" w:cs="宋体"/>
                <w:kern w:val="0"/>
                <w:szCs w:val="21"/>
              </w:rPr>
              <w:t>其他符合性分析</w:t>
            </w:r>
            <w:bookmarkEnd w:id="7"/>
          </w:p>
        </w:tc>
        <w:tc>
          <w:tcPr>
            <w:tcW w:w="7969" w:type="dxa"/>
            <w:gridSpan w:val="4"/>
            <w:tcMar>
              <w:top w:w="16" w:type="dxa"/>
              <w:left w:w="16" w:type="dxa"/>
              <w:right w:w="16" w:type="dxa"/>
            </w:tcMar>
            <w:vAlign w:val="center"/>
          </w:tcPr>
          <w:p>
            <w:pPr>
              <w:adjustRightInd w:val="0"/>
              <w:snapToGrid w:val="0"/>
              <w:spacing w:before="120" w:beforeLines="50" w:line="360" w:lineRule="auto"/>
              <w:outlineLvl w:val="1"/>
              <w:rPr>
                <w:b/>
                <w:bCs/>
                <w:sz w:val="24"/>
              </w:rPr>
            </w:pPr>
            <w:r>
              <w:rPr>
                <w:rFonts w:hint="eastAsia"/>
                <w:b/>
                <w:bCs/>
                <w:sz w:val="24"/>
              </w:rPr>
              <w:t>1</w:t>
            </w:r>
            <w:r>
              <w:rPr>
                <w:b/>
                <w:bCs/>
                <w:sz w:val="24"/>
              </w:rPr>
              <w:t>.</w:t>
            </w:r>
            <w:r>
              <w:rPr>
                <w:rFonts w:hint="eastAsia"/>
                <w:b/>
                <w:bCs/>
                <w:sz w:val="24"/>
              </w:rPr>
              <w:t xml:space="preserve">2 </w:t>
            </w:r>
            <w:r>
              <w:rPr>
                <w:b/>
                <w:bCs/>
                <w:sz w:val="24"/>
              </w:rPr>
              <w:t>产业政策符合性</w:t>
            </w:r>
          </w:p>
          <w:p>
            <w:pPr>
              <w:adjustRightInd w:val="0"/>
              <w:snapToGrid w:val="0"/>
              <w:spacing w:line="360" w:lineRule="auto"/>
              <w:ind w:firstLine="420"/>
              <w:outlineLvl w:val="1"/>
              <w:rPr>
                <w:sz w:val="24"/>
              </w:rPr>
            </w:pPr>
            <w:r>
              <w:rPr>
                <w:sz w:val="24"/>
              </w:rPr>
              <w:t>本项目属于道路交通工程项目，属于《产业结构调整指导目录（2</w:t>
            </w:r>
            <w:r>
              <w:rPr>
                <w:rFonts w:hint="eastAsia"/>
                <w:sz w:val="24"/>
              </w:rPr>
              <w:t>024</w:t>
            </w:r>
            <w:r>
              <w:rPr>
                <w:sz w:val="24"/>
              </w:rPr>
              <w:t>年本）》“鼓励类”中第二十二城市基础设施</w:t>
            </w:r>
            <w:r>
              <w:rPr>
                <w:rFonts w:hint="eastAsia"/>
                <w:sz w:val="24"/>
              </w:rPr>
              <w:t>1</w:t>
            </w:r>
            <w:r>
              <w:rPr>
                <w:sz w:val="24"/>
              </w:rPr>
              <w:t>、城市道路及智能交通体系的建设，</w:t>
            </w:r>
            <w:r>
              <w:rPr>
                <w:rFonts w:hint="eastAsia"/>
                <w:sz w:val="24"/>
              </w:rPr>
              <w:t>本项目已于</w:t>
            </w:r>
            <w:r>
              <w:rPr>
                <w:sz w:val="24"/>
              </w:rPr>
              <w:t>202</w:t>
            </w:r>
            <w:r>
              <w:rPr>
                <w:rFonts w:hint="eastAsia"/>
                <w:sz w:val="24"/>
              </w:rPr>
              <w:t>3年7月19日取得福清市发展和改革局关于本项目建议书暨可行性研究报告的批复（见附件2）</w:t>
            </w:r>
            <w:r>
              <w:rPr>
                <w:rFonts w:hint="eastAsia"/>
                <w:sz w:val="24"/>
                <w:lang w:eastAsia="zh-CN"/>
              </w:rPr>
              <w:t>，</w:t>
            </w:r>
            <w:r>
              <w:rPr>
                <w:rFonts w:hint="eastAsia"/>
                <w:sz w:val="24"/>
                <w:lang w:val="en-US" w:eastAsia="zh-CN"/>
              </w:rPr>
              <w:t>于2023年10月12日取得</w:t>
            </w:r>
            <w:r>
              <w:rPr>
                <w:rFonts w:hint="eastAsia"/>
                <w:sz w:val="24"/>
              </w:rPr>
              <w:t>福清市发展和改革局关于本项目</w:t>
            </w:r>
            <w:r>
              <w:rPr>
                <w:rFonts w:hint="eastAsia"/>
                <w:sz w:val="24"/>
                <w:lang w:val="en-US" w:eastAsia="zh-CN"/>
              </w:rPr>
              <w:t>初步设计的批复</w:t>
            </w:r>
            <w:r>
              <w:rPr>
                <w:rFonts w:hint="eastAsia"/>
                <w:sz w:val="24"/>
              </w:rPr>
              <w:t>（见附件</w:t>
            </w:r>
            <w:r>
              <w:rPr>
                <w:rFonts w:hint="eastAsia"/>
                <w:sz w:val="24"/>
                <w:lang w:val="en-US" w:eastAsia="zh-CN"/>
              </w:rPr>
              <w:t>3</w:t>
            </w:r>
            <w:r>
              <w:rPr>
                <w:rFonts w:hint="eastAsia"/>
                <w:sz w:val="24"/>
              </w:rPr>
              <w:t>）。</w:t>
            </w:r>
          </w:p>
          <w:p>
            <w:pPr>
              <w:adjustRightInd w:val="0"/>
              <w:snapToGrid w:val="0"/>
              <w:spacing w:line="360" w:lineRule="auto"/>
              <w:ind w:firstLine="420"/>
              <w:outlineLvl w:val="1"/>
              <w:rPr>
                <w:sz w:val="24"/>
              </w:rPr>
            </w:pPr>
            <w:r>
              <w:rPr>
                <w:rFonts w:hint="eastAsia"/>
                <w:sz w:val="24"/>
              </w:rPr>
              <w:t>因此，本项目的建设符合国家产业政策的要求。</w:t>
            </w:r>
          </w:p>
          <w:p>
            <w:pPr>
              <w:adjustRightInd w:val="0"/>
              <w:snapToGrid w:val="0"/>
              <w:spacing w:line="360" w:lineRule="auto"/>
              <w:outlineLvl w:val="1"/>
              <w:rPr>
                <w:b/>
                <w:bCs/>
                <w:sz w:val="24"/>
              </w:rPr>
            </w:pPr>
            <w:bookmarkStart w:id="8" w:name="_Toc230669234"/>
            <w:bookmarkStart w:id="9" w:name="_Toc228592873"/>
            <w:bookmarkStart w:id="10" w:name="_Toc332206438"/>
            <w:bookmarkStart w:id="11" w:name="_Toc230860524"/>
            <w:bookmarkStart w:id="12" w:name="_Toc352753801"/>
            <w:bookmarkStart w:id="13" w:name="_Toc329622788"/>
            <w:r>
              <w:rPr>
                <w:b/>
                <w:bCs/>
                <w:sz w:val="24"/>
              </w:rPr>
              <w:t>1.</w:t>
            </w:r>
            <w:bookmarkEnd w:id="8"/>
            <w:bookmarkEnd w:id="9"/>
            <w:bookmarkEnd w:id="10"/>
            <w:bookmarkEnd w:id="11"/>
            <w:bookmarkEnd w:id="12"/>
            <w:bookmarkEnd w:id="13"/>
            <w:bookmarkStart w:id="14" w:name="_Toc352753802"/>
            <w:bookmarkStart w:id="15" w:name="_Toc332206439"/>
            <w:bookmarkStart w:id="16" w:name="_Toc329622789"/>
            <w:bookmarkStart w:id="17" w:name="_Toc228592874"/>
            <w:bookmarkStart w:id="18" w:name="_Toc230669235"/>
            <w:bookmarkStart w:id="19" w:name="_Toc230860525"/>
            <w:r>
              <w:rPr>
                <w:rFonts w:hint="eastAsia"/>
                <w:b/>
                <w:bCs/>
                <w:sz w:val="24"/>
              </w:rPr>
              <w:t xml:space="preserve">3 </w:t>
            </w:r>
            <w:r>
              <w:rPr>
                <w:b/>
                <w:bCs/>
                <w:sz w:val="24"/>
              </w:rPr>
              <w:t>用地选线符合性分析</w:t>
            </w:r>
          </w:p>
          <w:bookmarkEnd w:id="14"/>
          <w:bookmarkEnd w:id="15"/>
          <w:bookmarkEnd w:id="16"/>
          <w:bookmarkEnd w:id="17"/>
          <w:bookmarkEnd w:id="18"/>
          <w:bookmarkEnd w:id="19"/>
          <w:p>
            <w:pPr>
              <w:autoSpaceDE w:val="0"/>
              <w:autoSpaceDN w:val="0"/>
              <w:adjustRightInd w:val="0"/>
              <w:snapToGrid w:val="0"/>
              <w:spacing w:line="360" w:lineRule="auto"/>
              <w:ind w:firstLine="480" w:firstLineChars="200"/>
              <w:outlineLvl w:val="1"/>
              <w:rPr>
                <w:rFonts w:hint="default" w:eastAsia="宋体"/>
                <w:sz w:val="24"/>
                <w:lang w:val="en-US" w:eastAsia="zh-CN"/>
              </w:rPr>
            </w:pPr>
            <w:r>
              <w:rPr>
                <w:sz w:val="24"/>
              </w:rPr>
              <w:t>根据福清市自然资源和规划局批</w:t>
            </w:r>
            <w:r>
              <w:rPr>
                <w:rFonts w:hint="eastAsia"/>
                <w:sz w:val="24"/>
              </w:rPr>
              <w:t>复</w:t>
            </w:r>
            <w:r>
              <w:rPr>
                <w:sz w:val="24"/>
              </w:rPr>
              <w:t>通过的本项目《建设项目用地预审</w:t>
            </w:r>
            <w:r>
              <w:rPr>
                <w:rFonts w:hint="eastAsia"/>
                <w:sz w:val="24"/>
              </w:rPr>
              <w:t>与</w:t>
            </w:r>
            <w:r>
              <w:rPr>
                <w:sz w:val="24"/>
              </w:rPr>
              <w:t>选址意见书》（</w:t>
            </w:r>
            <w:r>
              <w:rPr>
                <w:rFonts w:hint="eastAsia"/>
                <w:sz w:val="24"/>
              </w:rPr>
              <w:t>用字第</w:t>
            </w:r>
            <w:r>
              <w:rPr>
                <w:sz w:val="24"/>
              </w:rPr>
              <w:t>350181202300111</w:t>
            </w:r>
            <w:r>
              <w:rPr>
                <w:rFonts w:hint="eastAsia"/>
                <w:sz w:val="24"/>
              </w:rPr>
              <w:t>号</w:t>
            </w:r>
            <w:r>
              <w:rPr>
                <w:sz w:val="24"/>
              </w:rPr>
              <w:t>）</w:t>
            </w:r>
            <w:r>
              <w:rPr>
                <w:rFonts w:hint="eastAsia"/>
                <w:sz w:val="24"/>
              </w:rPr>
              <w:t>，</w:t>
            </w:r>
            <w:r>
              <w:rPr>
                <w:sz w:val="24"/>
              </w:rPr>
              <w:t>见附件</w:t>
            </w:r>
            <w:r>
              <w:rPr>
                <w:rFonts w:hint="eastAsia"/>
                <w:sz w:val="24"/>
              </w:rPr>
              <w:t>4</w:t>
            </w:r>
            <w:r>
              <w:rPr>
                <w:sz w:val="24"/>
              </w:rPr>
              <w:t>，本项目用地</w:t>
            </w:r>
            <w:r>
              <w:rPr>
                <w:rFonts w:hint="eastAsia"/>
                <w:sz w:val="24"/>
              </w:rPr>
              <w:t>现状</w:t>
            </w:r>
            <w:r>
              <w:rPr>
                <w:sz w:val="24"/>
              </w:rPr>
              <w:t>为</w:t>
            </w:r>
            <w:r>
              <w:rPr>
                <w:rFonts w:hint="eastAsia"/>
                <w:sz w:val="24"/>
              </w:rPr>
              <w:t>农用地、建设用地、未利用</w:t>
            </w:r>
            <w:r>
              <w:rPr>
                <w:rFonts w:hint="eastAsia"/>
                <w:b w:val="0"/>
                <w:bCs w:val="0"/>
                <w:sz w:val="24"/>
                <w:szCs w:val="24"/>
              </w:rPr>
              <w:t>地</w:t>
            </w:r>
            <w:r>
              <w:rPr>
                <w:b w:val="0"/>
                <w:bCs w:val="0"/>
                <w:sz w:val="24"/>
                <w:szCs w:val="24"/>
              </w:rPr>
              <w:t>。本项目占用</w:t>
            </w:r>
            <w:r>
              <w:rPr>
                <w:rFonts w:hint="eastAsia"/>
                <w:b w:val="0"/>
                <w:bCs w:val="0"/>
                <w:sz w:val="24"/>
                <w:szCs w:val="24"/>
              </w:rPr>
              <w:t>的农用地</w:t>
            </w:r>
            <w:r>
              <w:rPr>
                <w:rFonts w:hint="eastAsia"/>
                <w:b w:val="0"/>
                <w:bCs w:val="0"/>
                <w:sz w:val="24"/>
                <w:szCs w:val="24"/>
                <w:lang w:eastAsia="zh-CN"/>
              </w:rPr>
              <w:t>（</w:t>
            </w:r>
            <w:r>
              <w:rPr>
                <w:rFonts w:hint="eastAsia"/>
                <w:b w:val="0"/>
                <w:bCs w:val="0"/>
                <w:sz w:val="24"/>
                <w:szCs w:val="24"/>
                <w:lang w:val="en-US" w:eastAsia="zh-CN"/>
              </w:rPr>
              <w:t>耕地、林地等</w:t>
            </w:r>
            <w:r>
              <w:rPr>
                <w:rFonts w:hint="eastAsia"/>
                <w:b w:val="0"/>
                <w:bCs w:val="0"/>
                <w:sz w:val="24"/>
                <w:szCs w:val="24"/>
                <w:lang w:eastAsia="zh-CN"/>
              </w:rPr>
              <w:t>）</w:t>
            </w:r>
            <w:r>
              <w:rPr>
                <w:rFonts w:hint="eastAsia"/>
                <w:b w:val="0"/>
                <w:bCs w:val="0"/>
                <w:sz w:val="24"/>
                <w:szCs w:val="24"/>
              </w:rPr>
              <w:t>，</w:t>
            </w:r>
            <w:r>
              <w:rPr>
                <w:rFonts w:hint="eastAsia"/>
                <w:b w:val="0"/>
                <w:bCs w:val="0"/>
                <w:sz w:val="24"/>
                <w:szCs w:val="24"/>
                <w:lang w:val="en-US" w:eastAsia="zh-CN"/>
              </w:rPr>
              <w:t>已</w:t>
            </w:r>
            <w:r>
              <w:rPr>
                <w:rFonts w:hint="eastAsia"/>
                <w:b w:val="0"/>
                <w:bCs w:val="0"/>
                <w:sz w:val="24"/>
                <w:szCs w:val="24"/>
              </w:rPr>
              <w:t>按相关程序办理农转用手续</w:t>
            </w:r>
            <w:r>
              <w:rPr>
                <w:rFonts w:hint="eastAsia"/>
                <w:b w:val="0"/>
                <w:bCs w:val="0"/>
                <w:sz w:val="24"/>
                <w:szCs w:val="24"/>
                <w:lang w:eastAsia="zh-CN"/>
              </w:rPr>
              <w:t>，</w:t>
            </w:r>
            <w:r>
              <w:rPr>
                <w:rFonts w:hint="eastAsia" w:cs="Times New Roman"/>
                <w:b w:val="0"/>
                <w:bCs w:val="0"/>
                <w:sz w:val="24"/>
                <w:szCs w:val="24"/>
                <w:lang w:val="en-US" w:eastAsia="zh-CN"/>
              </w:rPr>
              <w:t>使用林地审核同意书见附件5，福州市人民政府关于农用地转用和土地征收的批复见附件6。</w:t>
            </w:r>
          </w:p>
          <w:p>
            <w:pPr>
              <w:autoSpaceDE w:val="0"/>
              <w:autoSpaceDN w:val="0"/>
              <w:adjustRightInd w:val="0"/>
              <w:snapToGrid w:val="0"/>
              <w:spacing w:line="360" w:lineRule="auto"/>
              <w:ind w:firstLine="480" w:firstLineChars="200"/>
              <w:outlineLvl w:val="1"/>
              <w:rPr>
                <w:sz w:val="24"/>
              </w:rPr>
            </w:pPr>
            <w:r>
              <w:rPr>
                <w:rFonts w:hint="eastAsia"/>
                <w:sz w:val="24"/>
                <w:lang w:val="en-US" w:eastAsia="zh-CN"/>
              </w:rPr>
              <w:t>根据项目选址会商报告（见附件8），</w:t>
            </w:r>
            <w:r>
              <w:rPr>
                <w:rFonts w:hint="eastAsia"/>
                <w:sz w:val="24"/>
              </w:rPr>
              <w:t>项目</w:t>
            </w:r>
            <w:r>
              <w:rPr>
                <w:sz w:val="24"/>
              </w:rPr>
              <w:t>道路选线不涉及基本农田、生态林、自然保护区、饮用水源保护区等需要重点加以保护的区域。拟建道路</w:t>
            </w:r>
            <w:r>
              <w:rPr>
                <w:rFonts w:hint="eastAsia"/>
                <w:sz w:val="24"/>
              </w:rPr>
              <w:t>位于城市开发边界内，</w:t>
            </w:r>
            <w:r>
              <w:rPr>
                <w:sz w:val="24"/>
              </w:rPr>
              <w:t>符合城市总体规划，与当地环境功能区划没有矛盾，产生的环境影响经采取措施后能为环境所接受，项目选线合理。</w:t>
            </w:r>
          </w:p>
          <w:p>
            <w:pPr>
              <w:adjustRightInd w:val="0"/>
              <w:snapToGrid w:val="0"/>
              <w:spacing w:line="360" w:lineRule="auto"/>
              <w:outlineLvl w:val="1"/>
              <w:rPr>
                <w:b/>
                <w:bCs/>
                <w:snapToGrid w:val="0"/>
                <w:kern w:val="0"/>
                <w:sz w:val="24"/>
              </w:rPr>
            </w:pPr>
            <w:r>
              <w:rPr>
                <w:b/>
                <w:bCs/>
                <w:snapToGrid w:val="0"/>
                <w:kern w:val="0"/>
                <w:sz w:val="24"/>
              </w:rPr>
              <w:t>1.</w:t>
            </w:r>
            <w:r>
              <w:rPr>
                <w:rFonts w:hint="eastAsia"/>
                <w:b/>
                <w:bCs/>
                <w:snapToGrid w:val="0"/>
                <w:kern w:val="0"/>
                <w:sz w:val="24"/>
              </w:rPr>
              <w:t xml:space="preserve">4 </w:t>
            </w:r>
            <w:r>
              <w:rPr>
                <w:b/>
                <w:bCs/>
                <w:snapToGrid w:val="0"/>
                <w:kern w:val="0"/>
                <w:sz w:val="24"/>
              </w:rPr>
              <w:t>与“三线一单”相关符合性分析</w:t>
            </w:r>
          </w:p>
          <w:p>
            <w:pPr>
              <w:numPr>
                <w:ilvl w:val="0"/>
                <w:numId w:val="1"/>
              </w:numPr>
              <w:spacing w:line="360" w:lineRule="auto"/>
              <w:ind w:firstLine="420"/>
              <w:outlineLvl w:val="1"/>
              <w:rPr>
                <w:sz w:val="24"/>
              </w:rPr>
            </w:pPr>
            <w:r>
              <w:rPr>
                <w:sz w:val="24"/>
              </w:rPr>
              <w:t>与生态红线符合性分析</w:t>
            </w:r>
          </w:p>
          <w:p>
            <w:pPr>
              <w:spacing w:line="360" w:lineRule="auto"/>
              <w:ind w:firstLine="480" w:firstLineChars="200"/>
              <w:jc w:val="left"/>
              <w:outlineLvl w:val="1"/>
              <w:rPr>
                <w:sz w:val="24"/>
              </w:rPr>
            </w:pPr>
            <w:r>
              <w:rPr>
                <w:sz w:val="24"/>
              </w:rPr>
              <w:t>项目选址于</w:t>
            </w:r>
            <w:r>
              <w:rPr>
                <w:rFonts w:hint="eastAsia"/>
                <w:sz w:val="24"/>
              </w:rPr>
              <w:t>福清市龙山街道、海口镇</w:t>
            </w:r>
            <w:r>
              <w:rPr>
                <w:sz w:val="24"/>
              </w:rPr>
              <w:t>，本次工程范围内不涉及自然保护区、风景名胜区、</w:t>
            </w:r>
            <w:r>
              <w:rPr>
                <w:rFonts w:hint="eastAsia"/>
                <w:sz w:val="24"/>
              </w:rPr>
              <w:t>生态保护红线</w:t>
            </w:r>
            <w:r>
              <w:rPr>
                <w:sz w:val="24"/>
              </w:rPr>
              <w:t>等重要生态敏感区，工程占地不涉及国家一级生态公益林、饮用水源一级保护区等，</w:t>
            </w:r>
            <w:r>
              <w:rPr>
                <w:rFonts w:hint="eastAsia"/>
                <w:sz w:val="24"/>
              </w:rPr>
              <w:t>项目建设符合生态保护红线管控要求。</w:t>
            </w:r>
          </w:p>
          <w:p>
            <w:pPr>
              <w:spacing w:line="360" w:lineRule="auto"/>
              <w:ind w:firstLine="480" w:firstLineChars="200"/>
              <w:outlineLvl w:val="1"/>
              <w:rPr>
                <w:sz w:val="24"/>
              </w:rPr>
            </w:pPr>
            <w:r>
              <w:rPr>
                <w:sz w:val="24"/>
              </w:rPr>
              <w:t>（</w:t>
            </w:r>
            <w:r>
              <w:rPr>
                <w:rFonts w:hint="eastAsia"/>
                <w:sz w:val="24"/>
              </w:rPr>
              <w:t>2</w:t>
            </w:r>
            <w:r>
              <w:rPr>
                <w:sz w:val="24"/>
              </w:rPr>
              <w:t>）与环境质量底线符合性分析</w:t>
            </w:r>
          </w:p>
          <w:p>
            <w:pPr>
              <w:spacing w:line="360" w:lineRule="auto"/>
              <w:ind w:firstLine="420"/>
              <w:outlineLvl w:val="1"/>
              <w:rPr>
                <w:sz w:val="24"/>
              </w:rPr>
            </w:pPr>
            <w:r>
              <w:rPr>
                <w:rFonts w:hint="eastAsia"/>
                <w:sz w:val="24"/>
              </w:rPr>
              <w:t>项目所在区域的环境质量底线为：项目所在地大气环境满足《环境空气质量标准》（GB3095-2012）二级标准要求；项目周边水体水质满足《地表水环境质量标准》（GB3838-2002）</w:t>
            </w:r>
            <w:r>
              <w:rPr>
                <w:sz w:val="24"/>
              </w:rPr>
              <w:t>Ⅲ</w:t>
            </w:r>
            <w:r>
              <w:rPr>
                <w:rFonts w:hint="eastAsia"/>
                <w:sz w:val="24"/>
              </w:rPr>
              <w:t>类标准；项目所在地声环境质量标准执行《声环境质量标准》（GB3096-2008）中的2类、4a类标准。根据项目所在地环境质量现状调查和污染排放影响预测可知，本项目运营后对区域内环境影响较小，环境质量可以保持现有水平，不会对区域环境质量底线造成冲击。</w:t>
            </w:r>
          </w:p>
          <w:p>
            <w:pPr>
              <w:spacing w:line="360" w:lineRule="auto"/>
              <w:ind w:firstLine="480" w:firstLineChars="200"/>
              <w:outlineLvl w:val="1"/>
              <w:rPr>
                <w:sz w:val="24"/>
              </w:rPr>
            </w:pPr>
            <w:r>
              <w:rPr>
                <w:sz w:val="24"/>
              </w:rPr>
              <w:t>（</w:t>
            </w:r>
            <w:r>
              <w:rPr>
                <w:rFonts w:hint="eastAsia"/>
                <w:sz w:val="24"/>
              </w:rPr>
              <w:t>3</w:t>
            </w:r>
            <w:r>
              <w:rPr>
                <w:sz w:val="24"/>
              </w:rPr>
              <w:t>）与资源利用上线符合性分析</w:t>
            </w:r>
          </w:p>
          <w:p>
            <w:pPr>
              <w:autoSpaceDE w:val="0"/>
              <w:autoSpaceDN w:val="0"/>
              <w:adjustRightInd w:val="0"/>
              <w:snapToGrid w:val="0"/>
              <w:spacing w:line="360" w:lineRule="auto"/>
              <w:ind w:firstLine="480" w:firstLineChars="200"/>
              <w:outlineLvl w:val="1"/>
              <w:rPr>
                <w:rFonts w:hint="default" w:eastAsia="宋体"/>
                <w:sz w:val="24"/>
                <w:lang w:val="en-US" w:eastAsia="zh-CN"/>
              </w:rPr>
            </w:pPr>
            <w:r>
              <w:rPr>
                <w:rFonts w:hint="eastAsia"/>
                <w:sz w:val="24"/>
              </w:rPr>
              <w:t>项目利用的资源主要为土地资源，永久占地面积约4</w:t>
            </w:r>
            <w:r>
              <w:rPr>
                <w:rFonts w:hint="eastAsia"/>
                <w:sz w:val="24"/>
                <w:lang w:val="en-US" w:eastAsia="zh-CN"/>
              </w:rPr>
              <w:t>.</w:t>
            </w:r>
            <w:r>
              <w:rPr>
                <w:rFonts w:hint="eastAsia"/>
                <w:sz w:val="24"/>
              </w:rPr>
              <w:t>0976</w:t>
            </w:r>
            <w:r>
              <w:rPr>
                <w:rFonts w:hint="eastAsia"/>
                <w:sz w:val="24"/>
                <w:lang w:val="en-US" w:eastAsia="zh-CN"/>
              </w:rPr>
              <w:t>h</w:t>
            </w:r>
            <w:r>
              <w:rPr>
                <w:rFonts w:hint="eastAsia"/>
                <w:sz w:val="24"/>
              </w:rPr>
              <w:t>m</w:t>
            </w:r>
            <w:r>
              <w:rPr>
                <w:rFonts w:hint="eastAsia"/>
                <w:sz w:val="24"/>
                <w:vertAlign w:val="superscript"/>
              </w:rPr>
              <w:t>2</w:t>
            </w:r>
            <w:r>
              <w:rPr>
                <w:rFonts w:hint="eastAsia"/>
                <w:sz w:val="24"/>
              </w:rPr>
              <w:t>，</w:t>
            </w:r>
            <w:r>
              <w:rPr>
                <w:rFonts w:hint="eastAsia"/>
                <w:sz w:val="24"/>
                <w:lang w:val="en-US" w:eastAsia="zh-CN"/>
              </w:rPr>
              <w:t>其中农用地面积3.7437h</w:t>
            </w:r>
            <w:r>
              <w:rPr>
                <w:rFonts w:hint="eastAsia"/>
                <w:sz w:val="24"/>
              </w:rPr>
              <w:t>m</w:t>
            </w:r>
            <w:r>
              <w:rPr>
                <w:rFonts w:hint="eastAsia"/>
                <w:sz w:val="24"/>
                <w:vertAlign w:val="superscript"/>
              </w:rPr>
              <w:t>2</w:t>
            </w:r>
            <w:r>
              <w:rPr>
                <w:rFonts w:hint="eastAsia"/>
                <w:sz w:val="24"/>
                <w:vertAlign w:val="baseline"/>
                <w:lang w:eastAsia="zh-CN"/>
              </w:rPr>
              <w:t>，</w:t>
            </w:r>
            <w:r>
              <w:rPr>
                <w:rFonts w:hint="eastAsia"/>
                <w:sz w:val="24"/>
              </w:rPr>
              <w:t>但不涉及占用永久基本农田。</w:t>
            </w:r>
            <w:r>
              <w:rPr>
                <w:rFonts w:hint="eastAsia"/>
                <w:b w:val="0"/>
                <w:bCs w:val="0"/>
                <w:sz w:val="24"/>
                <w:szCs w:val="24"/>
                <w:lang w:val="en-US" w:eastAsia="zh-CN"/>
              </w:rPr>
              <w:t>已</w:t>
            </w:r>
            <w:r>
              <w:rPr>
                <w:rFonts w:hint="eastAsia"/>
                <w:b w:val="0"/>
                <w:bCs w:val="0"/>
                <w:sz w:val="24"/>
                <w:szCs w:val="24"/>
              </w:rPr>
              <w:t>按相关程序办理农转用手续</w:t>
            </w:r>
            <w:r>
              <w:rPr>
                <w:rFonts w:hint="eastAsia"/>
                <w:b w:val="0"/>
                <w:bCs w:val="0"/>
                <w:sz w:val="24"/>
                <w:szCs w:val="24"/>
                <w:lang w:eastAsia="zh-CN"/>
              </w:rPr>
              <w:t>，</w:t>
            </w:r>
            <w:r>
              <w:rPr>
                <w:rFonts w:hint="eastAsia" w:cs="Times New Roman"/>
                <w:b w:val="0"/>
                <w:bCs w:val="0"/>
                <w:sz w:val="24"/>
                <w:szCs w:val="24"/>
                <w:lang w:val="en-US" w:eastAsia="zh-CN"/>
              </w:rPr>
              <w:t>使用林地审核同意书见附件5，福州市人民政府关于农用地转用和土地征收的批复见附件6。</w:t>
            </w:r>
          </w:p>
          <w:p>
            <w:pPr>
              <w:pStyle w:val="41"/>
              <w:spacing w:line="360" w:lineRule="auto"/>
              <w:ind w:firstLine="480" w:firstLineChars="200"/>
              <w:outlineLvl w:val="1"/>
              <w:rPr>
                <w:color w:val="auto"/>
              </w:rPr>
            </w:pPr>
            <w:r>
              <w:rPr>
                <w:rFonts w:hint="eastAsia"/>
                <w:color w:val="auto"/>
              </w:rPr>
              <w:t>本项目占用的农用地占区域农用地总面积的比例不大，根据国务院令第</w:t>
            </w:r>
            <w:r>
              <w:rPr>
                <w:rFonts w:ascii="Times New Roman" w:hAnsi="Times New Roman" w:cs="Times New Roman"/>
                <w:color w:val="auto"/>
              </w:rPr>
              <w:t>743</w:t>
            </w:r>
            <w:r>
              <w:rPr>
                <w:rFonts w:hint="eastAsia"/>
                <w:color w:val="auto"/>
              </w:rPr>
              <w:t>号《中华人民共和国土地管理法实施条例》（</w:t>
            </w:r>
            <w:r>
              <w:rPr>
                <w:rFonts w:ascii="Times New Roman" w:hAnsi="Times New Roman" w:cs="Times New Roman"/>
                <w:color w:val="auto"/>
              </w:rPr>
              <w:t>2021</w:t>
            </w:r>
            <w:r>
              <w:rPr>
                <w:rFonts w:hint="eastAsia"/>
                <w:color w:val="auto"/>
              </w:rPr>
              <w:t>年</w:t>
            </w:r>
            <w:r>
              <w:rPr>
                <w:rFonts w:ascii="Times New Roman" w:hAnsi="Times New Roman" w:cs="Times New Roman"/>
                <w:color w:val="auto"/>
              </w:rPr>
              <w:t>9</w:t>
            </w:r>
            <w:r>
              <w:rPr>
                <w:rFonts w:hint="eastAsia"/>
                <w:color w:val="auto"/>
              </w:rPr>
              <w:t>月</w:t>
            </w:r>
            <w:r>
              <w:rPr>
                <w:rFonts w:ascii="Times New Roman" w:hAnsi="Times New Roman" w:cs="Times New Roman"/>
                <w:color w:val="auto"/>
              </w:rPr>
              <w:t>1</w:t>
            </w:r>
            <w:r>
              <w:rPr>
                <w:rFonts w:hint="eastAsia"/>
                <w:color w:val="auto"/>
              </w:rPr>
              <w:t>日施行）中“第八条 国家实行占用耕地补偿制度。在国土空间规划确定的城市和村庄、集镇建设用地范围内经依法批准占用耕地，以及在国土空间规划确定的城市和村庄、集镇建设用地范围外的能源、交通、水利、矿山、军事设施等建设项目经依法批准占用耕地的，分别由县级人民政府、农村集体经济组织和建设单位负责开垦与所占用耕地的数量和质量相当的耕地；没有条件开垦或者开垦的耕地不符合要求的，应当按照省、自治区、直辖市的规定缴纳耕地开垦费，专款用于开垦新的耕地”。本项目将按照以补定占、先补后占的有关规定，落实耕地占补平衡。</w:t>
            </w:r>
          </w:p>
          <w:p>
            <w:pPr>
              <w:spacing w:line="360" w:lineRule="auto"/>
              <w:ind w:firstLine="420"/>
              <w:outlineLvl w:val="1"/>
              <w:rPr>
                <w:sz w:val="24"/>
              </w:rPr>
            </w:pPr>
            <w:r>
              <w:rPr>
                <w:sz w:val="24"/>
              </w:rPr>
              <w:t>项目</w:t>
            </w:r>
            <w:r>
              <w:rPr>
                <w:rFonts w:hint="eastAsia"/>
                <w:sz w:val="24"/>
              </w:rPr>
              <w:t>施工</w:t>
            </w:r>
            <w:r>
              <w:rPr>
                <w:sz w:val="24"/>
              </w:rPr>
              <w:t>过程中会消耗一定的电源和水资源，消耗量相对区域资源利用总量较小，不会突破区域的资源利用上线。</w:t>
            </w:r>
          </w:p>
          <w:p>
            <w:pPr>
              <w:pStyle w:val="41"/>
              <w:spacing w:line="360" w:lineRule="auto"/>
              <w:ind w:firstLine="480" w:firstLineChars="200"/>
              <w:outlineLvl w:val="1"/>
              <w:rPr>
                <w:color w:val="auto"/>
              </w:rPr>
            </w:pPr>
            <w:r>
              <w:rPr>
                <w:rFonts w:hint="eastAsia"/>
                <w:color w:val="auto"/>
              </w:rPr>
              <w:t>综上所述，项目建设不会突破区域资源利用上线。</w:t>
            </w:r>
          </w:p>
          <w:p>
            <w:pPr>
              <w:spacing w:line="360" w:lineRule="auto"/>
              <w:ind w:firstLine="420"/>
              <w:outlineLvl w:val="1"/>
              <w:rPr>
                <w:sz w:val="24"/>
              </w:rPr>
            </w:pPr>
            <w:r>
              <w:rPr>
                <w:sz w:val="24"/>
              </w:rPr>
              <w:t>（4）环境准入负面清单符合性</w:t>
            </w:r>
            <w:r>
              <w:rPr>
                <w:rFonts w:hint="eastAsia"/>
                <w:sz w:val="24"/>
              </w:rPr>
              <w:t>分析</w:t>
            </w:r>
          </w:p>
          <w:p>
            <w:pPr>
              <w:autoSpaceDE w:val="0"/>
              <w:autoSpaceDN w:val="0"/>
              <w:adjustRightInd w:val="0"/>
              <w:snapToGrid w:val="0"/>
              <w:spacing w:line="360" w:lineRule="auto"/>
              <w:ind w:firstLine="420"/>
              <w:outlineLvl w:val="1"/>
              <w:rPr>
                <w:kern w:val="0"/>
                <w:sz w:val="24"/>
              </w:rPr>
            </w:pPr>
            <w:r>
              <w:rPr>
                <w:rFonts w:hint="eastAsia"/>
                <w:kern w:val="0"/>
                <w:sz w:val="24"/>
              </w:rPr>
              <w:t>市政道路工程属于基础设施、公共事业、民生建设项目，是《产业结构调整指导目录（20</w:t>
            </w:r>
            <w:r>
              <w:rPr>
                <w:rFonts w:hint="eastAsia"/>
                <w:kern w:val="0"/>
                <w:sz w:val="24"/>
                <w:lang w:val="en-US" w:eastAsia="zh-CN"/>
              </w:rPr>
              <w:t>24</w:t>
            </w:r>
            <w:r>
              <w:rPr>
                <w:rFonts w:hint="eastAsia"/>
                <w:kern w:val="0"/>
                <w:sz w:val="24"/>
              </w:rPr>
              <w:t>年本）》中鼓励发展的项目。</w:t>
            </w:r>
            <w:r>
              <w:rPr>
                <w:kern w:val="0"/>
                <w:sz w:val="24"/>
              </w:rPr>
              <w:t>项目建设符合国家产业政策，</w:t>
            </w:r>
            <w:r>
              <w:rPr>
                <w:rFonts w:hint="eastAsia"/>
                <w:kern w:val="0"/>
                <w:sz w:val="24"/>
              </w:rPr>
              <w:t>且</w:t>
            </w:r>
            <w:r>
              <w:rPr>
                <w:kern w:val="0"/>
                <w:sz w:val="24"/>
              </w:rPr>
              <w:t>不属于《市场准入负面清单》（202</w:t>
            </w:r>
            <w:r>
              <w:rPr>
                <w:rFonts w:hint="eastAsia"/>
                <w:kern w:val="0"/>
                <w:sz w:val="24"/>
              </w:rPr>
              <w:t>2</w:t>
            </w:r>
            <w:r>
              <w:rPr>
                <w:kern w:val="0"/>
                <w:sz w:val="24"/>
              </w:rPr>
              <w:t>年版）中禁止准入类和限制准入类项目。</w:t>
            </w:r>
          </w:p>
          <w:p>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根据《</w:t>
            </w:r>
            <w:r>
              <w:rPr>
                <w:rFonts w:hint="eastAsia"/>
                <w:color w:val="000000" w:themeColor="text1"/>
                <w:sz w:val="24"/>
                <w14:textFill>
                  <w14:solidFill>
                    <w14:schemeClr w14:val="tx1"/>
                  </w14:solidFill>
                </w14:textFill>
              </w:rPr>
              <w:t>福州市生态环境分区管控方案（2023年更新）</w:t>
            </w:r>
            <w:r>
              <w:rPr>
                <w:color w:val="000000" w:themeColor="text1"/>
                <w:sz w:val="24"/>
                <w14:textFill>
                  <w14:solidFill>
                    <w14:schemeClr w14:val="tx1"/>
                  </w14:solidFill>
                </w14:textFill>
              </w:rPr>
              <w:t>》和福建省生态环境分区管控数据应用平台</w:t>
            </w:r>
            <w:r>
              <w:rPr>
                <w:rFonts w:hint="eastAsia"/>
                <w:color w:val="000000" w:themeColor="text1"/>
                <w:sz w:val="24"/>
                <w14:textFill>
                  <w14:solidFill>
                    <w14:schemeClr w14:val="tx1"/>
                  </w14:solidFill>
                </w14:textFill>
              </w:rPr>
              <w:t>查询</w:t>
            </w:r>
            <w:r>
              <w:rPr>
                <w:color w:val="000000" w:themeColor="text1"/>
                <w:sz w:val="24"/>
                <w14:textFill>
                  <w14:solidFill>
                    <w14:schemeClr w14:val="tx1"/>
                  </w14:solidFill>
                </w14:textFill>
              </w:rPr>
              <w:t>结果，本项目</w:t>
            </w:r>
            <w:r>
              <w:rPr>
                <w:rFonts w:hint="eastAsia"/>
                <w:color w:val="000000" w:themeColor="text1"/>
                <w:sz w:val="24"/>
                <w14:textFill>
                  <w14:solidFill>
                    <w14:schemeClr w14:val="tx1"/>
                  </w14:solidFill>
                </w14:textFill>
              </w:rPr>
              <w:t>涉及1个生态环境管控单元，其中重点管控单元1个</w:t>
            </w:r>
            <w:r>
              <w:rPr>
                <w:color w:val="000000" w:themeColor="text1"/>
                <w:sz w:val="24"/>
                <w14:textFill>
                  <w14:solidFill>
                    <w14:schemeClr w14:val="tx1"/>
                  </w14:solidFill>
                </w14:textFill>
              </w:rPr>
              <w:t>，生态环境准入管控要求详见表</w:t>
            </w:r>
            <w:r>
              <w:rPr>
                <w:rFonts w:hint="eastAsia"/>
                <w:color w:val="000000" w:themeColor="text1"/>
                <w:sz w:val="24"/>
                <w14:textFill>
                  <w14:solidFill>
                    <w14:schemeClr w14:val="tx1"/>
                  </w14:solidFill>
                </w14:textFill>
              </w:rPr>
              <w:t>1-2</w:t>
            </w:r>
            <w:r>
              <w:rPr>
                <w:color w:val="000000" w:themeColor="text1"/>
                <w:kern w:val="0"/>
                <w:sz w:val="24"/>
                <w14:textFill>
                  <w14:solidFill>
                    <w14:schemeClr w14:val="tx1"/>
                  </w14:solidFill>
                </w14:textFill>
              </w:rPr>
              <w:t>。</w:t>
            </w:r>
          </w:p>
          <w:p>
            <w:pPr>
              <w:pStyle w:val="26"/>
              <w:ind w:firstLine="480"/>
            </w:pPr>
          </w:p>
          <w:p/>
          <w:p>
            <w:pPr>
              <w:spacing w:line="360" w:lineRule="auto"/>
              <w:jc w:val="center"/>
              <w:outlineLvl w:val="1"/>
              <w:rPr>
                <w:rFonts w:hint="eastAsia" w:ascii="宋体" w:hAnsi="宋体" w:cs="宋体"/>
                <w:b/>
                <w:bCs/>
                <w:sz w:val="24"/>
                <w:szCs w:val="32"/>
              </w:rPr>
            </w:pPr>
            <w:r>
              <w:rPr>
                <w:rFonts w:hint="eastAsia" w:ascii="宋体" w:hAnsi="宋体" w:cs="宋体"/>
                <w:b/>
                <w:bCs/>
                <w:sz w:val="24"/>
                <w:szCs w:val="32"/>
              </w:rPr>
              <w:t>表</w:t>
            </w:r>
            <w:r>
              <w:rPr>
                <w:rFonts w:eastAsia="黑体"/>
                <w:b/>
                <w:bCs/>
                <w:sz w:val="24"/>
                <w:szCs w:val="32"/>
              </w:rPr>
              <w:t>1</w:t>
            </w:r>
            <w:r>
              <w:rPr>
                <w:rFonts w:hint="eastAsia" w:eastAsia="黑体"/>
                <w:b/>
                <w:bCs/>
                <w:sz w:val="24"/>
                <w:szCs w:val="32"/>
              </w:rPr>
              <w:t>-2</w:t>
            </w:r>
            <w:r>
              <w:rPr>
                <w:rFonts w:hint="eastAsia" w:ascii="宋体" w:hAnsi="宋体" w:cs="宋体"/>
                <w:b/>
                <w:bCs/>
                <w:sz w:val="24"/>
                <w:szCs w:val="32"/>
              </w:rPr>
              <w:t>与福清市生态环境准入管控要求对照表</w:t>
            </w:r>
          </w:p>
          <w:tbl>
            <w:tblPr>
              <w:tblStyle w:val="27"/>
              <w:tblW w:w="494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702"/>
              <w:gridCol w:w="710"/>
              <w:gridCol w:w="708"/>
              <w:gridCol w:w="2977"/>
              <w:gridCol w:w="1352"/>
              <w:gridCol w:w="3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Align w:val="center"/>
                </w:tcPr>
                <w:p>
                  <w:pPr>
                    <w:pStyle w:val="41"/>
                    <w:jc w:val="center"/>
                    <w:outlineLvl w:val="1"/>
                    <w:rPr>
                      <w:color w:val="auto"/>
                      <w:sz w:val="18"/>
                      <w:szCs w:val="18"/>
                    </w:rPr>
                  </w:pPr>
                  <w:r>
                    <w:rPr>
                      <w:rFonts w:hint="eastAsia"/>
                      <w:b/>
                      <w:bCs/>
                      <w:color w:val="auto"/>
                      <w:sz w:val="18"/>
                      <w:szCs w:val="18"/>
                    </w:rPr>
                    <w:t>环境管控单元编码</w:t>
                  </w:r>
                </w:p>
              </w:tc>
              <w:tc>
                <w:tcPr>
                  <w:tcW w:w="447" w:type="pct"/>
                  <w:vAlign w:val="center"/>
                </w:tcPr>
                <w:p>
                  <w:pPr>
                    <w:widowControl/>
                    <w:spacing w:line="260" w:lineRule="exact"/>
                    <w:jc w:val="center"/>
                    <w:outlineLvl w:val="1"/>
                    <w:rPr>
                      <w:rFonts w:hint="eastAsia" w:ascii="宋体" w:hAnsi="宋体" w:cs="宋体"/>
                      <w:b/>
                      <w:kern w:val="0"/>
                      <w:sz w:val="18"/>
                      <w:szCs w:val="18"/>
                    </w:rPr>
                  </w:pPr>
                  <w:r>
                    <w:rPr>
                      <w:rFonts w:hint="eastAsia" w:ascii="宋体" w:hAnsi="宋体" w:cs="宋体"/>
                      <w:b/>
                      <w:kern w:val="0"/>
                      <w:sz w:val="18"/>
                      <w:szCs w:val="18"/>
                    </w:rPr>
                    <w:t>环境管控</w:t>
                  </w:r>
                </w:p>
                <w:p>
                  <w:pPr>
                    <w:pStyle w:val="41"/>
                    <w:jc w:val="center"/>
                    <w:outlineLvl w:val="1"/>
                    <w:rPr>
                      <w:color w:val="auto"/>
                      <w:sz w:val="18"/>
                      <w:szCs w:val="18"/>
                    </w:rPr>
                  </w:pPr>
                  <w:r>
                    <w:rPr>
                      <w:rFonts w:hint="eastAsia" w:ascii="宋体" w:hAnsi="宋体" w:cs="宋体"/>
                      <w:b/>
                      <w:color w:val="auto"/>
                      <w:sz w:val="18"/>
                      <w:szCs w:val="18"/>
                    </w:rPr>
                    <w:t>单元名称</w:t>
                  </w:r>
                </w:p>
              </w:tc>
              <w:tc>
                <w:tcPr>
                  <w:tcW w:w="452" w:type="pct"/>
                  <w:vAlign w:val="center"/>
                </w:tcPr>
                <w:p>
                  <w:pPr>
                    <w:pStyle w:val="41"/>
                    <w:jc w:val="center"/>
                    <w:outlineLvl w:val="1"/>
                    <w:rPr>
                      <w:color w:val="auto"/>
                      <w:sz w:val="18"/>
                      <w:szCs w:val="18"/>
                    </w:rPr>
                  </w:pPr>
                  <w:r>
                    <w:rPr>
                      <w:rFonts w:hint="eastAsia" w:ascii="宋体" w:hAnsi="宋体" w:cs="宋体"/>
                      <w:b/>
                      <w:color w:val="auto"/>
                      <w:sz w:val="18"/>
                      <w:szCs w:val="18"/>
                    </w:rPr>
                    <w:t>管控单元类别</w:t>
                  </w:r>
                </w:p>
              </w:tc>
              <w:tc>
                <w:tcPr>
                  <w:tcW w:w="2347" w:type="pct"/>
                  <w:gridSpan w:val="2"/>
                  <w:vAlign w:val="center"/>
                </w:tcPr>
                <w:p>
                  <w:pPr>
                    <w:pStyle w:val="41"/>
                    <w:jc w:val="center"/>
                    <w:outlineLvl w:val="1"/>
                    <w:rPr>
                      <w:color w:val="auto"/>
                      <w:sz w:val="18"/>
                      <w:szCs w:val="18"/>
                    </w:rPr>
                  </w:pPr>
                  <w:r>
                    <w:rPr>
                      <w:rFonts w:ascii="Times New Roman" w:hAnsi="Times New Roman" w:cs="Times New Roman"/>
                      <w:b/>
                      <w:color w:val="auto"/>
                      <w:sz w:val="18"/>
                      <w:szCs w:val="18"/>
                    </w:rPr>
                    <w:t>管控要求</w:t>
                  </w:r>
                </w:p>
              </w:tc>
              <w:tc>
                <w:tcPr>
                  <w:tcW w:w="861" w:type="pct"/>
                  <w:vAlign w:val="center"/>
                </w:tcPr>
                <w:p>
                  <w:pPr>
                    <w:pStyle w:val="41"/>
                    <w:jc w:val="center"/>
                    <w:outlineLvl w:val="1"/>
                    <w:rPr>
                      <w:color w:val="auto"/>
                      <w:sz w:val="18"/>
                      <w:szCs w:val="18"/>
                    </w:rPr>
                  </w:pPr>
                  <w:r>
                    <w:rPr>
                      <w:rFonts w:ascii="Times New Roman" w:hAnsi="Times New Roman" w:cs="Times New Roman"/>
                      <w:b/>
                      <w:color w:val="auto"/>
                      <w:sz w:val="18"/>
                      <w:szCs w:val="18"/>
                    </w:rPr>
                    <w:t>本项目</w:t>
                  </w:r>
                </w:p>
              </w:tc>
              <w:tc>
                <w:tcPr>
                  <w:tcW w:w="253" w:type="pct"/>
                  <w:vAlign w:val="center"/>
                </w:tcPr>
                <w:p>
                  <w:pPr>
                    <w:pStyle w:val="41"/>
                    <w:jc w:val="center"/>
                    <w:outlineLvl w:val="1"/>
                    <w:rPr>
                      <w:color w:val="auto"/>
                      <w:sz w:val="18"/>
                      <w:szCs w:val="18"/>
                    </w:rPr>
                  </w:pPr>
                  <w:r>
                    <w:rPr>
                      <w:rFonts w:ascii="Times New Roman" w:hAnsi="Times New Roman" w:cs="Times New Roman"/>
                      <w:b/>
                      <w:color w:val="auto"/>
                      <w:sz w:val="18"/>
                      <w:szCs w:val="18"/>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restart"/>
                  <w:vAlign w:val="center"/>
                </w:tcPr>
                <w:p>
                  <w:pPr>
                    <w:pStyle w:val="41"/>
                    <w:jc w:val="center"/>
                    <w:outlineLvl w:val="1"/>
                    <w:rPr>
                      <w:color w:val="auto"/>
                      <w:sz w:val="18"/>
                      <w:szCs w:val="18"/>
                    </w:rPr>
                  </w:pPr>
                  <w:r>
                    <w:rPr>
                      <w:rFonts w:ascii="Times New Roman" w:hAnsi="Times New Roman" w:cs="Times New Roman"/>
                      <w:color w:val="auto"/>
                      <w:sz w:val="18"/>
                      <w:szCs w:val="18"/>
                    </w:rPr>
                    <w:t>ZH350181</w:t>
                  </w:r>
                  <w:r>
                    <w:rPr>
                      <w:rFonts w:hint="eastAsia" w:ascii="Times New Roman" w:hAnsi="Times New Roman" w:cs="Times New Roman"/>
                      <w:color w:val="auto"/>
                      <w:sz w:val="18"/>
                      <w:szCs w:val="18"/>
                    </w:rPr>
                    <w:t xml:space="preserve"> </w:t>
                  </w:r>
                  <w:r>
                    <w:rPr>
                      <w:rFonts w:ascii="Times New Roman" w:hAnsi="Times New Roman" w:cs="Times New Roman"/>
                      <w:color w:val="auto"/>
                      <w:sz w:val="18"/>
                      <w:szCs w:val="18"/>
                    </w:rPr>
                    <w:t>20008</w:t>
                  </w:r>
                </w:p>
              </w:tc>
              <w:tc>
                <w:tcPr>
                  <w:tcW w:w="447" w:type="pct"/>
                  <w:vMerge w:val="restart"/>
                  <w:vAlign w:val="center"/>
                </w:tcPr>
                <w:p>
                  <w:pPr>
                    <w:pStyle w:val="41"/>
                    <w:jc w:val="center"/>
                    <w:outlineLvl w:val="1"/>
                    <w:rPr>
                      <w:color w:val="auto"/>
                      <w:sz w:val="18"/>
                      <w:szCs w:val="18"/>
                    </w:rPr>
                  </w:pPr>
                  <w:r>
                    <w:rPr>
                      <w:rFonts w:hint="eastAsia"/>
                      <w:color w:val="auto"/>
                      <w:sz w:val="18"/>
                      <w:szCs w:val="18"/>
                    </w:rPr>
                    <w:t>福清市重点管控单元1</w:t>
                  </w:r>
                </w:p>
              </w:tc>
              <w:tc>
                <w:tcPr>
                  <w:tcW w:w="452" w:type="pct"/>
                  <w:vMerge w:val="restart"/>
                  <w:vAlign w:val="center"/>
                </w:tcPr>
                <w:p>
                  <w:pPr>
                    <w:pStyle w:val="41"/>
                    <w:jc w:val="center"/>
                    <w:outlineLvl w:val="1"/>
                    <w:rPr>
                      <w:color w:val="auto"/>
                      <w:sz w:val="18"/>
                      <w:szCs w:val="18"/>
                    </w:rPr>
                  </w:pPr>
                  <w:r>
                    <w:rPr>
                      <w:rFonts w:hint="eastAsia"/>
                      <w:color w:val="auto"/>
                      <w:sz w:val="18"/>
                      <w:szCs w:val="18"/>
                    </w:rPr>
                    <w:t>重点管控单元</w:t>
                  </w:r>
                </w:p>
              </w:tc>
              <w:tc>
                <w:tcPr>
                  <w:tcW w:w="451" w:type="pct"/>
                  <w:vAlign w:val="center"/>
                </w:tcPr>
                <w:p>
                  <w:pPr>
                    <w:pStyle w:val="41"/>
                    <w:jc w:val="center"/>
                    <w:outlineLvl w:val="1"/>
                    <w:rPr>
                      <w:color w:val="auto"/>
                      <w:sz w:val="18"/>
                      <w:szCs w:val="18"/>
                    </w:rPr>
                  </w:pPr>
                  <w:r>
                    <w:rPr>
                      <w:rFonts w:hint="eastAsia" w:ascii="宋体" w:hAnsi="宋体" w:cs="宋体"/>
                      <w:color w:val="auto"/>
                      <w:sz w:val="18"/>
                      <w:szCs w:val="18"/>
                    </w:rPr>
                    <w:t>空间布局约束</w:t>
                  </w:r>
                </w:p>
              </w:tc>
              <w:tc>
                <w:tcPr>
                  <w:tcW w:w="1896" w:type="pct"/>
                  <w:vAlign w:val="center"/>
                </w:tcPr>
                <w:p>
                  <w:pPr>
                    <w:rPr>
                      <w:rFonts w:hint="eastAsia" w:ascii="宋体" w:hAnsi="宋体" w:cs="宋体"/>
                      <w:sz w:val="18"/>
                      <w:szCs w:val="18"/>
                    </w:rPr>
                  </w:pPr>
                  <w:r>
                    <w:rPr>
                      <w:rFonts w:hint="eastAsia"/>
                      <w:sz w:val="18"/>
                      <w:szCs w:val="18"/>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861" w:type="pct"/>
                  <w:vAlign w:val="center"/>
                </w:tcPr>
                <w:p>
                  <w:pPr>
                    <w:pStyle w:val="41"/>
                    <w:jc w:val="center"/>
                    <w:outlineLvl w:val="1"/>
                    <w:rPr>
                      <w:color w:val="auto"/>
                      <w:sz w:val="18"/>
                      <w:szCs w:val="18"/>
                    </w:rPr>
                  </w:pPr>
                  <w:r>
                    <w:rPr>
                      <w:rFonts w:hint="eastAsia" w:ascii="Times New Roman" w:hAnsi="Times New Roman" w:cs="Times New Roman"/>
                      <w:color w:val="auto"/>
                      <w:sz w:val="18"/>
                      <w:szCs w:val="18"/>
                    </w:rPr>
                    <w:t>本项目属于城市主干道建设项目，不属于左列禁止或限制的项目，且项目用地不属于建设用地污染地块名录及开发利用负面清单的土地。</w:t>
                  </w:r>
                </w:p>
              </w:tc>
              <w:tc>
                <w:tcPr>
                  <w:tcW w:w="253" w:type="pct"/>
                  <w:vAlign w:val="center"/>
                </w:tcPr>
                <w:p>
                  <w:pPr>
                    <w:pStyle w:val="41"/>
                    <w:jc w:val="center"/>
                    <w:outlineLvl w:val="1"/>
                    <w:rPr>
                      <w:color w:val="auto"/>
                      <w:sz w:val="18"/>
                      <w:szCs w:val="18"/>
                    </w:rPr>
                  </w:pPr>
                  <w:r>
                    <w:rPr>
                      <w:rFonts w:hint="eastAsia"/>
                      <w:color w:val="auto"/>
                      <w:sz w:val="18"/>
                      <w:szCs w:val="18"/>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continue"/>
                  <w:vAlign w:val="center"/>
                </w:tcPr>
                <w:p>
                  <w:pPr>
                    <w:pStyle w:val="41"/>
                    <w:jc w:val="center"/>
                    <w:outlineLvl w:val="9"/>
                    <w:rPr>
                      <w:rFonts w:ascii="Times New Roman" w:hAnsi="Times New Roman" w:cs="Times New Roman"/>
                      <w:color w:val="auto"/>
                      <w:sz w:val="18"/>
                      <w:szCs w:val="18"/>
                    </w:rPr>
                  </w:pPr>
                </w:p>
              </w:tc>
              <w:tc>
                <w:tcPr>
                  <w:tcW w:w="447" w:type="pct"/>
                  <w:vMerge w:val="continue"/>
                  <w:vAlign w:val="center"/>
                </w:tcPr>
                <w:p>
                  <w:pPr>
                    <w:pStyle w:val="41"/>
                    <w:jc w:val="center"/>
                    <w:outlineLvl w:val="9"/>
                    <w:rPr>
                      <w:color w:val="auto"/>
                      <w:sz w:val="18"/>
                      <w:szCs w:val="18"/>
                    </w:rPr>
                  </w:pPr>
                </w:p>
              </w:tc>
              <w:tc>
                <w:tcPr>
                  <w:tcW w:w="452" w:type="pct"/>
                  <w:vMerge w:val="continue"/>
                  <w:vAlign w:val="center"/>
                </w:tcPr>
                <w:p>
                  <w:pPr>
                    <w:pStyle w:val="41"/>
                    <w:jc w:val="center"/>
                    <w:outlineLvl w:val="9"/>
                    <w:rPr>
                      <w:color w:val="auto"/>
                      <w:sz w:val="18"/>
                      <w:szCs w:val="18"/>
                    </w:rPr>
                  </w:pPr>
                </w:p>
              </w:tc>
              <w:tc>
                <w:tcPr>
                  <w:tcW w:w="451" w:type="pct"/>
                  <w:vAlign w:val="center"/>
                </w:tcPr>
                <w:p>
                  <w:pPr>
                    <w:pStyle w:val="41"/>
                    <w:jc w:val="center"/>
                    <w:outlineLvl w:val="1"/>
                    <w:rPr>
                      <w:rFonts w:hint="eastAsia" w:ascii="宋体" w:hAnsi="宋体" w:cs="宋体"/>
                      <w:color w:val="auto"/>
                      <w:sz w:val="18"/>
                      <w:szCs w:val="18"/>
                    </w:rPr>
                  </w:pPr>
                  <w:r>
                    <w:rPr>
                      <w:rFonts w:hint="eastAsia" w:ascii="宋体" w:hAnsi="宋体" w:cs="宋体"/>
                      <w:color w:val="auto"/>
                      <w:sz w:val="18"/>
                      <w:szCs w:val="18"/>
                    </w:rPr>
                    <w:t>污染物排放管控</w:t>
                  </w:r>
                </w:p>
              </w:tc>
              <w:tc>
                <w:tcPr>
                  <w:tcW w:w="1896" w:type="pct"/>
                  <w:vAlign w:val="center"/>
                </w:tcPr>
                <w:p>
                  <w:pPr>
                    <w:rPr>
                      <w:sz w:val="18"/>
                      <w:szCs w:val="18"/>
                    </w:rPr>
                  </w:pPr>
                  <w:r>
                    <w:rPr>
                      <w:rFonts w:hint="eastAsia"/>
                      <w:sz w:val="18"/>
                      <w:szCs w:val="18"/>
                    </w:rPr>
                    <w:t>落实新增二氧化硫、氮氧化物和VOCs排放总量控制要求。</w:t>
                  </w:r>
                </w:p>
              </w:tc>
              <w:tc>
                <w:tcPr>
                  <w:tcW w:w="861" w:type="pct"/>
                  <w:vAlign w:val="center"/>
                </w:tcPr>
                <w:p>
                  <w:pPr>
                    <w:pStyle w:val="41"/>
                    <w:jc w:val="center"/>
                    <w:outlineLvl w:val="1"/>
                    <w:rPr>
                      <w:rFonts w:ascii="Times New Roman" w:hAnsi="Times New Roman" w:cs="Times New Roman"/>
                      <w:color w:val="auto"/>
                      <w:sz w:val="18"/>
                      <w:szCs w:val="18"/>
                    </w:rPr>
                  </w:pPr>
                  <w:r>
                    <w:rPr>
                      <w:color w:val="auto"/>
                      <w:sz w:val="18"/>
                      <w:szCs w:val="18"/>
                      <w:lang w:val="en-GB"/>
                    </w:rPr>
                    <w:t>本项目属于</w:t>
                  </w:r>
                  <w:r>
                    <w:rPr>
                      <w:rFonts w:hint="eastAsia" w:ascii="Times New Roman" w:hAnsi="Times New Roman" w:cs="Times New Roman"/>
                      <w:color w:val="auto"/>
                      <w:sz w:val="18"/>
                      <w:szCs w:val="18"/>
                    </w:rPr>
                    <w:t>城市主干道建设项目</w:t>
                  </w:r>
                  <w:r>
                    <w:rPr>
                      <w:color w:val="auto"/>
                      <w:sz w:val="18"/>
                      <w:szCs w:val="18"/>
                      <w:lang w:val="en-GB"/>
                    </w:rPr>
                    <w:t>，不属于</w:t>
                  </w:r>
                  <w:r>
                    <w:rPr>
                      <w:rFonts w:hint="eastAsia" w:ascii="宋体" w:hAnsi="宋体" w:cs="宋体"/>
                      <w:color w:val="auto"/>
                      <w:sz w:val="18"/>
                      <w:szCs w:val="18"/>
                    </w:rPr>
                    <w:t>工业企业</w:t>
                  </w:r>
                </w:p>
              </w:tc>
              <w:tc>
                <w:tcPr>
                  <w:tcW w:w="253" w:type="pct"/>
                  <w:vAlign w:val="center"/>
                </w:tcPr>
                <w:p>
                  <w:pPr>
                    <w:pStyle w:val="41"/>
                    <w:jc w:val="center"/>
                    <w:outlineLvl w:val="9"/>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continue"/>
                  <w:vAlign w:val="center"/>
                </w:tcPr>
                <w:p>
                  <w:pPr>
                    <w:pStyle w:val="41"/>
                    <w:jc w:val="center"/>
                    <w:outlineLvl w:val="9"/>
                    <w:rPr>
                      <w:rFonts w:ascii="Times New Roman" w:hAnsi="Times New Roman" w:cs="Times New Roman"/>
                      <w:color w:val="auto"/>
                      <w:sz w:val="18"/>
                      <w:szCs w:val="18"/>
                    </w:rPr>
                  </w:pPr>
                </w:p>
              </w:tc>
              <w:tc>
                <w:tcPr>
                  <w:tcW w:w="447" w:type="pct"/>
                  <w:vMerge w:val="continue"/>
                  <w:vAlign w:val="center"/>
                </w:tcPr>
                <w:p>
                  <w:pPr>
                    <w:pStyle w:val="41"/>
                    <w:jc w:val="center"/>
                    <w:outlineLvl w:val="9"/>
                    <w:rPr>
                      <w:color w:val="auto"/>
                      <w:sz w:val="18"/>
                      <w:szCs w:val="18"/>
                    </w:rPr>
                  </w:pPr>
                </w:p>
              </w:tc>
              <w:tc>
                <w:tcPr>
                  <w:tcW w:w="452" w:type="pct"/>
                  <w:vMerge w:val="continue"/>
                  <w:vAlign w:val="center"/>
                </w:tcPr>
                <w:p>
                  <w:pPr>
                    <w:pStyle w:val="41"/>
                    <w:jc w:val="center"/>
                    <w:outlineLvl w:val="9"/>
                    <w:rPr>
                      <w:color w:val="auto"/>
                      <w:sz w:val="18"/>
                      <w:szCs w:val="18"/>
                    </w:rPr>
                  </w:pPr>
                </w:p>
              </w:tc>
              <w:tc>
                <w:tcPr>
                  <w:tcW w:w="451" w:type="pct"/>
                  <w:vAlign w:val="center"/>
                </w:tcPr>
                <w:p>
                  <w:pPr>
                    <w:pStyle w:val="41"/>
                    <w:jc w:val="center"/>
                    <w:outlineLvl w:val="1"/>
                    <w:rPr>
                      <w:rFonts w:hint="eastAsia" w:ascii="宋体" w:hAnsi="宋体" w:cs="宋体"/>
                      <w:color w:val="auto"/>
                      <w:sz w:val="18"/>
                      <w:szCs w:val="18"/>
                    </w:rPr>
                  </w:pPr>
                  <w:r>
                    <w:rPr>
                      <w:rFonts w:hint="eastAsia" w:ascii="宋体" w:hAnsi="宋体" w:cs="宋体"/>
                      <w:color w:val="auto"/>
                      <w:sz w:val="18"/>
                      <w:szCs w:val="18"/>
                    </w:rPr>
                    <w:t>环境风险防控</w:t>
                  </w:r>
                </w:p>
              </w:tc>
              <w:tc>
                <w:tcPr>
                  <w:tcW w:w="1896" w:type="pct"/>
                  <w:vAlign w:val="center"/>
                </w:tcPr>
                <w:p>
                  <w:pPr>
                    <w:rPr>
                      <w:sz w:val="18"/>
                      <w:szCs w:val="18"/>
                    </w:rPr>
                  </w:pPr>
                  <w:r>
                    <w:rPr>
                      <w:rFonts w:hint="eastAsia"/>
                      <w:sz w:val="18"/>
                      <w:szCs w:val="18"/>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861" w:type="pct"/>
                  <w:vAlign w:val="center"/>
                </w:tcPr>
                <w:p>
                  <w:pPr>
                    <w:pStyle w:val="41"/>
                    <w:jc w:val="center"/>
                    <w:outlineLvl w:val="1"/>
                    <w:rPr>
                      <w:rFonts w:ascii="Times New Roman" w:hAnsi="Times New Roman" w:cs="Times New Roman"/>
                      <w:color w:val="auto"/>
                      <w:sz w:val="18"/>
                      <w:szCs w:val="18"/>
                    </w:rPr>
                  </w:pPr>
                  <w:r>
                    <w:rPr>
                      <w:rFonts w:hint="eastAsia"/>
                      <w:color w:val="auto"/>
                      <w:sz w:val="18"/>
                      <w:szCs w:val="18"/>
                      <w:lang w:val="en-GB"/>
                    </w:rPr>
                    <w:t>项目属于</w:t>
                  </w:r>
                  <w:r>
                    <w:rPr>
                      <w:rFonts w:hint="eastAsia" w:ascii="Times New Roman" w:hAnsi="Times New Roman" w:cs="Times New Roman"/>
                      <w:color w:val="auto"/>
                      <w:sz w:val="18"/>
                      <w:szCs w:val="18"/>
                    </w:rPr>
                    <w:t>城市主干道建设项目</w:t>
                  </w:r>
                  <w:r>
                    <w:rPr>
                      <w:color w:val="auto"/>
                      <w:sz w:val="18"/>
                      <w:szCs w:val="18"/>
                      <w:lang w:val="en-GB"/>
                    </w:rPr>
                    <w:t>，不属于</w:t>
                  </w:r>
                  <w:r>
                    <w:rPr>
                      <w:rFonts w:hint="eastAsia"/>
                      <w:color w:val="auto"/>
                      <w:sz w:val="18"/>
                      <w:szCs w:val="18"/>
                      <w:lang w:val="en-GB"/>
                    </w:rPr>
                    <w:t>化学原料和化学制品制造业、有色金属冶炼和压延加工业</w:t>
                  </w:r>
                  <w:r>
                    <w:rPr>
                      <w:rFonts w:hint="eastAsia" w:ascii="宋体" w:hAnsi="宋体" w:cs="宋体"/>
                      <w:color w:val="auto"/>
                      <w:sz w:val="18"/>
                      <w:szCs w:val="18"/>
                    </w:rPr>
                    <w:t>。</w:t>
                  </w:r>
                </w:p>
              </w:tc>
              <w:tc>
                <w:tcPr>
                  <w:tcW w:w="253" w:type="pct"/>
                  <w:vAlign w:val="center"/>
                </w:tcPr>
                <w:p>
                  <w:pPr>
                    <w:pStyle w:val="41"/>
                    <w:jc w:val="center"/>
                    <w:outlineLvl w:val="9"/>
                    <w:rPr>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continue"/>
                  <w:vAlign w:val="center"/>
                </w:tcPr>
                <w:p>
                  <w:pPr>
                    <w:pStyle w:val="41"/>
                    <w:jc w:val="center"/>
                    <w:outlineLvl w:val="9"/>
                    <w:rPr>
                      <w:rFonts w:ascii="Times New Roman" w:hAnsi="Times New Roman" w:cs="Times New Roman"/>
                      <w:color w:val="auto"/>
                      <w:sz w:val="18"/>
                      <w:szCs w:val="18"/>
                    </w:rPr>
                  </w:pPr>
                </w:p>
              </w:tc>
              <w:tc>
                <w:tcPr>
                  <w:tcW w:w="447" w:type="pct"/>
                  <w:vMerge w:val="continue"/>
                  <w:vAlign w:val="center"/>
                </w:tcPr>
                <w:p>
                  <w:pPr>
                    <w:pStyle w:val="41"/>
                    <w:jc w:val="center"/>
                    <w:outlineLvl w:val="9"/>
                    <w:rPr>
                      <w:color w:val="auto"/>
                      <w:sz w:val="18"/>
                      <w:szCs w:val="18"/>
                    </w:rPr>
                  </w:pPr>
                </w:p>
              </w:tc>
              <w:tc>
                <w:tcPr>
                  <w:tcW w:w="452" w:type="pct"/>
                  <w:vMerge w:val="continue"/>
                  <w:vAlign w:val="center"/>
                </w:tcPr>
                <w:p>
                  <w:pPr>
                    <w:pStyle w:val="41"/>
                    <w:jc w:val="center"/>
                    <w:outlineLvl w:val="9"/>
                    <w:rPr>
                      <w:color w:val="auto"/>
                      <w:sz w:val="18"/>
                      <w:szCs w:val="18"/>
                    </w:rPr>
                  </w:pPr>
                </w:p>
              </w:tc>
              <w:tc>
                <w:tcPr>
                  <w:tcW w:w="451" w:type="pct"/>
                  <w:vAlign w:val="center"/>
                </w:tcPr>
                <w:p>
                  <w:pPr>
                    <w:pStyle w:val="41"/>
                    <w:jc w:val="center"/>
                    <w:outlineLvl w:val="1"/>
                    <w:rPr>
                      <w:rFonts w:hint="eastAsia" w:ascii="宋体" w:hAnsi="宋体" w:cs="宋体"/>
                      <w:color w:val="auto"/>
                      <w:sz w:val="18"/>
                      <w:szCs w:val="18"/>
                    </w:rPr>
                  </w:pPr>
                  <w:r>
                    <w:rPr>
                      <w:rFonts w:hint="eastAsia" w:ascii="宋体" w:hAnsi="宋体" w:cs="宋体"/>
                      <w:color w:val="auto"/>
                      <w:sz w:val="18"/>
                      <w:szCs w:val="18"/>
                    </w:rPr>
                    <w:t>资源开发效率要求</w:t>
                  </w:r>
                </w:p>
              </w:tc>
              <w:tc>
                <w:tcPr>
                  <w:tcW w:w="1896" w:type="pct"/>
                  <w:vAlign w:val="center"/>
                </w:tcPr>
                <w:p>
                  <w:pPr>
                    <w:rPr>
                      <w:sz w:val="18"/>
                      <w:szCs w:val="18"/>
                    </w:rPr>
                  </w:pPr>
                  <w:r>
                    <w:rPr>
                      <w:rFonts w:hint="eastAsia"/>
                      <w:sz w:val="18"/>
                      <w:szCs w:val="18"/>
                    </w:rPr>
                    <w:t>高污染燃料禁燃区内禁止燃用高污染燃料，禁止新建、扩建燃用高污染燃料的设施。已建的燃用高污染燃料设施，限期改用电、天然气、液化石油气等清洁能源。</w:t>
                  </w:r>
                </w:p>
              </w:tc>
              <w:tc>
                <w:tcPr>
                  <w:tcW w:w="861" w:type="pct"/>
                  <w:vAlign w:val="center"/>
                </w:tcPr>
                <w:p>
                  <w:pPr>
                    <w:pStyle w:val="41"/>
                    <w:jc w:val="center"/>
                    <w:outlineLvl w:val="1"/>
                    <w:rPr>
                      <w:rFonts w:ascii="Times New Roman" w:hAnsi="Times New Roman" w:cs="Times New Roman"/>
                      <w:color w:val="auto"/>
                      <w:sz w:val="18"/>
                      <w:szCs w:val="18"/>
                    </w:rPr>
                  </w:pPr>
                  <w:r>
                    <w:rPr>
                      <w:rFonts w:hint="eastAsia"/>
                      <w:color w:val="auto"/>
                      <w:sz w:val="18"/>
                      <w:szCs w:val="18"/>
                      <w:lang w:val="en-GB"/>
                    </w:rPr>
                    <w:t>项目属于</w:t>
                  </w:r>
                  <w:r>
                    <w:rPr>
                      <w:rFonts w:hint="eastAsia" w:ascii="Times New Roman" w:hAnsi="Times New Roman" w:cs="Times New Roman"/>
                      <w:color w:val="auto"/>
                      <w:sz w:val="18"/>
                      <w:szCs w:val="18"/>
                    </w:rPr>
                    <w:t>城市主干道建设项目</w:t>
                  </w:r>
                  <w:r>
                    <w:rPr>
                      <w:rFonts w:hint="eastAsia"/>
                      <w:color w:val="auto"/>
                      <w:sz w:val="18"/>
                      <w:szCs w:val="18"/>
                      <w:lang w:val="en-GB"/>
                    </w:rPr>
                    <w:t>，不涉及使用高污染燃料</w:t>
                  </w:r>
                </w:p>
              </w:tc>
              <w:tc>
                <w:tcPr>
                  <w:tcW w:w="253" w:type="pct"/>
                  <w:vAlign w:val="center"/>
                </w:tcPr>
                <w:p>
                  <w:pPr>
                    <w:pStyle w:val="41"/>
                    <w:jc w:val="center"/>
                    <w:outlineLvl w:val="9"/>
                    <w:rPr>
                      <w:color w:val="auto"/>
                      <w:sz w:val="18"/>
                      <w:szCs w:val="18"/>
                    </w:rPr>
                  </w:pPr>
                </w:p>
              </w:tc>
            </w:tr>
          </w:tbl>
          <w:p>
            <w:pPr>
              <w:spacing w:before="120" w:beforeLines="50" w:line="360" w:lineRule="auto"/>
              <w:ind w:firstLine="480" w:firstLineChars="200"/>
              <w:jc w:val="left"/>
              <w:outlineLvl w:val="1"/>
              <w:rPr>
                <w:color w:val="auto"/>
                <w:sz w:val="24"/>
              </w:rPr>
            </w:pPr>
            <w:bookmarkStart w:id="20" w:name="_Toc1711"/>
            <w:r>
              <w:rPr>
                <w:rFonts w:hint="eastAsia"/>
                <w:color w:val="auto"/>
                <w:sz w:val="24"/>
              </w:rPr>
              <w:t>根据上述分析，本项目与</w:t>
            </w:r>
            <w:r>
              <w:rPr>
                <w:rFonts w:hint="eastAsia" w:ascii="Times New Roman" w:hAnsi="Times New Roman" w:eastAsia="宋体" w:cs="Times New Roman"/>
                <w:color w:val="auto"/>
                <w:sz w:val="24"/>
              </w:rPr>
              <w:t>《福州市生态环境分区管控方案（2023年更新）》</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榕政办规〔2024〕20号</w:t>
            </w:r>
            <w:r>
              <w:rPr>
                <w:rFonts w:hint="eastAsia" w:ascii="Times New Roman" w:hAnsi="Times New Roman" w:eastAsia="宋体" w:cs="Times New Roman"/>
                <w:color w:val="auto"/>
                <w:sz w:val="24"/>
                <w:lang w:eastAsia="zh-CN"/>
              </w:rPr>
              <w:t>）</w:t>
            </w:r>
            <w:r>
              <w:rPr>
                <w:rFonts w:hint="eastAsia"/>
                <w:color w:val="auto"/>
                <w:sz w:val="24"/>
              </w:rPr>
              <w:t>中的相关规定是符合的。</w:t>
            </w:r>
            <w:bookmarkEnd w:id="20"/>
          </w:p>
          <w:p>
            <w:pPr>
              <w:spacing w:before="120" w:beforeLines="50" w:line="360" w:lineRule="auto"/>
              <w:ind w:firstLine="480" w:firstLineChars="200"/>
              <w:jc w:val="left"/>
              <w:outlineLvl w:val="1"/>
              <w:rPr>
                <w:szCs w:val="21"/>
              </w:rPr>
            </w:pPr>
            <w:bookmarkStart w:id="21" w:name="_Toc5329"/>
            <w:r>
              <w:rPr>
                <w:rFonts w:hint="eastAsia"/>
                <w:color w:val="auto"/>
                <w:sz w:val="24"/>
              </w:rPr>
              <w:t>综上，本项目符合“三线一单”要求。</w:t>
            </w:r>
            <w:bookmarkEnd w:id="21"/>
          </w:p>
        </w:tc>
      </w:tr>
    </w:tbl>
    <w:p>
      <w:pPr>
        <w:spacing w:line="360" w:lineRule="auto"/>
        <w:rPr>
          <w:rFonts w:eastAsia="黑体"/>
          <w:szCs w:val="21"/>
        </w:rPr>
        <w:sectPr>
          <w:footerReference r:id="rId7"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2"/>
        <w:spacing w:line="360" w:lineRule="auto"/>
        <w:jc w:val="center"/>
        <w:outlineLvl w:val="0"/>
        <w:rPr>
          <w:rFonts w:hint="eastAsia" w:ascii="黑体" w:hAnsi="黑体" w:eastAsia="黑体" w:cs="黑体"/>
          <w:snapToGrid w:val="0"/>
          <w:sz w:val="32"/>
          <w:szCs w:val="32"/>
        </w:rPr>
      </w:pPr>
      <w:bookmarkStart w:id="22" w:name="_Toc12709"/>
      <w:bookmarkStart w:id="23" w:name="_Toc20479"/>
      <w:bookmarkStart w:id="24" w:name="_Toc28693"/>
      <w:r>
        <w:rPr>
          <w:rFonts w:hint="eastAsia" w:ascii="黑体" w:hAnsi="黑体" w:eastAsia="黑体" w:cs="黑体"/>
          <w:b/>
          <w:bCs/>
          <w:snapToGrid w:val="0"/>
          <w:sz w:val="32"/>
          <w:szCs w:val="32"/>
        </w:rPr>
        <w:t>二、建设内容</w:t>
      </w:r>
      <w:bookmarkEnd w:id="22"/>
      <w:bookmarkEnd w:id="23"/>
      <w:bookmarkEnd w:id="24"/>
    </w:p>
    <w:tbl>
      <w:tblPr>
        <w:tblStyle w:val="27"/>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88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86" w:type="dxa"/>
            <w:vAlign w:val="center"/>
          </w:tcPr>
          <w:p>
            <w:pPr>
              <w:adjustRightInd w:val="0"/>
              <w:snapToGrid w:val="0"/>
              <w:spacing w:line="360" w:lineRule="auto"/>
              <w:jc w:val="center"/>
              <w:rPr>
                <w:rFonts w:hint="eastAsia" w:ascii="宋体" w:hAnsi="宋体" w:cs="宋体"/>
                <w:kern w:val="0"/>
                <w:szCs w:val="21"/>
              </w:rPr>
            </w:pPr>
            <w:r>
              <w:rPr>
                <w:rFonts w:hint="eastAsia" w:ascii="宋体" w:hAnsi="宋体" w:cs="宋体"/>
                <w:kern w:val="0"/>
                <w:szCs w:val="21"/>
              </w:rPr>
              <w:t>地理位置</w:t>
            </w:r>
          </w:p>
        </w:tc>
        <w:tc>
          <w:tcPr>
            <w:tcW w:w="8304" w:type="dxa"/>
            <w:vAlign w:val="center"/>
          </w:tcPr>
          <w:p>
            <w:pPr>
              <w:adjustRightInd w:val="0"/>
              <w:snapToGrid w:val="0"/>
              <w:spacing w:before="120" w:beforeLines="50" w:line="360" w:lineRule="auto"/>
              <w:ind w:firstLine="480" w:firstLineChars="200"/>
              <w:rPr>
                <w:sz w:val="24"/>
              </w:rPr>
            </w:pPr>
            <w:r>
              <w:rPr>
                <w:rFonts w:hint="eastAsia" w:ascii="宋体" w:hAnsi="宋体" w:cs="宋体"/>
                <w:kern w:val="0"/>
                <w:sz w:val="24"/>
              </w:rPr>
              <w:t>福泽大道北延伸段项目</w:t>
            </w:r>
            <w:r>
              <w:rPr>
                <w:rFonts w:hint="eastAsia"/>
                <w:color w:val="auto"/>
                <w:sz w:val="24"/>
              </w:rPr>
              <w:t>（以下简称“本项目”）</w:t>
            </w:r>
            <w:r>
              <w:rPr>
                <w:rFonts w:hint="eastAsia" w:ascii="宋体" w:hAnsi="宋体" w:cs="宋体"/>
                <w:kern w:val="0"/>
                <w:sz w:val="24"/>
              </w:rPr>
              <w:t>位于</w:t>
            </w:r>
            <w:r>
              <w:rPr>
                <w:rFonts w:hint="eastAsia"/>
                <w:sz w:val="24"/>
              </w:rPr>
              <w:t>福清市龙山街道、海口镇</w:t>
            </w:r>
            <w:r>
              <w:rPr>
                <w:rFonts w:hint="eastAsia" w:ascii="宋体" w:hAnsi="宋体" w:cs="宋体"/>
                <w:kern w:val="0"/>
                <w:sz w:val="24"/>
              </w:rPr>
              <w:t>。项目为新建道路，道路总体线位呈南北走向，起点位于清繁大道，终点位于纬一路。路线总长为</w:t>
            </w:r>
            <w:r>
              <w:rPr>
                <w:rFonts w:hint="eastAsia"/>
                <w:sz w:val="24"/>
              </w:rPr>
              <w:t>880m，道路红线宽度为40m。</w:t>
            </w:r>
          </w:p>
          <w:p>
            <w:pPr>
              <w:adjustRightInd w:val="0"/>
              <w:snapToGrid w:val="0"/>
              <w:spacing w:line="360" w:lineRule="auto"/>
              <w:ind w:firstLine="480" w:firstLineChars="200"/>
              <w:rPr>
                <w:rFonts w:hint="eastAsia" w:ascii="宋体" w:hAnsi="宋体" w:cs="宋体"/>
                <w:kern w:val="0"/>
                <w:szCs w:val="21"/>
              </w:rPr>
            </w:pPr>
            <w:r>
              <w:rPr>
                <w:sz w:val="24"/>
                <w:szCs w:val="21"/>
              </w:rPr>
              <w:t>项目地理位置</w:t>
            </w:r>
            <w:r>
              <w:rPr>
                <w:rFonts w:hint="eastAsia"/>
                <w:sz w:val="24"/>
                <w:szCs w:val="21"/>
              </w:rPr>
              <w:t>图详</w:t>
            </w:r>
            <w:r>
              <w:rPr>
                <w:sz w:val="24"/>
                <w:szCs w:val="21"/>
              </w:rPr>
              <w:t>见附图1</w:t>
            </w:r>
            <w:r>
              <w:rPr>
                <w:rFonts w:hint="eastAsia"/>
                <w:sz w:val="24"/>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43" w:hRule="atLeast"/>
          <w:jc w:val="center"/>
        </w:trPr>
        <w:tc>
          <w:tcPr>
            <w:tcW w:w="786" w:type="dxa"/>
            <w:vAlign w:val="center"/>
          </w:tcPr>
          <w:p>
            <w:pPr>
              <w:adjustRightInd w:val="0"/>
              <w:snapToGrid w:val="0"/>
              <w:spacing w:line="360" w:lineRule="auto"/>
              <w:jc w:val="center"/>
              <w:outlineLvl w:val="1"/>
              <w:rPr>
                <w:rFonts w:hint="eastAsia" w:ascii="宋体" w:hAnsi="宋体" w:cs="宋体"/>
                <w:kern w:val="0"/>
                <w:szCs w:val="21"/>
              </w:rPr>
            </w:pPr>
            <w:r>
              <w:rPr>
                <w:rFonts w:hint="eastAsia" w:ascii="宋体" w:hAnsi="宋体" w:cs="宋体"/>
                <w:kern w:val="0"/>
                <w:szCs w:val="21"/>
              </w:rPr>
              <w:t>项目组成及规模</w:t>
            </w:r>
          </w:p>
        </w:tc>
        <w:tc>
          <w:tcPr>
            <w:tcW w:w="8304" w:type="dxa"/>
            <w:vAlign w:val="center"/>
          </w:tcPr>
          <w:p>
            <w:pPr>
              <w:adjustRightInd w:val="0"/>
              <w:snapToGrid w:val="0"/>
              <w:spacing w:before="120" w:beforeLines="50" w:line="360" w:lineRule="auto"/>
              <w:outlineLvl w:val="1"/>
              <w:rPr>
                <w:b/>
                <w:bCs/>
                <w:sz w:val="24"/>
              </w:rPr>
            </w:pPr>
            <w:r>
              <w:rPr>
                <w:b/>
                <w:bCs/>
                <w:sz w:val="24"/>
              </w:rPr>
              <w:t>2.1</w:t>
            </w:r>
            <w:r>
              <w:rPr>
                <w:rFonts w:hint="eastAsia"/>
                <w:b/>
                <w:bCs/>
                <w:sz w:val="24"/>
              </w:rPr>
              <w:t xml:space="preserve"> </w:t>
            </w:r>
            <w:r>
              <w:rPr>
                <w:b/>
                <w:bCs/>
                <w:sz w:val="24"/>
              </w:rPr>
              <w:t>项目由来</w:t>
            </w:r>
          </w:p>
          <w:p>
            <w:pPr>
              <w:snapToGrid w:val="0"/>
              <w:spacing w:line="360" w:lineRule="auto"/>
              <w:ind w:firstLine="420"/>
              <w:outlineLvl w:val="1"/>
              <w:rPr>
                <w:sz w:val="24"/>
                <w:szCs w:val="24"/>
              </w:rPr>
            </w:pPr>
            <w:r>
              <w:rPr>
                <w:rFonts w:hint="eastAsia"/>
                <w:sz w:val="24"/>
              </w:rPr>
              <w:t>为满足城市总体规划，并完善</w:t>
            </w:r>
            <w:r>
              <w:rPr>
                <w:rFonts w:hint="eastAsia" w:ascii="宋体" w:hAnsi="宋体" w:cs="宋体"/>
                <w:sz w:val="24"/>
              </w:rPr>
              <w:t>福清市福泽片区</w:t>
            </w:r>
            <w:r>
              <w:rPr>
                <w:rFonts w:hint="eastAsia"/>
                <w:sz w:val="24"/>
              </w:rPr>
              <w:t>交通网的需要，促进区域经济发展，福清市城投建设投</w:t>
            </w:r>
            <w:r>
              <w:rPr>
                <w:rFonts w:hint="eastAsia"/>
                <w:sz w:val="24"/>
                <w:szCs w:val="24"/>
              </w:rPr>
              <w:t>资集团有限公司</w:t>
            </w:r>
            <w:r>
              <w:rPr>
                <w:rFonts w:hint="eastAsia"/>
                <w:color w:val="auto"/>
                <w:sz w:val="24"/>
                <w:szCs w:val="24"/>
              </w:rPr>
              <w:t>（以下简称“建设单位”）拟实施本项目</w:t>
            </w:r>
            <w:r>
              <w:rPr>
                <w:rFonts w:hint="eastAsia"/>
                <w:sz w:val="24"/>
                <w:szCs w:val="24"/>
              </w:rPr>
              <w:t>。</w:t>
            </w:r>
          </w:p>
          <w:p>
            <w:pPr>
              <w:pStyle w:val="80"/>
              <w:ind w:firstLine="480"/>
              <w:rPr>
                <w:rFonts w:hint="eastAsia"/>
                <w:color w:val="auto"/>
              </w:rPr>
            </w:pPr>
            <w:r>
              <w:rPr>
                <w:rFonts w:hint="eastAsia"/>
                <w:color w:val="auto"/>
              </w:rPr>
              <w:t>项目于202</w:t>
            </w:r>
            <w:r>
              <w:rPr>
                <w:rFonts w:hint="eastAsia"/>
                <w:color w:val="auto"/>
                <w:lang w:val="en-US" w:eastAsia="zh-CN"/>
              </w:rPr>
              <w:t>3</w:t>
            </w:r>
            <w:r>
              <w:rPr>
                <w:rFonts w:hint="eastAsia"/>
                <w:color w:val="auto"/>
              </w:rPr>
              <w:t>年</w:t>
            </w:r>
            <w:r>
              <w:rPr>
                <w:rFonts w:hint="eastAsia"/>
                <w:color w:val="auto"/>
                <w:lang w:val="en-US" w:eastAsia="zh-CN"/>
              </w:rPr>
              <w:t>04</w:t>
            </w:r>
            <w:r>
              <w:rPr>
                <w:rFonts w:hint="eastAsia"/>
                <w:color w:val="auto"/>
              </w:rPr>
              <w:t>月</w:t>
            </w:r>
            <w:r>
              <w:rPr>
                <w:rFonts w:hint="eastAsia"/>
                <w:color w:val="auto"/>
                <w:lang w:val="en-US" w:eastAsia="zh-CN"/>
              </w:rPr>
              <w:t>24</w:t>
            </w:r>
            <w:r>
              <w:rPr>
                <w:rFonts w:hint="eastAsia"/>
                <w:color w:val="auto"/>
              </w:rPr>
              <w:t>日取得项目用地预审与选址意见书（用字第</w:t>
            </w:r>
            <w:r>
              <w:rPr>
                <w:rFonts w:hint="eastAsia"/>
                <w:color w:val="auto"/>
                <w:lang w:val="en-US" w:eastAsia="zh-CN"/>
              </w:rPr>
              <w:t>350181202300111</w:t>
            </w:r>
            <w:r>
              <w:rPr>
                <w:rFonts w:hint="eastAsia"/>
                <w:color w:val="auto"/>
              </w:rPr>
              <w:t>号）</w:t>
            </w:r>
            <w:r>
              <w:rPr>
                <w:rFonts w:hint="eastAsia"/>
                <w:color w:val="auto"/>
                <w:lang w:eastAsia="zh-CN"/>
              </w:rPr>
              <w:t>，</w:t>
            </w:r>
            <w:r>
              <w:rPr>
                <w:rFonts w:hint="eastAsia"/>
                <w:color w:val="auto"/>
                <w:lang w:val="en-US" w:eastAsia="zh-CN"/>
              </w:rPr>
              <w:t>于</w:t>
            </w:r>
            <w:r>
              <w:rPr>
                <w:sz w:val="24"/>
              </w:rPr>
              <w:t>202</w:t>
            </w:r>
            <w:r>
              <w:rPr>
                <w:rFonts w:hint="eastAsia"/>
                <w:sz w:val="24"/>
              </w:rPr>
              <w:t>3年7月19日</w:t>
            </w:r>
            <w:r>
              <w:rPr>
                <w:rFonts w:hint="eastAsia"/>
                <w:color w:val="auto"/>
                <w:lang w:val="en-US" w:eastAsia="zh-CN"/>
              </w:rPr>
              <w:t>取得</w:t>
            </w:r>
            <w:r>
              <w:rPr>
                <w:rFonts w:hint="eastAsia"/>
                <w:sz w:val="24"/>
              </w:rPr>
              <w:t>福清市发展和改革局</w:t>
            </w:r>
            <w:r>
              <w:rPr>
                <w:rFonts w:hint="eastAsia"/>
                <w:color w:val="auto"/>
                <w:lang w:val="en-US" w:eastAsia="zh-CN"/>
              </w:rPr>
              <w:t>项目可行性研究报告的</w:t>
            </w:r>
            <w:r>
              <w:rPr>
                <w:rFonts w:hint="eastAsia"/>
                <w:color w:val="auto"/>
              </w:rPr>
              <w:t>批复（文号：</w:t>
            </w:r>
            <w:r>
              <w:rPr>
                <w:rFonts w:hint="eastAsia"/>
                <w:color w:val="auto"/>
                <w:lang w:val="en-US" w:eastAsia="zh-CN"/>
              </w:rPr>
              <w:t>融</w:t>
            </w:r>
            <w:r>
              <w:rPr>
                <w:rFonts w:hint="eastAsia"/>
                <w:color w:val="auto"/>
              </w:rPr>
              <w:t>发改审批[202</w:t>
            </w:r>
            <w:r>
              <w:rPr>
                <w:rFonts w:hint="eastAsia"/>
                <w:color w:val="auto"/>
                <w:lang w:val="en-US" w:eastAsia="zh-CN"/>
              </w:rPr>
              <w:t>3</w:t>
            </w:r>
            <w:r>
              <w:rPr>
                <w:rFonts w:hint="eastAsia"/>
                <w:color w:val="auto"/>
              </w:rPr>
              <w:t>]</w:t>
            </w:r>
            <w:r>
              <w:rPr>
                <w:rFonts w:hint="eastAsia"/>
                <w:color w:val="auto"/>
                <w:lang w:val="en-US" w:eastAsia="zh-CN"/>
              </w:rPr>
              <w:t>451</w:t>
            </w:r>
            <w:r>
              <w:rPr>
                <w:rFonts w:hint="eastAsia"/>
                <w:color w:val="auto"/>
              </w:rPr>
              <w:t>号）</w:t>
            </w:r>
            <w:r>
              <w:rPr>
                <w:rFonts w:hint="eastAsia"/>
                <w:color w:val="auto"/>
                <w:lang w:eastAsia="zh-CN"/>
              </w:rPr>
              <w:t>，</w:t>
            </w:r>
            <w:r>
              <w:rPr>
                <w:rFonts w:hint="eastAsia"/>
                <w:color w:val="auto"/>
                <w:lang w:val="en-US" w:eastAsia="zh-CN"/>
              </w:rPr>
              <w:t>于</w:t>
            </w:r>
            <w:r>
              <w:rPr>
                <w:sz w:val="24"/>
              </w:rPr>
              <w:t>202</w:t>
            </w:r>
            <w:r>
              <w:rPr>
                <w:rFonts w:hint="eastAsia"/>
                <w:sz w:val="24"/>
              </w:rPr>
              <w:t>3年</w:t>
            </w:r>
            <w:r>
              <w:rPr>
                <w:rFonts w:hint="eastAsia"/>
                <w:sz w:val="24"/>
                <w:lang w:val="en-US" w:eastAsia="zh-CN"/>
              </w:rPr>
              <w:t>10</w:t>
            </w:r>
            <w:r>
              <w:rPr>
                <w:rFonts w:hint="eastAsia"/>
                <w:sz w:val="24"/>
              </w:rPr>
              <w:t>月</w:t>
            </w:r>
            <w:r>
              <w:rPr>
                <w:rFonts w:hint="eastAsia"/>
                <w:sz w:val="24"/>
                <w:lang w:val="en-US" w:eastAsia="zh-CN"/>
              </w:rPr>
              <w:t>12</w:t>
            </w:r>
            <w:r>
              <w:rPr>
                <w:rFonts w:hint="eastAsia"/>
                <w:sz w:val="24"/>
              </w:rPr>
              <w:t>日</w:t>
            </w:r>
            <w:r>
              <w:rPr>
                <w:rFonts w:hint="eastAsia"/>
                <w:color w:val="auto"/>
                <w:lang w:val="en-US" w:eastAsia="zh-CN"/>
              </w:rPr>
              <w:t>取得</w:t>
            </w:r>
            <w:r>
              <w:rPr>
                <w:rFonts w:hint="eastAsia"/>
                <w:sz w:val="24"/>
              </w:rPr>
              <w:t>福清市发展和改革局</w:t>
            </w:r>
            <w:r>
              <w:rPr>
                <w:rFonts w:hint="eastAsia"/>
                <w:color w:val="auto"/>
                <w:lang w:val="en-US" w:eastAsia="zh-CN"/>
              </w:rPr>
              <w:t>项目初步设计的</w:t>
            </w:r>
            <w:r>
              <w:rPr>
                <w:rFonts w:hint="eastAsia"/>
                <w:color w:val="auto"/>
              </w:rPr>
              <w:t>批复（文号：</w:t>
            </w:r>
            <w:r>
              <w:rPr>
                <w:rFonts w:hint="eastAsia"/>
                <w:color w:val="auto"/>
                <w:lang w:val="en-US" w:eastAsia="zh-CN"/>
              </w:rPr>
              <w:t>融</w:t>
            </w:r>
            <w:r>
              <w:rPr>
                <w:rFonts w:hint="eastAsia"/>
                <w:color w:val="auto"/>
              </w:rPr>
              <w:t>发改审批[202</w:t>
            </w:r>
            <w:r>
              <w:rPr>
                <w:rFonts w:hint="eastAsia"/>
                <w:color w:val="auto"/>
                <w:lang w:val="en-US" w:eastAsia="zh-CN"/>
              </w:rPr>
              <w:t>3</w:t>
            </w:r>
            <w:r>
              <w:rPr>
                <w:rFonts w:hint="eastAsia"/>
                <w:color w:val="auto"/>
              </w:rPr>
              <w:t>]</w:t>
            </w:r>
            <w:r>
              <w:rPr>
                <w:rFonts w:hint="eastAsia"/>
                <w:color w:val="auto"/>
                <w:lang w:val="en-US" w:eastAsia="zh-CN"/>
              </w:rPr>
              <w:t>705</w:t>
            </w:r>
            <w:r>
              <w:rPr>
                <w:rFonts w:hint="eastAsia"/>
                <w:color w:val="auto"/>
              </w:rPr>
              <w:t>号）。项目</w:t>
            </w:r>
            <w:r>
              <w:rPr>
                <w:rFonts w:hint="eastAsia" w:ascii="宋体" w:hAnsi="宋体" w:cs="宋体"/>
                <w:kern w:val="0"/>
                <w:sz w:val="24"/>
              </w:rPr>
              <w:t>福泽大道北延伸段</w:t>
            </w:r>
            <w:r>
              <w:rPr>
                <w:rFonts w:hint="eastAsia"/>
                <w:color w:val="auto"/>
              </w:rPr>
              <w:t>，</w:t>
            </w:r>
            <w:r>
              <w:rPr>
                <w:rFonts w:hint="eastAsia"/>
                <w:color w:val="auto"/>
                <w:sz w:val="24"/>
              </w:rPr>
              <w:t>道路等级</w:t>
            </w:r>
            <w:r>
              <w:rPr>
                <w:rFonts w:hint="eastAsia"/>
                <w:color w:val="auto"/>
                <w:sz w:val="24"/>
                <w:lang w:val="en-US" w:eastAsia="zh-CN"/>
              </w:rPr>
              <w:t>为</w:t>
            </w:r>
            <w:r>
              <w:rPr>
                <w:rFonts w:hint="eastAsia"/>
                <w:color w:val="auto"/>
                <w:sz w:val="24"/>
              </w:rPr>
              <w:t>城市</w:t>
            </w:r>
            <w:r>
              <w:rPr>
                <w:rFonts w:hint="eastAsia"/>
                <w:color w:val="auto"/>
                <w:sz w:val="24"/>
                <w:lang w:val="en-US" w:eastAsia="zh-CN"/>
              </w:rPr>
              <w:t>主干路</w:t>
            </w:r>
            <w:r>
              <w:rPr>
                <w:rFonts w:hint="eastAsia"/>
                <w:color w:val="auto"/>
                <w:lang w:eastAsia="zh-CN"/>
              </w:rPr>
              <w:t>，</w:t>
            </w:r>
            <w:r>
              <w:rPr>
                <w:rFonts w:hint="eastAsia"/>
                <w:color w:val="auto"/>
                <w:lang w:val="en-US" w:eastAsia="zh-CN"/>
              </w:rPr>
              <w:t>新建</w:t>
            </w:r>
            <w:r>
              <w:rPr>
                <w:rFonts w:hint="eastAsia"/>
                <w:color w:val="auto"/>
              </w:rPr>
              <w:t>桥梁</w:t>
            </w:r>
            <w:r>
              <w:rPr>
                <w:rFonts w:hint="eastAsia"/>
                <w:color w:val="auto"/>
                <w:lang w:val="en-US" w:eastAsia="zh-CN"/>
              </w:rPr>
              <w:t>一</w:t>
            </w:r>
            <w:r>
              <w:rPr>
                <w:rFonts w:hint="eastAsia"/>
                <w:color w:val="auto"/>
              </w:rPr>
              <w:t>座</w:t>
            </w:r>
            <w:r>
              <w:rPr>
                <w:rFonts w:hint="eastAsia"/>
                <w:color w:val="auto"/>
                <w:lang w:eastAsia="zh-CN"/>
              </w:rPr>
              <w:t>，</w:t>
            </w:r>
            <w:r>
              <w:rPr>
                <w:rFonts w:hint="eastAsia"/>
                <w:color w:val="auto"/>
              </w:rPr>
              <w:t>建设内容包括道路、桥梁、给排水、配套管线、电气照明、绿化、交通设施等。根据《建设项目环境影响评价分类管理名录》</w:t>
            </w:r>
            <w:r>
              <w:rPr>
                <w:color w:val="auto"/>
              </w:rPr>
              <w:t>(</w:t>
            </w:r>
            <w:r>
              <w:rPr>
                <w:rFonts w:hint="eastAsia"/>
                <w:color w:val="auto"/>
              </w:rPr>
              <w:t>2021年</w:t>
            </w:r>
            <w:r>
              <w:rPr>
                <w:rFonts w:hint="eastAsia"/>
                <w:color w:val="auto"/>
                <w:lang w:val="en-US" w:eastAsia="zh-CN"/>
              </w:rPr>
              <w:t>版</w:t>
            </w:r>
            <w:r>
              <w:rPr>
                <w:color w:val="auto"/>
              </w:rPr>
              <w:t>)</w:t>
            </w:r>
            <w:r>
              <w:rPr>
                <w:rFonts w:hint="eastAsia"/>
                <w:color w:val="auto"/>
              </w:rPr>
              <w:t>，项目涉及新建</w:t>
            </w:r>
            <w:r>
              <w:rPr>
                <w:rFonts w:hint="eastAsia"/>
                <w:color w:val="auto"/>
                <w:lang w:val="en-US" w:eastAsia="zh-CN"/>
              </w:rPr>
              <w:t>主干路和</w:t>
            </w:r>
            <w:r>
              <w:rPr>
                <w:rFonts w:hint="eastAsia"/>
                <w:color w:val="auto"/>
              </w:rPr>
              <w:t>城市桥梁，应编制环境影响报告表。</w:t>
            </w:r>
            <w:r>
              <w:rPr>
                <w:color w:val="auto"/>
              </w:rPr>
              <w:t>因此，建设单位委托</w:t>
            </w:r>
            <w:r>
              <w:rPr>
                <w:rFonts w:hint="eastAsia"/>
                <w:color w:val="auto"/>
              </w:rPr>
              <w:t>我</w:t>
            </w:r>
            <w:r>
              <w:rPr>
                <w:color w:val="auto"/>
              </w:rPr>
              <w:t>公司编制该项目的环境影响报告表。本环评单位接受委托后，立即派技术人员踏勘现场和收集有关资料，编写</w:t>
            </w:r>
            <w:r>
              <w:rPr>
                <w:rFonts w:hint="eastAsia"/>
                <w:color w:val="auto"/>
              </w:rPr>
              <w:t>完成本项目环评</w:t>
            </w:r>
            <w:r>
              <w:rPr>
                <w:color w:val="auto"/>
              </w:rPr>
              <w:t>报告表</w:t>
            </w:r>
            <w:r>
              <w:rPr>
                <w:rFonts w:hint="eastAsia"/>
                <w:color w:val="auto"/>
              </w:rPr>
              <w:t>及相应的声环境专项评价</w:t>
            </w:r>
            <w:r>
              <w:rPr>
                <w:color w:val="auto"/>
              </w:rPr>
              <w:t>，供建设单位上报审批。委托书见</w:t>
            </w:r>
            <w:r>
              <w:rPr>
                <w:b/>
                <w:bCs/>
                <w:color w:val="auto"/>
              </w:rPr>
              <w:t>附件</w:t>
            </w:r>
            <w:r>
              <w:rPr>
                <w:rFonts w:hint="eastAsia"/>
                <w:b/>
                <w:bCs/>
                <w:color w:val="auto"/>
              </w:rPr>
              <w:t>1</w:t>
            </w:r>
            <w:r>
              <w:rPr>
                <w:rFonts w:hint="eastAsia"/>
                <w:color w:val="auto"/>
              </w:rPr>
              <w:t>。</w:t>
            </w:r>
          </w:p>
          <w:p>
            <w:pPr>
              <w:pStyle w:val="81"/>
              <w:ind w:firstLine="480"/>
              <w:rPr>
                <w:color w:val="auto"/>
              </w:rPr>
            </w:pPr>
            <w:r>
              <w:rPr>
                <w:rFonts w:hint="eastAsia"/>
                <w:color w:val="auto"/>
              </w:rPr>
              <w:t>表2</w:t>
            </w:r>
            <w:r>
              <w:rPr>
                <w:rFonts w:hint="eastAsia"/>
                <w:color w:val="auto"/>
                <w:lang w:val="en-US" w:eastAsia="zh-CN"/>
              </w:rPr>
              <w:t>.1-</w:t>
            </w:r>
            <w:r>
              <w:rPr>
                <w:rFonts w:hint="eastAsia"/>
                <w:color w:val="auto"/>
              </w:rPr>
              <w:t>1 《建设项目环境影响评价分类管理名录》摘录</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2881"/>
              <w:gridCol w:w="1715"/>
              <w:gridCol w:w="2136"/>
              <w:gridCol w:w="13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2" w:type="pct"/>
                  <w:gridSpan w:val="2"/>
                  <w:tcBorders>
                    <w:tl2br w:val="single" w:color="auto" w:sz="4" w:space="0"/>
                  </w:tcBorders>
                  <w:shd w:val="clear" w:color="auto" w:fill="auto"/>
                  <w:noWrap w:val="0"/>
                  <w:vAlign w:val="center"/>
                </w:tcPr>
                <w:p>
                  <w:pPr>
                    <w:pStyle w:val="82"/>
                    <w:spacing w:before="0"/>
                    <w:jc w:val="right"/>
                    <w:rPr>
                      <w:color w:val="auto"/>
                    </w:rPr>
                  </w:pPr>
                  <w:r>
                    <w:rPr>
                      <w:color w:val="auto"/>
                    </w:rPr>
                    <w:t>项目类别</w:t>
                  </w:r>
                </w:p>
                <w:p>
                  <w:pPr>
                    <w:pStyle w:val="82"/>
                    <w:spacing w:before="0"/>
                    <w:jc w:val="both"/>
                    <w:rPr>
                      <w:color w:val="auto"/>
                    </w:rPr>
                  </w:pPr>
                  <w:r>
                    <w:rPr>
                      <w:color w:val="auto"/>
                    </w:rPr>
                    <w:t>环评类别</w:t>
                  </w:r>
                </w:p>
              </w:tc>
              <w:tc>
                <w:tcPr>
                  <w:tcW w:w="991" w:type="pct"/>
                  <w:shd w:val="clear" w:color="auto" w:fill="auto"/>
                  <w:noWrap w:val="0"/>
                  <w:vAlign w:val="center"/>
                </w:tcPr>
                <w:p>
                  <w:pPr>
                    <w:pStyle w:val="82"/>
                    <w:spacing w:before="0"/>
                    <w:rPr>
                      <w:color w:val="auto"/>
                    </w:rPr>
                  </w:pPr>
                  <w:r>
                    <w:rPr>
                      <w:color w:val="auto"/>
                    </w:rPr>
                    <w:t>报告书</w:t>
                  </w:r>
                </w:p>
              </w:tc>
              <w:tc>
                <w:tcPr>
                  <w:tcW w:w="1234" w:type="pct"/>
                  <w:shd w:val="clear" w:color="auto" w:fill="D7D7D7"/>
                  <w:noWrap w:val="0"/>
                  <w:vAlign w:val="center"/>
                </w:tcPr>
                <w:p>
                  <w:pPr>
                    <w:pStyle w:val="82"/>
                    <w:spacing w:before="0"/>
                    <w:rPr>
                      <w:color w:val="auto"/>
                    </w:rPr>
                  </w:pPr>
                  <w:r>
                    <w:rPr>
                      <w:color w:val="auto"/>
                    </w:rPr>
                    <w:t>报告表</w:t>
                  </w:r>
                </w:p>
              </w:tc>
              <w:tc>
                <w:tcPr>
                  <w:tcW w:w="792" w:type="pct"/>
                  <w:noWrap w:val="0"/>
                  <w:vAlign w:val="center"/>
                </w:tcPr>
                <w:p>
                  <w:pPr>
                    <w:pStyle w:val="82"/>
                    <w:spacing w:before="0"/>
                    <w:rPr>
                      <w:color w:val="auto"/>
                    </w:rPr>
                  </w:pPr>
                  <w:r>
                    <w:rPr>
                      <w:color w:val="auto"/>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shd w:val="clear" w:color="auto" w:fill="D7D7D7"/>
                  <w:noWrap w:val="0"/>
                  <w:vAlign w:val="center"/>
                </w:tcPr>
                <w:p>
                  <w:pPr>
                    <w:widowControl/>
                    <w:jc w:val="left"/>
                    <w:rPr>
                      <w:color w:val="auto"/>
                    </w:rPr>
                  </w:pPr>
                  <w:r>
                    <w:rPr>
                      <w:rFonts w:hint="eastAsia"/>
                      <w:color w:val="auto"/>
                    </w:rPr>
                    <w:t>五十二</w:t>
                  </w:r>
                  <w:r>
                    <w:rPr>
                      <w:color w:val="auto"/>
                    </w:rPr>
                    <w:t>、</w:t>
                  </w:r>
                  <w:r>
                    <w:rPr>
                      <w:rFonts w:hint="eastAsia"/>
                      <w:color w:val="auto"/>
                    </w:rPr>
                    <w:t>交通运输业、管道运输业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7" w:type="pct"/>
                  <w:shd w:val="clear" w:color="auto" w:fill="auto"/>
                  <w:noWrap w:val="0"/>
                  <w:vAlign w:val="center"/>
                </w:tcPr>
                <w:p>
                  <w:pPr>
                    <w:pStyle w:val="82"/>
                    <w:spacing w:before="0"/>
                    <w:rPr>
                      <w:color w:val="auto"/>
                    </w:rPr>
                  </w:pPr>
                  <w:r>
                    <w:rPr>
                      <w:rFonts w:hint="eastAsia"/>
                      <w:color w:val="auto"/>
                    </w:rPr>
                    <w:t>131</w:t>
                  </w:r>
                </w:p>
              </w:tc>
              <w:tc>
                <w:tcPr>
                  <w:tcW w:w="1664" w:type="pct"/>
                  <w:shd w:val="clear" w:color="auto" w:fill="auto"/>
                  <w:noWrap w:val="0"/>
                  <w:vAlign w:val="center"/>
                </w:tcPr>
                <w:p>
                  <w:pPr>
                    <w:pStyle w:val="82"/>
                    <w:spacing w:before="0"/>
                    <w:rPr>
                      <w:color w:val="auto"/>
                    </w:rPr>
                  </w:pPr>
                  <w:r>
                    <w:rPr>
                      <w:rFonts w:hint="eastAsia"/>
                      <w:color w:val="auto"/>
                    </w:rPr>
                    <w:t>城市道路（不含维护，不含支路、人行天桥、人行地道）</w:t>
                  </w:r>
                </w:p>
              </w:tc>
              <w:tc>
                <w:tcPr>
                  <w:tcW w:w="991" w:type="pct"/>
                  <w:shd w:val="clear" w:color="auto" w:fill="auto"/>
                  <w:noWrap w:val="0"/>
                  <w:vAlign w:val="center"/>
                </w:tcPr>
                <w:p>
                  <w:pPr>
                    <w:pStyle w:val="82"/>
                    <w:spacing w:before="0"/>
                    <w:rPr>
                      <w:color w:val="auto"/>
                    </w:rPr>
                  </w:pPr>
                  <w:r>
                    <w:rPr>
                      <w:rFonts w:hint="eastAsia"/>
                      <w:color w:val="auto"/>
                    </w:rPr>
                    <w:t>/</w:t>
                  </w:r>
                </w:p>
              </w:tc>
              <w:tc>
                <w:tcPr>
                  <w:tcW w:w="1234" w:type="pct"/>
                  <w:shd w:val="clear" w:color="auto" w:fill="D7D7D7"/>
                  <w:noWrap w:val="0"/>
                  <w:vAlign w:val="center"/>
                </w:tcPr>
                <w:p>
                  <w:pPr>
                    <w:pStyle w:val="82"/>
                    <w:spacing w:before="0"/>
                    <w:rPr>
                      <w:color w:val="auto"/>
                    </w:rPr>
                  </w:pPr>
                  <w:r>
                    <w:rPr>
                      <w:rFonts w:hint="eastAsia"/>
                      <w:color w:val="auto"/>
                    </w:rPr>
                    <w:t>新建快速路、主干路；城市桥梁、隧道</w:t>
                  </w:r>
                </w:p>
              </w:tc>
              <w:tc>
                <w:tcPr>
                  <w:tcW w:w="792" w:type="pct"/>
                  <w:noWrap w:val="0"/>
                  <w:vAlign w:val="center"/>
                </w:tcPr>
                <w:p>
                  <w:pPr>
                    <w:widowControl/>
                    <w:jc w:val="center"/>
                    <w:rPr>
                      <w:color w:val="auto"/>
                    </w:rPr>
                  </w:pPr>
                  <w:r>
                    <w:rPr>
                      <w:color w:val="auto"/>
                    </w:rPr>
                    <w:t>其他</w:t>
                  </w:r>
                </w:p>
              </w:tc>
            </w:tr>
          </w:tbl>
          <w:p>
            <w:pPr>
              <w:snapToGrid w:val="0"/>
              <w:spacing w:line="360" w:lineRule="auto"/>
              <w:ind w:firstLine="420"/>
              <w:outlineLvl w:val="9"/>
              <w:rPr>
                <w:sz w:val="24"/>
              </w:rPr>
            </w:pPr>
          </w:p>
          <w:p>
            <w:pPr>
              <w:adjustRightInd w:val="0"/>
              <w:snapToGrid w:val="0"/>
              <w:spacing w:line="360" w:lineRule="auto"/>
              <w:outlineLvl w:val="1"/>
              <w:rPr>
                <w:b/>
                <w:bCs/>
                <w:sz w:val="24"/>
              </w:rPr>
            </w:pPr>
            <w:r>
              <w:rPr>
                <w:b/>
                <w:bCs/>
                <w:sz w:val="24"/>
              </w:rPr>
              <w:t>2.</w:t>
            </w:r>
            <w:r>
              <w:rPr>
                <w:rFonts w:hint="eastAsia"/>
                <w:b/>
                <w:bCs/>
                <w:sz w:val="24"/>
                <w:lang w:val="en-US" w:eastAsia="zh-CN"/>
              </w:rPr>
              <w:t>2</w:t>
            </w:r>
            <w:r>
              <w:rPr>
                <w:rFonts w:hint="eastAsia"/>
                <w:b/>
                <w:bCs/>
                <w:sz w:val="24"/>
              </w:rPr>
              <w:t xml:space="preserve"> </w:t>
            </w:r>
            <w:r>
              <w:rPr>
                <w:b/>
                <w:bCs/>
                <w:sz w:val="24"/>
              </w:rPr>
              <w:t>项目建设内容及规模</w:t>
            </w:r>
          </w:p>
          <w:p>
            <w:pPr>
              <w:snapToGrid w:val="0"/>
              <w:spacing w:line="360" w:lineRule="auto"/>
              <w:ind w:firstLine="420"/>
              <w:outlineLvl w:val="1"/>
              <w:rPr>
                <w:rFonts w:hint="eastAsia" w:ascii="宋体" w:hAnsi="宋体" w:cs="宋体"/>
                <w:sz w:val="24"/>
              </w:rPr>
            </w:pPr>
            <w:r>
              <w:rPr>
                <w:sz w:val="24"/>
              </w:rPr>
              <w:t>（1）项目名称：</w:t>
            </w:r>
            <w:r>
              <w:rPr>
                <w:rFonts w:hint="eastAsia" w:ascii="宋体" w:hAnsi="宋体" w:cs="宋体"/>
                <w:sz w:val="24"/>
              </w:rPr>
              <w:t>福泽大道北延伸段项目</w:t>
            </w:r>
          </w:p>
          <w:p>
            <w:pPr>
              <w:snapToGrid w:val="0"/>
              <w:spacing w:line="360" w:lineRule="auto"/>
              <w:ind w:firstLine="420"/>
              <w:outlineLvl w:val="1"/>
              <w:rPr>
                <w:sz w:val="24"/>
              </w:rPr>
            </w:pPr>
            <w:r>
              <w:rPr>
                <w:sz w:val="24"/>
              </w:rPr>
              <w:t>（2）建设单位：福清市城投建设投资集团有限公司</w:t>
            </w:r>
          </w:p>
          <w:p>
            <w:pPr>
              <w:snapToGrid w:val="0"/>
              <w:spacing w:line="360" w:lineRule="auto"/>
              <w:ind w:firstLine="420"/>
              <w:outlineLvl w:val="1"/>
              <w:rPr>
                <w:sz w:val="24"/>
              </w:rPr>
            </w:pPr>
            <w:r>
              <w:rPr>
                <w:sz w:val="24"/>
              </w:rPr>
              <w:t>（3）建设地点：</w:t>
            </w:r>
            <w:r>
              <w:rPr>
                <w:rFonts w:hint="eastAsia"/>
                <w:sz w:val="24"/>
              </w:rPr>
              <w:t>福清市龙山街道、海口镇</w:t>
            </w:r>
          </w:p>
          <w:p>
            <w:pPr>
              <w:snapToGrid w:val="0"/>
              <w:spacing w:line="360" w:lineRule="auto"/>
              <w:ind w:firstLine="420"/>
              <w:outlineLvl w:val="1"/>
              <w:rPr>
                <w:sz w:val="24"/>
              </w:rPr>
            </w:pPr>
            <w:r>
              <w:rPr>
                <w:sz w:val="24"/>
              </w:rPr>
              <w:t>（4）</w:t>
            </w:r>
            <w:r>
              <w:rPr>
                <w:rFonts w:hint="default" w:ascii="Times New Roman" w:hAnsi="Times New Roman" w:cs="Times New Roman"/>
                <w:sz w:val="24"/>
              </w:rPr>
              <w:t>用地</w:t>
            </w:r>
            <w:r>
              <w:rPr>
                <w:rFonts w:hint="eastAsia" w:cs="Times New Roman"/>
                <w:sz w:val="24"/>
                <w:lang w:val="en-US" w:eastAsia="zh-CN"/>
              </w:rPr>
              <w:t>面积</w:t>
            </w:r>
            <w:r>
              <w:rPr>
                <w:rFonts w:hint="default" w:ascii="Times New Roman" w:hAnsi="Times New Roman" w:cs="Times New Roman"/>
                <w:sz w:val="24"/>
              </w:rPr>
              <w:t>：</w:t>
            </w:r>
            <w:r>
              <w:rPr>
                <w:rFonts w:hint="eastAsia" w:cs="Times New Roman"/>
                <w:sz w:val="24"/>
                <w:lang w:val="en-US" w:eastAsia="zh-CN"/>
              </w:rPr>
              <w:t>40976m</w:t>
            </w:r>
            <w:r>
              <w:rPr>
                <w:rFonts w:hint="eastAsia" w:cs="Times New Roman"/>
                <w:sz w:val="24"/>
                <w:vertAlign w:val="superscript"/>
                <w:lang w:val="en-US" w:eastAsia="zh-CN"/>
              </w:rPr>
              <w:t>2</w:t>
            </w:r>
          </w:p>
          <w:p>
            <w:pPr>
              <w:snapToGrid w:val="0"/>
              <w:spacing w:line="360" w:lineRule="auto"/>
              <w:ind w:firstLine="420"/>
              <w:outlineLvl w:val="1"/>
              <w:rPr>
                <w:sz w:val="24"/>
              </w:rPr>
            </w:pPr>
            <w:r>
              <w:rPr>
                <w:rFonts w:hint="eastAsia"/>
                <w:sz w:val="24"/>
              </w:rPr>
              <w:t>（5）建设性质</w:t>
            </w:r>
            <w:r>
              <w:rPr>
                <w:sz w:val="24"/>
              </w:rPr>
              <w:t>：新建</w:t>
            </w:r>
          </w:p>
          <w:p>
            <w:pPr>
              <w:snapToGrid w:val="0"/>
              <w:spacing w:line="360" w:lineRule="auto"/>
              <w:ind w:firstLine="420"/>
              <w:outlineLvl w:val="1"/>
              <w:rPr>
                <w:sz w:val="24"/>
              </w:rPr>
            </w:pPr>
            <w:r>
              <w:rPr>
                <w:sz w:val="24"/>
              </w:rPr>
              <w:t>（6）工程</w:t>
            </w:r>
            <w:r>
              <w:rPr>
                <w:color w:val="auto"/>
                <w:sz w:val="24"/>
              </w:rPr>
              <w:t>投资：11417.04万元</w:t>
            </w:r>
          </w:p>
          <w:p>
            <w:pPr>
              <w:snapToGrid w:val="0"/>
              <w:spacing w:line="360" w:lineRule="auto"/>
              <w:ind w:firstLine="420"/>
              <w:outlineLvl w:val="1"/>
              <w:rPr>
                <w:sz w:val="24"/>
              </w:rPr>
            </w:pPr>
            <w:r>
              <w:rPr>
                <w:sz w:val="24"/>
              </w:rPr>
              <w:t>（7）</w:t>
            </w:r>
            <w:r>
              <w:rPr>
                <w:rFonts w:hint="eastAsia"/>
                <w:sz w:val="24"/>
              </w:rPr>
              <w:t>建设内容和建设规模</w:t>
            </w:r>
            <w:r>
              <w:rPr>
                <w:sz w:val="24"/>
              </w:rPr>
              <w:t>：</w:t>
            </w:r>
            <w:r>
              <w:rPr>
                <w:rFonts w:hint="eastAsia"/>
                <w:sz w:val="24"/>
              </w:rPr>
              <w:t>项目起点位于清繁大道，终点位于纬一路，道路全长880米，道路红线宽度40米，道路等级为城市主干路，设计行车速度为40千米/小时，双向六车道，沥青混凝土路面</w:t>
            </w:r>
            <w:r>
              <w:rPr>
                <w:sz w:val="24"/>
              </w:rPr>
              <w:t>。</w:t>
            </w:r>
            <w:r>
              <w:rPr>
                <w:rFonts w:hint="eastAsia"/>
                <w:sz w:val="24"/>
              </w:rPr>
              <w:t>建设桥梁一座，桥长25.68米，桥宽47米，上部结构采用预制预应力空心板桥，下部结构采用重力式桥台，桩柱接盖梁式墩，钻孔灌注桩基础。建设一块盖板，长约150米，宽约40到50米，采用五柱四跨结构形式，钻孔灌注基础。工程内容包括道路工程、桥梁工程、给排水工程、电气及照明工程管线综合、绿化工程、交通工程等。</w:t>
            </w:r>
          </w:p>
          <w:p>
            <w:pPr>
              <w:pStyle w:val="7"/>
              <w:spacing w:line="360" w:lineRule="auto"/>
              <w:outlineLvl w:val="1"/>
            </w:pPr>
            <w:r>
              <w:rPr>
                <w:rFonts w:hint="eastAsia"/>
                <w:sz w:val="24"/>
              </w:rPr>
              <w:t>（8）建设工期：12个月</w:t>
            </w:r>
            <w:r>
              <w:rPr>
                <w:rFonts w:hint="eastAsia" w:cs="Times New Roman"/>
                <w:sz w:val="24"/>
                <w:lang w:eastAsia="zh-CN"/>
              </w:rPr>
              <w:t>，</w:t>
            </w:r>
            <w:r>
              <w:rPr>
                <w:rFonts w:hint="default" w:ascii="Times New Roman" w:hAnsi="Times New Roman" w:cs="Times New Roman"/>
                <w:sz w:val="24"/>
              </w:rPr>
              <w:t>202</w:t>
            </w:r>
            <w:r>
              <w:rPr>
                <w:rFonts w:hint="eastAsia" w:cs="Times New Roman"/>
                <w:sz w:val="24"/>
                <w:lang w:val="en-US" w:eastAsia="zh-CN"/>
              </w:rPr>
              <w:t>5</w:t>
            </w:r>
            <w:r>
              <w:rPr>
                <w:rFonts w:hint="default" w:ascii="Times New Roman" w:hAnsi="Times New Roman" w:cs="Times New Roman"/>
                <w:sz w:val="24"/>
              </w:rPr>
              <w:t>年</w:t>
            </w:r>
            <w:r>
              <w:rPr>
                <w:rFonts w:hint="eastAsia" w:cs="Times New Roman"/>
                <w:sz w:val="24"/>
                <w:lang w:val="en-US" w:eastAsia="zh-CN"/>
              </w:rPr>
              <w:t>1</w:t>
            </w:r>
            <w:r>
              <w:rPr>
                <w:rFonts w:hint="default" w:ascii="Times New Roman" w:hAnsi="Times New Roman" w:cs="Times New Roman"/>
                <w:sz w:val="24"/>
              </w:rPr>
              <w:t>月</w:t>
            </w:r>
            <w:r>
              <w:rPr>
                <w:rFonts w:hint="eastAsia" w:ascii="Times New Roman" w:hAnsi="Times New Roman" w:cs="Times New Roman"/>
                <w:sz w:val="24"/>
                <w:lang w:val="en-US" w:eastAsia="zh-CN"/>
              </w:rPr>
              <w:t>~</w:t>
            </w:r>
            <w:r>
              <w:rPr>
                <w:rFonts w:hint="default" w:ascii="Times New Roman" w:hAnsi="Times New Roman" w:cs="Times New Roman"/>
                <w:sz w:val="24"/>
              </w:rPr>
              <w:t>202</w:t>
            </w:r>
            <w:r>
              <w:rPr>
                <w:rFonts w:hint="eastAsia" w:cs="Times New Roman"/>
                <w:sz w:val="24"/>
                <w:lang w:val="en-US" w:eastAsia="zh-CN"/>
              </w:rPr>
              <w:t>5</w:t>
            </w:r>
            <w:r>
              <w:rPr>
                <w:rFonts w:hint="default" w:ascii="Times New Roman" w:hAnsi="Times New Roman" w:cs="Times New Roman"/>
                <w:sz w:val="24"/>
              </w:rPr>
              <w:t>年1</w:t>
            </w:r>
            <w:r>
              <w:rPr>
                <w:rFonts w:hint="eastAsia" w:cs="Times New Roman"/>
                <w:sz w:val="24"/>
                <w:lang w:val="en-US" w:eastAsia="zh-CN"/>
              </w:rPr>
              <w:t>2</w:t>
            </w:r>
            <w:r>
              <w:rPr>
                <w:rFonts w:hint="default" w:ascii="Times New Roman" w:hAnsi="Times New Roman" w:cs="Times New Roman"/>
                <w:sz w:val="24"/>
              </w:rPr>
              <w:t>月</w:t>
            </w:r>
          </w:p>
          <w:p>
            <w:pPr>
              <w:snapToGrid w:val="0"/>
              <w:spacing w:line="360" w:lineRule="auto"/>
              <w:outlineLvl w:val="1"/>
              <w:rPr>
                <w:b/>
                <w:bCs/>
                <w:sz w:val="30"/>
                <w:szCs w:val="30"/>
              </w:rPr>
            </w:pPr>
            <w:r>
              <w:rPr>
                <w:b/>
                <w:bCs/>
                <w:sz w:val="30"/>
                <w:szCs w:val="30"/>
              </w:rPr>
              <w:t>2.</w:t>
            </w:r>
            <w:r>
              <w:rPr>
                <w:rFonts w:hint="eastAsia"/>
                <w:b/>
                <w:bCs/>
                <w:sz w:val="30"/>
                <w:szCs w:val="30"/>
              </w:rPr>
              <w:t xml:space="preserve">3 </w:t>
            </w:r>
            <w:r>
              <w:rPr>
                <w:b/>
                <w:bCs/>
                <w:sz w:val="30"/>
                <w:szCs w:val="30"/>
              </w:rPr>
              <w:t>主要技术标准</w:t>
            </w:r>
          </w:p>
          <w:p>
            <w:pPr>
              <w:autoSpaceDE w:val="0"/>
              <w:autoSpaceDN w:val="0"/>
              <w:spacing w:line="360" w:lineRule="auto"/>
              <w:ind w:firstLine="482"/>
              <w:jc w:val="center"/>
              <w:outlineLvl w:val="1"/>
              <w:rPr>
                <w:b/>
                <w:bCs/>
                <w:color w:val="auto"/>
                <w:lang w:val="zh-CN"/>
              </w:rPr>
            </w:pPr>
            <w:bookmarkStart w:id="25" w:name="_Toc4763"/>
            <w:r>
              <w:rPr>
                <w:b/>
                <w:bCs/>
                <w:color w:val="auto"/>
                <w:sz w:val="24"/>
                <w:szCs w:val="32"/>
                <w:lang w:val="zh-CN"/>
              </w:rPr>
              <w:t>表</w:t>
            </w:r>
            <w:r>
              <w:rPr>
                <w:rFonts w:hint="eastAsia"/>
                <w:b/>
                <w:bCs/>
                <w:color w:val="auto"/>
                <w:sz w:val="24"/>
                <w:szCs w:val="32"/>
                <w:lang w:val="en-US" w:eastAsia="zh-CN"/>
              </w:rPr>
              <w:t>2.3-1</w:t>
            </w:r>
            <w:r>
              <w:rPr>
                <w:b/>
                <w:bCs/>
                <w:color w:val="auto"/>
                <w:sz w:val="24"/>
                <w:szCs w:val="32"/>
                <w:lang w:val="zh-CN"/>
              </w:rPr>
              <w:t xml:space="preserve"> 项目主要建设内容及规模</w:t>
            </w:r>
            <w:bookmarkEnd w:id="25"/>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19"/>
              <w:gridCol w:w="616"/>
              <w:gridCol w:w="1447"/>
              <w:gridCol w:w="62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376" w:type="pct"/>
                  <w:gridSpan w:val="3"/>
                  <w:tcBorders>
                    <w:tl2br w:val="nil"/>
                    <w:tr2bl w:val="nil"/>
                  </w:tcBorders>
                  <w:noWrap w:val="0"/>
                  <w:vAlign w:val="center"/>
                </w:tcPr>
                <w:p>
                  <w:pPr>
                    <w:adjustRightInd w:val="0"/>
                    <w:snapToGrid w:val="0"/>
                    <w:jc w:val="center"/>
                    <w:outlineLvl w:val="1"/>
                    <w:rPr>
                      <w:b/>
                      <w:bCs/>
                      <w:color w:val="auto"/>
                    </w:rPr>
                  </w:pPr>
                  <w:bookmarkStart w:id="26" w:name="_Toc30497"/>
                  <w:r>
                    <w:rPr>
                      <w:b/>
                      <w:bCs/>
                      <w:color w:val="auto"/>
                    </w:rPr>
                    <w:t>项目</w:t>
                  </w:r>
                  <w:bookmarkEnd w:id="26"/>
                </w:p>
              </w:tc>
              <w:tc>
                <w:tcPr>
                  <w:tcW w:w="3623" w:type="pct"/>
                  <w:tcBorders>
                    <w:tl2br w:val="nil"/>
                    <w:tr2bl w:val="nil"/>
                  </w:tcBorders>
                  <w:noWrap w:val="0"/>
                  <w:vAlign w:val="center"/>
                </w:tcPr>
                <w:p>
                  <w:pPr>
                    <w:adjustRightInd w:val="0"/>
                    <w:snapToGrid w:val="0"/>
                    <w:jc w:val="center"/>
                    <w:outlineLvl w:val="1"/>
                    <w:rPr>
                      <w:b/>
                      <w:bCs/>
                      <w:color w:val="auto"/>
                    </w:rPr>
                  </w:pPr>
                  <w:bookmarkStart w:id="27" w:name="_Toc16444"/>
                  <w:r>
                    <w:rPr>
                      <w:b/>
                      <w:bCs/>
                      <w:color w:val="auto"/>
                    </w:rPr>
                    <w:t>工程内容及规模</w:t>
                  </w:r>
                  <w:bookmarkEnd w:id="2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4" w:type="pct"/>
                  <w:vMerge w:val="restart"/>
                  <w:tcBorders>
                    <w:tl2br w:val="nil"/>
                    <w:tr2bl w:val="nil"/>
                  </w:tcBorders>
                  <w:noWrap w:val="0"/>
                  <w:vAlign w:val="center"/>
                </w:tcPr>
                <w:p>
                  <w:pPr>
                    <w:adjustRightInd w:val="0"/>
                    <w:snapToGrid w:val="0"/>
                    <w:jc w:val="center"/>
                    <w:outlineLvl w:val="1"/>
                    <w:rPr>
                      <w:color w:val="auto"/>
                    </w:rPr>
                  </w:pPr>
                  <w:bookmarkStart w:id="28" w:name="_Toc23893"/>
                  <w:r>
                    <w:rPr>
                      <w:color w:val="auto"/>
                    </w:rPr>
                    <w:t>主体工程</w:t>
                  </w:r>
                  <w:bookmarkEnd w:id="28"/>
                </w:p>
              </w:tc>
              <w:tc>
                <w:tcPr>
                  <w:tcW w:w="355" w:type="pct"/>
                  <w:tcBorders>
                    <w:tl2br w:val="nil"/>
                    <w:tr2bl w:val="nil"/>
                  </w:tcBorders>
                  <w:noWrap w:val="0"/>
                  <w:vAlign w:val="center"/>
                </w:tcPr>
                <w:p>
                  <w:pPr>
                    <w:adjustRightInd w:val="0"/>
                    <w:snapToGrid w:val="0"/>
                    <w:jc w:val="center"/>
                    <w:outlineLvl w:val="1"/>
                    <w:rPr>
                      <w:b/>
                      <w:bCs/>
                      <w:color w:val="auto"/>
                    </w:rPr>
                  </w:pPr>
                  <w:bookmarkStart w:id="29" w:name="_Toc18298"/>
                  <w:r>
                    <w:rPr>
                      <w:color w:val="auto"/>
                    </w:rPr>
                    <w:t>桥梁工程</w:t>
                  </w:r>
                  <w:bookmarkEnd w:id="29"/>
                </w:p>
              </w:tc>
              <w:tc>
                <w:tcPr>
                  <w:tcW w:w="836" w:type="pct"/>
                  <w:tcBorders>
                    <w:tl2br w:val="nil"/>
                    <w:tr2bl w:val="nil"/>
                  </w:tcBorders>
                  <w:noWrap w:val="0"/>
                  <w:vAlign w:val="center"/>
                </w:tcPr>
                <w:p>
                  <w:pPr>
                    <w:adjustRightInd w:val="0"/>
                    <w:snapToGrid w:val="0"/>
                    <w:jc w:val="center"/>
                    <w:outlineLvl w:val="1"/>
                    <w:rPr>
                      <w:b/>
                      <w:bCs/>
                      <w:color w:val="auto"/>
                    </w:rPr>
                  </w:pPr>
                  <w:r>
                    <w:rPr>
                      <w:color w:val="000000"/>
                      <w:kern w:val="0"/>
                      <w:szCs w:val="21"/>
                      <w:lang w:bidi="ar"/>
                    </w:rPr>
                    <w:t>预制预应力砼空心板桥K0+060.206</w:t>
                  </w:r>
                </w:p>
              </w:tc>
              <w:tc>
                <w:tcPr>
                  <w:tcW w:w="3623" w:type="pct"/>
                  <w:tcBorders>
                    <w:tl2br w:val="nil"/>
                    <w:tr2bl w:val="nil"/>
                  </w:tcBorders>
                  <w:noWrap w:val="0"/>
                  <w:vAlign w:val="center"/>
                </w:tcPr>
                <w:p>
                  <w:pPr>
                    <w:adjustRightInd w:val="0"/>
                    <w:snapToGrid w:val="0"/>
                    <w:jc w:val="left"/>
                    <w:outlineLvl w:val="1"/>
                    <w:rPr>
                      <w:rFonts w:hint="default" w:ascii="宋体" w:hAnsi="宋体" w:eastAsia="宋体" w:cs="宋体"/>
                      <w:color w:val="auto"/>
                      <w:szCs w:val="21"/>
                      <w:lang w:val="en-US" w:eastAsia="zh-CN"/>
                    </w:rPr>
                  </w:pPr>
                  <w:bookmarkStart w:id="30" w:name="_Toc23133"/>
                  <w:r>
                    <w:rPr>
                      <w:rFonts w:hint="eastAsia" w:ascii="Times New Roman" w:hAnsi="Times New Roman" w:eastAsia="宋体" w:cs="Times New Roman"/>
                      <w:color w:val="auto"/>
                      <w:szCs w:val="21"/>
                    </w:rPr>
                    <w:t>跨径布置为(</w:t>
                  </w:r>
                  <w:r>
                    <w:rPr>
                      <w:rFonts w:hint="eastAsia" w:ascii="Times New Roman" w:hAnsi="Times New Roman" w:eastAsia="宋体" w:cs="Times New Roman"/>
                      <w:color w:val="auto"/>
                      <w:szCs w:val="21"/>
                      <w:lang w:val="en-US" w:eastAsia="zh-CN"/>
                    </w:rPr>
                    <w:t>1×22</w:t>
                  </w:r>
                  <w:r>
                    <w:rPr>
                      <w:rFonts w:hint="eastAsia" w:ascii="Times New Roman" w:hAnsi="Times New Roman" w:eastAsia="宋体" w:cs="Times New Roman"/>
                      <w:color w:val="auto"/>
                      <w:szCs w:val="21"/>
                    </w:rPr>
                    <w:t>)m预制预应力混凝土空心板梁，横向双幅桥设计，斜交5°，</w:t>
                  </w:r>
                  <w:r>
                    <w:rPr>
                      <w:rFonts w:hint="default" w:ascii="Times New Roman" w:hAnsi="Times New Roman" w:eastAsia="宋体" w:cs="Times New Roman"/>
                      <w:color w:val="auto"/>
                      <w:szCs w:val="21"/>
                    </w:rPr>
                    <w:t>桥长</w:t>
                  </w:r>
                  <w:r>
                    <w:rPr>
                      <w:rFonts w:hint="eastAsia" w:ascii="Times New Roman" w:hAnsi="Times New Roman" w:eastAsia="宋体" w:cs="Times New Roman"/>
                      <w:color w:val="auto"/>
                      <w:szCs w:val="21"/>
                      <w:lang w:val="en-US" w:eastAsia="zh-CN"/>
                    </w:rPr>
                    <w:t>25.68</w:t>
                  </w:r>
                  <w:r>
                    <w:rPr>
                      <w:rFonts w:hint="default" w:ascii="Times New Roman" w:hAnsi="Times New Roman" w:eastAsia="宋体" w:cs="Times New Roman"/>
                      <w:color w:val="auto"/>
                      <w:szCs w:val="21"/>
                    </w:rPr>
                    <w:t>米，桥宽47米，结构采用22m跨径预制预应力混凝土空心板梁，梁高1.1m。上部结构采用预制预应力空心板桥，下部结构采用重力式桥台，桩柱接盖梁式墩，钻孔灌注桩基础</w:t>
                  </w:r>
                  <w:r>
                    <w:rPr>
                      <w:rFonts w:hint="eastAsia" w:ascii="Times New Roman" w:hAnsi="Times New Roman" w:eastAsia="宋体" w:cs="Times New Roman"/>
                      <w:color w:val="auto"/>
                      <w:szCs w:val="21"/>
                    </w:rPr>
                    <w:t>。桥面铺装采用9cm沥青混凝土+10cmC50混凝土。</w:t>
                  </w:r>
                  <w:bookmarkEnd w:id="3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184" w:type="pct"/>
                  <w:vMerge w:val="continue"/>
                  <w:tcBorders>
                    <w:tl2br w:val="nil"/>
                    <w:tr2bl w:val="nil"/>
                  </w:tcBorders>
                  <w:noWrap w:val="0"/>
                  <w:vAlign w:val="center"/>
                </w:tcPr>
                <w:p>
                  <w:pPr>
                    <w:adjustRightInd w:val="0"/>
                    <w:snapToGrid w:val="0"/>
                    <w:jc w:val="center"/>
                    <w:outlineLvl w:val="9"/>
                    <w:rPr>
                      <w:color w:val="auto"/>
                    </w:rPr>
                  </w:pPr>
                </w:p>
              </w:tc>
              <w:tc>
                <w:tcPr>
                  <w:tcW w:w="1192" w:type="pct"/>
                  <w:gridSpan w:val="2"/>
                  <w:tcBorders>
                    <w:tl2br w:val="nil"/>
                    <w:tr2bl w:val="nil"/>
                  </w:tcBorders>
                  <w:noWrap w:val="0"/>
                  <w:vAlign w:val="center"/>
                </w:tcPr>
                <w:p>
                  <w:pPr>
                    <w:adjustRightInd w:val="0"/>
                    <w:snapToGrid w:val="0"/>
                    <w:jc w:val="center"/>
                    <w:outlineLvl w:val="1"/>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福泽大道</w:t>
                  </w:r>
                </w:p>
              </w:tc>
              <w:tc>
                <w:tcPr>
                  <w:tcW w:w="3623" w:type="pct"/>
                  <w:tcBorders>
                    <w:tl2br w:val="nil"/>
                    <w:tr2bl w:val="nil"/>
                  </w:tcBorders>
                  <w:noWrap w:val="0"/>
                  <w:vAlign w:val="center"/>
                </w:tcPr>
                <w:p>
                  <w:pPr>
                    <w:adjustRightInd w:val="0"/>
                    <w:snapToGrid w:val="0"/>
                    <w:outlineLvl w:val="1"/>
                    <w:rPr>
                      <w:rFonts w:hint="eastAsia" w:ascii="Times New Roman" w:hAnsi="Times New Roman" w:eastAsia="宋体" w:cs="Times New Roman"/>
                      <w:color w:val="auto"/>
                      <w:sz w:val="21"/>
                      <w:szCs w:val="21"/>
                    </w:rPr>
                  </w:pPr>
                  <w:bookmarkStart w:id="31" w:name="_Toc4406"/>
                  <w:r>
                    <w:rPr>
                      <w:rFonts w:hint="eastAsia" w:ascii="Times New Roman" w:hAnsi="Times New Roman" w:eastAsia="宋体" w:cs="Times New Roman"/>
                      <w:color w:val="auto"/>
                      <w:sz w:val="21"/>
                      <w:szCs w:val="21"/>
                    </w:rPr>
                    <w:t>南起</w:t>
                  </w:r>
                  <w:r>
                    <w:rPr>
                      <w:rFonts w:hint="eastAsia" w:ascii="宋体" w:hAnsi="宋体" w:cs="宋体"/>
                      <w:kern w:val="0"/>
                      <w:sz w:val="21"/>
                      <w:szCs w:val="21"/>
                    </w:rPr>
                    <w:t>清繁大道，</w:t>
                  </w:r>
                  <w:r>
                    <w:rPr>
                      <w:rFonts w:hint="eastAsia" w:ascii="Times New Roman" w:hAnsi="Times New Roman" w:eastAsia="宋体" w:cs="Times New Roman"/>
                      <w:color w:val="auto"/>
                      <w:sz w:val="21"/>
                      <w:szCs w:val="21"/>
                    </w:rPr>
                    <w:t>向北延伸，终点至</w:t>
                  </w:r>
                  <w:r>
                    <w:rPr>
                      <w:rFonts w:hint="eastAsia" w:ascii="宋体" w:hAnsi="宋体" w:cs="宋体"/>
                      <w:kern w:val="0"/>
                      <w:sz w:val="21"/>
                      <w:szCs w:val="21"/>
                    </w:rPr>
                    <w:t>纬一路</w:t>
                  </w:r>
                  <w:r>
                    <w:rPr>
                      <w:rFonts w:hint="eastAsia" w:ascii="Times New Roman" w:hAnsi="Times New Roman" w:eastAsia="宋体" w:cs="Times New Roman"/>
                      <w:color w:val="auto"/>
                      <w:sz w:val="21"/>
                      <w:szCs w:val="21"/>
                    </w:rPr>
                    <w:t>。道路红线宽度</w:t>
                  </w:r>
                  <w:r>
                    <w:rPr>
                      <w:rFonts w:hint="eastAsia" w:ascii="Times New Roman" w:hAnsi="Times New Roman" w:eastAsia="宋体" w:cs="Times New Roman"/>
                      <w:color w:val="auto"/>
                      <w:sz w:val="21"/>
                      <w:szCs w:val="21"/>
                      <w:lang w:val="en-US" w:eastAsia="zh-CN"/>
                    </w:rPr>
                    <w:t>40</w:t>
                  </w:r>
                  <w:r>
                    <w:rPr>
                      <w:rFonts w:hint="eastAsia" w:ascii="Times New Roman" w:hAnsi="Times New Roman" w:eastAsia="宋体" w:cs="Times New Roman"/>
                      <w:color w:val="auto"/>
                      <w:sz w:val="21"/>
                      <w:szCs w:val="21"/>
                    </w:rPr>
                    <w:t>米，设计长度</w:t>
                  </w:r>
                  <w:r>
                    <w:rPr>
                      <w:rFonts w:hint="eastAsia" w:ascii="Times New Roman" w:hAnsi="Times New Roman" w:eastAsia="宋体" w:cs="Times New Roman"/>
                      <w:color w:val="auto"/>
                      <w:sz w:val="21"/>
                      <w:szCs w:val="21"/>
                      <w:lang w:val="en-US" w:eastAsia="zh-CN"/>
                    </w:rPr>
                    <w:t>880</w:t>
                  </w:r>
                  <w:r>
                    <w:rPr>
                      <w:rFonts w:hint="eastAsia" w:ascii="Times New Roman" w:hAnsi="Times New Roman" w:eastAsia="宋体" w:cs="Times New Roman"/>
                      <w:color w:val="auto"/>
                      <w:sz w:val="21"/>
                      <w:szCs w:val="21"/>
                    </w:rPr>
                    <w:t>m，设计车速</w:t>
                  </w:r>
                  <w:r>
                    <w:rPr>
                      <w:rFonts w:hint="eastAsia" w:ascii="Times New Roman" w:hAnsi="Times New Roman" w:eastAsia="宋体" w:cs="Times New Roman"/>
                      <w:color w:val="auto"/>
                      <w:sz w:val="21"/>
                      <w:szCs w:val="21"/>
                      <w:lang w:val="en-US" w:eastAsia="zh-CN"/>
                    </w:rPr>
                    <w:t>4</w:t>
                  </w:r>
                  <w:r>
                    <w:rPr>
                      <w:rFonts w:hint="eastAsia" w:ascii="Times New Roman" w:hAnsi="Times New Roman" w:eastAsia="宋体" w:cs="Times New Roman"/>
                      <w:color w:val="auto"/>
                      <w:sz w:val="21"/>
                      <w:szCs w:val="21"/>
                    </w:rPr>
                    <w:t>0km/h，道路等级为城市</w:t>
                  </w:r>
                  <w:r>
                    <w:rPr>
                      <w:rFonts w:hint="eastAsia" w:ascii="Times New Roman" w:hAnsi="Times New Roman" w:eastAsia="宋体" w:cs="Times New Roman"/>
                      <w:color w:val="auto"/>
                      <w:sz w:val="21"/>
                      <w:szCs w:val="21"/>
                      <w:lang w:val="en-US" w:eastAsia="zh-CN"/>
                    </w:rPr>
                    <w:t>主干</w:t>
                  </w:r>
                  <w:r>
                    <w:rPr>
                      <w:rFonts w:hint="eastAsia" w:ascii="Times New Roman" w:hAnsi="Times New Roman" w:eastAsia="宋体" w:cs="Times New Roman"/>
                      <w:color w:val="auto"/>
                      <w:sz w:val="21"/>
                      <w:szCs w:val="21"/>
                    </w:rPr>
                    <w:t>路。</w:t>
                  </w:r>
                  <w:bookmarkEnd w:id="3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4" w:type="pct"/>
                  <w:vMerge w:val="restart"/>
                  <w:tcBorders>
                    <w:tl2br w:val="nil"/>
                    <w:tr2bl w:val="nil"/>
                  </w:tcBorders>
                  <w:noWrap w:val="0"/>
                  <w:vAlign w:val="center"/>
                </w:tcPr>
                <w:p>
                  <w:pPr>
                    <w:adjustRightInd w:val="0"/>
                    <w:snapToGrid w:val="0"/>
                    <w:jc w:val="center"/>
                    <w:outlineLvl w:val="1"/>
                    <w:rPr>
                      <w:color w:val="auto"/>
                    </w:rPr>
                  </w:pPr>
                  <w:bookmarkStart w:id="32" w:name="_Toc23923"/>
                  <w:r>
                    <w:rPr>
                      <w:color w:val="auto"/>
                    </w:rPr>
                    <w:t>断面设计</w:t>
                  </w:r>
                  <w:bookmarkEnd w:id="32"/>
                </w:p>
              </w:tc>
              <w:tc>
                <w:tcPr>
                  <w:tcW w:w="355" w:type="pct"/>
                  <w:vMerge w:val="restart"/>
                  <w:tcBorders>
                    <w:tl2br w:val="nil"/>
                    <w:tr2bl w:val="nil"/>
                  </w:tcBorders>
                  <w:noWrap w:val="0"/>
                  <w:vAlign w:val="center"/>
                </w:tcPr>
                <w:p>
                  <w:pPr>
                    <w:adjustRightInd w:val="0"/>
                    <w:snapToGrid w:val="0"/>
                    <w:jc w:val="center"/>
                    <w:outlineLvl w:val="1"/>
                    <w:rPr>
                      <w:color w:val="auto"/>
                      <w:sz w:val="21"/>
                      <w:szCs w:val="21"/>
                    </w:rPr>
                  </w:pPr>
                  <w:bookmarkStart w:id="33" w:name="_Toc31243"/>
                  <w:r>
                    <w:rPr>
                      <w:color w:val="auto"/>
                      <w:sz w:val="21"/>
                      <w:szCs w:val="21"/>
                    </w:rPr>
                    <w:t>标准横断面</w:t>
                  </w:r>
                  <w:bookmarkEnd w:id="33"/>
                </w:p>
              </w:tc>
              <w:tc>
                <w:tcPr>
                  <w:tcW w:w="836" w:type="pct"/>
                  <w:tcBorders>
                    <w:tl2br w:val="nil"/>
                    <w:tr2bl w:val="nil"/>
                  </w:tcBorders>
                  <w:noWrap w:val="0"/>
                  <w:vAlign w:val="center"/>
                </w:tcPr>
                <w:p>
                  <w:pPr>
                    <w:adjustRightInd w:val="0"/>
                    <w:snapToGrid w:val="0"/>
                    <w:jc w:val="center"/>
                    <w:outlineLvl w:val="1"/>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福泽大道</w:t>
                  </w:r>
                </w:p>
              </w:tc>
              <w:tc>
                <w:tcPr>
                  <w:tcW w:w="3623" w:type="pct"/>
                  <w:tcBorders>
                    <w:tl2br w:val="nil"/>
                    <w:tr2bl w:val="nil"/>
                  </w:tcBorders>
                  <w:noWrap w:val="0"/>
                  <w:vAlign w:val="center"/>
                </w:tcPr>
                <w:p>
                  <w:pPr>
                    <w:adjustRightInd w:val="0"/>
                    <w:snapToGrid w:val="0"/>
                    <w:outlineLvl w:val="1"/>
                    <w:rPr>
                      <w:rFonts w:ascii="Times New Roman" w:hAnsi="Times New Roman" w:eastAsia="宋体" w:cs="Times New Roman"/>
                      <w:color w:val="auto"/>
                      <w:sz w:val="21"/>
                      <w:szCs w:val="21"/>
                    </w:rPr>
                  </w:pPr>
                  <w:r>
                    <w:rPr>
                      <w:rFonts w:hint="eastAsia"/>
                      <w:sz w:val="21"/>
                      <w:szCs w:val="21"/>
                    </w:rPr>
                    <w:t>2.5m（人行道）+3.5m（非机动车道）+2.0m（侧分带）+11m（机动车道）+2m（中央绿化带）+11m（机动车道）+2.0m（侧分带）+3.5m（非机动车道）+2.5m（人行道）=40m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4" w:type="pct"/>
                  <w:vMerge w:val="continue"/>
                  <w:tcBorders>
                    <w:tl2br w:val="nil"/>
                    <w:tr2bl w:val="nil"/>
                  </w:tcBorders>
                  <w:noWrap w:val="0"/>
                  <w:vAlign w:val="center"/>
                </w:tcPr>
                <w:p>
                  <w:pPr>
                    <w:adjustRightInd w:val="0"/>
                    <w:snapToGrid w:val="0"/>
                    <w:jc w:val="center"/>
                    <w:outlineLvl w:val="9"/>
                    <w:rPr>
                      <w:color w:val="auto"/>
                    </w:rPr>
                  </w:pPr>
                </w:p>
              </w:tc>
              <w:tc>
                <w:tcPr>
                  <w:tcW w:w="355" w:type="pct"/>
                  <w:vMerge w:val="continue"/>
                  <w:tcBorders>
                    <w:tl2br w:val="nil"/>
                    <w:tr2bl w:val="nil"/>
                  </w:tcBorders>
                  <w:noWrap w:val="0"/>
                  <w:vAlign w:val="center"/>
                </w:tcPr>
                <w:p>
                  <w:pPr>
                    <w:adjustRightInd w:val="0"/>
                    <w:snapToGrid w:val="0"/>
                    <w:jc w:val="center"/>
                    <w:outlineLvl w:val="9"/>
                    <w:rPr>
                      <w:color w:val="auto"/>
                      <w:sz w:val="21"/>
                      <w:szCs w:val="21"/>
                    </w:rPr>
                  </w:pPr>
                </w:p>
              </w:tc>
              <w:tc>
                <w:tcPr>
                  <w:tcW w:w="836" w:type="pct"/>
                  <w:tcBorders>
                    <w:tl2br w:val="nil"/>
                    <w:tr2bl w:val="nil"/>
                  </w:tcBorders>
                  <w:noWrap w:val="0"/>
                  <w:vAlign w:val="center"/>
                </w:tcPr>
                <w:p>
                  <w:pPr>
                    <w:adjustRightInd w:val="0"/>
                    <w:snapToGrid w:val="0"/>
                    <w:jc w:val="center"/>
                    <w:outlineLvl w:val="1"/>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桥梁</w:t>
                  </w:r>
                </w:p>
              </w:tc>
              <w:tc>
                <w:tcPr>
                  <w:tcW w:w="3623" w:type="pct"/>
                  <w:tcBorders>
                    <w:tl2br w:val="nil"/>
                    <w:tr2bl w:val="nil"/>
                  </w:tcBorders>
                  <w:noWrap w:val="0"/>
                  <w:vAlign w:val="center"/>
                </w:tcPr>
                <w:p>
                  <w:pPr>
                    <w:adjustRightInd w:val="0"/>
                    <w:snapToGrid w:val="0"/>
                    <w:outlineLvl w:val="1"/>
                    <w:rPr>
                      <w:rFonts w:ascii="Times New Roman" w:hAnsi="Times New Roman" w:eastAsia="宋体" w:cs="Times New Roman"/>
                      <w:color w:val="auto"/>
                      <w:sz w:val="21"/>
                      <w:szCs w:val="21"/>
                    </w:rPr>
                  </w:pPr>
                  <w:r>
                    <w:rPr>
                      <w:rFonts w:hint="eastAsia"/>
                      <w:sz w:val="21"/>
                      <w:szCs w:val="21"/>
                    </w:rPr>
                    <w:t>7.0m（人行道+非机动车道）+2.0m（侧绿化带）+14.49m（机动车道）+1.27m（侧分带）+13.24m（机动车道）+0.5m（侧绿化带）+7.0m（人行道+非机动车道）=47.0m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40" w:type="pct"/>
                  <w:gridSpan w:val="2"/>
                  <w:tcBorders>
                    <w:tl2br w:val="nil"/>
                    <w:tr2bl w:val="nil"/>
                  </w:tcBorders>
                  <w:noWrap w:val="0"/>
                  <w:vAlign w:val="center"/>
                </w:tcPr>
                <w:p>
                  <w:pPr>
                    <w:adjustRightInd w:val="0"/>
                    <w:snapToGrid w:val="0"/>
                    <w:jc w:val="center"/>
                    <w:outlineLvl w:val="1"/>
                    <w:rPr>
                      <w:color w:val="auto"/>
                    </w:rPr>
                  </w:pPr>
                  <w:bookmarkStart w:id="34" w:name="_Toc14689"/>
                  <w:r>
                    <w:rPr>
                      <w:color w:val="auto"/>
                    </w:rPr>
                    <w:t>路基工程</w:t>
                  </w:r>
                  <w:bookmarkEnd w:id="34"/>
                </w:p>
              </w:tc>
              <w:tc>
                <w:tcPr>
                  <w:tcW w:w="836" w:type="pct"/>
                  <w:tcBorders>
                    <w:tl2br w:val="nil"/>
                    <w:tr2bl w:val="nil"/>
                  </w:tcBorders>
                  <w:noWrap w:val="0"/>
                  <w:vAlign w:val="center"/>
                </w:tcPr>
                <w:p>
                  <w:pPr>
                    <w:jc w:val="center"/>
                    <w:rPr>
                      <w:color w:val="auto"/>
                    </w:rPr>
                  </w:pPr>
                  <w:r>
                    <w:rPr>
                      <w:rFonts w:hint="eastAsia"/>
                      <w:color w:val="auto"/>
                      <w:lang w:val="zh-CN"/>
                    </w:rPr>
                    <w:t>一般路基</w:t>
                  </w:r>
                </w:p>
              </w:tc>
              <w:tc>
                <w:tcPr>
                  <w:tcW w:w="3623" w:type="pct"/>
                  <w:tcBorders>
                    <w:tl2br w:val="nil"/>
                    <w:tr2bl w:val="nil"/>
                  </w:tcBorders>
                  <w:noWrap w:val="0"/>
                  <w:vAlign w:val="center"/>
                </w:tcPr>
                <w:p>
                  <w:pPr>
                    <w:rPr>
                      <w:color w:val="auto"/>
                    </w:rPr>
                  </w:pPr>
                  <w:r>
                    <w:rPr>
                      <w:color w:val="auto"/>
                      <w:lang w:val="zh-CN"/>
                    </w:rPr>
                    <w:t>路基均采用超挖回填处理，保证路槽下方至少有80cm厚优质路基，路基回填采用碎石砂。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4" w:type="pct"/>
                  <w:vMerge w:val="restart"/>
                  <w:tcBorders>
                    <w:tl2br w:val="nil"/>
                    <w:tr2bl w:val="nil"/>
                  </w:tcBorders>
                  <w:noWrap w:val="0"/>
                  <w:vAlign w:val="center"/>
                </w:tcPr>
                <w:p>
                  <w:pPr>
                    <w:jc w:val="center"/>
                    <w:outlineLvl w:val="1"/>
                    <w:rPr>
                      <w:color w:val="auto"/>
                      <w:lang w:val="zh-CN"/>
                    </w:rPr>
                  </w:pPr>
                  <w:bookmarkStart w:id="35" w:name="_Toc22436"/>
                  <w:r>
                    <w:rPr>
                      <w:color w:val="auto"/>
                      <w:lang w:val="zh-CN"/>
                    </w:rPr>
                    <w:t>路面工程</w:t>
                  </w:r>
                  <w:bookmarkEnd w:id="35"/>
                </w:p>
              </w:tc>
              <w:tc>
                <w:tcPr>
                  <w:tcW w:w="1192" w:type="pct"/>
                  <w:gridSpan w:val="2"/>
                  <w:tcBorders>
                    <w:tl2br w:val="nil"/>
                    <w:tr2bl w:val="nil"/>
                  </w:tcBorders>
                  <w:noWrap w:val="0"/>
                  <w:vAlign w:val="center"/>
                </w:tcPr>
                <w:p>
                  <w:pPr>
                    <w:jc w:val="center"/>
                    <w:outlineLvl w:val="1"/>
                    <w:rPr>
                      <w:rFonts w:ascii="Times New Roman" w:hAnsi="Times New Roman" w:eastAsia="宋体" w:cs="Times New Roman"/>
                      <w:color w:val="auto"/>
                      <w:lang w:val="zh-CN"/>
                    </w:rPr>
                  </w:pPr>
                  <w:r>
                    <w:rPr>
                      <w:szCs w:val="21"/>
                      <w:lang w:val="zh-CN"/>
                    </w:rPr>
                    <w:t>机动车道路面结构</w:t>
                  </w:r>
                </w:p>
              </w:tc>
              <w:tc>
                <w:tcPr>
                  <w:tcW w:w="3623" w:type="pct"/>
                  <w:tcBorders>
                    <w:tl2br w:val="nil"/>
                    <w:tr2bl w:val="nil"/>
                  </w:tcBorders>
                  <w:noWrap w:val="0"/>
                  <w:vAlign w:val="center"/>
                </w:tcPr>
                <w:p>
                  <w:pPr>
                    <w:jc w:val="left"/>
                    <w:outlineLvl w:val="1"/>
                    <w:rPr>
                      <w:szCs w:val="21"/>
                    </w:rPr>
                  </w:pPr>
                  <w:r>
                    <w:rPr>
                      <w:rFonts w:hint="eastAsia"/>
                      <w:szCs w:val="21"/>
                    </w:rPr>
                    <w:t>4cm沥青玛蹄脂碎石混合料(SMA-13)</w:t>
                  </w:r>
                </w:p>
                <w:p>
                  <w:pPr>
                    <w:jc w:val="left"/>
                    <w:outlineLvl w:val="1"/>
                    <w:rPr>
                      <w:szCs w:val="21"/>
                    </w:rPr>
                  </w:pPr>
                  <w:r>
                    <w:rPr>
                      <w:rFonts w:hint="eastAsia"/>
                      <w:szCs w:val="21"/>
                    </w:rPr>
                    <w:t>6cm中粒式SBS改性沥青砼(AC-20C)</w:t>
                  </w:r>
                </w:p>
                <w:p>
                  <w:pPr>
                    <w:jc w:val="left"/>
                    <w:outlineLvl w:val="1"/>
                    <w:rPr>
                      <w:szCs w:val="21"/>
                    </w:rPr>
                  </w:pPr>
                  <w:r>
                    <w:rPr>
                      <w:rFonts w:hint="eastAsia"/>
                      <w:szCs w:val="21"/>
                    </w:rPr>
                    <w:t>8cm粗粒式沥青砼(AC-25C)</w:t>
                  </w:r>
                </w:p>
                <w:p>
                  <w:pPr>
                    <w:jc w:val="left"/>
                    <w:outlineLvl w:val="1"/>
                    <w:rPr>
                      <w:szCs w:val="21"/>
                    </w:rPr>
                  </w:pPr>
                  <w:r>
                    <w:rPr>
                      <w:rFonts w:hint="eastAsia"/>
                      <w:szCs w:val="21"/>
                    </w:rPr>
                    <w:t>0.8cm稀浆封层ES-3型</w:t>
                  </w:r>
                </w:p>
                <w:p>
                  <w:pPr>
                    <w:jc w:val="left"/>
                    <w:outlineLvl w:val="1"/>
                    <w:rPr>
                      <w:szCs w:val="21"/>
                    </w:rPr>
                  </w:pPr>
                  <w:r>
                    <w:rPr>
                      <w:rFonts w:hint="eastAsia"/>
                      <w:szCs w:val="21"/>
                    </w:rPr>
                    <w:t>15cm5%水泥稳定碎石</w:t>
                  </w:r>
                </w:p>
                <w:p>
                  <w:pPr>
                    <w:jc w:val="left"/>
                    <w:outlineLvl w:val="1"/>
                    <w:rPr>
                      <w:szCs w:val="21"/>
                    </w:rPr>
                  </w:pPr>
                  <w:r>
                    <w:rPr>
                      <w:rFonts w:hint="eastAsia"/>
                      <w:szCs w:val="21"/>
                    </w:rPr>
                    <w:t>20cm3%水泥稳定碎石</w:t>
                  </w:r>
                </w:p>
                <w:p>
                  <w:pPr>
                    <w:jc w:val="left"/>
                    <w:outlineLvl w:val="1"/>
                    <w:rPr>
                      <w:szCs w:val="21"/>
                    </w:rPr>
                  </w:pPr>
                  <w:r>
                    <w:rPr>
                      <w:rFonts w:hint="eastAsia"/>
                      <w:szCs w:val="21"/>
                    </w:rPr>
                    <w:t>20cm级配碎石</w:t>
                  </w:r>
                </w:p>
                <w:p>
                  <w:pPr>
                    <w:jc w:val="left"/>
                    <w:outlineLvl w:val="1"/>
                    <w:rPr>
                      <w:rFonts w:hint="eastAsia" w:ascii="Times New Roman" w:hAnsi="Times New Roman" w:eastAsia="宋体" w:cs="Times New Roman"/>
                      <w:color w:val="auto"/>
                      <w:szCs w:val="21"/>
                      <w:lang w:val="zh-CN"/>
                    </w:rPr>
                  </w:pPr>
                  <w:r>
                    <w:rPr>
                      <w:rFonts w:hint="eastAsia"/>
                      <w:szCs w:val="21"/>
                    </w:rPr>
                    <w:t>总厚度73.8cm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4" w:type="pct"/>
                  <w:vMerge w:val="continue"/>
                  <w:tcBorders>
                    <w:tl2br w:val="nil"/>
                    <w:tr2bl w:val="nil"/>
                  </w:tcBorders>
                  <w:noWrap w:val="0"/>
                  <w:vAlign w:val="center"/>
                </w:tcPr>
                <w:p>
                  <w:pPr>
                    <w:jc w:val="center"/>
                    <w:outlineLvl w:val="9"/>
                    <w:rPr>
                      <w:color w:val="auto"/>
                      <w:lang w:val="zh-CN"/>
                    </w:rPr>
                  </w:pPr>
                </w:p>
              </w:tc>
              <w:tc>
                <w:tcPr>
                  <w:tcW w:w="1192" w:type="pct"/>
                  <w:gridSpan w:val="2"/>
                  <w:tcBorders>
                    <w:tl2br w:val="nil"/>
                    <w:tr2bl w:val="nil"/>
                  </w:tcBorders>
                  <w:noWrap w:val="0"/>
                  <w:vAlign w:val="center"/>
                </w:tcPr>
                <w:p>
                  <w:pPr>
                    <w:jc w:val="center"/>
                    <w:outlineLvl w:val="1"/>
                    <w:rPr>
                      <w:rFonts w:ascii="Times New Roman" w:hAnsi="Times New Roman" w:eastAsia="宋体" w:cs="Times New Roman"/>
                      <w:color w:val="auto"/>
                      <w:lang w:val="zh-CN"/>
                    </w:rPr>
                  </w:pPr>
                  <w:r>
                    <w:rPr>
                      <w:rFonts w:hint="eastAsia"/>
                      <w:szCs w:val="21"/>
                      <w:lang w:val="zh-CN"/>
                    </w:rPr>
                    <w:t>非</w:t>
                  </w:r>
                  <w:r>
                    <w:rPr>
                      <w:szCs w:val="21"/>
                      <w:lang w:val="zh-CN"/>
                    </w:rPr>
                    <w:t>机动车道路面结构</w:t>
                  </w:r>
                </w:p>
              </w:tc>
              <w:tc>
                <w:tcPr>
                  <w:tcW w:w="3623" w:type="pct"/>
                  <w:tcBorders>
                    <w:tl2br w:val="nil"/>
                    <w:tr2bl w:val="nil"/>
                  </w:tcBorders>
                  <w:noWrap w:val="0"/>
                  <w:vAlign w:val="center"/>
                </w:tcPr>
                <w:p>
                  <w:pPr>
                    <w:pStyle w:val="17"/>
                    <w:jc w:val="left"/>
                    <w:outlineLvl w:val="1"/>
                    <w:rPr>
                      <w:kern w:val="2"/>
                      <w:sz w:val="21"/>
                      <w:szCs w:val="24"/>
                    </w:rPr>
                  </w:pPr>
                  <w:r>
                    <w:rPr>
                      <w:rFonts w:hint="eastAsia"/>
                      <w:kern w:val="2"/>
                      <w:sz w:val="21"/>
                      <w:szCs w:val="24"/>
                    </w:rPr>
                    <w:t>4cm细粒式SBS改性沥青砼(AC-10F)</w:t>
                  </w:r>
                </w:p>
                <w:p>
                  <w:pPr>
                    <w:pStyle w:val="17"/>
                    <w:jc w:val="left"/>
                    <w:outlineLvl w:val="1"/>
                    <w:rPr>
                      <w:kern w:val="2"/>
                      <w:sz w:val="21"/>
                      <w:szCs w:val="24"/>
                    </w:rPr>
                  </w:pPr>
                  <w:r>
                    <w:rPr>
                      <w:rFonts w:hint="eastAsia"/>
                      <w:kern w:val="2"/>
                      <w:sz w:val="21"/>
                      <w:szCs w:val="24"/>
                    </w:rPr>
                    <w:t>7cm中粒式沥青砼(AC-20C)</w:t>
                  </w:r>
                </w:p>
                <w:p>
                  <w:pPr>
                    <w:pStyle w:val="17"/>
                    <w:jc w:val="left"/>
                    <w:outlineLvl w:val="1"/>
                    <w:rPr>
                      <w:kern w:val="2"/>
                      <w:sz w:val="21"/>
                      <w:szCs w:val="24"/>
                    </w:rPr>
                  </w:pPr>
                  <w:r>
                    <w:rPr>
                      <w:rFonts w:hint="eastAsia"/>
                      <w:kern w:val="2"/>
                      <w:sz w:val="21"/>
                      <w:szCs w:val="24"/>
                    </w:rPr>
                    <w:t>0.8cm稀浆封层ES-3型</w:t>
                  </w:r>
                </w:p>
                <w:p>
                  <w:pPr>
                    <w:pStyle w:val="17"/>
                    <w:jc w:val="left"/>
                    <w:outlineLvl w:val="1"/>
                    <w:rPr>
                      <w:kern w:val="2"/>
                      <w:sz w:val="21"/>
                      <w:szCs w:val="24"/>
                    </w:rPr>
                  </w:pPr>
                  <w:r>
                    <w:rPr>
                      <w:rFonts w:hint="eastAsia"/>
                      <w:kern w:val="2"/>
                      <w:sz w:val="21"/>
                      <w:szCs w:val="24"/>
                    </w:rPr>
                    <w:t>20cm5%水泥稳定碎石</w:t>
                  </w:r>
                </w:p>
                <w:p>
                  <w:pPr>
                    <w:pStyle w:val="17"/>
                    <w:jc w:val="left"/>
                    <w:outlineLvl w:val="1"/>
                    <w:rPr>
                      <w:kern w:val="2"/>
                      <w:sz w:val="21"/>
                      <w:szCs w:val="24"/>
                    </w:rPr>
                  </w:pPr>
                  <w:r>
                    <w:rPr>
                      <w:rFonts w:hint="eastAsia"/>
                      <w:kern w:val="2"/>
                      <w:sz w:val="21"/>
                      <w:szCs w:val="24"/>
                    </w:rPr>
                    <w:t>20cm级配碎石</w:t>
                  </w:r>
                </w:p>
                <w:p>
                  <w:pPr>
                    <w:pStyle w:val="17"/>
                    <w:jc w:val="left"/>
                    <w:outlineLvl w:val="1"/>
                    <w:rPr>
                      <w:rFonts w:hint="eastAsia" w:ascii="Times New Roman" w:hAnsi="Times New Roman" w:eastAsia="宋体" w:cs="Times New Roman"/>
                      <w:color w:val="auto"/>
                      <w:szCs w:val="21"/>
                      <w:lang w:val="zh-CN"/>
                    </w:rPr>
                  </w:pPr>
                  <w:r>
                    <w:rPr>
                      <w:rFonts w:hint="eastAsia"/>
                      <w:kern w:val="2"/>
                      <w:sz w:val="21"/>
                      <w:szCs w:val="24"/>
                    </w:rPr>
                    <w:t>总厚度51.8cm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4" w:type="pct"/>
                  <w:vMerge w:val="continue"/>
                  <w:tcBorders>
                    <w:tl2br w:val="nil"/>
                    <w:tr2bl w:val="nil"/>
                  </w:tcBorders>
                  <w:noWrap w:val="0"/>
                  <w:vAlign w:val="center"/>
                </w:tcPr>
                <w:p>
                  <w:pPr>
                    <w:jc w:val="center"/>
                    <w:outlineLvl w:val="9"/>
                    <w:rPr>
                      <w:color w:val="auto"/>
                      <w:lang w:val="zh-CN"/>
                    </w:rPr>
                  </w:pPr>
                </w:p>
              </w:tc>
              <w:tc>
                <w:tcPr>
                  <w:tcW w:w="1192" w:type="pct"/>
                  <w:gridSpan w:val="2"/>
                  <w:tcBorders>
                    <w:tl2br w:val="nil"/>
                    <w:tr2bl w:val="nil"/>
                  </w:tcBorders>
                  <w:noWrap w:val="0"/>
                  <w:vAlign w:val="center"/>
                </w:tcPr>
                <w:p>
                  <w:pPr>
                    <w:jc w:val="center"/>
                    <w:rPr>
                      <w:rFonts w:hint="eastAsia" w:ascii="Times New Roman" w:hAnsi="Times New Roman" w:eastAsia="宋体" w:cs="Times New Roman"/>
                      <w:color w:val="auto"/>
                      <w:lang w:val="zh-CN"/>
                    </w:rPr>
                  </w:pPr>
                  <w:r>
                    <w:rPr>
                      <w:color w:val="auto"/>
                    </w:rPr>
                    <w:t>人行道路面</w:t>
                  </w:r>
                </w:p>
              </w:tc>
              <w:tc>
                <w:tcPr>
                  <w:tcW w:w="3623" w:type="pct"/>
                  <w:tcBorders>
                    <w:tl2br w:val="nil"/>
                    <w:tr2bl w:val="nil"/>
                  </w:tcBorders>
                  <w:noWrap w:val="0"/>
                  <w:vAlign w:val="center"/>
                </w:tcPr>
                <w:p>
                  <w:pPr>
                    <w:jc w:val="left"/>
                    <w:outlineLvl w:val="1"/>
                  </w:pPr>
                  <w:r>
                    <w:rPr>
                      <w:rFonts w:hint="eastAsia"/>
                    </w:rPr>
                    <w:t>8cm灰色环保型透水砖（25×50cm）</w:t>
                  </w:r>
                </w:p>
                <w:p>
                  <w:pPr>
                    <w:jc w:val="left"/>
                    <w:outlineLvl w:val="1"/>
                  </w:pPr>
                  <w:r>
                    <w:rPr>
                      <w:rFonts w:hint="eastAsia"/>
                    </w:rPr>
                    <w:t>3cm干硬性透水水泥砂浆</w:t>
                  </w:r>
                </w:p>
                <w:p>
                  <w:pPr>
                    <w:jc w:val="left"/>
                    <w:outlineLvl w:val="1"/>
                  </w:pPr>
                  <w:r>
                    <w:rPr>
                      <w:rFonts w:hint="eastAsia"/>
                    </w:rPr>
                    <w:t>15cmC20透水砼</w:t>
                  </w:r>
                </w:p>
                <w:p>
                  <w:pPr>
                    <w:jc w:val="left"/>
                    <w:outlineLvl w:val="1"/>
                  </w:pPr>
                  <w:r>
                    <w:rPr>
                      <w:rFonts w:hint="eastAsia"/>
                    </w:rPr>
                    <w:t>10cm级配碎石</w:t>
                  </w:r>
                </w:p>
                <w:p>
                  <w:pPr>
                    <w:rPr>
                      <w:rFonts w:hint="eastAsia" w:ascii="Times New Roman" w:hAnsi="Times New Roman" w:eastAsia="宋体" w:cs="Times New Roman"/>
                      <w:color w:val="auto"/>
                      <w:lang w:val="zh-CN"/>
                    </w:rPr>
                  </w:pPr>
                  <w:r>
                    <w:rPr>
                      <w:rFonts w:hint="eastAsia"/>
                    </w:rPr>
                    <w:t>总厚度34cm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4" w:type="pct"/>
                  <w:vMerge w:val="restart"/>
                  <w:tcBorders>
                    <w:tl2br w:val="nil"/>
                    <w:tr2bl w:val="nil"/>
                  </w:tcBorders>
                  <w:noWrap w:val="0"/>
                  <w:vAlign w:val="center"/>
                </w:tcPr>
                <w:p>
                  <w:pPr>
                    <w:jc w:val="center"/>
                    <w:outlineLvl w:val="1"/>
                    <w:rPr>
                      <w:color w:val="auto"/>
                      <w:lang w:val="zh-CN"/>
                    </w:rPr>
                  </w:pPr>
                  <w:bookmarkStart w:id="36" w:name="_Toc32712"/>
                  <w:r>
                    <w:rPr>
                      <w:color w:val="auto"/>
                      <w:lang w:val="zh-CN"/>
                    </w:rPr>
                    <w:t>辅助工程</w:t>
                  </w:r>
                  <w:bookmarkEnd w:id="36"/>
                </w:p>
              </w:tc>
              <w:tc>
                <w:tcPr>
                  <w:tcW w:w="1192" w:type="pct"/>
                  <w:gridSpan w:val="2"/>
                  <w:tcBorders>
                    <w:tl2br w:val="nil"/>
                    <w:tr2bl w:val="nil"/>
                  </w:tcBorders>
                  <w:noWrap w:val="0"/>
                  <w:vAlign w:val="center"/>
                </w:tcPr>
                <w:p>
                  <w:pPr>
                    <w:jc w:val="center"/>
                    <w:outlineLvl w:val="1"/>
                    <w:rPr>
                      <w:color w:val="auto"/>
                      <w:lang w:val="zh-CN"/>
                    </w:rPr>
                  </w:pPr>
                  <w:bookmarkStart w:id="37" w:name="_Toc19736"/>
                  <w:r>
                    <w:rPr>
                      <w:color w:val="auto"/>
                      <w:lang w:val="zh-CN"/>
                    </w:rPr>
                    <w:t>排水工程</w:t>
                  </w:r>
                  <w:bookmarkEnd w:id="37"/>
                </w:p>
              </w:tc>
              <w:tc>
                <w:tcPr>
                  <w:tcW w:w="3623" w:type="pct"/>
                  <w:tcBorders>
                    <w:tl2br w:val="nil"/>
                    <w:tr2bl w:val="nil"/>
                  </w:tcBorders>
                  <w:noWrap w:val="0"/>
                  <w:vAlign w:val="center"/>
                </w:tcPr>
                <w:p>
                  <w:pPr>
                    <w:outlineLvl w:val="1"/>
                    <w:rPr>
                      <w:color w:val="auto"/>
                      <w:sz w:val="21"/>
                      <w:szCs w:val="21"/>
                    </w:rPr>
                  </w:pPr>
                  <w:bookmarkStart w:id="38" w:name="_Toc19314"/>
                  <w:r>
                    <w:rPr>
                      <w:color w:val="auto"/>
                      <w:sz w:val="21"/>
                      <w:szCs w:val="21"/>
                      <w:lang w:val="zh-CN"/>
                    </w:rPr>
                    <w:t>道路排水采用雨、污分流制；</w:t>
                  </w:r>
                  <w:r>
                    <w:rPr>
                      <w:rFonts w:hint="eastAsia"/>
                      <w:color w:val="auto"/>
                      <w:sz w:val="21"/>
                      <w:szCs w:val="21"/>
                      <w:lang w:val="en-US" w:eastAsia="zh-CN"/>
                    </w:rPr>
                    <w:t>雨水管</w:t>
                  </w:r>
                  <w:r>
                    <w:rPr>
                      <w:rFonts w:hint="eastAsia"/>
                      <w:color w:val="auto"/>
                      <w:sz w:val="21"/>
                      <w:szCs w:val="21"/>
                    </w:rPr>
                    <w:t>采用</w:t>
                  </w:r>
                  <w:r>
                    <w:rPr>
                      <w:rFonts w:hint="eastAsia"/>
                      <w:color w:val="auto"/>
                      <w:sz w:val="21"/>
                      <w:szCs w:val="21"/>
                      <w:lang w:val="en-US" w:eastAsia="zh-CN"/>
                    </w:rPr>
                    <w:t>双侧</w:t>
                  </w:r>
                  <w:r>
                    <w:rPr>
                      <w:rFonts w:hint="eastAsia"/>
                      <w:color w:val="auto"/>
                      <w:sz w:val="21"/>
                      <w:szCs w:val="21"/>
                    </w:rPr>
                    <w:t>布管，设计管径为</w:t>
                  </w:r>
                  <w:r>
                    <w:rPr>
                      <w:rFonts w:hint="eastAsia"/>
                      <w:sz w:val="21"/>
                      <w:szCs w:val="21"/>
                    </w:rPr>
                    <w:t>DN1000~DN1800</w:t>
                  </w:r>
                  <w:r>
                    <w:rPr>
                      <w:rFonts w:hint="eastAsia"/>
                      <w:color w:val="auto"/>
                      <w:sz w:val="21"/>
                      <w:szCs w:val="21"/>
                    </w:rPr>
                    <w:t>雨水管</w:t>
                  </w:r>
                  <w:r>
                    <w:rPr>
                      <w:color w:val="auto"/>
                      <w:sz w:val="21"/>
                      <w:szCs w:val="21"/>
                      <w:lang w:val="zh-CN"/>
                    </w:rPr>
                    <w:t>，</w:t>
                  </w:r>
                  <w:r>
                    <w:rPr>
                      <w:rFonts w:hint="eastAsia"/>
                      <w:sz w:val="21"/>
                      <w:szCs w:val="21"/>
                    </w:rPr>
                    <w:t>自北向南汇集后在西侧采用 DN2000 排入同步建设里美溪</w:t>
                  </w:r>
                  <w:r>
                    <w:rPr>
                      <w:color w:val="auto"/>
                      <w:sz w:val="21"/>
                      <w:szCs w:val="21"/>
                      <w:lang w:val="zh-CN"/>
                    </w:rPr>
                    <w:t>；污水管道</w:t>
                  </w:r>
                  <w:r>
                    <w:rPr>
                      <w:rFonts w:hint="eastAsia"/>
                      <w:color w:val="auto"/>
                      <w:sz w:val="21"/>
                      <w:szCs w:val="21"/>
                    </w:rPr>
                    <w:t>采用单侧布管</w:t>
                  </w:r>
                  <w:r>
                    <w:rPr>
                      <w:color w:val="auto"/>
                      <w:sz w:val="21"/>
                      <w:szCs w:val="21"/>
                      <w:lang w:val="zh-CN"/>
                    </w:rPr>
                    <w:t>，设置管径</w:t>
                  </w:r>
                  <w:r>
                    <w:rPr>
                      <w:rFonts w:hint="eastAsia"/>
                      <w:sz w:val="21"/>
                      <w:szCs w:val="21"/>
                    </w:rPr>
                    <w:t>DN400</w:t>
                  </w:r>
                  <w:r>
                    <w:rPr>
                      <w:rFonts w:hint="eastAsia"/>
                      <w:sz w:val="21"/>
                      <w:szCs w:val="21"/>
                      <w:lang w:eastAsia="zh-CN"/>
                    </w:rPr>
                    <w:t>，</w:t>
                  </w:r>
                  <w:r>
                    <w:rPr>
                      <w:color w:val="auto"/>
                      <w:sz w:val="21"/>
                      <w:szCs w:val="21"/>
                      <w:lang w:val="zh-CN"/>
                    </w:rPr>
                    <w:t>污水</w:t>
                  </w:r>
                  <w:r>
                    <w:rPr>
                      <w:rFonts w:hint="eastAsia"/>
                      <w:sz w:val="21"/>
                      <w:szCs w:val="21"/>
                    </w:rPr>
                    <w:t>自北向南排入清繁大道现状污水管</w:t>
                  </w:r>
                  <w:r>
                    <w:rPr>
                      <w:color w:val="auto"/>
                      <w:sz w:val="21"/>
                      <w:szCs w:val="21"/>
                    </w:rPr>
                    <w:t>。</w:t>
                  </w:r>
                  <w:bookmarkEnd w:id="38"/>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4" w:type="pct"/>
                  <w:vMerge w:val="continue"/>
                  <w:tcBorders>
                    <w:tl2br w:val="nil"/>
                    <w:tr2bl w:val="nil"/>
                  </w:tcBorders>
                  <w:noWrap w:val="0"/>
                  <w:vAlign w:val="center"/>
                </w:tcPr>
                <w:p>
                  <w:pPr>
                    <w:jc w:val="center"/>
                    <w:outlineLvl w:val="9"/>
                    <w:rPr>
                      <w:color w:val="auto"/>
                    </w:rPr>
                  </w:pPr>
                </w:p>
              </w:tc>
              <w:tc>
                <w:tcPr>
                  <w:tcW w:w="1192" w:type="pct"/>
                  <w:gridSpan w:val="2"/>
                  <w:tcBorders>
                    <w:tl2br w:val="nil"/>
                    <w:tr2bl w:val="nil"/>
                  </w:tcBorders>
                  <w:noWrap w:val="0"/>
                  <w:vAlign w:val="center"/>
                </w:tcPr>
                <w:p>
                  <w:pPr>
                    <w:jc w:val="center"/>
                    <w:outlineLvl w:val="1"/>
                    <w:rPr>
                      <w:color w:val="auto"/>
                      <w:sz w:val="21"/>
                      <w:szCs w:val="21"/>
                      <w:lang w:val="zh-CN"/>
                    </w:rPr>
                  </w:pPr>
                  <w:bookmarkStart w:id="39" w:name="_Toc9137"/>
                  <w:r>
                    <w:rPr>
                      <w:color w:val="auto"/>
                      <w:sz w:val="21"/>
                      <w:szCs w:val="21"/>
                    </w:rPr>
                    <w:t>给</w:t>
                  </w:r>
                  <w:r>
                    <w:rPr>
                      <w:color w:val="auto"/>
                      <w:sz w:val="21"/>
                      <w:szCs w:val="21"/>
                      <w:lang w:val="zh-CN"/>
                    </w:rPr>
                    <w:t>水工程</w:t>
                  </w:r>
                  <w:bookmarkEnd w:id="39"/>
                </w:p>
              </w:tc>
              <w:tc>
                <w:tcPr>
                  <w:tcW w:w="3623" w:type="pct"/>
                  <w:tcBorders>
                    <w:tl2br w:val="nil"/>
                    <w:tr2bl w:val="nil"/>
                  </w:tcBorders>
                  <w:noWrap w:val="0"/>
                  <w:vAlign w:val="center"/>
                </w:tcPr>
                <w:p>
                  <w:pPr>
                    <w:outlineLvl w:val="1"/>
                    <w:rPr>
                      <w:color w:val="auto"/>
                      <w:sz w:val="21"/>
                      <w:szCs w:val="21"/>
                      <w:lang w:val="zh-CN"/>
                    </w:rPr>
                  </w:pPr>
                  <w:bookmarkStart w:id="40" w:name="_Toc20094"/>
                  <w:r>
                    <w:rPr>
                      <w:color w:val="auto"/>
                      <w:sz w:val="21"/>
                      <w:szCs w:val="21"/>
                    </w:rPr>
                    <w:t>采用单侧布管，管径DN300。</w:t>
                  </w:r>
                  <w:bookmarkEnd w:id="4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4" w:type="pct"/>
                  <w:vMerge w:val="continue"/>
                  <w:tcBorders>
                    <w:tl2br w:val="nil"/>
                    <w:tr2bl w:val="nil"/>
                  </w:tcBorders>
                  <w:noWrap w:val="0"/>
                  <w:vAlign w:val="center"/>
                </w:tcPr>
                <w:p>
                  <w:pPr>
                    <w:jc w:val="center"/>
                    <w:outlineLvl w:val="9"/>
                    <w:rPr>
                      <w:color w:val="auto"/>
                      <w:lang w:val="zh-CN"/>
                    </w:rPr>
                  </w:pPr>
                </w:p>
              </w:tc>
              <w:tc>
                <w:tcPr>
                  <w:tcW w:w="1192" w:type="pct"/>
                  <w:gridSpan w:val="2"/>
                  <w:tcBorders>
                    <w:tl2br w:val="nil"/>
                    <w:tr2bl w:val="nil"/>
                  </w:tcBorders>
                  <w:noWrap w:val="0"/>
                  <w:vAlign w:val="center"/>
                </w:tcPr>
                <w:p>
                  <w:pPr>
                    <w:jc w:val="center"/>
                    <w:outlineLvl w:val="1"/>
                    <w:rPr>
                      <w:color w:val="auto"/>
                      <w:sz w:val="21"/>
                      <w:szCs w:val="21"/>
                    </w:rPr>
                  </w:pPr>
                  <w:bookmarkStart w:id="41" w:name="_Toc27433"/>
                  <w:r>
                    <w:rPr>
                      <w:color w:val="auto"/>
                      <w:sz w:val="21"/>
                      <w:szCs w:val="21"/>
                      <w:lang w:val="zh-CN"/>
                    </w:rPr>
                    <w:t>电力工程</w:t>
                  </w:r>
                  <w:bookmarkEnd w:id="41"/>
                </w:p>
              </w:tc>
              <w:tc>
                <w:tcPr>
                  <w:tcW w:w="3623" w:type="pct"/>
                  <w:tcBorders>
                    <w:tl2br w:val="nil"/>
                    <w:tr2bl w:val="nil"/>
                  </w:tcBorders>
                  <w:noWrap w:val="0"/>
                  <w:vAlign w:val="center"/>
                </w:tcPr>
                <w:p>
                  <w:pPr>
                    <w:outlineLvl w:val="1"/>
                    <w:rPr>
                      <w:rFonts w:hint="eastAsia" w:eastAsia="宋体"/>
                      <w:color w:val="auto"/>
                      <w:sz w:val="21"/>
                      <w:szCs w:val="21"/>
                      <w:lang w:eastAsia="zh-CN"/>
                    </w:rPr>
                  </w:pPr>
                  <w:r>
                    <w:rPr>
                      <w:sz w:val="21"/>
                      <w:szCs w:val="21"/>
                    </w:rPr>
                    <w:t>采用电力排管双侧布置，电力管道位于设计道路人行道下</w:t>
                  </w:r>
                  <w:r>
                    <w:rPr>
                      <w:rFonts w:hint="eastAsia"/>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0" w:hRule="atLeast"/>
                <w:jc w:val="center"/>
              </w:trPr>
              <w:tc>
                <w:tcPr>
                  <w:tcW w:w="184" w:type="pct"/>
                  <w:vMerge w:val="restart"/>
                  <w:tcBorders>
                    <w:tl2br w:val="nil"/>
                    <w:tr2bl w:val="nil"/>
                  </w:tcBorders>
                  <w:noWrap w:val="0"/>
                  <w:vAlign w:val="center"/>
                </w:tcPr>
                <w:p>
                  <w:pPr>
                    <w:jc w:val="center"/>
                    <w:outlineLvl w:val="1"/>
                    <w:rPr>
                      <w:color w:val="auto"/>
                      <w:szCs w:val="21"/>
                    </w:rPr>
                  </w:pPr>
                  <w:bookmarkStart w:id="42" w:name="_Toc17331"/>
                  <w:r>
                    <w:rPr>
                      <w:rFonts w:hint="eastAsia"/>
                      <w:color w:val="auto"/>
                      <w:szCs w:val="21"/>
                    </w:rPr>
                    <w:t>临时工程</w:t>
                  </w:r>
                  <w:bookmarkEnd w:id="42"/>
                </w:p>
              </w:tc>
              <w:tc>
                <w:tcPr>
                  <w:tcW w:w="1192" w:type="pct"/>
                  <w:gridSpan w:val="2"/>
                  <w:tcBorders>
                    <w:tl2br w:val="nil"/>
                    <w:tr2bl w:val="nil"/>
                  </w:tcBorders>
                  <w:noWrap w:val="0"/>
                  <w:vAlign w:val="center"/>
                </w:tcPr>
                <w:p>
                  <w:pPr>
                    <w:jc w:val="center"/>
                    <w:outlineLvl w:val="1"/>
                    <w:rPr>
                      <w:rFonts w:ascii="Times New Roman" w:hAnsi="Times New Roman" w:eastAsia="宋体" w:cs="Times New Roman"/>
                      <w:color w:val="auto"/>
                      <w:sz w:val="21"/>
                      <w:szCs w:val="21"/>
                      <w:lang w:val="zh-CN"/>
                    </w:rPr>
                  </w:pPr>
                  <w:bookmarkStart w:id="43" w:name="_Toc19899"/>
                  <w:r>
                    <w:rPr>
                      <w:rFonts w:ascii="Times New Roman" w:hAnsi="Times New Roman" w:eastAsia="宋体" w:cs="Times New Roman"/>
                      <w:color w:val="auto"/>
                      <w:sz w:val="21"/>
                      <w:szCs w:val="21"/>
                    </w:rPr>
                    <w:t>临时施工</w:t>
                  </w:r>
                  <w:bookmarkEnd w:id="43"/>
                  <w:r>
                    <w:rPr>
                      <w:rFonts w:hint="eastAsia"/>
                      <w:color w:val="auto"/>
                      <w:sz w:val="21"/>
                      <w:szCs w:val="21"/>
                      <w:highlight w:val="none"/>
                      <w:lang w:val="en-US" w:eastAsia="zh-CN"/>
                    </w:rPr>
                    <w:t>场地</w:t>
                  </w:r>
                </w:p>
              </w:tc>
              <w:tc>
                <w:tcPr>
                  <w:tcW w:w="3623" w:type="pct"/>
                  <w:tcBorders>
                    <w:tl2br w:val="nil"/>
                    <w:tr2bl w:val="nil"/>
                  </w:tcBorders>
                  <w:noWrap w:val="0"/>
                  <w:vAlign w:val="center"/>
                </w:tcPr>
                <w:p>
                  <w:pPr>
                    <w:keepNext w:val="0"/>
                    <w:keepLines w:val="0"/>
                    <w:widowControl/>
                    <w:suppressLineNumbers w:val="0"/>
                    <w:jc w:val="left"/>
                    <w:rPr>
                      <w:rFonts w:ascii="Times New Roman" w:hAnsi="Times New Roman" w:eastAsia="宋体" w:cs="Times New Roman"/>
                      <w:color w:val="auto"/>
                      <w:sz w:val="21"/>
                      <w:szCs w:val="21"/>
                    </w:rPr>
                  </w:pPr>
                  <w:bookmarkStart w:id="44" w:name="_Toc23787"/>
                  <w:r>
                    <w:rPr>
                      <w:rFonts w:hint="eastAsia" w:ascii="Times New Roman" w:hAnsi="Times New Roman" w:eastAsia="宋体" w:cs="Times New Roman"/>
                      <w:color w:val="auto"/>
                      <w:sz w:val="21"/>
                      <w:szCs w:val="21"/>
                      <w:lang w:val="en-US" w:eastAsia="zh-CN"/>
                    </w:rPr>
                    <w:t>拟</w:t>
                  </w:r>
                  <w:r>
                    <w:rPr>
                      <w:rFonts w:hint="eastAsia" w:ascii="Times New Roman" w:hAnsi="Times New Roman" w:eastAsia="宋体" w:cs="Times New Roman"/>
                      <w:color w:val="auto"/>
                      <w:sz w:val="21"/>
                      <w:szCs w:val="21"/>
                    </w:rPr>
                    <w:t>在周边小区租赁房产用于项目办公和工人宿舍，为便于工程施工，另在</w:t>
                  </w:r>
                  <w:r>
                    <w:rPr>
                      <w:rFonts w:hint="eastAsia" w:ascii="Times New Roman" w:hAnsi="Times New Roman" w:eastAsia="宋体" w:cs="Times New Roman"/>
                      <w:color w:val="auto"/>
                      <w:sz w:val="21"/>
                      <w:szCs w:val="21"/>
                      <w:lang w:val="en-US" w:eastAsia="zh-CN"/>
                    </w:rPr>
                    <w:t>道路起点</w:t>
                  </w:r>
                  <w:r>
                    <w:rPr>
                      <w:rFonts w:hint="eastAsia"/>
                      <w:sz w:val="21"/>
                      <w:szCs w:val="21"/>
                      <w:lang w:val="en-US" w:eastAsia="zh-CN"/>
                    </w:rPr>
                    <w:t>清繁大道红线范围内</w:t>
                  </w:r>
                  <w:r>
                    <w:rPr>
                      <w:rFonts w:hint="eastAsia" w:ascii="Times New Roman" w:hAnsi="Times New Roman" w:eastAsia="宋体" w:cs="Times New Roman"/>
                      <w:color w:val="auto"/>
                      <w:sz w:val="21"/>
                      <w:szCs w:val="21"/>
                    </w:rPr>
                    <w:t>布置1处</w:t>
                  </w:r>
                  <w:r>
                    <w:rPr>
                      <w:rFonts w:hint="eastAsia" w:ascii="Times New Roman" w:hAnsi="Times New Roman" w:eastAsia="宋体" w:cs="Times New Roman"/>
                      <w:color w:val="auto"/>
                      <w:sz w:val="21"/>
                      <w:szCs w:val="21"/>
                      <w:lang w:val="en-US" w:eastAsia="zh-CN"/>
                    </w:rPr>
                    <w:t>施工场地，用于人员办公、</w:t>
                  </w:r>
                  <w:r>
                    <w:rPr>
                      <w:rFonts w:ascii="Times New Roman" w:hAnsi="Times New Roman" w:eastAsia="宋体" w:cs="Times New Roman"/>
                      <w:color w:val="auto"/>
                      <w:sz w:val="21"/>
                      <w:szCs w:val="21"/>
                      <w:highlight w:val="none"/>
                    </w:rPr>
                    <w:t>桥梁预制、钢筋加工、小型构件加工、机械停放、建材堆放等</w:t>
                  </w:r>
                  <w:r>
                    <w:rPr>
                      <w:color w:val="auto"/>
                      <w:sz w:val="21"/>
                      <w:szCs w:val="21"/>
                      <w:highlight w:val="none"/>
                    </w:rPr>
                    <w:t>，</w:t>
                  </w:r>
                  <w:r>
                    <w:rPr>
                      <w:rFonts w:hint="eastAsia" w:ascii="Times New Roman" w:hAnsi="Times New Roman" w:eastAsia="宋体" w:cs="Times New Roman"/>
                      <w:color w:val="auto"/>
                      <w:sz w:val="21"/>
                      <w:szCs w:val="21"/>
                    </w:rPr>
                    <w:t>占地面积0.</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hm</w:t>
                  </w:r>
                  <w:r>
                    <w:rPr>
                      <w:rFonts w:hint="eastAsia" w:ascii="Times New Roman" w:hAnsi="Times New Roman" w:eastAsia="宋体" w:cs="Times New Roman"/>
                      <w:color w:val="auto"/>
                      <w:sz w:val="21"/>
                      <w:szCs w:val="21"/>
                      <w:vertAlign w:val="superscript"/>
                    </w:rPr>
                    <w:t>2</w:t>
                  </w:r>
                  <w:bookmarkEnd w:id="44"/>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184" w:type="pct"/>
                  <w:vMerge w:val="continue"/>
                  <w:tcBorders>
                    <w:tl2br w:val="nil"/>
                    <w:tr2bl w:val="nil"/>
                  </w:tcBorders>
                  <w:noWrap w:val="0"/>
                  <w:vAlign w:val="center"/>
                </w:tcPr>
                <w:p>
                  <w:pPr>
                    <w:jc w:val="center"/>
                    <w:outlineLvl w:val="9"/>
                    <w:rPr>
                      <w:rFonts w:hint="eastAsia"/>
                      <w:color w:val="auto"/>
                      <w:szCs w:val="21"/>
                    </w:rPr>
                  </w:pPr>
                </w:p>
              </w:tc>
              <w:tc>
                <w:tcPr>
                  <w:tcW w:w="1192" w:type="pct"/>
                  <w:gridSpan w:val="2"/>
                  <w:tcBorders>
                    <w:tl2br w:val="nil"/>
                    <w:tr2bl w:val="nil"/>
                  </w:tcBorders>
                  <w:shd w:val="clear" w:color="auto" w:fill="auto"/>
                  <w:noWrap w:val="0"/>
                  <w:vAlign w:val="center"/>
                </w:tcPr>
                <w:p>
                  <w:pPr>
                    <w:jc w:val="center"/>
                    <w:outlineLvl w:val="1"/>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sz w:val="21"/>
                      <w:szCs w:val="21"/>
                    </w:rPr>
                    <w:t>临时表土堆场</w:t>
                  </w:r>
                </w:p>
              </w:tc>
              <w:tc>
                <w:tcPr>
                  <w:tcW w:w="3623" w:type="pct"/>
                  <w:tcBorders>
                    <w:tl2br w:val="nil"/>
                    <w:tr2bl w:val="nil"/>
                  </w:tcBorders>
                  <w:shd w:val="clear" w:color="auto" w:fill="auto"/>
                  <w:noWrap w:val="0"/>
                  <w:vAlign w:val="center"/>
                </w:tcPr>
                <w:p>
                  <w:pPr>
                    <w:outlineLvl w:val="1"/>
                    <w:rPr>
                      <w:rFonts w:hint="default" w:ascii="Times New Roman" w:hAnsi="Times New Roman" w:eastAsia="宋体" w:cs="Times New Roman"/>
                      <w:color w:val="auto"/>
                      <w:kern w:val="2"/>
                      <w:sz w:val="21"/>
                      <w:szCs w:val="21"/>
                      <w:highlight w:val="none"/>
                      <w:lang w:val="en-US" w:eastAsia="zh-CN" w:bidi="ar-SA"/>
                    </w:rPr>
                  </w:pPr>
                  <w:r>
                    <w:rPr>
                      <w:rFonts w:hint="eastAsia"/>
                      <w:sz w:val="21"/>
                      <w:szCs w:val="21"/>
                    </w:rPr>
                    <w:t>拟建道路表层土大部分为素填土，内含较多碎石及少量建筑垃圾等，不宜直接做绿化覆土和路基回填土，因此项目</w:t>
                  </w:r>
                  <w:r>
                    <w:rPr>
                      <w:rFonts w:hint="eastAsia"/>
                      <w:sz w:val="21"/>
                      <w:szCs w:val="21"/>
                      <w:lang w:val="en-US" w:eastAsia="zh-CN"/>
                    </w:rPr>
                    <w:t>不</w:t>
                  </w:r>
                  <w:r>
                    <w:rPr>
                      <w:rFonts w:hint="eastAsia"/>
                      <w:sz w:val="21"/>
                      <w:szCs w:val="21"/>
                    </w:rPr>
                    <w:t>单独剥离表土</w:t>
                  </w:r>
                  <w:r>
                    <w:rPr>
                      <w:rFonts w:hint="eastAsia"/>
                      <w:sz w:val="21"/>
                      <w:szCs w:val="21"/>
                      <w:lang w:eastAsia="zh-CN"/>
                    </w:rPr>
                    <w:t>，</w:t>
                  </w:r>
                  <w:r>
                    <w:rPr>
                      <w:rFonts w:hint="eastAsia"/>
                      <w:sz w:val="21"/>
                      <w:szCs w:val="21"/>
                      <w:lang w:val="en-US" w:eastAsia="zh-CN"/>
                    </w:rPr>
                    <w:t>不设临时表土堆场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184" w:type="pct"/>
                  <w:vMerge w:val="continue"/>
                  <w:tcBorders>
                    <w:tl2br w:val="nil"/>
                    <w:tr2bl w:val="nil"/>
                  </w:tcBorders>
                  <w:noWrap w:val="0"/>
                  <w:vAlign w:val="center"/>
                </w:tcPr>
                <w:p>
                  <w:pPr>
                    <w:jc w:val="center"/>
                    <w:outlineLvl w:val="9"/>
                    <w:rPr>
                      <w:rFonts w:hint="eastAsia"/>
                      <w:color w:val="auto"/>
                      <w:szCs w:val="21"/>
                    </w:rPr>
                  </w:pPr>
                </w:p>
              </w:tc>
              <w:tc>
                <w:tcPr>
                  <w:tcW w:w="1192" w:type="pct"/>
                  <w:gridSpan w:val="2"/>
                  <w:tcBorders>
                    <w:tl2br w:val="nil"/>
                    <w:tr2bl w:val="nil"/>
                  </w:tcBorders>
                  <w:noWrap w:val="0"/>
                  <w:vAlign w:val="center"/>
                </w:tcPr>
                <w:p>
                  <w:pPr>
                    <w:jc w:val="center"/>
                    <w:outlineLvl w:val="1"/>
                    <w:rPr>
                      <w:rFonts w:hint="eastAsia"/>
                      <w:color w:val="auto"/>
                      <w:sz w:val="21"/>
                      <w:szCs w:val="21"/>
                      <w:highlight w:val="none"/>
                      <w:lang w:val="en-US" w:eastAsia="zh-CN"/>
                    </w:rPr>
                  </w:pPr>
                  <w:bookmarkStart w:id="45" w:name="_Toc9838"/>
                  <w:r>
                    <w:rPr>
                      <w:color w:val="auto"/>
                      <w:sz w:val="21"/>
                      <w:szCs w:val="21"/>
                    </w:rPr>
                    <w:t>临时堆土场</w:t>
                  </w:r>
                  <w:bookmarkEnd w:id="45"/>
                </w:p>
              </w:tc>
              <w:tc>
                <w:tcPr>
                  <w:tcW w:w="3623" w:type="pct"/>
                  <w:tcBorders>
                    <w:tl2br w:val="nil"/>
                    <w:tr2bl w:val="nil"/>
                  </w:tcBorders>
                  <w:noWrap w:val="0"/>
                  <w:vAlign w:val="center"/>
                </w:tcPr>
                <w:p>
                  <w:pPr>
                    <w:outlineLvl w:val="1"/>
                    <w:rPr>
                      <w:color w:val="auto"/>
                      <w:sz w:val="21"/>
                      <w:szCs w:val="21"/>
                      <w:highlight w:val="none"/>
                    </w:rPr>
                  </w:pPr>
                  <w:r>
                    <w:rPr>
                      <w:rFonts w:hint="eastAsia"/>
                      <w:sz w:val="21"/>
                      <w:szCs w:val="21"/>
                    </w:rPr>
                    <w:t>施工过程合理把控施工进度，土石方挖填做到随挖随运随填，不设置临时堆土场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4" w:type="pct"/>
                  <w:vMerge w:val="restart"/>
                  <w:tcBorders>
                    <w:tl2br w:val="nil"/>
                    <w:tr2bl w:val="nil"/>
                  </w:tcBorders>
                  <w:noWrap w:val="0"/>
                  <w:vAlign w:val="center"/>
                </w:tcPr>
                <w:p>
                  <w:pPr>
                    <w:jc w:val="center"/>
                    <w:outlineLvl w:val="1"/>
                    <w:rPr>
                      <w:color w:val="auto"/>
                      <w:lang w:val="zh-CN"/>
                    </w:rPr>
                  </w:pPr>
                  <w:bookmarkStart w:id="46" w:name="_Toc13268"/>
                  <w:r>
                    <w:rPr>
                      <w:color w:val="auto"/>
                      <w:lang w:val="zh-CN"/>
                    </w:rPr>
                    <w:t>环保工程</w:t>
                  </w:r>
                  <w:bookmarkEnd w:id="46"/>
                </w:p>
              </w:tc>
              <w:tc>
                <w:tcPr>
                  <w:tcW w:w="1192" w:type="pct"/>
                  <w:gridSpan w:val="2"/>
                  <w:tcBorders>
                    <w:tl2br w:val="nil"/>
                    <w:tr2bl w:val="nil"/>
                  </w:tcBorders>
                  <w:noWrap w:val="0"/>
                  <w:vAlign w:val="center"/>
                </w:tcPr>
                <w:p>
                  <w:pPr>
                    <w:jc w:val="center"/>
                    <w:outlineLvl w:val="1"/>
                    <w:rPr>
                      <w:color w:val="auto"/>
                      <w:lang w:val="zh-CN"/>
                    </w:rPr>
                  </w:pPr>
                  <w:bookmarkStart w:id="47" w:name="_Toc19617"/>
                  <w:r>
                    <w:rPr>
                      <w:color w:val="auto"/>
                      <w:lang w:val="zh-CN"/>
                    </w:rPr>
                    <w:t>废水</w:t>
                  </w:r>
                  <w:bookmarkEnd w:id="47"/>
                </w:p>
              </w:tc>
              <w:tc>
                <w:tcPr>
                  <w:tcW w:w="3623" w:type="pct"/>
                  <w:tcBorders>
                    <w:tl2br w:val="nil"/>
                    <w:tr2bl w:val="nil"/>
                  </w:tcBorders>
                  <w:noWrap w:val="0"/>
                  <w:vAlign w:val="center"/>
                </w:tcPr>
                <w:p>
                  <w:pPr>
                    <w:outlineLvl w:val="1"/>
                    <w:rPr>
                      <w:color w:val="auto"/>
                    </w:rPr>
                  </w:pPr>
                  <w:bookmarkStart w:id="48" w:name="_Toc718"/>
                  <w:r>
                    <w:rPr>
                      <w:color w:val="auto"/>
                    </w:rPr>
                    <w:t>施工期：施工场地设置隔油沉淀池处理施工过程产生的</w:t>
                  </w:r>
                  <w:r>
                    <w:rPr>
                      <w:rFonts w:hint="eastAsia"/>
                      <w:color w:val="auto"/>
                    </w:rPr>
                    <w:t>施工</w:t>
                  </w:r>
                  <w:r>
                    <w:rPr>
                      <w:color w:val="auto"/>
                    </w:rPr>
                    <w:t>废水，处理后作为施工降尘等使用，不外排；</w:t>
                  </w:r>
                  <w:r>
                    <w:rPr>
                      <w:color w:val="auto"/>
                      <w:spacing w:val="-2"/>
                      <w:szCs w:val="21"/>
                    </w:rPr>
                    <w:t>施工</w:t>
                  </w:r>
                  <w:r>
                    <w:rPr>
                      <w:rFonts w:hint="eastAsia"/>
                      <w:color w:val="auto"/>
                      <w:spacing w:val="-2"/>
                      <w:szCs w:val="21"/>
                      <w:lang w:val="en-US" w:eastAsia="zh-CN"/>
                    </w:rPr>
                    <w:t>人员</w:t>
                  </w:r>
                  <w:r>
                    <w:rPr>
                      <w:color w:val="auto"/>
                      <w:spacing w:val="-2"/>
                      <w:szCs w:val="21"/>
                    </w:rPr>
                    <w:t>生活污水依托</w:t>
                  </w:r>
                  <w:r>
                    <w:rPr>
                      <w:rFonts w:hint="eastAsia" w:ascii="Times New Roman" w:hAnsi="Times New Roman"/>
                      <w:sz w:val="21"/>
                    </w:rPr>
                    <w:t>租住居民区</w:t>
                  </w:r>
                  <w:r>
                    <w:rPr>
                      <w:color w:val="auto"/>
                      <w:spacing w:val="-2"/>
                      <w:szCs w:val="21"/>
                    </w:rPr>
                    <w:t>现有排污系统进行处理</w:t>
                  </w:r>
                  <w:r>
                    <w:rPr>
                      <w:rFonts w:hint="eastAsia"/>
                      <w:color w:val="auto"/>
                    </w:rPr>
                    <w:t>。</w:t>
                  </w:r>
                  <w:bookmarkEnd w:id="48"/>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4" w:type="pct"/>
                  <w:vMerge w:val="continue"/>
                  <w:tcBorders>
                    <w:tl2br w:val="nil"/>
                    <w:tr2bl w:val="nil"/>
                  </w:tcBorders>
                  <w:noWrap w:val="0"/>
                  <w:vAlign w:val="center"/>
                </w:tcPr>
                <w:p>
                  <w:pPr>
                    <w:jc w:val="center"/>
                    <w:outlineLvl w:val="9"/>
                    <w:rPr>
                      <w:color w:val="auto"/>
                    </w:rPr>
                  </w:pPr>
                </w:p>
              </w:tc>
              <w:tc>
                <w:tcPr>
                  <w:tcW w:w="1192" w:type="pct"/>
                  <w:gridSpan w:val="2"/>
                  <w:tcBorders>
                    <w:tl2br w:val="nil"/>
                    <w:tr2bl w:val="nil"/>
                  </w:tcBorders>
                  <w:noWrap w:val="0"/>
                  <w:vAlign w:val="center"/>
                </w:tcPr>
                <w:p>
                  <w:pPr>
                    <w:jc w:val="center"/>
                    <w:outlineLvl w:val="1"/>
                    <w:rPr>
                      <w:color w:val="auto"/>
                      <w:lang w:val="zh-CN"/>
                    </w:rPr>
                  </w:pPr>
                  <w:bookmarkStart w:id="49" w:name="_Toc16574"/>
                  <w:r>
                    <w:rPr>
                      <w:color w:val="auto"/>
                      <w:szCs w:val="21"/>
                    </w:rPr>
                    <w:t>废气</w:t>
                  </w:r>
                  <w:bookmarkEnd w:id="49"/>
                </w:p>
              </w:tc>
              <w:tc>
                <w:tcPr>
                  <w:tcW w:w="3623" w:type="pct"/>
                  <w:tcBorders>
                    <w:tl2br w:val="nil"/>
                    <w:tr2bl w:val="nil"/>
                  </w:tcBorders>
                  <w:noWrap w:val="0"/>
                  <w:vAlign w:val="center"/>
                </w:tcPr>
                <w:p>
                  <w:pPr>
                    <w:jc w:val="left"/>
                    <w:outlineLvl w:val="1"/>
                    <w:rPr>
                      <w:color w:val="auto"/>
                      <w:lang w:val="zh-CN"/>
                    </w:rPr>
                  </w:pPr>
                  <w:bookmarkStart w:id="50" w:name="_Toc32503"/>
                  <w:r>
                    <w:rPr>
                      <w:color w:val="auto"/>
                      <w:lang w:val="zh-CN"/>
                    </w:rPr>
                    <w:t>施工期：①车辆出入施工现场的道路应经常洒水，减少粉尘污染；②运送车辆应按规定配置防洒装备，实行密闭运输，避免在运输过程中发生遗撒或泄漏。对洒落地面的建筑材料，应及时进行清理；</w:t>
                  </w:r>
                  <w:r>
                    <w:rPr>
                      <w:rFonts w:hint="eastAsia"/>
                      <w:color w:val="auto"/>
                      <w:szCs w:val="21"/>
                      <w:lang w:val="en-US" w:eastAsia="zh-CN"/>
                    </w:rPr>
                    <w:t>③</w:t>
                  </w:r>
                  <w:r>
                    <w:rPr>
                      <w:color w:val="auto"/>
                      <w:szCs w:val="21"/>
                    </w:rPr>
                    <w:t>开挖过程中，洒水作业保持一定的湿度；回填土方时，在表层土质干燥时应适当洒水，防止粉尘飞扬。</w:t>
                  </w:r>
                  <w:r>
                    <w:rPr>
                      <w:rFonts w:hint="eastAsia"/>
                      <w:color w:val="auto"/>
                      <w:szCs w:val="21"/>
                      <w:lang w:val="en-US" w:eastAsia="zh-CN"/>
                    </w:rPr>
                    <w:t>④余方</w:t>
                  </w:r>
                  <w:r>
                    <w:rPr>
                      <w:color w:val="auto"/>
                      <w:szCs w:val="21"/>
                    </w:rPr>
                    <w:t>应及时</w:t>
                  </w:r>
                  <w:r>
                    <w:rPr>
                      <w:rFonts w:hint="eastAsia"/>
                      <w:color w:val="auto"/>
                      <w:szCs w:val="21"/>
                      <w:lang w:val="en-US" w:eastAsia="zh-CN"/>
                    </w:rPr>
                    <w:t>外运</w:t>
                  </w:r>
                  <w:r>
                    <w:rPr>
                      <w:color w:val="auto"/>
                      <w:szCs w:val="21"/>
                    </w:rPr>
                    <w:t>，不宜长时间堆积。</w:t>
                  </w:r>
                </w:p>
                <w:p>
                  <w:pPr>
                    <w:jc w:val="left"/>
                    <w:outlineLvl w:val="1"/>
                    <w:rPr>
                      <w:color w:val="auto"/>
                      <w:lang w:val="zh-CN"/>
                    </w:rPr>
                  </w:pPr>
                  <w:r>
                    <w:rPr>
                      <w:color w:val="auto"/>
                      <w:lang w:val="zh-CN"/>
                    </w:rPr>
                    <w:t>运营期：①密植绿化，多种植乔、灌木；②实施上路车辆的达标管理制度，对于排放不达标的车辆不允许其上路。</w:t>
                  </w:r>
                  <w:bookmarkEnd w:id="5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4" w:type="pct"/>
                  <w:vMerge w:val="continue"/>
                  <w:tcBorders>
                    <w:tl2br w:val="nil"/>
                    <w:tr2bl w:val="nil"/>
                  </w:tcBorders>
                  <w:noWrap w:val="0"/>
                  <w:vAlign w:val="center"/>
                </w:tcPr>
                <w:p>
                  <w:pPr>
                    <w:jc w:val="center"/>
                    <w:outlineLvl w:val="9"/>
                    <w:rPr>
                      <w:color w:val="auto"/>
                      <w:lang w:val="zh-CN"/>
                    </w:rPr>
                  </w:pPr>
                </w:p>
              </w:tc>
              <w:tc>
                <w:tcPr>
                  <w:tcW w:w="1192" w:type="pct"/>
                  <w:gridSpan w:val="2"/>
                  <w:tcBorders>
                    <w:tl2br w:val="nil"/>
                    <w:tr2bl w:val="nil"/>
                  </w:tcBorders>
                  <w:noWrap w:val="0"/>
                  <w:vAlign w:val="center"/>
                </w:tcPr>
                <w:p>
                  <w:pPr>
                    <w:jc w:val="center"/>
                    <w:outlineLvl w:val="1"/>
                    <w:rPr>
                      <w:color w:val="auto"/>
                      <w:lang w:val="zh-CN"/>
                    </w:rPr>
                  </w:pPr>
                  <w:bookmarkStart w:id="51" w:name="_Toc20450"/>
                  <w:r>
                    <w:rPr>
                      <w:color w:val="auto"/>
                      <w:lang w:val="zh-CN"/>
                    </w:rPr>
                    <w:t>噪声</w:t>
                  </w:r>
                  <w:bookmarkEnd w:id="51"/>
                </w:p>
              </w:tc>
              <w:tc>
                <w:tcPr>
                  <w:tcW w:w="3623" w:type="pct"/>
                  <w:tcBorders>
                    <w:tl2br w:val="nil"/>
                    <w:tr2bl w:val="nil"/>
                  </w:tcBorders>
                  <w:noWrap w:val="0"/>
                  <w:vAlign w:val="center"/>
                </w:tcPr>
                <w:p>
                  <w:pPr>
                    <w:jc w:val="left"/>
                    <w:outlineLvl w:val="1"/>
                    <w:rPr>
                      <w:color w:val="auto"/>
                      <w:lang w:val="zh-CN"/>
                    </w:rPr>
                  </w:pPr>
                  <w:bookmarkStart w:id="52" w:name="_Toc8019"/>
                  <w:r>
                    <w:rPr>
                      <w:color w:val="auto"/>
                      <w:lang w:val="zh-CN"/>
                    </w:rPr>
                    <w:t>施工期：①施工现场应采取</w:t>
                  </w:r>
                  <w:r>
                    <w:rPr>
                      <w:color w:val="auto"/>
                      <w:szCs w:val="21"/>
                    </w:rPr>
                    <w:t>围挡施工</w:t>
                  </w:r>
                  <w:r>
                    <w:rPr>
                      <w:color w:val="auto"/>
                      <w:lang w:val="zh-CN"/>
                    </w:rPr>
                    <w:t>，</w:t>
                  </w:r>
                  <w:r>
                    <w:rPr>
                      <w:color w:val="auto"/>
                      <w:szCs w:val="21"/>
                    </w:rPr>
                    <w:t>在高噪声设备周边设置屏障</w:t>
                  </w:r>
                  <w:r>
                    <w:rPr>
                      <w:color w:val="auto"/>
                      <w:lang w:val="zh-CN"/>
                    </w:rPr>
                    <w:t>；②尽量选用低噪声的施工机械和工艺，从根本上降低声强；③禁止在夜间（22：00~06：00）和午间（12：00~14：</w:t>
                  </w:r>
                  <w:r>
                    <w:rPr>
                      <w:rFonts w:hint="eastAsia"/>
                      <w:color w:val="auto"/>
                      <w:lang w:val="en-US" w:eastAsia="zh-CN"/>
                    </w:rPr>
                    <w:t>0</w:t>
                  </w:r>
                  <w:r>
                    <w:rPr>
                      <w:color w:val="auto"/>
                      <w:lang w:val="zh-CN"/>
                    </w:rPr>
                    <w:t>0）进行施工作业。④合理安排</w:t>
                  </w:r>
                  <w:bookmarkEnd w:id="52"/>
                  <w:r>
                    <w:rPr>
                      <w:rFonts w:hint="eastAsia" w:ascii="Times New Roman" w:hAnsi="Times New Roman"/>
                      <w:sz w:val="21"/>
                    </w:rPr>
                    <w:t>施工运输车辆的行走路线和行走时间，</w:t>
                  </w:r>
                  <w:r>
                    <w:rPr>
                      <w:color w:val="auto"/>
                      <w:lang w:val="zh-CN"/>
                    </w:rPr>
                    <w:t>尽量缩短工期，减少施工噪声影响时间。</w:t>
                  </w:r>
                </w:p>
                <w:p>
                  <w:pPr>
                    <w:jc w:val="left"/>
                    <w:outlineLvl w:val="1"/>
                    <w:rPr>
                      <w:color w:val="auto"/>
                      <w:lang w:val="zh-CN"/>
                    </w:rPr>
                  </w:pPr>
                  <w:bookmarkStart w:id="53" w:name="_Toc31638"/>
                  <w:r>
                    <w:rPr>
                      <w:color w:val="auto"/>
                      <w:lang w:val="zh-CN"/>
                    </w:rPr>
                    <w:t>运营期：</w:t>
                  </w:r>
                  <w:r>
                    <w:rPr>
                      <w:rFonts w:hint="eastAsia"/>
                      <w:sz w:val="21"/>
                    </w:rPr>
                    <w:t>设置警示标牌；道路两侧新建建筑加装隔声窗；加强路面养护；加强道路两侧绿化</w:t>
                  </w:r>
                  <w:r>
                    <w:rPr>
                      <w:color w:val="auto"/>
                      <w:lang w:val="zh-CN"/>
                    </w:rPr>
                    <w:t>。</w:t>
                  </w:r>
                  <w:bookmarkEnd w:id="5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84" w:type="pct"/>
                  <w:vMerge w:val="continue"/>
                  <w:tcBorders>
                    <w:tl2br w:val="nil"/>
                    <w:tr2bl w:val="nil"/>
                  </w:tcBorders>
                  <w:noWrap w:val="0"/>
                  <w:vAlign w:val="center"/>
                </w:tcPr>
                <w:p>
                  <w:pPr>
                    <w:jc w:val="center"/>
                    <w:outlineLvl w:val="9"/>
                    <w:rPr>
                      <w:color w:val="auto"/>
                      <w:lang w:val="zh-CN"/>
                    </w:rPr>
                  </w:pPr>
                </w:p>
              </w:tc>
              <w:tc>
                <w:tcPr>
                  <w:tcW w:w="1192" w:type="pct"/>
                  <w:gridSpan w:val="2"/>
                  <w:tcBorders>
                    <w:tl2br w:val="nil"/>
                    <w:tr2bl w:val="nil"/>
                  </w:tcBorders>
                  <w:noWrap w:val="0"/>
                  <w:vAlign w:val="center"/>
                </w:tcPr>
                <w:p>
                  <w:pPr>
                    <w:jc w:val="center"/>
                    <w:outlineLvl w:val="1"/>
                    <w:rPr>
                      <w:color w:val="auto"/>
                      <w:lang w:val="zh-CN"/>
                    </w:rPr>
                  </w:pPr>
                  <w:bookmarkStart w:id="54" w:name="_Toc4980"/>
                  <w:r>
                    <w:rPr>
                      <w:color w:val="auto"/>
                      <w:lang w:val="zh-CN"/>
                    </w:rPr>
                    <w:t>固体废物</w:t>
                  </w:r>
                  <w:bookmarkEnd w:id="54"/>
                </w:p>
              </w:tc>
              <w:tc>
                <w:tcPr>
                  <w:tcW w:w="3623" w:type="pct"/>
                  <w:tcBorders>
                    <w:tl2br w:val="nil"/>
                    <w:tr2bl w:val="nil"/>
                  </w:tcBorders>
                  <w:noWrap w:val="0"/>
                  <w:vAlign w:val="center"/>
                </w:tcPr>
                <w:p>
                  <w:pPr>
                    <w:keepNext w:val="0"/>
                    <w:keepLines w:val="0"/>
                    <w:widowControl/>
                    <w:suppressLineNumbers w:val="0"/>
                    <w:jc w:val="left"/>
                    <w:rPr>
                      <w:color w:val="auto"/>
                      <w:lang w:val="zh-CN"/>
                    </w:rPr>
                  </w:pPr>
                  <w:bookmarkStart w:id="55" w:name="_Toc24727"/>
                  <w:r>
                    <w:rPr>
                      <w:color w:val="auto"/>
                      <w:lang w:val="zh-CN"/>
                    </w:rPr>
                    <w:t>施工期：</w:t>
                  </w:r>
                  <w:r>
                    <w:rPr>
                      <w:rFonts w:ascii="Times New Roman" w:hAnsi="Times New Roman" w:eastAsia="宋体" w:cs="Times New Roman"/>
                      <w:color w:val="auto"/>
                      <w:lang w:val="zh-CN"/>
                    </w:rPr>
                    <w:t>①</w:t>
                  </w:r>
                  <w:r>
                    <w:rPr>
                      <w:rFonts w:hint="eastAsia" w:ascii="Times New Roman" w:hAnsi="Times New Roman" w:eastAsia="宋体" w:cs="Times New Roman"/>
                      <w:color w:val="auto"/>
                      <w:lang w:val="en-US" w:eastAsia="zh-CN"/>
                    </w:rPr>
                    <w:t>项目开工前应</w:t>
                  </w:r>
                  <w:r>
                    <w:rPr>
                      <w:rFonts w:ascii="Times New Roman" w:hAnsi="Times New Roman" w:eastAsia="宋体" w:cs="Times New Roman"/>
                      <w:color w:val="auto"/>
                      <w:lang w:val="en-US" w:eastAsia="zh-CN"/>
                    </w:rPr>
                    <w:t>严格按照相关规定，报送本项目的渣土资源供需情况至福清市行政服务中心进行统筹调配</w:t>
                  </w:r>
                  <w:r>
                    <w:rPr>
                      <w:color w:val="auto"/>
                      <w:lang w:val="zh-CN"/>
                    </w:rPr>
                    <w:t>；②</w:t>
                  </w:r>
                  <w:r>
                    <w:rPr>
                      <w:rFonts w:hint="eastAsia" w:ascii="Times New Roman" w:hAnsi="Times New Roman"/>
                      <w:sz w:val="21"/>
                    </w:rPr>
                    <w:t>施工期产生的建筑垃圾，可回收利用部分回收利用，不可利用部分按照城建部门要求统一堆放后，集中清运</w:t>
                  </w:r>
                  <w:r>
                    <w:rPr>
                      <w:rFonts w:hint="eastAsia" w:ascii="Times New Roman" w:hAnsi="Times New Roman"/>
                      <w:sz w:val="21"/>
                      <w:lang w:eastAsia="zh-CN"/>
                    </w:rPr>
                    <w:t>；</w:t>
                  </w:r>
                  <w:r>
                    <w:rPr>
                      <w:rFonts w:hint="eastAsia" w:ascii="Times New Roman" w:hAnsi="Times New Roman"/>
                      <w:sz w:val="21"/>
                      <w:lang w:val="en-US" w:eastAsia="zh-CN"/>
                    </w:rPr>
                    <w:t>③</w:t>
                  </w:r>
                  <w:r>
                    <w:rPr>
                      <w:color w:val="auto"/>
                      <w:lang w:val="zh-CN"/>
                    </w:rPr>
                    <w:t>施工人员的生活垃圾交由环卫部门及时清运。</w:t>
                  </w:r>
                  <w:bookmarkEnd w:id="55"/>
                </w:p>
                <w:p>
                  <w:pPr>
                    <w:jc w:val="left"/>
                    <w:outlineLvl w:val="1"/>
                    <w:rPr>
                      <w:color w:val="auto"/>
                      <w:lang w:val="zh-CN"/>
                    </w:rPr>
                  </w:pPr>
                  <w:bookmarkStart w:id="56" w:name="_Toc10986"/>
                  <w:r>
                    <w:rPr>
                      <w:color w:val="auto"/>
                      <w:lang w:val="zh-CN"/>
                    </w:rPr>
                    <w:t>运营期：在道路两侧设置分类垃圾箱，以便分类收集过往行人的生活垃圾。</w:t>
                  </w:r>
                  <w:bookmarkEnd w:id="56"/>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4" w:type="pct"/>
                  <w:vMerge w:val="continue"/>
                  <w:tcBorders>
                    <w:tl2br w:val="nil"/>
                    <w:tr2bl w:val="nil"/>
                  </w:tcBorders>
                  <w:noWrap w:val="0"/>
                  <w:vAlign w:val="center"/>
                </w:tcPr>
                <w:p>
                  <w:pPr>
                    <w:jc w:val="center"/>
                    <w:outlineLvl w:val="9"/>
                    <w:rPr>
                      <w:color w:val="auto"/>
                      <w:lang w:val="zh-CN"/>
                    </w:rPr>
                  </w:pPr>
                </w:p>
              </w:tc>
              <w:tc>
                <w:tcPr>
                  <w:tcW w:w="1192" w:type="pct"/>
                  <w:gridSpan w:val="2"/>
                  <w:tcBorders>
                    <w:tl2br w:val="nil"/>
                    <w:tr2bl w:val="nil"/>
                  </w:tcBorders>
                  <w:noWrap w:val="0"/>
                  <w:vAlign w:val="center"/>
                </w:tcPr>
                <w:p>
                  <w:pPr>
                    <w:pStyle w:val="83"/>
                    <w:wordWrap w:val="0"/>
                    <w:rPr>
                      <w:color w:val="auto"/>
                      <w:lang w:val="zh-CN"/>
                    </w:rPr>
                  </w:pPr>
                  <w:r>
                    <w:rPr>
                      <w:rFonts w:hint="eastAsia"/>
                      <w:sz w:val="21"/>
                    </w:rPr>
                    <w:t>生态保护措施</w:t>
                  </w:r>
                </w:p>
              </w:tc>
              <w:tc>
                <w:tcPr>
                  <w:tcW w:w="3623" w:type="pct"/>
                  <w:tcBorders>
                    <w:tl2br w:val="nil"/>
                    <w:tr2bl w:val="nil"/>
                  </w:tcBorders>
                  <w:noWrap w:val="0"/>
                  <w:vAlign w:val="center"/>
                </w:tcPr>
                <w:p>
                  <w:pPr>
                    <w:pStyle w:val="84"/>
                    <w:wordWrap w:val="0"/>
                    <w:jc w:val="left"/>
                    <w:rPr>
                      <w:rFonts w:hint="eastAsia" w:ascii="Times New Roman" w:hAnsi="Times New Roman"/>
                      <w:sz w:val="21"/>
                    </w:rPr>
                  </w:pPr>
                  <w:r>
                    <w:rPr>
                      <w:color w:val="auto"/>
                      <w:lang w:val="zh-CN"/>
                    </w:rPr>
                    <w:t>施工期：</w:t>
                  </w:r>
                  <w:r>
                    <w:rPr>
                      <w:rFonts w:hint="eastAsia" w:ascii="Times New Roman" w:hAnsi="Times New Roman"/>
                      <w:sz w:val="21"/>
                      <w:szCs w:val="21"/>
                    </w:rPr>
                    <w:t>抓紧施工进度，尽量缩短施工时间</w:t>
                  </w:r>
                  <w:r>
                    <w:rPr>
                      <w:rFonts w:hint="eastAsia" w:ascii="Times New Roman" w:hAnsi="Times New Roman"/>
                      <w:sz w:val="21"/>
                    </w:rPr>
                    <w:t>；</w:t>
                  </w:r>
                  <w:r>
                    <w:rPr>
                      <w:rFonts w:hint="eastAsia" w:ascii="Times New Roman" w:hAnsi="Times New Roman"/>
                      <w:sz w:val="21"/>
                      <w:szCs w:val="21"/>
                    </w:rPr>
                    <w:t>施工结束后应对道路沿线的土石方、筑路垃圾等固废废物进行全面清理，</w:t>
                  </w:r>
                  <w:r>
                    <w:rPr>
                      <w:rFonts w:hint="eastAsia"/>
                      <w:sz w:val="21"/>
                      <w:szCs w:val="21"/>
                    </w:rPr>
                    <w:t>及时进行场地平整及道路绿化</w:t>
                  </w:r>
                  <w:r>
                    <w:rPr>
                      <w:rFonts w:hint="eastAsia" w:ascii="Times New Roman" w:hAnsi="Times New Roman"/>
                      <w:sz w:val="21"/>
                    </w:rPr>
                    <w:t>。</w:t>
                  </w:r>
                </w:p>
                <w:p>
                  <w:pPr>
                    <w:pStyle w:val="84"/>
                    <w:wordWrap w:val="0"/>
                    <w:jc w:val="left"/>
                    <w:rPr>
                      <w:rFonts w:hint="eastAsia" w:ascii="Times New Roman" w:hAnsi="Times New Roman" w:eastAsia="宋体"/>
                      <w:sz w:val="21"/>
                      <w:lang w:val="zh-CN" w:eastAsia="zh-CN"/>
                    </w:rPr>
                  </w:pPr>
                  <w:r>
                    <w:rPr>
                      <w:color w:val="auto"/>
                      <w:lang w:val="zh-CN"/>
                    </w:rPr>
                    <w:t>运营期：</w:t>
                  </w:r>
                  <w:r>
                    <w:rPr>
                      <w:rFonts w:hint="eastAsia"/>
                      <w:sz w:val="21"/>
                    </w:rPr>
                    <w:t>按道路绿化设计要求，完成道路两侧植树种草工作</w:t>
                  </w:r>
                  <w:r>
                    <w:rPr>
                      <w:rFonts w:hint="eastAsia"/>
                      <w:sz w:val="21"/>
                      <w:lang w:eastAsia="zh-CN"/>
                    </w:rPr>
                    <w:t>。</w:t>
                  </w:r>
                </w:p>
              </w:tc>
            </w:tr>
          </w:tbl>
          <w:p>
            <w:pPr>
              <w:snapToGrid w:val="0"/>
              <w:spacing w:before="120" w:beforeLines="50" w:line="360" w:lineRule="auto"/>
              <w:ind w:firstLine="482"/>
              <w:rPr>
                <w:rFonts w:hint="eastAsia"/>
                <w:color w:val="auto"/>
                <w:sz w:val="24"/>
              </w:rPr>
            </w:pPr>
            <w:r>
              <w:rPr>
                <w:rFonts w:hint="eastAsia"/>
                <w:color w:val="auto"/>
                <w:sz w:val="24"/>
              </w:rPr>
              <w:t>技术标准：</w:t>
            </w:r>
          </w:p>
          <w:p>
            <w:pPr>
              <w:adjustRightInd w:val="0"/>
              <w:snapToGrid w:val="0"/>
              <w:spacing w:line="360" w:lineRule="auto"/>
              <w:jc w:val="center"/>
              <w:outlineLvl w:val="1"/>
              <w:rPr>
                <w:sz w:val="24"/>
                <w:szCs w:val="32"/>
              </w:rPr>
            </w:pPr>
            <w:bookmarkStart w:id="57" w:name="_Toc23429"/>
            <w:bookmarkStart w:id="58" w:name="_Toc9959"/>
            <w:r>
              <w:rPr>
                <w:b/>
                <w:bCs/>
                <w:color w:val="auto"/>
                <w:sz w:val="24"/>
                <w:szCs w:val="32"/>
              </w:rPr>
              <w:t>表</w:t>
            </w:r>
            <w:r>
              <w:rPr>
                <w:rFonts w:hint="eastAsia"/>
                <w:b/>
                <w:bCs/>
                <w:color w:val="auto"/>
                <w:sz w:val="24"/>
                <w:szCs w:val="32"/>
                <w:lang w:val="en-US" w:eastAsia="zh-CN"/>
              </w:rPr>
              <w:t>2.3-2</w:t>
            </w:r>
            <w:r>
              <w:rPr>
                <w:b/>
                <w:bCs/>
                <w:color w:val="auto"/>
                <w:sz w:val="24"/>
                <w:szCs w:val="32"/>
              </w:rPr>
              <w:t xml:space="preserve"> 工程主要技术</w:t>
            </w:r>
            <w:bookmarkEnd w:id="57"/>
            <w:bookmarkEnd w:id="58"/>
            <w:r>
              <w:rPr>
                <w:b/>
                <w:bCs/>
                <w:sz w:val="24"/>
                <w:szCs w:val="32"/>
              </w:rPr>
              <w:t>指标表</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03"/>
              <w:gridCol w:w="1658"/>
              <w:gridCol w:w="2268"/>
              <w:gridCol w:w="1151"/>
              <w:gridCol w:w="277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序号</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技术指标名称</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单位</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规范值（设计采用值）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1</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道路等级</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pP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城市主干路</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2</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计算行车速度</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（km/h）</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3</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停车视距</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m</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40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4</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不设超高圆曲线最小半径</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m</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500（750）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5</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设超高圆曲线半径一般值</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m</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150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6</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设超高圆曲线半径极限值</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m</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7</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最大纵坡</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6（3.5）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8</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最小纵坡</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0.3（1.1）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9</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纵坡最小坡长</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m</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110（110）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10</w:t>
                  </w:r>
                </w:p>
              </w:tc>
              <w:tc>
                <w:tcPr>
                  <w:tcW w:w="958"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凸</w:t>
                  </w:r>
                  <w:r>
                    <w:t>形竖曲线</w:t>
                  </w:r>
                </w:p>
              </w:tc>
              <w:tc>
                <w:tcPr>
                  <w:tcW w:w="1310"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一般</w:t>
                  </w:r>
                  <w:r>
                    <w:t>最小半径</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m</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600（5500）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1</w:t>
                  </w:r>
                  <w:r>
                    <w:rPr>
                      <w:rFonts w:hint="eastAsia"/>
                    </w:rPr>
                    <w:t>1</w:t>
                  </w:r>
                </w:p>
              </w:tc>
              <w:tc>
                <w:tcPr>
                  <w:tcW w:w="958"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凹形竖曲线</w:t>
                  </w:r>
                </w:p>
              </w:tc>
              <w:tc>
                <w:tcPr>
                  <w:tcW w:w="1310"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一般</w:t>
                  </w:r>
                  <w:r>
                    <w:t>最小半径</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m</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700（1000）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1</w:t>
                  </w:r>
                  <w:r>
                    <w:rPr>
                      <w:rFonts w:hint="eastAsia"/>
                    </w:rPr>
                    <w:t>2</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标准车道宽度</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t>m</w:t>
                  </w:r>
                </w:p>
              </w:tc>
              <w:tc>
                <w:tcPr>
                  <w:tcW w:w="1601"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Merge w:val="restar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13</w:t>
                  </w:r>
                </w:p>
              </w:tc>
              <w:tc>
                <w:tcPr>
                  <w:tcW w:w="958" w:type="pct"/>
                  <w:vMerge w:val="restar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道路</w:t>
                  </w:r>
                </w:p>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净空</w:t>
                  </w:r>
                </w:p>
              </w:tc>
              <w:tc>
                <w:tcPr>
                  <w:tcW w:w="1310"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机动车道</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m</w:t>
                  </w:r>
                </w:p>
              </w:tc>
              <w:tc>
                <w:tcPr>
                  <w:tcW w:w="1601" w:type="pct"/>
                  <w:vAlign w:val="center"/>
                </w:tcPr>
                <w:p>
                  <w:pPr>
                    <w:widowControl/>
                    <w:jc w:val="center"/>
                    <w:outlineLvl w:val="1"/>
                  </w:pPr>
                  <w:r>
                    <w:rPr>
                      <w:kern w:val="0"/>
                      <w:szCs w:val="21"/>
                    </w:rPr>
                    <w:t>≥</w:t>
                  </w:r>
                  <w:r>
                    <w:rPr>
                      <w:rFonts w:hint="eastAsia"/>
                      <w:kern w:val="0"/>
                      <w:szCs w:val="21"/>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Merge w:val="continue"/>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pPr>
                </w:p>
              </w:tc>
              <w:tc>
                <w:tcPr>
                  <w:tcW w:w="958" w:type="pct"/>
                  <w:vMerge w:val="continue"/>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pPr>
                </w:p>
              </w:tc>
              <w:tc>
                <w:tcPr>
                  <w:tcW w:w="1310" w:type="pct"/>
                  <w:vAlign w:val="center"/>
                </w:tcPr>
                <w:p>
                  <w:pPr>
                    <w:pBdr>
                      <w:top w:val="none" w:color="auto" w:sz="0" w:space="1"/>
                      <w:left w:val="none" w:color="auto" w:sz="0" w:space="4"/>
                      <w:bottom w:val="none" w:color="auto" w:sz="0" w:space="1"/>
                      <w:right w:val="none" w:color="auto" w:sz="0" w:space="4"/>
                    </w:pBdr>
                    <w:adjustRightInd w:val="0"/>
                    <w:snapToGrid w:val="0"/>
                    <w:textAlignment w:val="baseline"/>
                    <w:outlineLvl w:val="1"/>
                  </w:pPr>
                  <w:r>
                    <w:rPr>
                      <w:rFonts w:hint="eastAsia"/>
                    </w:rPr>
                    <w:t>人行道、非机动车道</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m</w:t>
                  </w:r>
                </w:p>
              </w:tc>
              <w:tc>
                <w:tcPr>
                  <w:tcW w:w="1601" w:type="pct"/>
                  <w:vAlign w:val="center"/>
                </w:tcPr>
                <w:p>
                  <w:pPr>
                    <w:widowControl/>
                    <w:jc w:val="center"/>
                    <w:outlineLvl w:val="1"/>
                  </w:pPr>
                  <w:r>
                    <w:rPr>
                      <w:kern w:val="0"/>
                      <w:szCs w:val="21"/>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14</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ascii="宋体" w:hAnsi="宋体" w:cs="宋体"/>
                      <w:kern w:val="0"/>
                      <w:szCs w:val="21"/>
                    </w:rPr>
                    <w:t>路面结构类型</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pPr>
                </w:p>
              </w:tc>
              <w:tc>
                <w:tcPr>
                  <w:tcW w:w="1601" w:type="pct"/>
                  <w:vAlign w:val="center"/>
                </w:tcPr>
                <w:p>
                  <w:pPr>
                    <w:widowControl/>
                    <w:jc w:val="center"/>
                    <w:outlineLvl w:val="1"/>
                  </w:pPr>
                  <w:r>
                    <w:rPr>
                      <w:rFonts w:hint="eastAsia" w:ascii="宋体" w:hAnsi="宋体" w:cs="宋体"/>
                      <w:kern w:val="0"/>
                      <w:szCs w:val="21"/>
                    </w:rPr>
                    <w:t>沥青混凝土路面</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15</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ascii="宋体" w:hAnsi="宋体" w:cs="宋体"/>
                      <w:kern w:val="0"/>
                      <w:szCs w:val="21"/>
                    </w:rPr>
                    <w:t>路面设计轴载</w:t>
                  </w:r>
                </w:p>
              </w:tc>
              <w:tc>
                <w:tcPr>
                  <w:tcW w:w="665" w:type="pct"/>
                  <w:vAlign w:val="center"/>
                </w:tcPr>
                <w:p>
                  <w:pPr>
                    <w:widowControl/>
                    <w:jc w:val="center"/>
                    <w:outlineLvl w:val="1"/>
                  </w:pPr>
                  <w:r>
                    <w:rPr>
                      <w:kern w:val="0"/>
                      <w:szCs w:val="21"/>
                    </w:rPr>
                    <w:t>kN</w:t>
                  </w:r>
                </w:p>
              </w:tc>
              <w:tc>
                <w:tcPr>
                  <w:tcW w:w="1601" w:type="pct"/>
                  <w:vAlign w:val="center"/>
                </w:tcPr>
                <w:p>
                  <w:pPr>
                    <w:widowControl/>
                    <w:jc w:val="center"/>
                    <w:outlineLvl w:val="1"/>
                  </w:pPr>
                  <w:r>
                    <w:rPr>
                      <w:kern w:val="0"/>
                      <w:szCs w:val="21"/>
                    </w:rPr>
                    <w:t>BZZ-100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512"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16</w:t>
                  </w:r>
                </w:p>
              </w:tc>
              <w:tc>
                <w:tcPr>
                  <w:tcW w:w="2268" w:type="pct"/>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ascii="宋体" w:hAnsi="宋体" w:cs="宋体"/>
                      <w:kern w:val="0"/>
                      <w:szCs w:val="21"/>
                    </w:rPr>
                    <w:t>抗震设防标准</w:t>
                  </w:r>
                </w:p>
              </w:tc>
              <w:tc>
                <w:tcPr>
                  <w:tcW w:w="665"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pPr>
                </w:p>
              </w:tc>
              <w:tc>
                <w:tcPr>
                  <w:tcW w:w="1601" w:type="pct"/>
                  <w:vAlign w:val="center"/>
                </w:tcPr>
                <w:p>
                  <w:pPr>
                    <w:widowControl/>
                    <w:jc w:val="center"/>
                    <w:outlineLvl w:val="1"/>
                  </w:pPr>
                  <w:r>
                    <w:rPr>
                      <w:rFonts w:hint="eastAsia" w:ascii="宋体" w:hAnsi="宋体" w:cs="宋体"/>
                      <w:kern w:val="0"/>
                      <w:szCs w:val="21"/>
                    </w:rPr>
                    <w:t>按地震基本烈度</w:t>
                  </w:r>
                  <w:r>
                    <w:rPr>
                      <w:kern w:val="0"/>
                      <w:szCs w:val="21"/>
                    </w:rPr>
                    <w:t>7</w:t>
                  </w:r>
                  <w:r>
                    <w:rPr>
                      <w:rFonts w:hint="eastAsia" w:ascii="宋体" w:hAnsi="宋体" w:cs="宋体"/>
                      <w:kern w:val="0"/>
                      <w:szCs w:val="21"/>
                    </w:rPr>
                    <w:t>度设防，地震动峰值加速度取</w:t>
                  </w:r>
                  <w:r>
                    <w:rPr>
                      <w:kern w:val="0"/>
                      <w:szCs w:val="21"/>
                    </w:rPr>
                    <w:t>0.1g</w:t>
                  </w:r>
                </w:p>
                <w:p>
                  <w:pPr>
                    <w:pBdr>
                      <w:top w:val="none" w:color="auto" w:sz="0" w:space="1"/>
                      <w:left w:val="none" w:color="auto" w:sz="0" w:space="4"/>
                      <w:bottom w:val="none" w:color="auto" w:sz="0" w:space="1"/>
                      <w:right w:val="none" w:color="auto" w:sz="0" w:space="4"/>
                    </w:pBdr>
                    <w:adjustRightInd w:val="0"/>
                    <w:snapToGrid w:val="0"/>
                    <w:jc w:val="center"/>
                    <w:textAlignment w:val="baseline"/>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17</w:t>
                  </w:r>
                </w:p>
              </w:tc>
              <w:tc>
                <w:tcPr>
                  <w:tcW w:w="3923" w:type="dxa"/>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ascii="宋体" w:hAnsi="宋体" w:cs="宋体"/>
                      <w:kern w:val="0"/>
                      <w:szCs w:val="21"/>
                    </w:rPr>
                    <w:t>交通设施等级</w:t>
                  </w:r>
                </w:p>
              </w:tc>
              <w:tc>
                <w:tcPr>
                  <w:tcW w:w="1150"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pPr>
                </w:p>
              </w:tc>
              <w:tc>
                <w:tcPr>
                  <w:tcW w:w="2770"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B级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18</w:t>
                  </w:r>
                </w:p>
              </w:tc>
              <w:tc>
                <w:tcPr>
                  <w:tcW w:w="3923" w:type="dxa"/>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ascii="宋体" w:hAnsi="宋体" w:cs="宋体"/>
                      <w:kern w:val="0"/>
                      <w:szCs w:val="21"/>
                    </w:rPr>
                    <w:t>防洪标准</w:t>
                  </w:r>
                </w:p>
              </w:tc>
              <w:tc>
                <w:tcPr>
                  <w:tcW w:w="1150"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pPr>
                </w:p>
              </w:tc>
              <w:tc>
                <w:tcPr>
                  <w:tcW w:w="2770" w:type="dxa"/>
                  <w:vAlign w:val="center"/>
                </w:tcPr>
                <w:p>
                  <w:pPr>
                    <w:widowControl/>
                    <w:jc w:val="center"/>
                    <w:outlineLvl w:val="1"/>
                  </w:pPr>
                  <w:r>
                    <w:rPr>
                      <w:rFonts w:hint="eastAsia"/>
                      <w:kern w:val="0"/>
                      <w:szCs w:val="21"/>
                    </w:rPr>
                    <w:t>30</w:t>
                  </w:r>
                  <w:r>
                    <w:rPr>
                      <w:rFonts w:hint="eastAsia" w:ascii="宋体" w:hAnsi="宋体" w:cs="宋体"/>
                      <w:kern w:val="0"/>
                      <w:szCs w:val="21"/>
                    </w:rPr>
                    <w:t>年一遇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40" w:hRule="exact"/>
              </w:trPr>
              <w:tc>
                <w:tcPr>
                  <w:tcW w:w="464"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rPr>
                    <w:t>19</w:t>
                  </w:r>
                </w:p>
              </w:tc>
              <w:tc>
                <w:tcPr>
                  <w:tcW w:w="3923" w:type="dxa"/>
                  <w:gridSpan w:val="2"/>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outlineLvl w:val="1"/>
                  </w:pPr>
                  <w:r>
                    <w:rPr>
                      <w:rFonts w:hint="eastAsia" w:ascii="宋体" w:hAnsi="宋体" w:cs="宋体"/>
                      <w:kern w:val="0"/>
                      <w:szCs w:val="21"/>
                    </w:rPr>
                    <w:t>排涝标准</w:t>
                  </w:r>
                </w:p>
              </w:tc>
              <w:tc>
                <w:tcPr>
                  <w:tcW w:w="1150" w:type="dxa"/>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pPr>
                </w:p>
              </w:tc>
              <w:tc>
                <w:tcPr>
                  <w:tcW w:w="2770" w:type="dxa"/>
                  <w:vAlign w:val="center"/>
                </w:tcPr>
                <w:p>
                  <w:pPr>
                    <w:widowControl/>
                    <w:jc w:val="center"/>
                    <w:outlineLvl w:val="1"/>
                  </w:pPr>
                  <w:r>
                    <w:rPr>
                      <w:rFonts w:hint="eastAsia"/>
                      <w:kern w:val="0"/>
                      <w:szCs w:val="21"/>
                    </w:rPr>
                    <w:t>1</w:t>
                  </w:r>
                  <w:r>
                    <w:rPr>
                      <w:kern w:val="0"/>
                      <w:szCs w:val="21"/>
                    </w:rPr>
                    <w:t>20</w:t>
                  </w:r>
                  <w:r>
                    <w:rPr>
                      <w:rFonts w:hint="eastAsia" w:ascii="宋体" w:hAnsi="宋体" w:cs="宋体"/>
                      <w:kern w:val="0"/>
                      <w:szCs w:val="21"/>
                    </w:rPr>
                    <w:t>年一遇</w:t>
                  </w:r>
                </w:p>
              </w:tc>
            </w:tr>
          </w:tbl>
          <w:p>
            <w:pPr>
              <w:snapToGrid w:val="0"/>
              <w:spacing w:before="120" w:beforeLines="50" w:line="360" w:lineRule="auto"/>
              <w:outlineLvl w:val="1"/>
              <w:rPr>
                <w:b/>
                <w:bCs/>
                <w:sz w:val="24"/>
              </w:rPr>
            </w:pPr>
            <w:r>
              <w:rPr>
                <w:b/>
                <w:bCs/>
                <w:sz w:val="24"/>
              </w:rPr>
              <w:t>2.</w:t>
            </w:r>
            <w:r>
              <w:rPr>
                <w:rFonts w:hint="eastAsia"/>
                <w:b/>
                <w:bCs/>
                <w:sz w:val="24"/>
              </w:rPr>
              <w:t xml:space="preserve">4 </w:t>
            </w:r>
            <w:r>
              <w:rPr>
                <w:b/>
                <w:bCs/>
                <w:sz w:val="24"/>
              </w:rPr>
              <w:t>工程方案</w:t>
            </w:r>
          </w:p>
          <w:p>
            <w:pPr>
              <w:pStyle w:val="17"/>
              <w:spacing w:line="360" w:lineRule="auto"/>
              <w:outlineLvl w:val="1"/>
              <w:rPr>
                <w:b/>
                <w:bCs/>
                <w:kern w:val="2"/>
                <w:sz w:val="24"/>
                <w:szCs w:val="24"/>
              </w:rPr>
            </w:pPr>
            <w:r>
              <w:rPr>
                <w:b/>
                <w:bCs/>
                <w:kern w:val="2"/>
                <w:sz w:val="24"/>
                <w:szCs w:val="24"/>
              </w:rPr>
              <w:t>2.</w:t>
            </w:r>
            <w:r>
              <w:rPr>
                <w:rFonts w:hint="eastAsia"/>
                <w:b/>
                <w:bCs/>
                <w:kern w:val="2"/>
                <w:sz w:val="24"/>
                <w:szCs w:val="24"/>
              </w:rPr>
              <w:t>4</w:t>
            </w:r>
            <w:r>
              <w:rPr>
                <w:b/>
                <w:bCs/>
                <w:kern w:val="2"/>
                <w:sz w:val="24"/>
                <w:szCs w:val="24"/>
              </w:rPr>
              <w:t>.1</w:t>
            </w:r>
            <w:r>
              <w:rPr>
                <w:rFonts w:hint="eastAsia"/>
                <w:b/>
                <w:bCs/>
                <w:kern w:val="2"/>
                <w:sz w:val="24"/>
                <w:szCs w:val="24"/>
              </w:rPr>
              <w:t xml:space="preserve"> </w:t>
            </w:r>
            <w:r>
              <w:rPr>
                <w:b/>
                <w:bCs/>
                <w:kern w:val="2"/>
                <w:sz w:val="24"/>
                <w:szCs w:val="24"/>
              </w:rPr>
              <w:t>道路横断面工程</w:t>
            </w:r>
          </w:p>
          <w:p>
            <w:pPr>
              <w:widowControl/>
              <w:spacing w:line="360" w:lineRule="auto"/>
              <w:ind w:firstLine="480"/>
              <w:jc w:val="left"/>
              <w:outlineLvl w:val="1"/>
            </w:pPr>
            <w:r>
              <w:rPr>
                <w:rFonts w:hint="eastAsia"/>
                <w:sz w:val="24"/>
              </w:rPr>
              <w:t>2.5m（人行道）+3.5m（非机动车道）+2.0m（侧分带）+11m（机动车道）+2m（中央绿化带）+11m（机动车道）+2.0m（侧分带）+3.5m（非机动车道）+2.5m（人行道）=40m。</w:t>
            </w:r>
          </w:p>
          <w:p>
            <w:pPr>
              <w:pStyle w:val="26"/>
              <w:spacing w:after="0"/>
              <w:ind w:left="0" w:leftChars="0" w:firstLine="0" w:firstLineChars="0"/>
              <w:jc w:val="center"/>
            </w:pPr>
            <w:r>
              <w:drawing>
                <wp:inline distT="0" distB="0" distL="114300" distR="114300">
                  <wp:extent cx="5438775" cy="3729355"/>
                  <wp:effectExtent l="0" t="0" r="9525" b="4445"/>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pic:cNvPicPr>
                        </pic:nvPicPr>
                        <pic:blipFill>
                          <a:blip r:embed="rId16"/>
                          <a:srcRect l="11401" t="275" r="9661" b="-275"/>
                          <a:stretch>
                            <a:fillRect/>
                          </a:stretch>
                        </pic:blipFill>
                        <pic:spPr>
                          <a:xfrm>
                            <a:off x="0" y="0"/>
                            <a:ext cx="5438775" cy="3729355"/>
                          </a:xfrm>
                          <a:prstGeom prst="rect">
                            <a:avLst/>
                          </a:prstGeom>
                          <a:noFill/>
                          <a:ln>
                            <a:noFill/>
                          </a:ln>
                        </pic:spPr>
                      </pic:pic>
                    </a:graphicData>
                  </a:graphic>
                </wp:inline>
              </w:drawing>
            </w:r>
          </w:p>
          <w:p>
            <w:pPr>
              <w:pStyle w:val="17"/>
              <w:spacing w:line="360" w:lineRule="auto"/>
              <w:jc w:val="center"/>
              <w:outlineLvl w:val="1"/>
              <w:rPr>
                <w:b/>
                <w:bCs/>
                <w:kern w:val="2"/>
                <w:sz w:val="24"/>
                <w:szCs w:val="24"/>
              </w:rPr>
            </w:pPr>
            <w:r>
              <w:rPr>
                <w:b/>
                <w:bCs/>
                <w:kern w:val="2"/>
                <w:sz w:val="24"/>
                <w:szCs w:val="24"/>
              </w:rPr>
              <w:t>图2.</w:t>
            </w:r>
            <w:r>
              <w:rPr>
                <w:rFonts w:hint="eastAsia"/>
                <w:b/>
                <w:bCs/>
                <w:kern w:val="2"/>
                <w:sz w:val="24"/>
                <w:szCs w:val="24"/>
              </w:rPr>
              <w:t>4</w:t>
            </w:r>
            <w:r>
              <w:rPr>
                <w:b/>
                <w:bCs/>
                <w:kern w:val="2"/>
                <w:sz w:val="24"/>
                <w:szCs w:val="24"/>
              </w:rPr>
              <w:t>-1 路基标准横断面图</w:t>
            </w:r>
          </w:p>
          <w:p>
            <w:pPr>
              <w:spacing w:line="360" w:lineRule="auto"/>
              <w:outlineLvl w:val="1"/>
              <w:rPr>
                <w:b/>
                <w:bCs/>
                <w:sz w:val="24"/>
              </w:rPr>
            </w:pPr>
            <w:r>
              <w:rPr>
                <w:b/>
                <w:bCs/>
                <w:sz w:val="24"/>
              </w:rPr>
              <w:t>2.</w:t>
            </w:r>
            <w:r>
              <w:rPr>
                <w:rFonts w:hint="eastAsia"/>
                <w:b/>
                <w:bCs/>
                <w:sz w:val="24"/>
              </w:rPr>
              <w:t>4</w:t>
            </w:r>
            <w:r>
              <w:rPr>
                <w:b/>
                <w:bCs/>
                <w:sz w:val="24"/>
              </w:rPr>
              <w:t>.</w:t>
            </w:r>
            <w:r>
              <w:rPr>
                <w:rFonts w:hint="eastAsia"/>
                <w:b/>
                <w:bCs/>
                <w:sz w:val="24"/>
              </w:rPr>
              <w:t>2 桥梁</w:t>
            </w:r>
            <w:r>
              <w:rPr>
                <w:b/>
                <w:bCs/>
                <w:sz w:val="24"/>
              </w:rPr>
              <w:t>横断面工程</w:t>
            </w:r>
          </w:p>
          <w:p>
            <w:pPr>
              <w:spacing w:line="360" w:lineRule="auto"/>
              <w:ind w:firstLine="480" w:firstLineChars="200"/>
              <w:jc w:val="left"/>
              <w:outlineLvl w:val="1"/>
              <w:rPr>
                <w:sz w:val="24"/>
                <w:szCs w:val="32"/>
              </w:rPr>
            </w:pPr>
            <w:r>
              <w:rPr>
                <w:sz w:val="24"/>
                <w:szCs w:val="32"/>
              </w:rPr>
              <w:t>该标准横断面具体布置形式为</w:t>
            </w:r>
            <w:r>
              <w:rPr>
                <w:rFonts w:hint="eastAsia"/>
                <w:sz w:val="24"/>
                <w:szCs w:val="32"/>
              </w:rPr>
              <w:t>7.0m（人行道+非机动车道）+2.0m（侧绿化带）+14.49m（机动车道）+1.27m（</w:t>
            </w:r>
            <w:r>
              <w:rPr>
                <w:rFonts w:hint="eastAsia"/>
                <w:sz w:val="24"/>
              </w:rPr>
              <w:t>侧分带</w:t>
            </w:r>
            <w:r>
              <w:rPr>
                <w:rFonts w:hint="eastAsia"/>
                <w:sz w:val="24"/>
                <w:szCs w:val="32"/>
              </w:rPr>
              <w:t>）+13.24m（机动车道）+0.5m（侧绿化带）+7.0m（人行道+非机动车道）=47.0m。</w:t>
            </w:r>
          </w:p>
          <w:p>
            <w:pPr>
              <w:jc w:val="center"/>
            </w:pPr>
            <w:r>
              <w:drawing>
                <wp:inline distT="0" distB="0" distL="0" distR="0">
                  <wp:extent cx="5342890" cy="3220720"/>
                  <wp:effectExtent l="0" t="0" r="0" b="0"/>
                  <wp:docPr id="18684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86" name="图片 1"/>
                          <pic:cNvPicPr>
                            <a:picLocks noChangeAspect="1"/>
                          </pic:cNvPicPr>
                        </pic:nvPicPr>
                        <pic:blipFill>
                          <a:blip r:embed="rId17"/>
                          <a:stretch>
                            <a:fillRect/>
                          </a:stretch>
                        </pic:blipFill>
                        <pic:spPr>
                          <a:xfrm>
                            <a:off x="0" y="0"/>
                            <a:ext cx="5362349" cy="3232659"/>
                          </a:xfrm>
                          <a:prstGeom prst="rect">
                            <a:avLst/>
                          </a:prstGeom>
                        </pic:spPr>
                      </pic:pic>
                    </a:graphicData>
                  </a:graphic>
                </wp:inline>
              </w:drawing>
            </w:r>
          </w:p>
          <w:p>
            <w:pPr>
              <w:pStyle w:val="26"/>
              <w:spacing w:line="360" w:lineRule="auto"/>
              <w:ind w:left="0" w:leftChars="0" w:firstLine="0" w:firstLineChars="0"/>
              <w:jc w:val="center"/>
              <w:outlineLvl w:val="1"/>
              <w:rPr>
                <w:b/>
                <w:bCs/>
                <w:kern w:val="2"/>
                <w:szCs w:val="32"/>
              </w:rPr>
            </w:pPr>
            <w:r>
              <w:rPr>
                <w:b/>
                <w:bCs/>
                <w:kern w:val="2"/>
                <w:szCs w:val="32"/>
              </w:rPr>
              <w:t>图2.</w:t>
            </w:r>
            <w:r>
              <w:rPr>
                <w:rFonts w:hint="eastAsia"/>
                <w:b/>
                <w:bCs/>
                <w:kern w:val="2"/>
                <w:szCs w:val="32"/>
              </w:rPr>
              <w:t>4</w:t>
            </w:r>
            <w:r>
              <w:rPr>
                <w:b/>
                <w:bCs/>
                <w:kern w:val="2"/>
                <w:szCs w:val="32"/>
              </w:rPr>
              <w:t>-</w:t>
            </w:r>
            <w:r>
              <w:rPr>
                <w:rFonts w:hint="eastAsia"/>
                <w:b/>
                <w:bCs/>
                <w:kern w:val="2"/>
                <w:szCs w:val="32"/>
              </w:rPr>
              <w:t>2</w:t>
            </w:r>
            <w:r>
              <w:rPr>
                <w:b/>
                <w:bCs/>
                <w:kern w:val="2"/>
                <w:szCs w:val="32"/>
              </w:rPr>
              <w:t xml:space="preserve"> </w:t>
            </w:r>
            <w:r>
              <w:rPr>
                <w:rFonts w:hint="eastAsia"/>
                <w:b/>
                <w:bCs/>
                <w:kern w:val="2"/>
                <w:szCs w:val="32"/>
              </w:rPr>
              <w:t>桥梁</w:t>
            </w:r>
            <w:r>
              <w:rPr>
                <w:b/>
                <w:bCs/>
                <w:kern w:val="2"/>
                <w:szCs w:val="32"/>
              </w:rPr>
              <w:t>标准横断面图</w:t>
            </w:r>
          </w:p>
          <w:p>
            <w:pPr>
              <w:pStyle w:val="17"/>
              <w:spacing w:line="360" w:lineRule="auto"/>
              <w:outlineLvl w:val="1"/>
              <w:rPr>
                <w:b/>
                <w:bCs/>
                <w:kern w:val="2"/>
                <w:sz w:val="24"/>
                <w:szCs w:val="24"/>
              </w:rPr>
            </w:pPr>
            <w:r>
              <w:rPr>
                <w:b/>
                <w:bCs/>
                <w:kern w:val="2"/>
                <w:sz w:val="24"/>
                <w:szCs w:val="24"/>
              </w:rPr>
              <w:t>2.</w:t>
            </w:r>
            <w:r>
              <w:rPr>
                <w:rFonts w:hint="eastAsia"/>
                <w:b/>
                <w:bCs/>
                <w:kern w:val="2"/>
                <w:sz w:val="24"/>
                <w:szCs w:val="24"/>
              </w:rPr>
              <w:t>4</w:t>
            </w:r>
            <w:r>
              <w:rPr>
                <w:b/>
                <w:bCs/>
                <w:kern w:val="2"/>
                <w:sz w:val="24"/>
                <w:szCs w:val="24"/>
              </w:rPr>
              <w:t>.</w:t>
            </w:r>
            <w:r>
              <w:rPr>
                <w:rFonts w:hint="eastAsia"/>
                <w:b/>
                <w:bCs/>
                <w:kern w:val="2"/>
                <w:sz w:val="24"/>
                <w:szCs w:val="24"/>
              </w:rPr>
              <w:t xml:space="preserve">3 </w:t>
            </w:r>
            <w:r>
              <w:rPr>
                <w:b/>
                <w:bCs/>
                <w:kern w:val="2"/>
                <w:sz w:val="24"/>
                <w:szCs w:val="24"/>
              </w:rPr>
              <w:t>道路纵断面工程</w:t>
            </w:r>
          </w:p>
          <w:p>
            <w:pPr>
              <w:pStyle w:val="26"/>
              <w:spacing w:after="0" w:line="360" w:lineRule="auto"/>
              <w:ind w:left="0" w:leftChars="0" w:firstLine="480"/>
              <w:rPr>
                <w:kern w:val="2"/>
                <w:szCs w:val="32"/>
              </w:rPr>
            </w:pPr>
            <w:r>
              <w:rPr>
                <w:rFonts w:hint="eastAsia"/>
                <w:kern w:val="2"/>
                <w:szCs w:val="32"/>
              </w:rPr>
              <w:t>本项目道路纵断线形较为平缓、舒适、无较大起伏，沿线设计标高基本能满足防洪、排涝要求，且大体上无明显不合理的填挖路基情况。设计道路最小坡长为 110m，最大纵坡为3.5%，最小纵坡为1.1%，最小凹曲线半径为R=1000m，最小凸曲线半径为R=5500m，纵断面各项指标均满足规范要求。</w:t>
            </w:r>
          </w:p>
          <w:p>
            <w:pPr>
              <w:pStyle w:val="26"/>
              <w:spacing w:after="0" w:line="360" w:lineRule="auto"/>
              <w:ind w:left="0" w:leftChars="0" w:firstLine="0" w:firstLineChars="0"/>
              <w:jc w:val="center"/>
              <w:rPr>
                <w:b/>
                <w:bCs/>
                <w:kern w:val="2"/>
                <w:szCs w:val="32"/>
              </w:rPr>
            </w:pPr>
            <w:r>
              <w:rPr>
                <w:rFonts w:hint="eastAsia"/>
                <w:b/>
                <w:bCs/>
                <w:kern w:val="2"/>
                <w:szCs w:val="32"/>
              </w:rPr>
              <w:t>表2.4-1  规划标高控制点一览表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07"/>
              <w:gridCol w:w="2155"/>
              <w:gridCol w:w="2155"/>
              <w:gridCol w:w="20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000" w:type="dxa"/>
                  <w:tcBorders>
                    <w:tl2br w:val="nil"/>
                    <w:tr2bl w:val="nil"/>
                  </w:tcBorders>
                  <w:shd w:val="clear" w:color="auto" w:fill="auto"/>
                  <w:vAlign w:val="center"/>
                </w:tcPr>
                <w:p>
                  <w:pPr>
                    <w:widowControl/>
                    <w:jc w:val="center"/>
                    <w:rPr>
                      <w:b/>
                      <w:bCs/>
                      <w:sz w:val="18"/>
                      <w:szCs w:val="18"/>
                    </w:rPr>
                  </w:pPr>
                  <w:r>
                    <w:rPr>
                      <w:rStyle w:val="71"/>
                      <w:b/>
                      <w:bCs/>
                      <w:color w:val="auto"/>
                      <w:sz w:val="18"/>
                      <w:szCs w:val="18"/>
                      <w:lang w:bidi="ar"/>
                    </w:rPr>
                    <w:t xml:space="preserve">桩号 </w:t>
                  </w:r>
                </w:p>
              </w:tc>
              <w:tc>
                <w:tcPr>
                  <w:tcW w:w="3000" w:type="dxa"/>
                  <w:tcBorders>
                    <w:tl2br w:val="nil"/>
                    <w:tr2bl w:val="nil"/>
                  </w:tcBorders>
                  <w:shd w:val="clear" w:color="auto" w:fill="auto"/>
                  <w:vAlign w:val="center"/>
                </w:tcPr>
                <w:p>
                  <w:pPr>
                    <w:widowControl/>
                    <w:jc w:val="center"/>
                    <w:rPr>
                      <w:b/>
                      <w:bCs/>
                      <w:sz w:val="18"/>
                      <w:szCs w:val="18"/>
                    </w:rPr>
                  </w:pPr>
                  <w:r>
                    <w:rPr>
                      <w:rStyle w:val="71"/>
                      <w:b/>
                      <w:bCs/>
                      <w:color w:val="auto"/>
                      <w:sz w:val="18"/>
                      <w:szCs w:val="18"/>
                      <w:lang w:bidi="ar"/>
                    </w:rPr>
                    <w:t>控制高程</w:t>
                  </w:r>
                  <w:r>
                    <w:rPr>
                      <w:rStyle w:val="71"/>
                      <w:rFonts w:hint="eastAsia"/>
                      <w:b/>
                      <w:bCs/>
                      <w:color w:val="auto"/>
                      <w:sz w:val="18"/>
                      <w:szCs w:val="18"/>
                      <w:lang w:bidi="ar"/>
                    </w:rPr>
                    <w:t>（m）</w:t>
                  </w:r>
                </w:p>
              </w:tc>
              <w:tc>
                <w:tcPr>
                  <w:tcW w:w="3000" w:type="dxa"/>
                  <w:tcBorders>
                    <w:tl2br w:val="nil"/>
                    <w:tr2bl w:val="nil"/>
                  </w:tcBorders>
                  <w:shd w:val="clear" w:color="auto" w:fill="auto"/>
                  <w:vAlign w:val="center"/>
                </w:tcPr>
                <w:p>
                  <w:pPr>
                    <w:widowControl/>
                    <w:jc w:val="center"/>
                    <w:rPr>
                      <w:b/>
                      <w:bCs/>
                      <w:sz w:val="18"/>
                      <w:szCs w:val="18"/>
                    </w:rPr>
                  </w:pPr>
                  <w:r>
                    <w:rPr>
                      <w:rStyle w:val="71"/>
                      <w:b/>
                      <w:bCs/>
                      <w:color w:val="auto"/>
                      <w:sz w:val="18"/>
                      <w:szCs w:val="18"/>
                      <w:lang w:bidi="ar"/>
                    </w:rPr>
                    <w:t>设计高程</w:t>
                  </w:r>
                  <w:r>
                    <w:rPr>
                      <w:rStyle w:val="71"/>
                      <w:rFonts w:hint="eastAsia"/>
                      <w:b/>
                      <w:bCs/>
                      <w:color w:val="auto"/>
                      <w:sz w:val="18"/>
                      <w:szCs w:val="18"/>
                      <w:lang w:bidi="ar"/>
                    </w:rPr>
                    <w:t>（m）</w:t>
                  </w:r>
                </w:p>
              </w:tc>
              <w:tc>
                <w:tcPr>
                  <w:tcW w:w="3000" w:type="dxa"/>
                  <w:tcBorders>
                    <w:tl2br w:val="nil"/>
                    <w:tr2bl w:val="nil"/>
                  </w:tcBorders>
                  <w:shd w:val="clear" w:color="auto" w:fill="auto"/>
                  <w:vAlign w:val="center"/>
                </w:tcPr>
                <w:p>
                  <w:pPr>
                    <w:widowControl/>
                    <w:jc w:val="center"/>
                    <w:rPr>
                      <w:b/>
                      <w:bCs/>
                      <w:sz w:val="18"/>
                      <w:szCs w:val="18"/>
                    </w:rPr>
                  </w:pPr>
                  <w:r>
                    <w:rPr>
                      <w:rStyle w:val="71"/>
                      <w:b/>
                      <w:bCs/>
                      <w:color w:val="auto"/>
                      <w:sz w:val="18"/>
                      <w:szCs w:val="18"/>
                      <w:lang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 xml:space="preserve">K0+000 </w:t>
                  </w:r>
                </w:p>
              </w:tc>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15.8</w:t>
                  </w:r>
                </w:p>
              </w:tc>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15.8</w:t>
                  </w:r>
                </w:p>
              </w:tc>
              <w:tc>
                <w:tcPr>
                  <w:tcW w:w="3000" w:type="dxa"/>
                  <w:tcBorders>
                    <w:tl2br w:val="nil"/>
                    <w:tr2bl w:val="nil"/>
                  </w:tcBorders>
                  <w:shd w:val="clear" w:color="auto" w:fill="auto"/>
                  <w:vAlign w:val="center"/>
                </w:tcPr>
                <w:p>
                  <w:pPr>
                    <w:widowControl/>
                    <w:jc w:val="center"/>
                    <w:rPr>
                      <w:sz w:val="18"/>
                      <w:szCs w:val="18"/>
                    </w:rPr>
                  </w:pPr>
                  <w:r>
                    <w:rPr>
                      <w:rStyle w:val="71"/>
                      <w:color w:val="000000"/>
                      <w:sz w:val="18"/>
                      <w:szCs w:val="18"/>
                      <w:lang w:bidi="ar"/>
                    </w:rPr>
                    <w:t>清繁大道设计标高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 xml:space="preserve">K0+080 </w:t>
                  </w:r>
                </w:p>
              </w:tc>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15.478</w:t>
                  </w:r>
                </w:p>
              </w:tc>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15.552</w:t>
                  </w:r>
                </w:p>
              </w:tc>
              <w:tc>
                <w:tcPr>
                  <w:tcW w:w="3000" w:type="dxa"/>
                  <w:tcBorders>
                    <w:tl2br w:val="nil"/>
                    <w:tr2bl w:val="nil"/>
                  </w:tcBorders>
                  <w:shd w:val="clear" w:color="auto" w:fill="auto"/>
                  <w:vAlign w:val="center"/>
                </w:tcPr>
                <w:p>
                  <w:pPr>
                    <w:widowControl/>
                    <w:jc w:val="center"/>
                    <w:rPr>
                      <w:sz w:val="18"/>
                      <w:szCs w:val="18"/>
                    </w:rPr>
                  </w:pPr>
                  <w:r>
                    <w:rPr>
                      <w:rStyle w:val="71"/>
                      <w:color w:val="000000"/>
                      <w:sz w:val="18"/>
                      <w:szCs w:val="18"/>
                      <w:lang w:bidi="ar"/>
                    </w:rPr>
                    <w:t>污水控制标高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 xml:space="preserve">K0+432.17 </w:t>
                  </w:r>
                </w:p>
              </w:tc>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20</w:t>
                  </w:r>
                </w:p>
              </w:tc>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20.016</w:t>
                  </w:r>
                </w:p>
              </w:tc>
              <w:tc>
                <w:tcPr>
                  <w:tcW w:w="3000" w:type="dxa"/>
                  <w:tcBorders>
                    <w:tl2br w:val="nil"/>
                    <w:tr2bl w:val="nil"/>
                  </w:tcBorders>
                  <w:shd w:val="clear" w:color="auto" w:fill="auto"/>
                  <w:vAlign w:val="center"/>
                </w:tcPr>
                <w:p>
                  <w:pPr>
                    <w:widowControl/>
                    <w:jc w:val="center"/>
                    <w:rPr>
                      <w:sz w:val="18"/>
                      <w:szCs w:val="18"/>
                    </w:rPr>
                  </w:pPr>
                  <w:r>
                    <w:rPr>
                      <w:rStyle w:val="71"/>
                      <w:color w:val="000000"/>
                      <w:sz w:val="18"/>
                      <w:szCs w:val="18"/>
                      <w:lang w:bidi="ar"/>
                    </w:rPr>
                    <w:t>纬二路规划标高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 xml:space="preserve">K0+835.498 </w:t>
                  </w:r>
                </w:p>
              </w:tc>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31</w:t>
                  </w:r>
                </w:p>
              </w:tc>
              <w:tc>
                <w:tcPr>
                  <w:tcW w:w="3000" w:type="dxa"/>
                  <w:tcBorders>
                    <w:tl2br w:val="nil"/>
                    <w:tr2bl w:val="nil"/>
                  </w:tcBorders>
                  <w:shd w:val="clear" w:color="auto" w:fill="auto"/>
                  <w:vAlign w:val="center"/>
                </w:tcPr>
                <w:p>
                  <w:pPr>
                    <w:widowControl/>
                    <w:jc w:val="center"/>
                    <w:rPr>
                      <w:sz w:val="18"/>
                      <w:szCs w:val="18"/>
                    </w:rPr>
                  </w:pPr>
                  <w:r>
                    <w:rPr>
                      <w:rStyle w:val="72"/>
                      <w:sz w:val="18"/>
                      <w:szCs w:val="18"/>
                      <w:lang w:bidi="ar"/>
                    </w:rPr>
                    <w:t>31</w:t>
                  </w:r>
                </w:p>
              </w:tc>
              <w:tc>
                <w:tcPr>
                  <w:tcW w:w="3000" w:type="dxa"/>
                  <w:tcBorders>
                    <w:tl2br w:val="nil"/>
                    <w:tr2bl w:val="nil"/>
                  </w:tcBorders>
                  <w:shd w:val="clear" w:color="auto" w:fill="auto"/>
                  <w:vAlign w:val="center"/>
                </w:tcPr>
                <w:p>
                  <w:pPr>
                    <w:widowControl/>
                    <w:jc w:val="center"/>
                    <w:rPr>
                      <w:sz w:val="18"/>
                      <w:szCs w:val="18"/>
                    </w:rPr>
                  </w:pPr>
                  <w:r>
                    <w:rPr>
                      <w:rStyle w:val="71"/>
                      <w:color w:val="000000"/>
                      <w:sz w:val="18"/>
                      <w:szCs w:val="18"/>
                      <w:lang w:bidi="ar"/>
                    </w:rPr>
                    <w:t>纬一路规划标高</w:t>
                  </w:r>
                </w:p>
              </w:tc>
            </w:tr>
          </w:tbl>
          <w:p>
            <w:pPr>
              <w:pStyle w:val="17"/>
              <w:spacing w:before="120" w:beforeLines="50" w:line="360" w:lineRule="auto"/>
              <w:outlineLvl w:val="1"/>
              <w:rPr>
                <w:b/>
                <w:bCs/>
                <w:kern w:val="2"/>
                <w:sz w:val="24"/>
                <w:szCs w:val="24"/>
              </w:rPr>
            </w:pPr>
            <w:r>
              <w:rPr>
                <w:b/>
                <w:bCs/>
                <w:kern w:val="2"/>
                <w:sz w:val="24"/>
                <w:szCs w:val="24"/>
              </w:rPr>
              <w:t>2.</w:t>
            </w:r>
            <w:r>
              <w:rPr>
                <w:rFonts w:hint="eastAsia"/>
                <w:b/>
                <w:bCs/>
                <w:kern w:val="2"/>
                <w:sz w:val="24"/>
                <w:szCs w:val="24"/>
              </w:rPr>
              <w:t>4</w:t>
            </w:r>
            <w:r>
              <w:rPr>
                <w:b/>
                <w:bCs/>
                <w:kern w:val="2"/>
                <w:sz w:val="24"/>
                <w:szCs w:val="24"/>
              </w:rPr>
              <w:t>.</w:t>
            </w:r>
            <w:r>
              <w:rPr>
                <w:rFonts w:hint="eastAsia"/>
                <w:b/>
                <w:bCs/>
                <w:kern w:val="2"/>
                <w:sz w:val="24"/>
                <w:szCs w:val="24"/>
              </w:rPr>
              <w:t>4 道路</w:t>
            </w:r>
            <w:r>
              <w:rPr>
                <w:b/>
                <w:bCs/>
                <w:kern w:val="2"/>
                <w:sz w:val="24"/>
                <w:szCs w:val="24"/>
              </w:rPr>
              <w:t>交叉设计</w:t>
            </w:r>
          </w:p>
          <w:p>
            <w:pPr>
              <w:spacing w:line="360" w:lineRule="auto"/>
              <w:ind w:firstLine="482"/>
              <w:rPr>
                <w:sz w:val="24"/>
                <w:szCs w:val="32"/>
                <w:lang w:val="zh-CN"/>
              </w:rPr>
            </w:pPr>
            <w:r>
              <w:rPr>
                <w:rFonts w:hint="eastAsia"/>
                <w:sz w:val="24"/>
                <w:szCs w:val="32"/>
                <w:lang w:val="zh-CN"/>
              </w:rPr>
              <w:t>与本项目相交的主要道路有3条，自南向北依次与清繁大道、纬二路和纬一路相交。除清繁大道在建，本项目沿线无成型的相交市政道路，与本工程相衔接的拟建道路有纬二路（城市次干路）和纬一路（城市支路）。</w:t>
            </w:r>
          </w:p>
          <w:p>
            <w:pPr>
              <w:pStyle w:val="26"/>
              <w:spacing w:after="0" w:line="360" w:lineRule="auto"/>
              <w:ind w:left="0" w:leftChars="0" w:firstLine="0" w:firstLineChars="0"/>
              <w:jc w:val="center"/>
              <w:rPr>
                <w:b/>
              </w:rPr>
            </w:pPr>
            <w:r>
              <w:rPr>
                <w:rFonts w:hint="eastAsia"/>
                <w:b/>
              </w:rPr>
              <w:t>表2.4-2  本项目交叉设置一览表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123"/>
              <w:gridCol w:w="1580"/>
              <w:gridCol w:w="1134"/>
              <w:gridCol w:w="1611"/>
              <w:gridCol w:w="2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6" w:type="dxa"/>
                  <w:vAlign w:val="center"/>
                </w:tcPr>
                <w:p>
                  <w:pPr>
                    <w:spacing w:line="0" w:lineRule="atLeast"/>
                    <w:jc w:val="center"/>
                    <w:rPr>
                      <w:b/>
                      <w:bCs/>
                      <w:sz w:val="18"/>
                      <w:szCs w:val="18"/>
                    </w:rPr>
                  </w:pPr>
                  <w:r>
                    <w:rPr>
                      <w:rFonts w:hint="eastAsia"/>
                      <w:b/>
                      <w:bCs/>
                      <w:sz w:val="18"/>
                      <w:szCs w:val="18"/>
                    </w:rPr>
                    <w:t>序号</w:t>
                  </w:r>
                </w:p>
              </w:tc>
              <w:tc>
                <w:tcPr>
                  <w:tcW w:w="1123" w:type="dxa"/>
                  <w:vAlign w:val="center"/>
                </w:tcPr>
                <w:p>
                  <w:pPr>
                    <w:spacing w:line="0" w:lineRule="atLeast"/>
                    <w:jc w:val="center"/>
                    <w:rPr>
                      <w:b/>
                      <w:bCs/>
                      <w:sz w:val="18"/>
                      <w:szCs w:val="18"/>
                    </w:rPr>
                  </w:pPr>
                  <w:r>
                    <w:rPr>
                      <w:rFonts w:hint="eastAsia"/>
                      <w:b/>
                      <w:bCs/>
                      <w:sz w:val="18"/>
                      <w:szCs w:val="18"/>
                    </w:rPr>
                    <w:t>中心桩号</w:t>
                  </w:r>
                </w:p>
              </w:tc>
              <w:tc>
                <w:tcPr>
                  <w:tcW w:w="1580" w:type="dxa"/>
                  <w:vAlign w:val="center"/>
                </w:tcPr>
                <w:p>
                  <w:pPr>
                    <w:spacing w:line="0" w:lineRule="atLeast"/>
                    <w:jc w:val="center"/>
                    <w:rPr>
                      <w:b/>
                      <w:bCs/>
                      <w:sz w:val="18"/>
                      <w:szCs w:val="18"/>
                    </w:rPr>
                  </w:pPr>
                  <w:r>
                    <w:rPr>
                      <w:rFonts w:hint="eastAsia"/>
                      <w:b/>
                      <w:bCs/>
                      <w:sz w:val="18"/>
                      <w:szCs w:val="18"/>
                    </w:rPr>
                    <w:t>被交叉道路名称</w:t>
                  </w:r>
                </w:p>
              </w:tc>
              <w:tc>
                <w:tcPr>
                  <w:tcW w:w="1134" w:type="dxa"/>
                  <w:vAlign w:val="center"/>
                </w:tcPr>
                <w:p>
                  <w:pPr>
                    <w:spacing w:line="0" w:lineRule="atLeast"/>
                    <w:jc w:val="center"/>
                    <w:rPr>
                      <w:b/>
                      <w:bCs/>
                      <w:sz w:val="18"/>
                      <w:szCs w:val="18"/>
                    </w:rPr>
                  </w:pPr>
                  <w:r>
                    <w:rPr>
                      <w:rFonts w:hint="eastAsia"/>
                      <w:b/>
                      <w:bCs/>
                      <w:sz w:val="18"/>
                      <w:szCs w:val="18"/>
                    </w:rPr>
                    <w:t>等级</w:t>
                  </w:r>
                </w:p>
              </w:tc>
              <w:tc>
                <w:tcPr>
                  <w:tcW w:w="1611" w:type="dxa"/>
                  <w:vAlign w:val="center"/>
                </w:tcPr>
                <w:p>
                  <w:pPr>
                    <w:spacing w:line="0" w:lineRule="atLeast"/>
                    <w:jc w:val="center"/>
                    <w:rPr>
                      <w:b/>
                      <w:bCs/>
                      <w:sz w:val="18"/>
                      <w:szCs w:val="18"/>
                    </w:rPr>
                  </w:pPr>
                  <w:r>
                    <w:rPr>
                      <w:rFonts w:hint="eastAsia"/>
                      <w:b/>
                      <w:bCs/>
                      <w:sz w:val="18"/>
                      <w:szCs w:val="18"/>
                    </w:rPr>
                    <w:t>设计速度（km/h）</w:t>
                  </w:r>
                </w:p>
              </w:tc>
              <w:tc>
                <w:tcPr>
                  <w:tcW w:w="2496" w:type="dxa"/>
                  <w:vAlign w:val="center"/>
                </w:tcPr>
                <w:p>
                  <w:pPr>
                    <w:spacing w:line="0" w:lineRule="atLeast"/>
                    <w:jc w:val="center"/>
                    <w:rPr>
                      <w:b/>
                      <w:bCs/>
                      <w:sz w:val="18"/>
                      <w:szCs w:val="18"/>
                    </w:rPr>
                  </w:pPr>
                  <w:r>
                    <w:rPr>
                      <w:rFonts w:hint="eastAsia"/>
                      <w:b/>
                      <w:bCs/>
                      <w:sz w:val="18"/>
                      <w:szCs w:val="18"/>
                    </w:rPr>
                    <w:t>交叉形式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6" w:type="dxa"/>
                  <w:vAlign w:val="center"/>
                </w:tcPr>
                <w:p>
                  <w:pPr>
                    <w:spacing w:line="0" w:lineRule="atLeast"/>
                    <w:jc w:val="center"/>
                    <w:rPr>
                      <w:sz w:val="18"/>
                      <w:szCs w:val="18"/>
                    </w:rPr>
                  </w:pPr>
                  <w:r>
                    <w:rPr>
                      <w:rFonts w:hint="eastAsia"/>
                      <w:sz w:val="18"/>
                      <w:szCs w:val="18"/>
                    </w:rPr>
                    <w:t>1</w:t>
                  </w:r>
                </w:p>
              </w:tc>
              <w:tc>
                <w:tcPr>
                  <w:tcW w:w="1123" w:type="dxa"/>
                  <w:vAlign w:val="center"/>
                </w:tcPr>
                <w:p>
                  <w:pPr>
                    <w:spacing w:line="0" w:lineRule="atLeast"/>
                    <w:jc w:val="center"/>
                    <w:rPr>
                      <w:sz w:val="18"/>
                      <w:szCs w:val="18"/>
                    </w:rPr>
                  </w:pPr>
                  <w:r>
                    <w:rPr>
                      <w:rFonts w:hint="eastAsia"/>
                      <w:sz w:val="18"/>
                      <w:szCs w:val="18"/>
                    </w:rPr>
                    <w:t>K0+000</w:t>
                  </w:r>
                </w:p>
              </w:tc>
              <w:tc>
                <w:tcPr>
                  <w:tcW w:w="1580" w:type="dxa"/>
                  <w:vAlign w:val="center"/>
                </w:tcPr>
                <w:p>
                  <w:pPr>
                    <w:spacing w:line="0" w:lineRule="atLeast"/>
                    <w:jc w:val="center"/>
                    <w:rPr>
                      <w:sz w:val="18"/>
                      <w:szCs w:val="18"/>
                    </w:rPr>
                  </w:pPr>
                  <w:r>
                    <w:rPr>
                      <w:rFonts w:hint="eastAsia"/>
                      <w:sz w:val="18"/>
                      <w:szCs w:val="18"/>
                    </w:rPr>
                    <w:t>清繁大道</w:t>
                  </w:r>
                </w:p>
              </w:tc>
              <w:tc>
                <w:tcPr>
                  <w:tcW w:w="1134" w:type="dxa"/>
                  <w:vAlign w:val="center"/>
                </w:tcPr>
                <w:p>
                  <w:pPr>
                    <w:spacing w:line="0" w:lineRule="atLeast"/>
                    <w:jc w:val="center"/>
                    <w:rPr>
                      <w:sz w:val="18"/>
                      <w:szCs w:val="18"/>
                    </w:rPr>
                  </w:pPr>
                  <w:r>
                    <w:rPr>
                      <w:rFonts w:hint="eastAsia"/>
                      <w:sz w:val="18"/>
                      <w:szCs w:val="18"/>
                    </w:rPr>
                    <w:t>城市快速路</w:t>
                  </w:r>
                </w:p>
              </w:tc>
              <w:tc>
                <w:tcPr>
                  <w:tcW w:w="1611" w:type="dxa"/>
                  <w:vAlign w:val="center"/>
                </w:tcPr>
                <w:p>
                  <w:pPr>
                    <w:spacing w:line="0" w:lineRule="atLeast"/>
                    <w:jc w:val="center"/>
                    <w:rPr>
                      <w:sz w:val="18"/>
                      <w:szCs w:val="18"/>
                    </w:rPr>
                  </w:pPr>
                  <w:r>
                    <w:rPr>
                      <w:rFonts w:hint="eastAsia"/>
                      <w:sz w:val="18"/>
                      <w:szCs w:val="18"/>
                    </w:rPr>
                    <w:t>80（辅道40）</w:t>
                  </w:r>
                </w:p>
              </w:tc>
              <w:tc>
                <w:tcPr>
                  <w:tcW w:w="2496" w:type="dxa"/>
                  <w:vAlign w:val="center"/>
                </w:tcPr>
                <w:p>
                  <w:pPr>
                    <w:spacing w:line="0" w:lineRule="atLeast"/>
                    <w:jc w:val="center"/>
                    <w:rPr>
                      <w:sz w:val="18"/>
                      <w:szCs w:val="18"/>
                    </w:rPr>
                  </w:pPr>
                  <w:r>
                    <w:rPr>
                      <w:rFonts w:hint="eastAsia"/>
                      <w:sz w:val="18"/>
                      <w:szCs w:val="18"/>
                    </w:rPr>
                    <w:t>与清繁大道的辅道为十字交叉，清繁大道主线上跨该路口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4" w:hRule="atLeast"/>
              </w:trPr>
              <w:tc>
                <w:tcPr>
                  <w:tcW w:w="706" w:type="dxa"/>
                  <w:vAlign w:val="center"/>
                </w:tcPr>
                <w:p>
                  <w:pPr>
                    <w:spacing w:line="0" w:lineRule="atLeast"/>
                    <w:jc w:val="center"/>
                    <w:rPr>
                      <w:sz w:val="18"/>
                      <w:szCs w:val="18"/>
                    </w:rPr>
                  </w:pPr>
                  <w:r>
                    <w:rPr>
                      <w:rFonts w:hint="eastAsia"/>
                      <w:sz w:val="18"/>
                      <w:szCs w:val="18"/>
                    </w:rPr>
                    <w:t>2</w:t>
                  </w:r>
                </w:p>
              </w:tc>
              <w:tc>
                <w:tcPr>
                  <w:tcW w:w="1123" w:type="dxa"/>
                  <w:vAlign w:val="center"/>
                </w:tcPr>
                <w:p>
                  <w:pPr>
                    <w:spacing w:line="0" w:lineRule="atLeast"/>
                    <w:jc w:val="center"/>
                    <w:rPr>
                      <w:sz w:val="18"/>
                      <w:szCs w:val="18"/>
                    </w:rPr>
                  </w:pPr>
                  <w:r>
                    <w:rPr>
                      <w:rFonts w:hint="eastAsia"/>
                      <w:sz w:val="18"/>
                      <w:szCs w:val="18"/>
                    </w:rPr>
                    <w:t>K0+432.17</w:t>
                  </w:r>
                </w:p>
              </w:tc>
              <w:tc>
                <w:tcPr>
                  <w:tcW w:w="1580" w:type="dxa"/>
                  <w:vAlign w:val="center"/>
                </w:tcPr>
                <w:p>
                  <w:pPr>
                    <w:spacing w:line="0" w:lineRule="atLeast"/>
                    <w:jc w:val="center"/>
                    <w:rPr>
                      <w:sz w:val="18"/>
                      <w:szCs w:val="18"/>
                    </w:rPr>
                  </w:pPr>
                  <w:r>
                    <w:rPr>
                      <w:rFonts w:hint="eastAsia"/>
                      <w:sz w:val="18"/>
                      <w:szCs w:val="18"/>
                    </w:rPr>
                    <w:t>纬二路</w:t>
                  </w:r>
                </w:p>
              </w:tc>
              <w:tc>
                <w:tcPr>
                  <w:tcW w:w="1134" w:type="dxa"/>
                  <w:vAlign w:val="center"/>
                </w:tcPr>
                <w:p>
                  <w:pPr>
                    <w:spacing w:line="0" w:lineRule="atLeast"/>
                    <w:jc w:val="center"/>
                    <w:rPr>
                      <w:sz w:val="18"/>
                      <w:szCs w:val="18"/>
                    </w:rPr>
                  </w:pPr>
                  <w:r>
                    <w:rPr>
                      <w:rFonts w:hint="eastAsia"/>
                      <w:sz w:val="18"/>
                      <w:szCs w:val="18"/>
                    </w:rPr>
                    <w:t>城市次干路</w:t>
                  </w:r>
                </w:p>
              </w:tc>
              <w:tc>
                <w:tcPr>
                  <w:tcW w:w="1611" w:type="dxa"/>
                  <w:vAlign w:val="center"/>
                </w:tcPr>
                <w:p>
                  <w:pPr>
                    <w:spacing w:line="0" w:lineRule="atLeast"/>
                    <w:jc w:val="center"/>
                    <w:rPr>
                      <w:sz w:val="18"/>
                      <w:szCs w:val="18"/>
                    </w:rPr>
                  </w:pPr>
                  <w:r>
                    <w:rPr>
                      <w:rFonts w:hint="eastAsia"/>
                      <w:sz w:val="18"/>
                      <w:szCs w:val="18"/>
                    </w:rPr>
                    <w:t>暂无相关设计</w:t>
                  </w:r>
                </w:p>
              </w:tc>
              <w:tc>
                <w:tcPr>
                  <w:tcW w:w="2496" w:type="dxa"/>
                  <w:vAlign w:val="center"/>
                </w:tcPr>
                <w:p>
                  <w:pPr>
                    <w:spacing w:line="0" w:lineRule="atLeast"/>
                    <w:jc w:val="center"/>
                    <w:rPr>
                      <w:sz w:val="18"/>
                      <w:szCs w:val="18"/>
                    </w:rPr>
                  </w:pPr>
                  <w:r>
                    <w:rPr>
                      <w:rFonts w:hint="eastAsia"/>
                      <w:sz w:val="18"/>
                      <w:szCs w:val="18"/>
                    </w:rPr>
                    <w:t>信号灯控制、渠化十字交叉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06" w:type="dxa"/>
                  <w:vAlign w:val="center"/>
                </w:tcPr>
                <w:p>
                  <w:pPr>
                    <w:spacing w:line="0" w:lineRule="atLeast"/>
                    <w:jc w:val="center"/>
                    <w:rPr>
                      <w:sz w:val="18"/>
                      <w:szCs w:val="18"/>
                    </w:rPr>
                  </w:pPr>
                  <w:r>
                    <w:rPr>
                      <w:rFonts w:hint="eastAsia"/>
                      <w:sz w:val="18"/>
                      <w:szCs w:val="18"/>
                    </w:rPr>
                    <w:t>3</w:t>
                  </w:r>
                </w:p>
              </w:tc>
              <w:tc>
                <w:tcPr>
                  <w:tcW w:w="1123" w:type="dxa"/>
                  <w:vAlign w:val="center"/>
                </w:tcPr>
                <w:p>
                  <w:pPr>
                    <w:spacing w:line="0" w:lineRule="atLeast"/>
                    <w:jc w:val="center"/>
                    <w:rPr>
                      <w:sz w:val="18"/>
                      <w:szCs w:val="18"/>
                    </w:rPr>
                  </w:pPr>
                  <w:r>
                    <w:rPr>
                      <w:rFonts w:hint="eastAsia"/>
                      <w:sz w:val="18"/>
                      <w:szCs w:val="18"/>
                    </w:rPr>
                    <w:t>K0+835.498</w:t>
                  </w:r>
                </w:p>
              </w:tc>
              <w:tc>
                <w:tcPr>
                  <w:tcW w:w="1580" w:type="dxa"/>
                  <w:vAlign w:val="center"/>
                </w:tcPr>
                <w:p>
                  <w:pPr>
                    <w:spacing w:line="0" w:lineRule="atLeast"/>
                    <w:jc w:val="center"/>
                    <w:rPr>
                      <w:sz w:val="18"/>
                      <w:szCs w:val="18"/>
                    </w:rPr>
                  </w:pPr>
                  <w:r>
                    <w:rPr>
                      <w:rFonts w:hint="eastAsia"/>
                      <w:sz w:val="18"/>
                      <w:szCs w:val="18"/>
                    </w:rPr>
                    <w:t>纬一路</w:t>
                  </w:r>
                </w:p>
              </w:tc>
              <w:tc>
                <w:tcPr>
                  <w:tcW w:w="1134" w:type="dxa"/>
                  <w:vAlign w:val="center"/>
                </w:tcPr>
                <w:p>
                  <w:pPr>
                    <w:spacing w:line="0" w:lineRule="atLeast"/>
                    <w:jc w:val="center"/>
                    <w:rPr>
                      <w:sz w:val="18"/>
                      <w:szCs w:val="18"/>
                    </w:rPr>
                  </w:pPr>
                  <w:r>
                    <w:rPr>
                      <w:rFonts w:hint="eastAsia"/>
                      <w:sz w:val="18"/>
                      <w:szCs w:val="18"/>
                    </w:rPr>
                    <w:t>城市次干路</w:t>
                  </w:r>
                </w:p>
              </w:tc>
              <w:tc>
                <w:tcPr>
                  <w:tcW w:w="1611" w:type="dxa"/>
                  <w:vAlign w:val="center"/>
                </w:tcPr>
                <w:p>
                  <w:pPr>
                    <w:spacing w:line="0" w:lineRule="atLeast"/>
                    <w:jc w:val="center"/>
                    <w:rPr>
                      <w:sz w:val="18"/>
                      <w:szCs w:val="18"/>
                    </w:rPr>
                  </w:pPr>
                  <w:r>
                    <w:rPr>
                      <w:rFonts w:hint="eastAsia"/>
                      <w:sz w:val="18"/>
                      <w:szCs w:val="18"/>
                    </w:rPr>
                    <w:t>暂无相关设计</w:t>
                  </w:r>
                </w:p>
              </w:tc>
              <w:tc>
                <w:tcPr>
                  <w:tcW w:w="2496" w:type="dxa"/>
                  <w:vAlign w:val="center"/>
                </w:tcPr>
                <w:p>
                  <w:pPr>
                    <w:spacing w:line="0" w:lineRule="atLeast"/>
                    <w:jc w:val="center"/>
                    <w:rPr>
                      <w:sz w:val="18"/>
                      <w:szCs w:val="18"/>
                    </w:rPr>
                  </w:pPr>
                  <w:r>
                    <w:rPr>
                      <w:rFonts w:hint="eastAsia"/>
                      <w:sz w:val="18"/>
                      <w:szCs w:val="18"/>
                    </w:rPr>
                    <w:t>信号灯控制、渠化十字交叉</w:t>
                  </w:r>
                </w:p>
              </w:tc>
            </w:tr>
          </w:tbl>
          <w:p>
            <w:pPr>
              <w:pStyle w:val="17"/>
              <w:spacing w:before="120" w:beforeLines="50" w:line="360" w:lineRule="auto"/>
              <w:outlineLvl w:val="1"/>
              <w:rPr>
                <w:b/>
                <w:bCs/>
                <w:sz w:val="28"/>
                <w:szCs w:val="28"/>
              </w:rPr>
            </w:pPr>
            <w:r>
              <w:rPr>
                <w:b/>
                <w:bCs/>
                <w:kern w:val="2"/>
                <w:sz w:val="28"/>
                <w:szCs w:val="28"/>
              </w:rPr>
              <w:t>2.</w:t>
            </w:r>
            <w:r>
              <w:rPr>
                <w:rFonts w:hint="eastAsia"/>
                <w:b/>
                <w:bCs/>
                <w:kern w:val="2"/>
                <w:sz w:val="28"/>
                <w:szCs w:val="28"/>
              </w:rPr>
              <w:t>4</w:t>
            </w:r>
            <w:r>
              <w:rPr>
                <w:b/>
                <w:bCs/>
                <w:kern w:val="2"/>
                <w:sz w:val="28"/>
                <w:szCs w:val="28"/>
              </w:rPr>
              <w:t>.</w:t>
            </w:r>
            <w:r>
              <w:rPr>
                <w:rFonts w:hint="eastAsia"/>
                <w:b/>
                <w:bCs/>
                <w:kern w:val="2"/>
                <w:sz w:val="28"/>
                <w:szCs w:val="28"/>
              </w:rPr>
              <w:t xml:space="preserve">5 </w:t>
            </w:r>
            <w:r>
              <w:rPr>
                <w:b/>
                <w:bCs/>
                <w:kern w:val="2"/>
                <w:sz w:val="28"/>
                <w:szCs w:val="28"/>
              </w:rPr>
              <w:t>路基工程</w:t>
            </w:r>
          </w:p>
          <w:p>
            <w:pPr>
              <w:spacing w:line="360" w:lineRule="auto"/>
              <w:ind w:firstLine="482"/>
              <w:rPr>
                <w:sz w:val="24"/>
                <w:szCs w:val="32"/>
                <w:lang w:val="zh-CN"/>
              </w:rPr>
            </w:pPr>
            <w:r>
              <w:rPr>
                <w:sz w:val="24"/>
                <w:szCs w:val="32"/>
                <w:lang w:val="zh-CN"/>
              </w:rPr>
              <w:t>路基设计严格遵照《城市道路设计规范》（CJJ37-2012）、《城市道路路基设计规范》（CJJ194-2013）和《公路路基设计规范》（JTJD30-2004）的有关规定办理，在设计前对沿线工程地质、水文等自然条件进行较为深入的调查，在充分收集现场资料的基础上提出路基填料，路基压实度设计要求，并根据填挖、水文、地质等情况对路基防护工程进行综合设计。</w:t>
            </w:r>
          </w:p>
          <w:p>
            <w:pPr>
              <w:spacing w:line="360" w:lineRule="auto"/>
              <w:ind w:firstLine="482"/>
              <w:rPr>
                <w:sz w:val="24"/>
                <w:szCs w:val="32"/>
                <w:lang w:val="zh-CN"/>
              </w:rPr>
            </w:pPr>
            <w:r>
              <w:rPr>
                <w:rFonts w:hint="eastAsia"/>
                <w:sz w:val="24"/>
                <w:szCs w:val="32"/>
                <w:lang w:val="zh-CN"/>
              </w:rPr>
              <w:t>（</w:t>
            </w:r>
            <w:r>
              <w:rPr>
                <w:rFonts w:hint="eastAsia"/>
                <w:sz w:val="24"/>
                <w:szCs w:val="32"/>
              </w:rPr>
              <w:t>1</w:t>
            </w:r>
            <w:r>
              <w:rPr>
                <w:rFonts w:hint="eastAsia"/>
                <w:sz w:val="24"/>
                <w:szCs w:val="32"/>
                <w:lang w:val="zh-CN"/>
              </w:rPr>
              <w:t>）</w:t>
            </w:r>
            <w:r>
              <w:rPr>
                <w:sz w:val="24"/>
                <w:szCs w:val="32"/>
              </w:rPr>
              <w:t>路基填筑与压实</w:t>
            </w:r>
          </w:p>
          <w:p>
            <w:pPr>
              <w:pStyle w:val="26"/>
              <w:spacing w:after="0" w:line="360" w:lineRule="auto"/>
              <w:ind w:left="0" w:leftChars="0" w:firstLine="480"/>
              <w:rPr>
                <w:kern w:val="2"/>
                <w:szCs w:val="32"/>
              </w:rPr>
            </w:pPr>
            <w:r>
              <w:rPr>
                <w:rFonts w:hint="eastAsia"/>
                <w:kern w:val="2"/>
                <w:szCs w:val="32"/>
              </w:rPr>
              <w:t>路基的填筑材料应因地制宜，就近取土。路基填筑前应做好平整场地工作，先挖除地表杂填土、腐植土、耕植土、植被等；路基填筑应分层均匀碾压，分层压实厚度不大于30cm，路基压实采用重型击实标准，路基填料的强度、粒径及压实度应满足规范要求，确保土基顶面回弹模量不小于40MPa。遇到地面自然横坡陡于1:5时（包括纵断面方向）时应挖台阶再分层压实，台阶宽度为一般为2m，台阶底应有4%向内倾斜的坡度。路基填挖衔接处必须采取超挖回填的措施，进行压实。路基填料的强度、粒径及压实度具体要求如下表：</w:t>
            </w:r>
          </w:p>
          <w:p>
            <w:pPr>
              <w:spacing w:line="360" w:lineRule="auto"/>
              <w:ind w:firstLine="482"/>
              <w:jc w:val="center"/>
              <w:outlineLvl w:val="1"/>
              <w:rPr>
                <w:b/>
                <w:bCs/>
              </w:rPr>
            </w:pPr>
            <w:r>
              <w:rPr>
                <w:b/>
                <w:bCs/>
                <w:sz w:val="24"/>
                <w:szCs w:val="32"/>
              </w:rPr>
              <w:t>表2.</w:t>
            </w:r>
            <w:r>
              <w:rPr>
                <w:rFonts w:hint="eastAsia"/>
                <w:b/>
                <w:bCs/>
                <w:sz w:val="24"/>
                <w:szCs w:val="32"/>
              </w:rPr>
              <w:t>4</w:t>
            </w:r>
            <w:r>
              <w:rPr>
                <w:b/>
                <w:bCs/>
                <w:sz w:val="24"/>
                <w:szCs w:val="32"/>
              </w:rPr>
              <w:t>-</w:t>
            </w:r>
            <w:r>
              <w:rPr>
                <w:rFonts w:hint="eastAsia"/>
                <w:b/>
                <w:bCs/>
                <w:sz w:val="24"/>
                <w:szCs w:val="32"/>
              </w:rPr>
              <w:t xml:space="preserve">3 </w:t>
            </w:r>
            <w:r>
              <w:rPr>
                <w:b/>
                <w:bCs/>
                <w:sz w:val="24"/>
                <w:szCs w:val="32"/>
              </w:rPr>
              <w:t xml:space="preserve"> 路基</w:t>
            </w:r>
            <w:r>
              <w:rPr>
                <w:rFonts w:hint="eastAsia"/>
                <w:b/>
                <w:bCs/>
                <w:sz w:val="24"/>
                <w:szCs w:val="32"/>
              </w:rPr>
              <w:t>强度、粒径及压实度具体要求表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52"/>
              <w:gridCol w:w="1155"/>
              <w:gridCol w:w="1492"/>
              <w:gridCol w:w="1622"/>
              <w:gridCol w:w="1527"/>
              <w:gridCol w:w="170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33" w:type="pct"/>
                  <w:gridSpan w:val="2"/>
                  <w:vAlign w:val="center"/>
                </w:tcPr>
                <w:p>
                  <w:pPr>
                    <w:pStyle w:val="49"/>
                    <w:outlineLvl w:val="1"/>
                    <w:rPr>
                      <w:b/>
                      <w:bCs/>
                      <w:color w:val="auto"/>
                    </w:rPr>
                  </w:pPr>
                  <w:r>
                    <w:rPr>
                      <w:b/>
                      <w:bCs/>
                      <w:color w:val="auto"/>
                    </w:rPr>
                    <w:t>填挖类型</w:t>
                  </w:r>
                </w:p>
              </w:tc>
              <w:tc>
                <w:tcPr>
                  <w:tcW w:w="862" w:type="pct"/>
                  <w:vAlign w:val="center"/>
                </w:tcPr>
                <w:p>
                  <w:pPr>
                    <w:pStyle w:val="49"/>
                    <w:outlineLvl w:val="1"/>
                    <w:rPr>
                      <w:b/>
                      <w:bCs/>
                      <w:color w:val="auto"/>
                    </w:rPr>
                  </w:pPr>
                  <w:r>
                    <w:rPr>
                      <w:b/>
                      <w:bCs/>
                      <w:color w:val="auto"/>
                    </w:rPr>
                    <w:t>路床顶面以下深度(</w:t>
                  </w:r>
                  <w:r>
                    <w:rPr>
                      <w:rFonts w:ascii="Times New Roman" w:hAnsi="Times New Roman"/>
                      <w:b/>
                      <w:bCs/>
                      <w:color w:val="auto"/>
                    </w:rPr>
                    <w:t>cm</w:t>
                  </w:r>
                  <w:r>
                    <w:rPr>
                      <w:b/>
                      <w:bCs/>
                      <w:color w:val="auto"/>
                    </w:rPr>
                    <w:t>)</w:t>
                  </w:r>
                </w:p>
              </w:tc>
              <w:tc>
                <w:tcPr>
                  <w:tcW w:w="937" w:type="pct"/>
                  <w:vAlign w:val="center"/>
                </w:tcPr>
                <w:p>
                  <w:pPr>
                    <w:pStyle w:val="49"/>
                    <w:outlineLvl w:val="1"/>
                    <w:rPr>
                      <w:b/>
                      <w:bCs/>
                      <w:color w:val="auto"/>
                    </w:rPr>
                  </w:pPr>
                  <w:r>
                    <w:rPr>
                      <w:rFonts w:hint="eastAsia"/>
                      <w:b/>
                      <w:bCs/>
                      <w:color w:val="auto"/>
                    </w:rPr>
                    <w:t>填料最小强度 （</w:t>
                  </w:r>
                  <w:r>
                    <w:rPr>
                      <w:rFonts w:ascii="Times New Roman" w:hAnsi="Times New Roman"/>
                      <w:b/>
                      <w:bCs/>
                      <w:color w:val="auto"/>
                    </w:rPr>
                    <w:t>CBR</w:t>
                  </w:r>
                  <w:r>
                    <w:rPr>
                      <w:rFonts w:hint="eastAsia"/>
                      <w:b/>
                      <w:bCs/>
                      <w:color w:val="auto"/>
                    </w:rPr>
                    <w:t>）（％）</w:t>
                  </w:r>
                </w:p>
              </w:tc>
              <w:tc>
                <w:tcPr>
                  <w:tcW w:w="882" w:type="pct"/>
                  <w:vAlign w:val="center"/>
                </w:tcPr>
                <w:p>
                  <w:pPr>
                    <w:pStyle w:val="49"/>
                    <w:outlineLvl w:val="1"/>
                    <w:rPr>
                      <w:b/>
                      <w:bCs/>
                      <w:color w:val="auto"/>
                    </w:rPr>
                  </w:pPr>
                  <w:r>
                    <w:rPr>
                      <w:b/>
                      <w:bCs/>
                      <w:color w:val="auto"/>
                    </w:rPr>
                    <w:t>压实度（</w:t>
                  </w:r>
                  <w:r>
                    <w:rPr>
                      <w:rFonts w:hint="eastAsia" w:ascii="宋体" w:hAnsi="宋体" w:cs="宋体"/>
                      <w:b/>
                      <w:bCs/>
                      <w:color w:val="auto"/>
                    </w:rPr>
                    <w:t>%</w:t>
                  </w:r>
                  <w:r>
                    <w:rPr>
                      <w:b/>
                      <w:bCs/>
                      <w:color w:val="auto"/>
                    </w:rPr>
                    <w:t>）</w:t>
                  </w:r>
                </w:p>
              </w:tc>
              <w:tc>
                <w:tcPr>
                  <w:tcW w:w="985" w:type="pct"/>
                  <w:vAlign w:val="center"/>
                </w:tcPr>
                <w:p>
                  <w:pPr>
                    <w:pStyle w:val="49"/>
                    <w:outlineLvl w:val="1"/>
                    <w:rPr>
                      <w:b/>
                      <w:bCs/>
                      <w:color w:val="auto"/>
                    </w:rPr>
                  </w:pPr>
                  <w:r>
                    <w:rPr>
                      <w:rFonts w:hint="eastAsia"/>
                      <w:b/>
                      <w:bCs/>
                      <w:color w:val="auto"/>
                    </w:rPr>
                    <w:t>填料最大粒径 （</w:t>
                  </w:r>
                  <w:r>
                    <w:rPr>
                      <w:rFonts w:ascii="Times New Roman" w:hAnsi="Times New Roman"/>
                      <w:b/>
                      <w:bCs/>
                      <w:color w:val="auto"/>
                    </w:rPr>
                    <w:t>cm</w:t>
                  </w:r>
                  <w:r>
                    <w:rPr>
                      <w:rFonts w:hint="eastAsia"/>
                      <w:b/>
                      <w:bCs/>
                      <w:color w:val="auto"/>
                    </w:rPr>
                    <w:t>）</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6" w:type="pct"/>
                  <w:vMerge w:val="restart"/>
                  <w:vAlign w:val="center"/>
                </w:tcPr>
                <w:p>
                  <w:pPr>
                    <w:pStyle w:val="49"/>
                    <w:outlineLvl w:val="1"/>
                    <w:rPr>
                      <w:color w:val="auto"/>
                    </w:rPr>
                  </w:pPr>
                  <w:r>
                    <w:rPr>
                      <w:color w:val="auto"/>
                    </w:rPr>
                    <w:t>填方</w:t>
                  </w:r>
                </w:p>
              </w:tc>
              <w:tc>
                <w:tcPr>
                  <w:tcW w:w="666" w:type="pct"/>
                  <w:vAlign w:val="center"/>
                </w:tcPr>
                <w:p>
                  <w:pPr>
                    <w:pStyle w:val="49"/>
                    <w:outlineLvl w:val="1"/>
                    <w:rPr>
                      <w:color w:val="auto"/>
                    </w:rPr>
                  </w:pPr>
                  <w:r>
                    <w:rPr>
                      <w:color w:val="auto"/>
                    </w:rPr>
                    <w:t>上路床</w:t>
                  </w:r>
                </w:p>
              </w:tc>
              <w:tc>
                <w:tcPr>
                  <w:tcW w:w="862" w:type="pct"/>
                  <w:vAlign w:val="center"/>
                </w:tcPr>
                <w:p>
                  <w:pPr>
                    <w:pStyle w:val="49"/>
                    <w:outlineLvl w:val="1"/>
                    <w:rPr>
                      <w:rFonts w:ascii="Times New Roman" w:hAnsi="Times New Roman"/>
                      <w:color w:val="auto"/>
                    </w:rPr>
                  </w:pPr>
                  <w:r>
                    <w:rPr>
                      <w:rFonts w:ascii="Times New Roman" w:hAnsi="Times New Roman"/>
                      <w:color w:val="auto"/>
                    </w:rPr>
                    <w:t>0～30</w:t>
                  </w:r>
                </w:p>
              </w:tc>
              <w:tc>
                <w:tcPr>
                  <w:tcW w:w="937" w:type="pct"/>
                  <w:vAlign w:val="center"/>
                </w:tcPr>
                <w:p>
                  <w:pPr>
                    <w:pStyle w:val="49"/>
                    <w:outlineLvl w:val="1"/>
                    <w:rPr>
                      <w:rFonts w:ascii="Times New Roman" w:hAnsi="Times New Roman"/>
                      <w:color w:val="auto"/>
                    </w:rPr>
                  </w:pPr>
                  <w:r>
                    <w:rPr>
                      <w:rFonts w:ascii="Times New Roman" w:hAnsi="Times New Roman"/>
                      <w:color w:val="auto"/>
                    </w:rPr>
                    <w:t>8</w:t>
                  </w:r>
                </w:p>
              </w:tc>
              <w:tc>
                <w:tcPr>
                  <w:tcW w:w="882" w:type="pct"/>
                  <w:vAlign w:val="center"/>
                </w:tcPr>
                <w:p>
                  <w:pPr>
                    <w:adjustRightInd w:val="0"/>
                    <w:snapToGrid w:val="0"/>
                    <w:jc w:val="center"/>
                    <w:outlineLvl w:val="1"/>
                  </w:pPr>
                  <w:r>
                    <w:t>95</w:t>
                  </w:r>
                </w:p>
              </w:tc>
              <w:tc>
                <w:tcPr>
                  <w:tcW w:w="985" w:type="pct"/>
                  <w:vAlign w:val="center"/>
                </w:tcPr>
                <w:p>
                  <w:pPr>
                    <w:adjustRightInd w:val="0"/>
                    <w:snapToGrid w:val="0"/>
                    <w:jc w:val="center"/>
                    <w:outlineLvl w:val="1"/>
                  </w:pPr>
                  <w:r>
                    <w:t>10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6" w:type="pct"/>
                  <w:vMerge w:val="continue"/>
                  <w:vAlign w:val="center"/>
                </w:tcPr>
                <w:p>
                  <w:pPr>
                    <w:pStyle w:val="49"/>
                    <w:rPr>
                      <w:color w:val="auto"/>
                    </w:rPr>
                  </w:pPr>
                </w:p>
              </w:tc>
              <w:tc>
                <w:tcPr>
                  <w:tcW w:w="666" w:type="pct"/>
                  <w:vAlign w:val="center"/>
                </w:tcPr>
                <w:p>
                  <w:pPr>
                    <w:pStyle w:val="49"/>
                    <w:outlineLvl w:val="1"/>
                    <w:rPr>
                      <w:color w:val="auto"/>
                    </w:rPr>
                  </w:pPr>
                  <w:r>
                    <w:rPr>
                      <w:color w:val="auto"/>
                    </w:rPr>
                    <w:t>下路床</w:t>
                  </w:r>
                </w:p>
              </w:tc>
              <w:tc>
                <w:tcPr>
                  <w:tcW w:w="862" w:type="pct"/>
                  <w:vAlign w:val="center"/>
                </w:tcPr>
                <w:p>
                  <w:pPr>
                    <w:pStyle w:val="49"/>
                    <w:outlineLvl w:val="1"/>
                    <w:rPr>
                      <w:rFonts w:ascii="Times New Roman" w:hAnsi="Times New Roman"/>
                      <w:color w:val="auto"/>
                    </w:rPr>
                  </w:pPr>
                  <w:r>
                    <w:rPr>
                      <w:rFonts w:ascii="Times New Roman" w:hAnsi="Times New Roman"/>
                      <w:color w:val="auto"/>
                    </w:rPr>
                    <w:t>30～80</w:t>
                  </w:r>
                </w:p>
              </w:tc>
              <w:tc>
                <w:tcPr>
                  <w:tcW w:w="937" w:type="pct"/>
                  <w:vAlign w:val="center"/>
                </w:tcPr>
                <w:p>
                  <w:pPr>
                    <w:pStyle w:val="49"/>
                    <w:outlineLvl w:val="1"/>
                    <w:rPr>
                      <w:rFonts w:ascii="Times New Roman" w:hAnsi="Times New Roman"/>
                      <w:color w:val="auto"/>
                    </w:rPr>
                  </w:pPr>
                  <w:r>
                    <w:rPr>
                      <w:rFonts w:ascii="Times New Roman" w:hAnsi="Times New Roman"/>
                      <w:color w:val="auto"/>
                    </w:rPr>
                    <w:t>5</w:t>
                  </w:r>
                </w:p>
              </w:tc>
              <w:tc>
                <w:tcPr>
                  <w:tcW w:w="882" w:type="pct"/>
                  <w:vAlign w:val="center"/>
                </w:tcPr>
                <w:p>
                  <w:pPr>
                    <w:adjustRightInd w:val="0"/>
                    <w:snapToGrid w:val="0"/>
                    <w:jc w:val="center"/>
                    <w:outlineLvl w:val="1"/>
                  </w:pPr>
                  <w:r>
                    <w:t>95</w:t>
                  </w:r>
                </w:p>
              </w:tc>
              <w:tc>
                <w:tcPr>
                  <w:tcW w:w="985" w:type="pct"/>
                  <w:vAlign w:val="center"/>
                </w:tcPr>
                <w:p>
                  <w:pPr>
                    <w:adjustRightInd w:val="0"/>
                    <w:snapToGrid w:val="0"/>
                    <w:jc w:val="center"/>
                    <w:outlineLvl w:val="1"/>
                  </w:pPr>
                  <w:r>
                    <w:t>10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6" w:type="pct"/>
                  <w:vMerge w:val="continue"/>
                  <w:vAlign w:val="center"/>
                </w:tcPr>
                <w:p>
                  <w:pPr>
                    <w:pStyle w:val="49"/>
                    <w:rPr>
                      <w:color w:val="auto"/>
                    </w:rPr>
                  </w:pPr>
                </w:p>
              </w:tc>
              <w:tc>
                <w:tcPr>
                  <w:tcW w:w="666" w:type="pct"/>
                  <w:vAlign w:val="center"/>
                </w:tcPr>
                <w:p>
                  <w:pPr>
                    <w:pStyle w:val="49"/>
                    <w:outlineLvl w:val="1"/>
                    <w:rPr>
                      <w:color w:val="auto"/>
                    </w:rPr>
                  </w:pPr>
                  <w:r>
                    <w:rPr>
                      <w:color w:val="auto"/>
                    </w:rPr>
                    <w:t>上路堤</w:t>
                  </w:r>
                </w:p>
              </w:tc>
              <w:tc>
                <w:tcPr>
                  <w:tcW w:w="862" w:type="pct"/>
                  <w:vAlign w:val="center"/>
                </w:tcPr>
                <w:p>
                  <w:pPr>
                    <w:pStyle w:val="49"/>
                    <w:outlineLvl w:val="1"/>
                    <w:rPr>
                      <w:rFonts w:ascii="Times New Roman" w:hAnsi="Times New Roman"/>
                      <w:color w:val="auto"/>
                    </w:rPr>
                  </w:pPr>
                  <w:r>
                    <w:rPr>
                      <w:rFonts w:ascii="Times New Roman" w:hAnsi="Times New Roman"/>
                      <w:color w:val="auto"/>
                    </w:rPr>
                    <w:t>80～150</w:t>
                  </w:r>
                </w:p>
              </w:tc>
              <w:tc>
                <w:tcPr>
                  <w:tcW w:w="937" w:type="pct"/>
                  <w:vAlign w:val="center"/>
                </w:tcPr>
                <w:p>
                  <w:pPr>
                    <w:pStyle w:val="49"/>
                    <w:outlineLvl w:val="1"/>
                    <w:rPr>
                      <w:rFonts w:ascii="Times New Roman" w:hAnsi="Times New Roman"/>
                      <w:color w:val="auto"/>
                    </w:rPr>
                  </w:pPr>
                  <w:r>
                    <w:rPr>
                      <w:rFonts w:ascii="Times New Roman" w:hAnsi="Times New Roman"/>
                      <w:color w:val="auto"/>
                    </w:rPr>
                    <w:t>4</w:t>
                  </w:r>
                </w:p>
              </w:tc>
              <w:tc>
                <w:tcPr>
                  <w:tcW w:w="882" w:type="pct"/>
                  <w:vAlign w:val="center"/>
                </w:tcPr>
                <w:p>
                  <w:pPr>
                    <w:adjustRightInd w:val="0"/>
                    <w:snapToGrid w:val="0"/>
                    <w:jc w:val="center"/>
                    <w:outlineLvl w:val="1"/>
                  </w:pPr>
                  <w:r>
                    <w:t>93</w:t>
                  </w:r>
                </w:p>
              </w:tc>
              <w:tc>
                <w:tcPr>
                  <w:tcW w:w="985" w:type="pct"/>
                  <w:vAlign w:val="center"/>
                </w:tcPr>
                <w:p>
                  <w:pPr>
                    <w:adjustRightInd w:val="0"/>
                    <w:snapToGrid w:val="0"/>
                    <w:jc w:val="center"/>
                    <w:outlineLvl w:val="1"/>
                  </w:pPr>
                  <w:r>
                    <w:t>15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6" w:type="pct"/>
                  <w:vMerge w:val="continue"/>
                  <w:vAlign w:val="center"/>
                </w:tcPr>
                <w:p>
                  <w:pPr>
                    <w:pStyle w:val="49"/>
                    <w:rPr>
                      <w:color w:val="auto"/>
                    </w:rPr>
                  </w:pPr>
                </w:p>
              </w:tc>
              <w:tc>
                <w:tcPr>
                  <w:tcW w:w="666" w:type="pct"/>
                  <w:vAlign w:val="center"/>
                </w:tcPr>
                <w:p>
                  <w:pPr>
                    <w:pStyle w:val="49"/>
                    <w:outlineLvl w:val="1"/>
                    <w:rPr>
                      <w:color w:val="auto"/>
                    </w:rPr>
                  </w:pPr>
                  <w:r>
                    <w:rPr>
                      <w:color w:val="auto"/>
                    </w:rPr>
                    <w:t>下路堤</w:t>
                  </w:r>
                </w:p>
              </w:tc>
              <w:tc>
                <w:tcPr>
                  <w:tcW w:w="862" w:type="pct"/>
                  <w:vAlign w:val="center"/>
                </w:tcPr>
                <w:p>
                  <w:pPr>
                    <w:pStyle w:val="49"/>
                    <w:outlineLvl w:val="1"/>
                    <w:rPr>
                      <w:rFonts w:ascii="Times New Roman" w:hAnsi="Times New Roman"/>
                      <w:color w:val="auto"/>
                    </w:rPr>
                  </w:pPr>
                  <w:r>
                    <w:rPr>
                      <w:rFonts w:ascii="Times New Roman" w:hAnsi="Times New Roman"/>
                      <w:color w:val="auto"/>
                    </w:rPr>
                    <w:t>150以下</w:t>
                  </w:r>
                </w:p>
              </w:tc>
              <w:tc>
                <w:tcPr>
                  <w:tcW w:w="937" w:type="pct"/>
                  <w:vAlign w:val="center"/>
                </w:tcPr>
                <w:p>
                  <w:pPr>
                    <w:pStyle w:val="49"/>
                    <w:outlineLvl w:val="1"/>
                    <w:rPr>
                      <w:rFonts w:ascii="Times New Roman" w:hAnsi="Times New Roman"/>
                      <w:color w:val="auto"/>
                    </w:rPr>
                  </w:pPr>
                  <w:r>
                    <w:rPr>
                      <w:rFonts w:ascii="Times New Roman" w:hAnsi="Times New Roman"/>
                      <w:color w:val="auto"/>
                    </w:rPr>
                    <w:t>3</w:t>
                  </w:r>
                </w:p>
              </w:tc>
              <w:tc>
                <w:tcPr>
                  <w:tcW w:w="882" w:type="pct"/>
                  <w:vAlign w:val="center"/>
                </w:tcPr>
                <w:p>
                  <w:pPr>
                    <w:adjustRightInd w:val="0"/>
                    <w:snapToGrid w:val="0"/>
                    <w:jc w:val="center"/>
                    <w:outlineLvl w:val="1"/>
                  </w:pPr>
                  <w:r>
                    <w:t>92</w:t>
                  </w:r>
                </w:p>
              </w:tc>
              <w:tc>
                <w:tcPr>
                  <w:tcW w:w="985" w:type="pct"/>
                  <w:vAlign w:val="center"/>
                </w:tcPr>
                <w:p>
                  <w:pPr>
                    <w:adjustRightInd w:val="0"/>
                    <w:snapToGrid w:val="0"/>
                    <w:jc w:val="center"/>
                    <w:outlineLvl w:val="1"/>
                  </w:pPr>
                  <w:r>
                    <w:t>15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33" w:type="pct"/>
                  <w:gridSpan w:val="2"/>
                  <w:vMerge w:val="restart"/>
                  <w:vAlign w:val="center"/>
                </w:tcPr>
                <w:p>
                  <w:pPr>
                    <w:pStyle w:val="49"/>
                    <w:outlineLvl w:val="1"/>
                    <w:rPr>
                      <w:color w:val="auto"/>
                    </w:rPr>
                  </w:pPr>
                  <w:r>
                    <w:rPr>
                      <w:color w:val="auto"/>
                    </w:rPr>
                    <w:t>零填及路堑</w:t>
                  </w:r>
                </w:p>
              </w:tc>
              <w:tc>
                <w:tcPr>
                  <w:tcW w:w="862" w:type="pct"/>
                  <w:vAlign w:val="center"/>
                </w:tcPr>
                <w:p>
                  <w:pPr>
                    <w:pStyle w:val="49"/>
                    <w:outlineLvl w:val="1"/>
                    <w:rPr>
                      <w:rFonts w:ascii="Times New Roman" w:hAnsi="Times New Roman"/>
                      <w:color w:val="auto"/>
                    </w:rPr>
                  </w:pPr>
                  <w:r>
                    <w:rPr>
                      <w:rFonts w:ascii="Times New Roman" w:hAnsi="Times New Roman"/>
                      <w:color w:val="auto"/>
                    </w:rPr>
                    <w:t>0～30</w:t>
                  </w:r>
                </w:p>
              </w:tc>
              <w:tc>
                <w:tcPr>
                  <w:tcW w:w="937" w:type="pct"/>
                  <w:vAlign w:val="center"/>
                </w:tcPr>
                <w:p>
                  <w:pPr>
                    <w:pStyle w:val="49"/>
                    <w:outlineLvl w:val="1"/>
                    <w:rPr>
                      <w:rFonts w:ascii="Times New Roman" w:hAnsi="Times New Roman"/>
                      <w:color w:val="auto"/>
                    </w:rPr>
                  </w:pPr>
                  <w:r>
                    <w:rPr>
                      <w:rFonts w:ascii="Times New Roman" w:hAnsi="Times New Roman"/>
                      <w:color w:val="auto"/>
                    </w:rPr>
                    <w:t>8</w:t>
                  </w:r>
                </w:p>
              </w:tc>
              <w:tc>
                <w:tcPr>
                  <w:tcW w:w="882" w:type="pct"/>
                  <w:vAlign w:val="center"/>
                </w:tcPr>
                <w:p>
                  <w:pPr>
                    <w:adjustRightInd w:val="0"/>
                    <w:snapToGrid w:val="0"/>
                    <w:jc w:val="center"/>
                    <w:outlineLvl w:val="1"/>
                  </w:pPr>
                  <w:r>
                    <w:t>95</w:t>
                  </w:r>
                </w:p>
              </w:tc>
              <w:tc>
                <w:tcPr>
                  <w:tcW w:w="985" w:type="pct"/>
                  <w:vAlign w:val="center"/>
                </w:tcPr>
                <w:p>
                  <w:pPr>
                    <w:adjustRightInd w:val="0"/>
                    <w:snapToGrid w:val="0"/>
                    <w:jc w:val="center"/>
                    <w:outlineLvl w:val="1"/>
                  </w:pPr>
                  <w:r>
                    <w:t>10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33" w:type="pct"/>
                  <w:gridSpan w:val="2"/>
                  <w:vMerge w:val="continue"/>
                  <w:vAlign w:val="center"/>
                </w:tcPr>
                <w:p>
                  <w:pPr>
                    <w:pStyle w:val="49"/>
                    <w:rPr>
                      <w:color w:val="auto"/>
                    </w:rPr>
                  </w:pPr>
                </w:p>
              </w:tc>
              <w:tc>
                <w:tcPr>
                  <w:tcW w:w="862" w:type="pct"/>
                  <w:vAlign w:val="center"/>
                </w:tcPr>
                <w:p>
                  <w:pPr>
                    <w:pStyle w:val="49"/>
                    <w:outlineLvl w:val="1"/>
                    <w:rPr>
                      <w:rFonts w:ascii="Times New Roman" w:hAnsi="Times New Roman"/>
                      <w:color w:val="auto"/>
                    </w:rPr>
                  </w:pPr>
                  <w:r>
                    <w:rPr>
                      <w:rFonts w:ascii="Times New Roman" w:hAnsi="Times New Roman"/>
                      <w:color w:val="auto"/>
                    </w:rPr>
                    <w:t>30～80</w:t>
                  </w:r>
                </w:p>
              </w:tc>
              <w:tc>
                <w:tcPr>
                  <w:tcW w:w="937" w:type="pct"/>
                  <w:vAlign w:val="center"/>
                </w:tcPr>
                <w:p>
                  <w:pPr>
                    <w:pStyle w:val="49"/>
                    <w:outlineLvl w:val="1"/>
                    <w:rPr>
                      <w:rFonts w:ascii="Times New Roman" w:hAnsi="Times New Roman"/>
                      <w:color w:val="auto"/>
                    </w:rPr>
                  </w:pPr>
                  <w:r>
                    <w:rPr>
                      <w:rFonts w:ascii="Times New Roman" w:hAnsi="Times New Roman"/>
                      <w:color w:val="auto"/>
                    </w:rPr>
                    <w:t>5</w:t>
                  </w:r>
                </w:p>
              </w:tc>
              <w:tc>
                <w:tcPr>
                  <w:tcW w:w="882" w:type="pct"/>
                  <w:vAlign w:val="center"/>
                </w:tcPr>
                <w:p>
                  <w:pPr>
                    <w:pStyle w:val="49"/>
                    <w:outlineLvl w:val="1"/>
                    <w:rPr>
                      <w:rFonts w:ascii="Times New Roman" w:hAnsi="Times New Roman"/>
                      <w:color w:val="auto"/>
                    </w:rPr>
                  </w:pPr>
                  <w:r>
                    <w:rPr>
                      <w:rFonts w:ascii="Times New Roman" w:hAnsi="Times New Roman"/>
                      <w:color w:val="auto"/>
                    </w:rPr>
                    <w:t>93</w:t>
                  </w:r>
                </w:p>
              </w:tc>
              <w:tc>
                <w:tcPr>
                  <w:tcW w:w="985" w:type="pct"/>
                  <w:vAlign w:val="center"/>
                </w:tcPr>
                <w:p>
                  <w:pPr>
                    <w:pStyle w:val="49"/>
                    <w:outlineLvl w:val="1"/>
                    <w:rPr>
                      <w:rFonts w:ascii="Times New Roman" w:hAnsi="Times New Roman"/>
                      <w:color w:val="auto"/>
                    </w:rPr>
                  </w:pPr>
                  <w:r>
                    <w:rPr>
                      <w:rFonts w:ascii="Times New Roman" w:hAnsi="Times New Roman"/>
                      <w:color w:val="auto"/>
                    </w:rPr>
                    <w:t>10</w:t>
                  </w:r>
                </w:p>
              </w:tc>
            </w:tr>
          </w:tbl>
          <w:p>
            <w:pPr>
              <w:adjustRightInd w:val="0"/>
              <w:snapToGrid w:val="0"/>
              <w:spacing w:before="120" w:beforeLines="50" w:line="360" w:lineRule="auto"/>
              <w:ind w:firstLine="480" w:firstLineChars="200"/>
              <w:rPr>
                <w:sz w:val="24"/>
              </w:rPr>
            </w:pPr>
            <w:r>
              <w:rPr>
                <w:rFonts w:hint="eastAsia"/>
                <w:sz w:val="24"/>
              </w:rPr>
              <w:t>（2）</w:t>
            </w:r>
            <w:r>
              <w:rPr>
                <w:sz w:val="24"/>
              </w:rPr>
              <w:t>一般路基防护</w:t>
            </w:r>
          </w:p>
          <w:p>
            <w:pPr>
              <w:pStyle w:val="26"/>
              <w:spacing w:after="0" w:line="360" w:lineRule="auto"/>
              <w:ind w:left="0" w:leftChars="0" w:firstLine="480"/>
            </w:pPr>
            <w:r>
              <w:rPr>
                <w:rFonts w:hint="eastAsia"/>
              </w:rPr>
              <w:t>为加强路基的稳定性及防止雨水对路基边坡的冲刷，需对路基边坡进行防护。边坡防护以边坡设计坡率为依据，本着稳定、方便施工、经济、美观的基本原则，在满足路基边坡稳定的前提下，路基防护应充分考虑环保和景观的要求，以植物防护为主、工程防护为辅进行设计。</w:t>
            </w:r>
          </w:p>
          <w:p>
            <w:pPr>
              <w:pStyle w:val="26"/>
              <w:spacing w:after="0" w:line="360" w:lineRule="auto"/>
              <w:ind w:left="0" w:leftChars="0" w:firstLine="480"/>
            </w:pPr>
            <w:r>
              <w:rPr>
                <w:rFonts w:hint="eastAsia"/>
              </w:rPr>
              <w:t>①一般填方路堤边坡防护：本工程填方路堤边坡高度H均小于4m，采用一级边坡，坡率1：1.5，采用植草护坡。</w:t>
            </w:r>
          </w:p>
          <w:p>
            <w:pPr>
              <w:pStyle w:val="26"/>
              <w:spacing w:after="0" w:line="360" w:lineRule="auto"/>
              <w:ind w:left="0" w:leftChars="0" w:firstLine="480"/>
            </w:pPr>
            <w:r>
              <w:rPr>
                <w:rFonts w:hint="eastAsia"/>
              </w:rPr>
              <w:t>②一般挖方路堑边坡防护：本工程挖方路堑边坡高度H小于3m，采用一级边坡，坡率1：1，采用植草护坡。</w:t>
            </w:r>
          </w:p>
          <w:p>
            <w:pPr>
              <w:pStyle w:val="26"/>
              <w:spacing w:after="0" w:line="360" w:lineRule="auto"/>
              <w:ind w:left="0" w:leftChars="0" w:firstLine="480"/>
            </w:pPr>
            <w:r>
              <w:rPr>
                <w:rFonts w:hint="eastAsia"/>
              </w:rPr>
              <w:t>③一般挖方路堑边坡防护：本工程挖方路堑边坡高度3m&lt;H&lt;6m时采用加筋土工网垫护坡，坡率1：1，采用植草护坡。</w:t>
            </w:r>
          </w:p>
          <w:p>
            <w:pPr>
              <w:pStyle w:val="26"/>
              <w:spacing w:after="0" w:line="360" w:lineRule="auto"/>
              <w:ind w:left="0" w:leftChars="0" w:firstLine="480"/>
            </w:pPr>
            <w:r>
              <w:rPr>
                <w:rFonts w:hint="eastAsia"/>
              </w:rPr>
              <w:t>边坡防护以边坡设计坡率为依据，本着稳定、方便施工、经济、美观的基本原则，在满足路基边坡稳定的前提下，路基防护应充分考虑环保和景观的要求，以植物防护为主、工程防护为辅进行设计。</w:t>
            </w:r>
          </w:p>
          <w:p>
            <w:pPr>
              <w:pStyle w:val="17"/>
              <w:spacing w:line="360" w:lineRule="auto"/>
              <w:outlineLvl w:val="1"/>
              <w:rPr>
                <w:b/>
                <w:bCs/>
                <w:kern w:val="2"/>
                <w:sz w:val="24"/>
                <w:szCs w:val="24"/>
              </w:rPr>
            </w:pPr>
            <w:r>
              <w:rPr>
                <w:b/>
                <w:bCs/>
                <w:kern w:val="2"/>
                <w:sz w:val="24"/>
                <w:szCs w:val="24"/>
              </w:rPr>
              <w:t>2.</w:t>
            </w:r>
            <w:r>
              <w:rPr>
                <w:rFonts w:hint="eastAsia"/>
                <w:b/>
                <w:bCs/>
                <w:kern w:val="2"/>
                <w:sz w:val="24"/>
                <w:szCs w:val="24"/>
              </w:rPr>
              <w:t>4</w:t>
            </w:r>
            <w:r>
              <w:rPr>
                <w:b/>
                <w:bCs/>
                <w:kern w:val="2"/>
                <w:sz w:val="24"/>
                <w:szCs w:val="24"/>
              </w:rPr>
              <w:t>.</w:t>
            </w:r>
            <w:r>
              <w:rPr>
                <w:rFonts w:hint="eastAsia"/>
                <w:b/>
                <w:bCs/>
                <w:kern w:val="2"/>
                <w:sz w:val="24"/>
                <w:szCs w:val="24"/>
              </w:rPr>
              <w:t xml:space="preserve">6 </w:t>
            </w:r>
            <w:r>
              <w:rPr>
                <w:b/>
                <w:bCs/>
                <w:kern w:val="2"/>
                <w:sz w:val="24"/>
                <w:szCs w:val="24"/>
              </w:rPr>
              <w:t>路</w:t>
            </w:r>
            <w:r>
              <w:rPr>
                <w:rFonts w:hint="eastAsia"/>
                <w:b/>
                <w:bCs/>
                <w:kern w:val="2"/>
                <w:sz w:val="24"/>
                <w:szCs w:val="24"/>
              </w:rPr>
              <w:t>面</w:t>
            </w:r>
            <w:r>
              <w:rPr>
                <w:b/>
                <w:bCs/>
                <w:kern w:val="2"/>
                <w:sz w:val="24"/>
                <w:szCs w:val="24"/>
              </w:rPr>
              <w:t>工程</w:t>
            </w:r>
          </w:p>
          <w:p>
            <w:pPr>
              <w:pStyle w:val="26"/>
              <w:spacing w:after="0" w:line="360" w:lineRule="auto"/>
              <w:ind w:left="0" w:leftChars="0" w:firstLine="480"/>
              <w:rPr>
                <w:lang w:val="zh-CN"/>
              </w:rPr>
            </w:pPr>
            <w:r>
              <w:rPr>
                <w:rFonts w:hint="eastAsia"/>
                <w:lang w:val="zh-CN"/>
              </w:rPr>
              <w:t>本</w:t>
            </w:r>
            <w:r>
              <w:rPr>
                <w:rFonts w:hint="eastAsia"/>
              </w:rPr>
              <w:t>项目路面结构</w:t>
            </w:r>
            <w:r>
              <w:rPr>
                <w:rFonts w:hint="eastAsia"/>
                <w:lang w:val="zh-CN"/>
              </w:rPr>
              <w:t>设计按照《城市道路工程设计规范》、《城镇道路路面设计规范》及《城市道路路基设计规范》，根据道路等级、使用功能要求、交通量及其组成情况和当地材料、气候、水文、土质等自然条件，并结合本地的实践经验，遵循因地制宜、合理选材、方便施工、利于养护的原则进行路面结构设计。</w:t>
            </w:r>
          </w:p>
          <w:p>
            <w:pPr>
              <w:pStyle w:val="26"/>
              <w:spacing w:after="0" w:line="360" w:lineRule="auto"/>
              <w:ind w:left="0" w:leftChars="0" w:firstLine="480"/>
              <w:rPr>
                <w:lang w:val="zh-CN"/>
              </w:rPr>
            </w:pPr>
            <w:r>
              <w:rPr>
                <w:rFonts w:hint="eastAsia"/>
                <w:lang w:val="zh-CN"/>
              </w:rPr>
              <w:t>（</w:t>
            </w:r>
            <w:r>
              <w:rPr>
                <w:rFonts w:hint="eastAsia"/>
              </w:rPr>
              <w:t>1</w:t>
            </w:r>
            <w:r>
              <w:rPr>
                <w:rFonts w:hint="eastAsia"/>
                <w:lang w:val="zh-CN"/>
              </w:rPr>
              <w:t>）设计标准和设计参数</w:t>
            </w:r>
          </w:p>
          <w:p>
            <w:pPr>
              <w:pStyle w:val="26"/>
              <w:spacing w:after="0" w:line="360" w:lineRule="auto"/>
              <w:ind w:left="0" w:leftChars="0" w:firstLine="480"/>
              <w:rPr>
                <w:lang w:val="zh-CN"/>
              </w:rPr>
            </w:pPr>
            <w:r>
              <w:rPr>
                <w:rFonts w:hint="eastAsia"/>
              </w:rPr>
              <w:t>①</w:t>
            </w:r>
            <w:r>
              <w:rPr>
                <w:rFonts w:hint="eastAsia"/>
                <w:lang w:val="zh-CN"/>
              </w:rPr>
              <w:t>道路等级：城市主干路；</w:t>
            </w:r>
          </w:p>
          <w:p>
            <w:pPr>
              <w:pStyle w:val="26"/>
              <w:spacing w:after="0" w:line="360" w:lineRule="auto"/>
              <w:ind w:left="0" w:leftChars="0" w:firstLine="480"/>
              <w:rPr>
                <w:lang w:val="zh-CN"/>
              </w:rPr>
            </w:pPr>
            <w:r>
              <w:rPr>
                <w:rFonts w:hint="eastAsia"/>
              </w:rPr>
              <w:t>②</w:t>
            </w:r>
            <w:r>
              <w:rPr>
                <w:rFonts w:hint="eastAsia"/>
                <w:lang w:val="zh-CN"/>
              </w:rPr>
              <w:t>交通等级：重交通等级；</w:t>
            </w:r>
          </w:p>
          <w:p>
            <w:pPr>
              <w:pStyle w:val="26"/>
              <w:spacing w:after="0" w:line="360" w:lineRule="auto"/>
              <w:ind w:left="0" w:leftChars="0" w:firstLine="480"/>
              <w:rPr>
                <w:lang w:val="zh-CN"/>
              </w:rPr>
            </w:pPr>
            <w:r>
              <w:rPr>
                <w:rFonts w:hint="eastAsia"/>
              </w:rPr>
              <w:t>③</w:t>
            </w:r>
            <w:r>
              <w:rPr>
                <w:rFonts w:hint="eastAsia"/>
                <w:lang w:val="zh-CN"/>
              </w:rPr>
              <w:t>路面设计标准荷载：BZZ－100kN（双轮组单轴载100kN）；</w:t>
            </w:r>
          </w:p>
          <w:p>
            <w:pPr>
              <w:pStyle w:val="26"/>
              <w:spacing w:after="0" w:line="360" w:lineRule="auto"/>
              <w:ind w:left="0" w:leftChars="0" w:firstLine="480"/>
              <w:rPr>
                <w:lang w:val="zh-CN"/>
              </w:rPr>
            </w:pPr>
            <w:r>
              <w:rPr>
                <w:rFonts w:hint="eastAsia"/>
              </w:rPr>
              <w:t>④</w:t>
            </w:r>
            <w:r>
              <w:rPr>
                <w:rFonts w:hint="eastAsia"/>
                <w:lang w:val="zh-CN"/>
              </w:rPr>
              <w:t>路面结构达到临界状态的设计年限：沥青混凝土路面为15年；</w:t>
            </w:r>
          </w:p>
          <w:p>
            <w:pPr>
              <w:pStyle w:val="26"/>
              <w:spacing w:after="0" w:line="360" w:lineRule="auto"/>
              <w:ind w:left="0" w:leftChars="0" w:firstLine="480"/>
              <w:rPr>
                <w:lang w:val="zh-CN"/>
              </w:rPr>
            </w:pPr>
            <w:r>
              <w:rPr>
                <w:rFonts w:hint="eastAsia"/>
              </w:rPr>
              <w:t>⑤</w:t>
            </w:r>
            <w:r>
              <w:rPr>
                <w:rFonts w:hint="eastAsia"/>
                <w:lang w:val="zh-CN"/>
              </w:rPr>
              <w:t>土基回弹模量：40MPa；</w:t>
            </w:r>
          </w:p>
          <w:p>
            <w:pPr>
              <w:pStyle w:val="26"/>
              <w:spacing w:after="0" w:line="360" w:lineRule="auto"/>
              <w:ind w:left="0" w:leftChars="0" w:firstLine="480"/>
              <w:rPr>
                <w:lang w:val="zh-CN"/>
              </w:rPr>
            </w:pPr>
            <w:r>
              <w:rPr>
                <w:rFonts w:hint="eastAsia"/>
              </w:rPr>
              <w:t>⑥</w:t>
            </w:r>
            <w:r>
              <w:rPr>
                <w:rFonts w:hint="eastAsia"/>
                <w:lang w:val="zh-CN"/>
              </w:rPr>
              <w:t>公路自然区划</w:t>
            </w:r>
            <w:r>
              <w:rPr>
                <w:lang w:val="zh-CN"/>
              </w:rPr>
              <w:t>：Ⅳ7区。</w:t>
            </w:r>
          </w:p>
          <w:p>
            <w:pPr>
              <w:pStyle w:val="26"/>
              <w:spacing w:after="0" w:line="360" w:lineRule="auto"/>
              <w:ind w:left="0" w:leftChars="0" w:firstLine="480"/>
              <w:rPr>
                <w:lang w:val="zh-CN"/>
              </w:rPr>
            </w:pPr>
            <w:r>
              <w:rPr>
                <w:rFonts w:hint="eastAsia"/>
              </w:rPr>
              <w:t>（2）路面结构组合</w:t>
            </w:r>
          </w:p>
          <w:p>
            <w:pPr>
              <w:spacing w:line="360" w:lineRule="auto"/>
              <w:jc w:val="center"/>
              <w:outlineLvl w:val="1"/>
              <w:rPr>
                <w:b/>
                <w:bCs/>
                <w:sz w:val="24"/>
                <w:lang w:val="zh-CN"/>
              </w:rPr>
            </w:pPr>
            <w:r>
              <w:rPr>
                <w:b/>
                <w:bCs/>
                <w:sz w:val="24"/>
                <w:lang w:val="zh-CN"/>
              </w:rPr>
              <w:t>表</w:t>
            </w:r>
            <w:r>
              <w:rPr>
                <w:b/>
                <w:bCs/>
                <w:sz w:val="24"/>
              </w:rPr>
              <w:t>2.</w:t>
            </w:r>
            <w:r>
              <w:rPr>
                <w:rFonts w:hint="eastAsia"/>
                <w:b/>
                <w:bCs/>
                <w:sz w:val="24"/>
              </w:rPr>
              <w:t>4</w:t>
            </w:r>
            <w:r>
              <w:rPr>
                <w:b/>
                <w:bCs/>
                <w:sz w:val="24"/>
                <w:lang w:val="zh-CN"/>
              </w:rPr>
              <w:t>-</w:t>
            </w:r>
            <w:r>
              <w:rPr>
                <w:rFonts w:hint="eastAsia"/>
                <w:b/>
                <w:bCs/>
                <w:sz w:val="24"/>
              </w:rPr>
              <w:t>4</w:t>
            </w:r>
            <w:r>
              <w:rPr>
                <w:b/>
                <w:bCs/>
                <w:sz w:val="24"/>
                <w:lang w:val="zh-CN"/>
              </w:rPr>
              <w:t xml:space="preserve"> 道路路面结构设置一览表</w:t>
            </w:r>
          </w:p>
          <w:tbl>
            <w:tblPr>
              <w:tblStyle w:val="27"/>
              <w:tblW w:w="85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602"/>
              <w:gridCol w:w="6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95" w:type="dxa"/>
                  <w:vAlign w:val="center"/>
                </w:tcPr>
                <w:p>
                  <w:pPr>
                    <w:jc w:val="center"/>
                    <w:outlineLvl w:val="1"/>
                    <w:rPr>
                      <w:b/>
                      <w:bCs/>
                      <w:szCs w:val="21"/>
                      <w:lang w:val="zh-CN"/>
                    </w:rPr>
                  </w:pPr>
                  <w:r>
                    <w:rPr>
                      <w:b/>
                      <w:bCs/>
                      <w:szCs w:val="21"/>
                      <w:lang w:val="zh-CN"/>
                    </w:rPr>
                    <w:t>序号</w:t>
                  </w:r>
                </w:p>
              </w:tc>
              <w:tc>
                <w:tcPr>
                  <w:tcW w:w="1602" w:type="dxa"/>
                  <w:vAlign w:val="center"/>
                </w:tcPr>
                <w:p>
                  <w:pPr>
                    <w:jc w:val="center"/>
                    <w:outlineLvl w:val="1"/>
                    <w:rPr>
                      <w:b/>
                      <w:bCs/>
                      <w:szCs w:val="21"/>
                      <w:lang w:val="zh-CN"/>
                    </w:rPr>
                  </w:pPr>
                  <w:r>
                    <w:rPr>
                      <w:b/>
                      <w:bCs/>
                      <w:szCs w:val="21"/>
                      <w:lang w:val="zh-CN"/>
                    </w:rPr>
                    <w:t>车道类型</w:t>
                  </w:r>
                </w:p>
              </w:tc>
              <w:tc>
                <w:tcPr>
                  <w:tcW w:w="6075" w:type="dxa"/>
                  <w:vAlign w:val="center"/>
                </w:tcPr>
                <w:p>
                  <w:pPr>
                    <w:jc w:val="center"/>
                    <w:outlineLvl w:val="1"/>
                    <w:rPr>
                      <w:b/>
                      <w:bCs/>
                      <w:szCs w:val="21"/>
                      <w:lang w:val="zh-CN"/>
                    </w:rPr>
                  </w:pPr>
                  <w:r>
                    <w:rPr>
                      <w:b/>
                      <w:bCs/>
                      <w:szCs w:val="21"/>
                      <w:lang w:val="zh-CN"/>
                    </w:rPr>
                    <w:t>路面工程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95" w:type="dxa"/>
                  <w:vAlign w:val="center"/>
                </w:tcPr>
                <w:p>
                  <w:pPr>
                    <w:jc w:val="center"/>
                    <w:outlineLvl w:val="1"/>
                    <w:rPr>
                      <w:szCs w:val="21"/>
                      <w:lang w:val="zh-CN"/>
                    </w:rPr>
                  </w:pPr>
                  <w:r>
                    <w:rPr>
                      <w:szCs w:val="21"/>
                      <w:lang w:val="zh-CN"/>
                    </w:rPr>
                    <w:t>1</w:t>
                  </w:r>
                </w:p>
              </w:tc>
              <w:tc>
                <w:tcPr>
                  <w:tcW w:w="1602" w:type="dxa"/>
                  <w:vAlign w:val="center"/>
                </w:tcPr>
                <w:p>
                  <w:pPr>
                    <w:jc w:val="center"/>
                    <w:outlineLvl w:val="1"/>
                    <w:rPr>
                      <w:szCs w:val="21"/>
                      <w:lang w:val="zh-CN"/>
                    </w:rPr>
                  </w:pPr>
                  <w:r>
                    <w:rPr>
                      <w:szCs w:val="21"/>
                      <w:lang w:val="zh-CN"/>
                    </w:rPr>
                    <w:t>机动车道路面结构</w:t>
                  </w:r>
                </w:p>
              </w:tc>
              <w:tc>
                <w:tcPr>
                  <w:tcW w:w="6075" w:type="dxa"/>
                  <w:vAlign w:val="center"/>
                </w:tcPr>
                <w:p>
                  <w:pPr>
                    <w:jc w:val="left"/>
                    <w:outlineLvl w:val="1"/>
                    <w:rPr>
                      <w:szCs w:val="21"/>
                    </w:rPr>
                  </w:pPr>
                  <w:r>
                    <w:rPr>
                      <w:rFonts w:hint="eastAsia"/>
                      <w:szCs w:val="21"/>
                    </w:rPr>
                    <w:t>4cm沥青玛蹄脂碎石混合料(SMA-13)</w:t>
                  </w:r>
                </w:p>
                <w:p>
                  <w:pPr>
                    <w:jc w:val="left"/>
                    <w:outlineLvl w:val="1"/>
                    <w:rPr>
                      <w:szCs w:val="21"/>
                    </w:rPr>
                  </w:pPr>
                  <w:r>
                    <w:rPr>
                      <w:rFonts w:hint="eastAsia"/>
                      <w:szCs w:val="21"/>
                    </w:rPr>
                    <w:t>6cm中粒式SBS改性沥青砼(AC-20C)</w:t>
                  </w:r>
                </w:p>
                <w:p>
                  <w:pPr>
                    <w:jc w:val="left"/>
                    <w:outlineLvl w:val="1"/>
                    <w:rPr>
                      <w:szCs w:val="21"/>
                    </w:rPr>
                  </w:pPr>
                  <w:r>
                    <w:rPr>
                      <w:rFonts w:hint="eastAsia"/>
                      <w:szCs w:val="21"/>
                    </w:rPr>
                    <w:t>8cm粗粒式沥青砼(AC-25C)</w:t>
                  </w:r>
                </w:p>
                <w:p>
                  <w:pPr>
                    <w:jc w:val="left"/>
                    <w:outlineLvl w:val="1"/>
                    <w:rPr>
                      <w:szCs w:val="21"/>
                    </w:rPr>
                  </w:pPr>
                  <w:r>
                    <w:rPr>
                      <w:rFonts w:hint="eastAsia"/>
                      <w:szCs w:val="21"/>
                    </w:rPr>
                    <w:t>0.8cm稀浆封层ES-3型</w:t>
                  </w:r>
                </w:p>
                <w:p>
                  <w:pPr>
                    <w:jc w:val="left"/>
                    <w:outlineLvl w:val="1"/>
                    <w:rPr>
                      <w:szCs w:val="21"/>
                    </w:rPr>
                  </w:pPr>
                  <w:r>
                    <w:rPr>
                      <w:rFonts w:hint="eastAsia"/>
                      <w:szCs w:val="21"/>
                    </w:rPr>
                    <w:t>15cm5%水泥稳定碎石</w:t>
                  </w:r>
                </w:p>
                <w:p>
                  <w:pPr>
                    <w:jc w:val="left"/>
                    <w:outlineLvl w:val="1"/>
                    <w:rPr>
                      <w:szCs w:val="21"/>
                    </w:rPr>
                  </w:pPr>
                  <w:r>
                    <w:rPr>
                      <w:rFonts w:hint="eastAsia"/>
                      <w:szCs w:val="21"/>
                    </w:rPr>
                    <w:t>20cm3%水泥稳定碎石</w:t>
                  </w:r>
                </w:p>
                <w:p>
                  <w:pPr>
                    <w:jc w:val="left"/>
                    <w:outlineLvl w:val="1"/>
                    <w:rPr>
                      <w:szCs w:val="21"/>
                    </w:rPr>
                  </w:pPr>
                  <w:r>
                    <w:rPr>
                      <w:rFonts w:hint="eastAsia"/>
                      <w:szCs w:val="21"/>
                    </w:rPr>
                    <w:t>20cm级配碎石</w:t>
                  </w:r>
                </w:p>
                <w:p>
                  <w:pPr>
                    <w:jc w:val="left"/>
                    <w:outlineLvl w:val="1"/>
                    <w:rPr>
                      <w:szCs w:val="21"/>
                      <w:lang w:val="zh-CN"/>
                    </w:rPr>
                  </w:pPr>
                  <w:r>
                    <w:rPr>
                      <w:rFonts w:hint="eastAsia"/>
                      <w:szCs w:val="21"/>
                    </w:rPr>
                    <w:t>总厚度73.8cm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95" w:type="dxa"/>
                  <w:vAlign w:val="center"/>
                </w:tcPr>
                <w:p>
                  <w:pPr>
                    <w:jc w:val="center"/>
                    <w:outlineLvl w:val="1"/>
                    <w:rPr>
                      <w:szCs w:val="21"/>
                    </w:rPr>
                  </w:pPr>
                  <w:r>
                    <w:rPr>
                      <w:szCs w:val="21"/>
                    </w:rPr>
                    <w:t>2</w:t>
                  </w:r>
                </w:p>
              </w:tc>
              <w:tc>
                <w:tcPr>
                  <w:tcW w:w="1602" w:type="dxa"/>
                  <w:vAlign w:val="center"/>
                </w:tcPr>
                <w:p>
                  <w:pPr>
                    <w:jc w:val="center"/>
                    <w:outlineLvl w:val="1"/>
                    <w:rPr>
                      <w:szCs w:val="21"/>
                      <w:lang w:val="zh-CN"/>
                    </w:rPr>
                  </w:pPr>
                  <w:r>
                    <w:rPr>
                      <w:rFonts w:hint="eastAsia"/>
                      <w:szCs w:val="21"/>
                      <w:lang w:val="zh-CN"/>
                    </w:rPr>
                    <w:t>非</w:t>
                  </w:r>
                  <w:r>
                    <w:rPr>
                      <w:szCs w:val="21"/>
                      <w:lang w:val="zh-CN"/>
                    </w:rPr>
                    <w:t>机动车道路面结构</w:t>
                  </w:r>
                </w:p>
              </w:tc>
              <w:tc>
                <w:tcPr>
                  <w:tcW w:w="6075" w:type="dxa"/>
                  <w:vAlign w:val="center"/>
                </w:tcPr>
                <w:p>
                  <w:pPr>
                    <w:pStyle w:val="17"/>
                    <w:jc w:val="left"/>
                    <w:outlineLvl w:val="1"/>
                    <w:rPr>
                      <w:kern w:val="2"/>
                      <w:sz w:val="21"/>
                      <w:szCs w:val="24"/>
                    </w:rPr>
                  </w:pPr>
                  <w:r>
                    <w:rPr>
                      <w:rFonts w:hint="eastAsia"/>
                      <w:kern w:val="2"/>
                      <w:sz w:val="21"/>
                      <w:szCs w:val="24"/>
                    </w:rPr>
                    <w:t>4cm细粒式SBS改性沥青砼(AC-10F)</w:t>
                  </w:r>
                </w:p>
                <w:p>
                  <w:pPr>
                    <w:pStyle w:val="17"/>
                    <w:jc w:val="left"/>
                    <w:outlineLvl w:val="1"/>
                    <w:rPr>
                      <w:kern w:val="2"/>
                      <w:sz w:val="21"/>
                      <w:szCs w:val="24"/>
                    </w:rPr>
                  </w:pPr>
                  <w:r>
                    <w:rPr>
                      <w:rFonts w:hint="eastAsia"/>
                      <w:kern w:val="2"/>
                      <w:sz w:val="21"/>
                      <w:szCs w:val="24"/>
                    </w:rPr>
                    <w:t>7cm中粒式沥青砼(AC-20C)</w:t>
                  </w:r>
                </w:p>
                <w:p>
                  <w:pPr>
                    <w:pStyle w:val="17"/>
                    <w:jc w:val="left"/>
                    <w:outlineLvl w:val="1"/>
                    <w:rPr>
                      <w:kern w:val="2"/>
                      <w:sz w:val="21"/>
                      <w:szCs w:val="24"/>
                    </w:rPr>
                  </w:pPr>
                  <w:r>
                    <w:rPr>
                      <w:rFonts w:hint="eastAsia"/>
                      <w:kern w:val="2"/>
                      <w:sz w:val="21"/>
                      <w:szCs w:val="24"/>
                    </w:rPr>
                    <w:t>0.8cm稀浆封层ES-3型</w:t>
                  </w:r>
                </w:p>
                <w:p>
                  <w:pPr>
                    <w:pStyle w:val="17"/>
                    <w:jc w:val="left"/>
                    <w:outlineLvl w:val="1"/>
                    <w:rPr>
                      <w:kern w:val="2"/>
                      <w:sz w:val="21"/>
                      <w:szCs w:val="24"/>
                    </w:rPr>
                  </w:pPr>
                  <w:r>
                    <w:rPr>
                      <w:rFonts w:hint="eastAsia"/>
                      <w:kern w:val="2"/>
                      <w:sz w:val="21"/>
                      <w:szCs w:val="24"/>
                    </w:rPr>
                    <w:t>20cm5%水泥稳定碎石</w:t>
                  </w:r>
                </w:p>
                <w:p>
                  <w:pPr>
                    <w:pStyle w:val="17"/>
                    <w:jc w:val="left"/>
                    <w:outlineLvl w:val="1"/>
                    <w:rPr>
                      <w:kern w:val="2"/>
                      <w:sz w:val="21"/>
                      <w:szCs w:val="24"/>
                    </w:rPr>
                  </w:pPr>
                  <w:r>
                    <w:rPr>
                      <w:rFonts w:hint="eastAsia"/>
                      <w:kern w:val="2"/>
                      <w:sz w:val="21"/>
                      <w:szCs w:val="24"/>
                    </w:rPr>
                    <w:t>20cm级配碎石</w:t>
                  </w:r>
                </w:p>
                <w:p>
                  <w:pPr>
                    <w:pStyle w:val="17"/>
                    <w:jc w:val="left"/>
                    <w:outlineLvl w:val="1"/>
                    <w:rPr>
                      <w:kern w:val="2"/>
                      <w:sz w:val="21"/>
                      <w:szCs w:val="21"/>
                      <w:lang w:val="zh-CN"/>
                    </w:rPr>
                  </w:pPr>
                  <w:r>
                    <w:rPr>
                      <w:rFonts w:hint="eastAsia"/>
                      <w:kern w:val="2"/>
                      <w:sz w:val="21"/>
                      <w:szCs w:val="24"/>
                    </w:rPr>
                    <w:t>总厚度51.8cm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trPr>
              <w:tc>
                <w:tcPr>
                  <w:tcW w:w="895" w:type="dxa"/>
                  <w:vAlign w:val="center"/>
                </w:tcPr>
                <w:p>
                  <w:pPr>
                    <w:jc w:val="center"/>
                    <w:outlineLvl w:val="1"/>
                    <w:rPr>
                      <w:szCs w:val="21"/>
                      <w:lang w:val="zh-CN"/>
                    </w:rPr>
                  </w:pPr>
                  <w:r>
                    <w:rPr>
                      <w:szCs w:val="21"/>
                    </w:rPr>
                    <w:t>3</w:t>
                  </w:r>
                </w:p>
              </w:tc>
              <w:tc>
                <w:tcPr>
                  <w:tcW w:w="1602" w:type="dxa"/>
                  <w:vAlign w:val="center"/>
                </w:tcPr>
                <w:p>
                  <w:pPr>
                    <w:jc w:val="center"/>
                    <w:outlineLvl w:val="1"/>
                    <w:rPr>
                      <w:szCs w:val="21"/>
                      <w:lang w:val="zh-CN"/>
                    </w:rPr>
                  </w:pPr>
                  <w:r>
                    <w:rPr>
                      <w:szCs w:val="21"/>
                      <w:lang w:val="zh-CN"/>
                    </w:rPr>
                    <w:t>人行道路面结构</w:t>
                  </w:r>
                </w:p>
              </w:tc>
              <w:tc>
                <w:tcPr>
                  <w:tcW w:w="6075" w:type="dxa"/>
                  <w:vAlign w:val="center"/>
                </w:tcPr>
                <w:p>
                  <w:pPr>
                    <w:jc w:val="left"/>
                    <w:outlineLvl w:val="1"/>
                  </w:pPr>
                  <w:r>
                    <w:rPr>
                      <w:rFonts w:hint="eastAsia"/>
                    </w:rPr>
                    <w:t>8cm灰色环保型透水砖（25×50cm）</w:t>
                  </w:r>
                </w:p>
                <w:p>
                  <w:pPr>
                    <w:jc w:val="left"/>
                    <w:outlineLvl w:val="1"/>
                  </w:pPr>
                  <w:r>
                    <w:rPr>
                      <w:rFonts w:hint="eastAsia"/>
                    </w:rPr>
                    <w:t>3cm干硬性透水水泥砂浆</w:t>
                  </w:r>
                </w:p>
                <w:p>
                  <w:pPr>
                    <w:jc w:val="left"/>
                    <w:outlineLvl w:val="1"/>
                  </w:pPr>
                  <w:r>
                    <w:rPr>
                      <w:rFonts w:hint="eastAsia"/>
                    </w:rPr>
                    <w:t>15cmC20透水砼</w:t>
                  </w:r>
                </w:p>
                <w:p>
                  <w:pPr>
                    <w:jc w:val="left"/>
                    <w:outlineLvl w:val="1"/>
                  </w:pPr>
                  <w:r>
                    <w:rPr>
                      <w:rFonts w:hint="eastAsia"/>
                    </w:rPr>
                    <w:t>10cm级配碎石</w:t>
                  </w:r>
                </w:p>
                <w:p>
                  <w:pPr>
                    <w:jc w:val="left"/>
                    <w:outlineLvl w:val="1"/>
                    <w:rPr>
                      <w:szCs w:val="21"/>
                      <w:lang w:val="zh-CN"/>
                    </w:rPr>
                  </w:pPr>
                  <w:r>
                    <w:rPr>
                      <w:rFonts w:hint="eastAsia"/>
                    </w:rPr>
                    <w:t>总厚度34cm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95" w:type="dxa"/>
                  <w:vAlign w:val="center"/>
                </w:tcPr>
                <w:p>
                  <w:pPr>
                    <w:jc w:val="center"/>
                    <w:outlineLvl w:val="1"/>
                    <w:rPr>
                      <w:szCs w:val="21"/>
                    </w:rPr>
                  </w:pPr>
                  <w:r>
                    <w:rPr>
                      <w:rFonts w:hint="eastAsia"/>
                      <w:szCs w:val="21"/>
                    </w:rPr>
                    <w:t>4</w:t>
                  </w:r>
                </w:p>
              </w:tc>
              <w:tc>
                <w:tcPr>
                  <w:tcW w:w="1602" w:type="dxa"/>
                  <w:vAlign w:val="center"/>
                </w:tcPr>
                <w:p>
                  <w:pPr>
                    <w:jc w:val="center"/>
                    <w:outlineLvl w:val="1"/>
                    <w:rPr>
                      <w:szCs w:val="21"/>
                    </w:rPr>
                  </w:pPr>
                  <w:r>
                    <w:rPr>
                      <w:rFonts w:hint="eastAsia"/>
                    </w:rPr>
                    <w:t>路缘石</w:t>
                  </w:r>
                </w:p>
              </w:tc>
              <w:tc>
                <w:tcPr>
                  <w:tcW w:w="6075" w:type="dxa"/>
                  <w:vAlign w:val="center"/>
                </w:tcPr>
                <w:p>
                  <w:pPr>
                    <w:jc w:val="left"/>
                    <w:outlineLvl w:val="1"/>
                    <w:rPr>
                      <w:szCs w:val="21"/>
                    </w:rPr>
                  </w:pPr>
                  <w:r>
                    <w:rPr>
                      <w:rFonts w:hint="eastAsia"/>
                    </w:rPr>
                    <w:t>路缘石材料采用花岗岩</w:t>
                  </w:r>
                </w:p>
              </w:tc>
            </w:tr>
          </w:tbl>
          <w:p>
            <w:pPr>
              <w:pStyle w:val="17"/>
              <w:spacing w:before="120" w:beforeLines="50" w:line="360" w:lineRule="auto"/>
              <w:outlineLvl w:val="1"/>
              <w:rPr>
                <w:b/>
                <w:bCs/>
                <w:kern w:val="2"/>
                <w:sz w:val="24"/>
                <w:szCs w:val="24"/>
              </w:rPr>
            </w:pPr>
            <w:r>
              <w:rPr>
                <w:b/>
                <w:bCs/>
                <w:kern w:val="2"/>
                <w:sz w:val="24"/>
                <w:szCs w:val="24"/>
              </w:rPr>
              <w:t>2.</w:t>
            </w:r>
            <w:r>
              <w:rPr>
                <w:rFonts w:hint="eastAsia"/>
                <w:b/>
                <w:bCs/>
                <w:kern w:val="2"/>
                <w:sz w:val="24"/>
                <w:szCs w:val="24"/>
              </w:rPr>
              <w:t xml:space="preserve">4.7 </w:t>
            </w:r>
            <w:r>
              <w:rPr>
                <w:b/>
                <w:bCs/>
                <w:kern w:val="2"/>
                <w:sz w:val="24"/>
                <w:szCs w:val="24"/>
              </w:rPr>
              <w:t>桥</w:t>
            </w:r>
            <w:r>
              <w:rPr>
                <w:rFonts w:hint="eastAsia"/>
                <w:b/>
                <w:bCs/>
                <w:sz w:val="24"/>
              </w:rPr>
              <w:t>梁</w:t>
            </w:r>
            <w:r>
              <w:rPr>
                <w:b/>
                <w:bCs/>
                <w:kern w:val="2"/>
                <w:sz w:val="24"/>
                <w:szCs w:val="24"/>
              </w:rPr>
              <w:t>工程</w:t>
            </w:r>
          </w:p>
          <w:p>
            <w:pPr>
              <w:spacing w:line="360" w:lineRule="auto"/>
              <w:ind w:firstLine="480" w:firstLineChars="200"/>
              <w:rPr>
                <w:sz w:val="24"/>
                <w:szCs w:val="32"/>
              </w:rPr>
            </w:pPr>
            <w:r>
              <w:rPr>
                <w:rFonts w:hint="eastAsia"/>
                <w:sz w:val="24"/>
                <w:szCs w:val="32"/>
              </w:rPr>
              <w:t>本项目全线共新建1座桥梁。桥梁设置情况详见表2.4-5。</w:t>
            </w:r>
          </w:p>
          <w:p>
            <w:pPr>
              <w:pStyle w:val="26"/>
              <w:ind w:left="0" w:leftChars="0" w:firstLine="0" w:firstLineChars="0"/>
              <w:jc w:val="center"/>
              <w:rPr>
                <w:b/>
                <w:bCs/>
                <w:szCs w:val="32"/>
              </w:rPr>
            </w:pPr>
            <w:r>
              <w:rPr>
                <w:rFonts w:hint="eastAsia"/>
                <w:b/>
                <w:bCs/>
                <w:szCs w:val="32"/>
              </w:rPr>
              <w:t>表2.4-5  桥梁一览表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323"/>
              <w:gridCol w:w="1036"/>
              <w:gridCol w:w="1514"/>
              <w:gridCol w:w="1064"/>
              <w:gridCol w:w="1418"/>
              <w:gridCol w:w="15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6" w:type="dxa"/>
                  <w:vMerge w:val="restart"/>
                  <w:tcBorders>
                    <w:tl2br w:val="nil"/>
                    <w:tr2bl w:val="nil"/>
                  </w:tcBorders>
                  <w:shd w:val="clear" w:color="auto" w:fill="auto"/>
                  <w:vAlign w:val="center"/>
                </w:tcPr>
                <w:p>
                  <w:pPr>
                    <w:widowControl/>
                    <w:jc w:val="center"/>
                    <w:rPr>
                      <w:b/>
                      <w:bCs/>
                      <w:szCs w:val="21"/>
                    </w:rPr>
                  </w:pPr>
                  <w:r>
                    <w:rPr>
                      <w:b/>
                      <w:bCs/>
                      <w:color w:val="000000"/>
                      <w:kern w:val="0"/>
                      <w:szCs w:val="21"/>
                      <w:lang w:bidi="ar"/>
                    </w:rPr>
                    <w:t>序号</w:t>
                  </w:r>
                </w:p>
              </w:tc>
              <w:tc>
                <w:tcPr>
                  <w:tcW w:w="1323" w:type="dxa"/>
                  <w:vMerge w:val="restart"/>
                  <w:tcBorders>
                    <w:tl2br w:val="nil"/>
                    <w:tr2bl w:val="nil"/>
                  </w:tcBorders>
                  <w:shd w:val="clear" w:color="auto" w:fill="auto"/>
                  <w:vAlign w:val="center"/>
                </w:tcPr>
                <w:p>
                  <w:pPr>
                    <w:widowControl/>
                    <w:jc w:val="center"/>
                    <w:rPr>
                      <w:b/>
                      <w:bCs/>
                      <w:szCs w:val="21"/>
                    </w:rPr>
                  </w:pPr>
                  <w:r>
                    <w:rPr>
                      <w:b/>
                      <w:bCs/>
                      <w:color w:val="000000"/>
                      <w:kern w:val="0"/>
                      <w:szCs w:val="21"/>
                      <w:lang w:bidi="ar"/>
                    </w:rPr>
                    <w:t>桥位</w:t>
                  </w:r>
                </w:p>
              </w:tc>
              <w:tc>
                <w:tcPr>
                  <w:tcW w:w="1036" w:type="dxa"/>
                  <w:vMerge w:val="restart"/>
                  <w:tcBorders>
                    <w:tl2br w:val="nil"/>
                    <w:tr2bl w:val="nil"/>
                  </w:tcBorders>
                  <w:shd w:val="clear" w:color="auto" w:fill="auto"/>
                  <w:vAlign w:val="center"/>
                </w:tcPr>
                <w:p>
                  <w:pPr>
                    <w:widowControl/>
                    <w:jc w:val="center"/>
                    <w:rPr>
                      <w:b/>
                      <w:bCs/>
                      <w:szCs w:val="21"/>
                    </w:rPr>
                  </w:pPr>
                  <w:r>
                    <w:rPr>
                      <w:b/>
                      <w:bCs/>
                      <w:color w:val="000000"/>
                      <w:kern w:val="0"/>
                      <w:szCs w:val="21"/>
                      <w:lang w:bidi="ar"/>
                    </w:rPr>
                    <w:t>桥面宽度(m)</w:t>
                  </w:r>
                </w:p>
              </w:tc>
              <w:tc>
                <w:tcPr>
                  <w:tcW w:w="1514" w:type="dxa"/>
                  <w:vMerge w:val="restart"/>
                  <w:tcBorders>
                    <w:tl2br w:val="nil"/>
                    <w:tr2bl w:val="nil"/>
                  </w:tcBorders>
                  <w:shd w:val="clear" w:color="auto" w:fill="auto"/>
                  <w:vAlign w:val="center"/>
                </w:tcPr>
                <w:p>
                  <w:pPr>
                    <w:widowControl/>
                    <w:jc w:val="center"/>
                    <w:rPr>
                      <w:b/>
                      <w:bCs/>
                      <w:szCs w:val="21"/>
                    </w:rPr>
                  </w:pPr>
                  <w:r>
                    <w:rPr>
                      <w:b/>
                      <w:bCs/>
                      <w:color w:val="000000"/>
                      <w:kern w:val="0"/>
                      <w:szCs w:val="21"/>
                      <w:lang w:bidi="ar"/>
                    </w:rPr>
                    <w:t>桥梁孔数及孔径(m)</w:t>
                  </w:r>
                </w:p>
              </w:tc>
              <w:tc>
                <w:tcPr>
                  <w:tcW w:w="1064" w:type="dxa"/>
                  <w:vMerge w:val="restart"/>
                  <w:tcBorders>
                    <w:tl2br w:val="nil"/>
                    <w:tr2bl w:val="nil"/>
                  </w:tcBorders>
                  <w:shd w:val="clear" w:color="auto" w:fill="auto"/>
                  <w:vAlign w:val="center"/>
                </w:tcPr>
                <w:p>
                  <w:pPr>
                    <w:widowControl/>
                    <w:jc w:val="center"/>
                    <w:rPr>
                      <w:b/>
                      <w:bCs/>
                      <w:szCs w:val="21"/>
                    </w:rPr>
                  </w:pPr>
                  <w:r>
                    <w:rPr>
                      <w:b/>
                      <w:bCs/>
                      <w:color w:val="000000"/>
                      <w:kern w:val="0"/>
                      <w:szCs w:val="21"/>
                      <w:lang w:bidi="ar"/>
                    </w:rPr>
                    <w:t>桥梁全长(m)</w:t>
                  </w:r>
                </w:p>
              </w:tc>
              <w:tc>
                <w:tcPr>
                  <w:tcW w:w="1418" w:type="dxa"/>
                  <w:vMerge w:val="restart"/>
                  <w:tcBorders>
                    <w:tl2br w:val="nil"/>
                    <w:tr2bl w:val="nil"/>
                  </w:tcBorders>
                  <w:shd w:val="clear" w:color="auto" w:fill="auto"/>
                  <w:vAlign w:val="center"/>
                </w:tcPr>
                <w:p>
                  <w:pPr>
                    <w:widowControl/>
                    <w:jc w:val="center"/>
                    <w:rPr>
                      <w:b/>
                      <w:bCs/>
                      <w:szCs w:val="21"/>
                    </w:rPr>
                  </w:pPr>
                  <w:r>
                    <w:rPr>
                      <w:b/>
                      <w:bCs/>
                      <w:color w:val="000000"/>
                      <w:kern w:val="0"/>
                      <w:szCs w:val="21"/>
                      <w:lang w:bidi="ar"/>
                    </w:rPr>
                    <w:t>桥面面积(m</w:t>
                  </w:r>
                  <w:r>
                    <w:rPr>
                      <w:b/>
                      <w:bCs/>
                      <w:color w:val="000000"/>
                      <w:kern w:val="0"/>
                      <w:szCs w:val="21"/>
                      <w:vertAlign w:val="superscript"/>
                      <w:lang w:bidi="ar"/>
                    </w:rPr>
                    <w:t>2</w:t>
                  </w:r>
                  <w:r>
                    <w:rPr>
                      <w:b/>
                      <w:bCs/>
                      <w:color w:val="000000"/>
                      <w:kern w:val="0"/>
                      <w:szCs w:val="21"/>
                      <w:lang w:bidi="ar"/>
                    </w:rPr>
                    <w:t>)</w:t>
                  </w:r>
                </w:p>
              </w:tc>
              <w:tc>
                <w:tcPr>
                  <w:tcW w:w="1553" w:type="dxa"/>
                  <w:tcBorders>
                    <w:tl2br w:val="nil"/>
                    <w:tr2bl w:val="nil"/>
                  </w:tcBorders>
                  <w:shd w:val="clear" w:color="auto" w:fill="auto"/>
                  <w:vAlign w:val="center"/>
                </w:tcPr>
                <w:p>
                  <w:pPr>
                    <w:widowControl/>
                    <w:jc w:val="center"/>
                    <w:rPr>
                      <w:b/>
                      <w:bCs/>
                      <w:szCs w:val="21"/>
                    </w:rPr>
                  </w:pPr>
                  <w:r>
                    <w:rPr>
                      <w:b/>
                      <w:bCs/>
                      <w:color w:val="000000"/>
                      <w:kern w:val="0"/>
                      <w:szCs w:val="21"/>
                      <w:lang w:bidi="ar"/>
                    </w:rPr>
                    <w:t>结构类型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6" w:type="dxa"/>
                  <w:vMerge w:val="continue"/>
                  <w:tcBorders>
                    <w:tl2br w:val="nil"/>
                    <w:tr2bl w:val="nil"/>
                  </w:tcBorders>
                  <w:shd w:val="clear" w:color="auto" w:fill="auto"/>
                  <w:vAlign w:val="center"/>
                </w:tcPr>
                <w:p>
                  <w:pPr>
                    <w:widowControl/>
                    <w:jc w:val="center"/>
                    <w:rPr>
                      <w:b/>
                      <w:bCs/>
                      <w:szCs w:val="21"/>
                    </w:rPr>
                  </w:pPr>
                </w:p>
              </w:tc>
              <w:tc>
                <w:tcPr>
                  <w:tcW w:w="1323" w:type="dxa"/>
                  <w:vMerge w:val="continue"/>
                  <w:tcBorders>
                    <w:tl2br w:val="nil"/>
                    <w:tr2bl w:val="nil"/>
                  </w:tcBorders>
                  <w:shd w:val="clear" w:color="auto" w:fill="auto"/>
                  <w:vAlign w:val="center"/>
                </w:tcPr>
                <w:p>
                  <w:pPr>
                    <w:widowControl/>
                    <w:jc w:val="center"/>
                    <w:rPr>
                      <w:b/>
                      <w:bCs/>
                      <w:szCs w:val="21"/>
                    </w:rPr>
                  </w:pPr>
                </w:p>
              </w:tc>
              <w:tc>
                <w:tcPr>
                  <w:tcW w:w="1036" w:type="dxa"/>
                  <w:vMerge w:val="continue"/>
                  <w:tcBorders>
                    <w:tl2br w:val="nil"/>
                    <w:tr2bl w:val="nil"/>
                  </w:tcBorders>
                  <w:shd w:val="clear" w:color="auto" w:fill="auto"/>
                  <w:vAlign w:val="center"/>
                </w:tcPr>
                <w:p>
                  <w:pPr>
                    <w:widowControl/>
                    <w:jc w:val="center"/>
                    <w:rPr>
                      <w:b/>
                      <w:bCs/>
                      <w:szCs w:val="21"/>
                    </w:rPr>
                  </w:pPr>
                </w:p>
              </w:tc>
              <w:tc>
                <w:tcPr>
                  <w:tcW w:w="1514" w:type="dxa"/>
                  <w:vMerge w:val="continue"/>
                  <w:tcBorders>
                    <w:tl2br w:val="nil"/>
                    <w:tr2bl w:val="nil"/>
                  </w:tcBorders>
                  <w:shd w:val="clear" w:color="auto" w:fill="auto"/>
                  <w:vAlign w:val="center"/>
                </w:tcPr>
                <w:p>
                  <w:pPr>
                    <w:widowControl/>
                    <w:jc w:val="center"/>
                    <w:rPr>
                      <w:b/>
                      <w:bCs/>
                      <w:szCs w:val="21"/>
                    </w:rPr>
                  </w:pPr>
                </w:p>
              </w:tc>
              <w:tc>
                <w:tcPr>
                  <w:tcW w:w="1064" w:type="dxa"/>
                  <w:vMerge w:val="continue"/>
                  <w:tcBorders>
                    <w:tl2br w:val="nil"/>
                    <w:tr2bl w:val="nil"/>
                  </w:tcBorders>
                  <w:shd w:val="clear" w:color="auto" w:fill="auto"/>
                  <w:vAlign w:val="center"/>
                </w:tcPr>
                <w:p>
                  <w:pPr>
                    <w:widowControl/>
                    <w:jc w:val="center"/>
                    <w:rPr>
                      <w:b/>
                      <w:bCs/>
                      <w:szCs w:val="21"/>
                    </w:rPr>
                  </w:pPr>
                </w:p>
              </w:tc>
              <w:tc>
                <w:tcPr>
                  <w:tcW w:w="1418" w:type="dxa"/>
                  <w:vMerge w:val="continue"/>
                  <w:tcBorders>
                    <w:tl2br w:val="nil"/>
                    <w:tr2bl w:val="nil"/>
                  </w:tcBorders>
                  <w:shd w:val="clear" w:color="auto" w:fill="auto"/>
                  <w:vAlign w:val="center"/>
                </w:tcPr>
                <w:p>
                  <w:pPr>
                    <w:widowControl/>
                    <w:jc w:val="center"/>
                    <w:rPr>
                      <w:b/>
                      <w:bCs/>
                      <w:szCs w:val="21"/>
                    </w:rPr>
                  </w:pPr>
                </w:p>
              </w:tc>
              <w:tc>
                <w:tcPr>
                  <w:tcW w:w="1553" w:type="dxa"/>
                  <w:tcBorders>
                    <w:tl2br w:val="nil"/>
                    <w:tr2bl w:val="nil"/>
                  </w:tcBorders>
                  <w:shd w:val="clear" w:color="auto" w:fill="auto"/>
                  <w:vAlign w:val="center"/>
                </w:tcPr>
                <w:p>
                  <w:pPr>
                    <w:widowControl/>
                    <w:jc w:val="center"/>
                    <w:rPr>
                      <w:b/>
                      <w:bCs/>
                      <w:szCs w:val="21"/>
                    </w:rPr>
                  </w:pPr>
                  <w:r>
                    <w:rPr>
                      <w:b/>
                      <w:bCs/>
                      <w:color w:val="000000"/>
                      <w:kern w:val="0"/>
                      <w:szCs w:val="21"/>
                      <w:lang w:bidi="ar"/>
                    </w:rPr>
                    <w:t>上部结构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26" w:type="dxa"/>
                  <w:tcBorders>
                    <w:tl2br w:val="nil"/>
                    <w:tr2bl w:val="nil"/>
                  </w:tcBorders>
                  <w:shd w:val="clear" w:color="auto" w:fill="auto"/>
                  <w:vAlign w:val="center"/>
                </w:tcPr>
                <w:p>
                  <w:pPr>
                    <w:widowControl/>
                    <w:jc w:val="center"/>
                    <w:rPr>
                      <w:szCs w:val="21"/>
                    </w:rPr>
                  </w:pPr>
                  <w:r>
                    <w:rPr>
                      <w:color w:val="000000"/>
                      <w:kern w:val="0"/>
                      <w:szCs w:val="21"/>
                      <w:lang w:bidi="ar"/>
                    </w:rPr>
                    <w:t>1</w:t>
                  </w:r>
                </w:p>
              </w:tc>
              <w:tc>
                <w:tcPr>
                  <w:tcW w:w="1323" w:type="dxa"/>
                  <w:tcBorders>
                    <w:tl2br w:val="nil"/>
                    <w:tr2bl w:val="nil"/>
                  </w:tcBorders>
                  <w:shd w:val="clear" w:color="auto" w:fill="auto"/>
                  <w:vAlign w:val="center"/>
                </w:tcPr>
                <w:p>
                  <w:pPr>
                    <w:widowControl/>
                    <w:jc w:val="center"/>
                    <w:rPr>
                      <w:szCs w:val="21"/>
                    </w:rPr>
                  </w:pPr>
                  <w:r>
                    <w:rPr>
                      <w:color w:val="000000"/>
                      <w:kern w:val="0"/>
                      <w:szCs w:val="21"/>
                      <w:lang w:bidi="ar"/>
                    </w:rPr>
                    <w:t>K0+060.206</w:t>
                  </w:r>
                </w:p>
              </w:tc>
              <w:tc>
                <w:tcPr>
                  <w:tcW w:w="1036" w:type="dxa"/>
                  <w:tcBorders>
                    <w:tl2br w:val="nil"/>
                    <w:tr2bl w:val="nil"/>
                  </w:tcBorders>
                  <w:shd w:val="clear" w:color="auto" w:fill="auto"/>
                  <w:vAlign w:val="center"/>
                </w:tcPr>
                <w:p>
                  <w:pPr>
                    <w:widowControl/>
                    <w:jc w:val="center"/>
                    <w:rPr>
                      <w:szCs w:val="21"/>
                    </w:rPr>
                  </w:pPr>
                  <w:r>
                    <w:rPr>
                      <w:color w:val="000000"/>
                      <w:kern w:val="0"/>
                      <w:szCs w:val="21"/>
                      <w:lang w:bidi="ar"/>
                    </w:rPr>
                    <w:t>47</w:t>
                  </w:r>
                </w:p>
              </w:tc>
              <w:tc>
                <w:tcPr>
                  <w:tcW w:w="1514" w:type="dxa"/>
                  <w:tcBorders>
                    <w:tl2br w:val="nil"/>
                    <w:tr2bl w:val="nil"/>
                  </w:tcBorders>
                  <w:shd w:val="clear" w:color="auto" w:fill="auto"/>
                  <w:vAlign w:val="center"/>
                </w:tcPr>
                <w:p>
                  <w:pPr>
                    <w:widowControl/>
                    <w:jc w:val="center"/>
                    <w:rPr>
                      <w:szCs w:val="21"/>
                    </w:rPr>
                  </w:pPr>
                  <w:r>
                    <w:rPr>
                      <w:color w:val="000000"/>
                      <w:kern w:val="0"/>
                      <w:szCs w:val="21"/>
                      <w:lang w:bidi="ar"/>
                    </w:rPr>
                    <w:t>(</w:t>
                  </w:r>
                  <w:r>
                    <w:rPr>
                      <w:rFonts w:hint="eastAsia"/>
                      <w:color w:val="000000"/>
                      <w:kern w:val="0"/>
                      <w:szCs w:val="21"/>
                      <w:lang w:val="en-US" w:eastAsia="zh-CN" w:bidi="ar"/>
                    </w:rPr>
                    <w:t>1</w:t>
                  </w:r>
                  <w:r>
                    <w:rPr>
                      <w:color w:val="000000"/>
                      <w:kern w:val="0"/>
                      <w:szCs w:val="21"/>
                      <w:lang w:bidi="ar"/>
                    </w:rPr>
                    <w:t>×</w:t>
                  </w:r>
                  <w:r>
                    <w:rPr>
                      <w:rFonts w:hint="eastAsia"/>
                      <w:color w:val="000000"/>
                      <w:kern w:val="0"/>
                      <w:szCs w:val="21"/>
                      <w:lang w:val="en-US" w:eastAsia="zh-CN" w:bidi="ar"/>
                    </w:rPr>
                    <w:t>22</w:t>
                  </w:r>
                  <w:r>
                    <w:rPr>
                      <w:color w:val="000000"/>
                      <w:kern w:val="0"/>
                      <w:szCs w:val="21"/>
                      <w:lang w:bidi="ar"/>
                    </w:rPr>
                    <w:t>)</w:t>
                  </w:r>
                </w:p>
              </w:tc>
              <w:tc>
                <w:tcPr>
                  <w:tcW w:w="1064" w:type="dxa"/>
                  <w:tcBorders>
                    <w:tl2br w:val="nil"/>
                    <w:tr2bl w:val="nil"/>
                  </w:tcBorders>
                  <w:shd w:val="clear" w:color="auto" w:fill="auto"/>
                  <w:vAlign w:val="center"/>
                </w:tcPr>
                <w:p>
                  <w:pPr>
                    <w:widowControl/>
                    <w:jc w:val="center"/>
                    <w:rPr>
                      <w:rFonts w:hint="default" w:eastAsia="宋体"/>
                      <w:szCs w:val="21"/>
                      <w:lang w:val="en-US" w:eastAsia="zh-CN"/>
                    </w:rPr>
                  </w:pPr>
                  <w:r>
                    <w:rPr>
                      <w:rFonts w:hint="eastAsia"/>
                      <w:color w:val="000000"/>
                      <w:kern w:val="0"/>
                      <w:szCs w:val="21"/>
                      <w:lang w:val="en-US" w:eastAsia="zh-CN" w:bidi="ar"/>
                    </w:rPr>
                    <w:t>25.68</w:t>
                  </w:r>
                </w:p>
              </w:tc>
              <w:tc>
                <w:tcPr>
                  <w:tcW w:w="1418" w:type="dxa"/>
                  <w:tcBorders>
                    <w:tl2br w:val="nil"/>
                    <w:tr2bl w:val="nil"/>
                  </w:tcBorders>
                  <w:shd w:val="clear" w:color="auto" w:fill="auto"/>
                  <w:vAlign w:val="center"/>
                </w:tcPr>
                <w:p>
                  <w:pPr>
                    <w:widowControl/>
                    <w:jc w:val="center"/>
                    <w:rPr>
                      <w:rFonts w:hint="default" w:eastAsia="宋体"/>
                      <w:szCs w:val="21"/>
                      <w:lang w:val="en-US" w:eastAsia="zh-CN"/>
                    </w:rPr>
                  </w:pPr>
                  <w:r>
                    <w:rPr>
                      <w:rFonts w:hint="eastAsia"/>
                      <w:color w:val="000000"/>
                      <w:kern w:val="0"/>
                      <w:szCs w:val="21"/>
                      <w:lang w:val="en-US" w:eastAsia="zh-CN" w:bidi="ar"/>
                    </w:rPr>
                    <w:t>1187.2</w:t>
                  </w:r>
                </w:p>
              </w:tc>
              <w:tc>
                <w:tcPr>
                  <w:tcW w:w="1553" w:type="dxa"/>
                  <w:tcBorders>
                    <w:tl2br w:val="nil"/>
                    <w:tr2bl w:val="nil"/>
                  </w:tcBorders>
                  <w:shd w:val="clear" w:color="auto" w:fill="auto"/>
                  <w:vAlign w:val="center"/>
                </w:tcPr>
                <w:p>
                  <w:pPr>
                    <w:widowControl/>
                    <w:jc w:val="center"/>
                    <w:rPr>
                      <w:szCs w:val="21"/>
                    </w:rPr>
                  </w:pPr>
                  <w:r>
                    <w:rPr>
                      <w:color w:val="000000"/>
                      <w:kern w:val="0"/>
                      <w:szCs w:val="21"/>
                      <w:lang w:bidi="ar"/>
                    </w:rPr>
                    <w:t>预制预应力砼空心板桥</w:t>
                  </w:r>
                </w:p>
              </w:tc>
            </w:tr>
          </w:tbl>
          <w:p>
            <w:pPr>
              <w:spacing w:before="120" w:beforeLines="50" w:line="360" w:lineRule="auto"/>
              <w:ind w:firstLine="482"/>
              <w:outlineLvl w:val="1"/>
              <w:rPr>
                <w:bCs/>
                <w:kern w:val="21"/>
                <w:sz w:val="24"/>
              </w:rPr>
            </w:pPr>
            <w:r>
              <w:rPr>
                <w:rFonts w:hint="eastAsia"/>
                <w:bCs/>
                <w:kern w:val="21"/>
                <w:sz w:val="24"/>
              </w:rPr>
              <w:t>（1）</w:t>
            </w:r>
            <w:r>
              <w:rPr>
                <w:bCs/>
                <w:kern w:val="21"/>
                <w:sz w:val="24"/>
              </w:rPr>
              <w:t>主要技术标准</w:t>
            </w:r>
          </w:p>
          <w:p>
            <w:pPr>
              <w:spacing w:line="360" w:lineRule="auto"/>
              <w:ind w:firstLine="480" w:firstLineChars="200"/>
              <w:outlineLvl w:val="1"/>
              <w:rPr>
                <w:bCs/>
                <w:kern w:val="21"/>
                <w:sz w:val="24"/>
              </w:rPr>
            </w:pPr>
            <w:r>
              <w:rPr>
                <w:rFonts w:hint="eastAsia"/>
                <w:bCs/>
                <w:kern w:val="21"/>
                <w:sz w:val="24"/>
              </w:rPr>
              <w:t>①设计基准期：100年；</w:t>
            </w:r>
          </w:p>
          <w:p>
            <w:pPr>
              <w:spacing w:line="360" w:lineRule="auto"/>
              <w:ind w:firstLine="480" w:firstLineChars="200"/>
              <w:outlineLvl w:val="1"/>
              <w:rPr>
                <w:bCs/>
                <w:kern w:val="21"/>
                <w:sz w:val="24"/>
              </w:rPr>
            </w:pPr>
            <w:r>
              <w:rPr>
                <w:rFonts w:hint="eastAsia"/>
                <w:bCs/>
                <w:kern w:val="21"/>
                <w:sz w:val="24"/>
              </w:rPr>
              <w:t>②桥梁设计使用年限：100年；</w:t>
            </w:r>
          </w:p>
          <w:p>
            <w:pPr>
              <w:spacing w:line="360" w:lineRule="auto"/>
              <w:ind w:firstLine="480" w:firstLineChars="200"/>
              <w:outlineLvl w:val="1"/>
              <w:rPr>
                <w:bCs/>
                <w:kern w:val="21"/>
                <w:sz w:val="24"/>
              </w:rPr>
            </w:pPr>
            <w:r>
              <w:rPr>
                <w:rFonts w:hint="eastAsia"/>
                <w:bCs/>
                <w:kern w:val="21"/>
                <w:sz w:val="24"/>
              </w:rPr>
              <w:t>③道路等级：城市主干路；</w:t>
            </w:r>
          </w:p>
          <w:p>
            <w:pPr>
              <w:spacing w:line="360" w:lineRule="auto"/>
              <w:ind w:firstLine="480" w:firstLineChars="200"/>
              <w:outlineLvl w:val="1"/>
              <w:rPr>
                <w:bCs/>
                <w:kern w:val="21"/>
                <w:sz w:val="24"/>
              </w:rPr>
            </w:pPr>
            <w:r>
              <w:rPr>
                <w:rFonts w:hint="eastAsia"/>
                <w:bCs/>
                <w:kern w:val="21"/>
                <w:sz w:val="24"/>
              </w:rPr>
              <w:t>④设计安全等级：一级；</w:t>
            </w:r>
          </w:p>
          <w:p>
            <w:pPr>
              <w:spacing w:line="360" w:lineRule="auto"/>
              <w:ind w:firstLine="480" w:firstLineChars="200"/>
              <w:outlineLvl w:val="1"/>
              <w:rPr>
                <w:bCs/>
                <w:kern w:val="21"/>
                <w:sz w:val="24"/>
              </w:rPr>
            </w:pPr>
            <w:r>
              <w:rPr>
                <w:rFonts w:hint="eastAsia"/>
                <w:bCs/>
                <w:kern w:val="21"/>
                <w:sz w:val="24"/>
              </w:rPr>
              <w:t>⑤结构重要性系数：1.1；</w:t>
            </w:r>
          </w:p>
          <w:p>
            <w:pPr>
              <w:spacing w:line="360" w:lineRule="auto"/>
              <w:ind w:firstLine="480" w:firstLineChars="200"/>
              <w:outlineLvl w:val="1"/>
              <w:rPr>
                <w:bCs/>
                <w:kern w:val="21"/>
                <w:sz w:val="24"/>
              </w:rPr>
            </w:pPr>
            <w:r>
              <w:rPr>
                <w:rFonts w:hint="eastAsia"/>
                <w:bCs/>
                <w:kern w:val="21"/>
                <w:sz w:val="24"/>
              </w:rPr>
              <w:t>⑥环境类别：按I类环境进行混凝土结构的耐久性设计；</w:t>
            </w:r>
          </w:p>
          <w:p>
            <w:pPr>
              <w:spacing w:line="360" w:lineRule="auto"/>
              <w:ind w:firstLine="480" w:firstLineChars="200"/>
              <w:outlineLvl w:val="1"/>
              <w:rPr>
                <w:bCs/>
                <w:kern w:val="21"/>
                <w:sz w:val="24"/>
              </w:rPr>
            </w:pPr>
            <w:r>
              <w:rPr>
                <w:rFonts w:hint="eastAsia"/>
                <w:bCs/>
                <w:kern w:val="21"/>
                <w:sz w:val="24"/>
              </w:rPr>
              <w:t>⑦汽车荷载：城-A级；人群荷载：3.5kPa；</w:t>
            </w:r>
          </w:p>
          <w:p>
            <w:pPr>
              <w:spacing w:line="360" w:lineRule="auto"/>
              <w:ind w:firstLine="480" w:firstLineChars="200"/>
              <w:outlineLvl w:val="1"/>
              <w:rPr>
                <w:bCs/>
                <w:kern w:val="21"/>
                <w:sz w:val="24"/>
              </w:rPr>
            </w:pPr>
            <w:r>
              <w:rPr>
                <w:rFonts w:hint="eastAsia"/>
                <w:bCs/>
                <w:kern w:val="21"/>
                <w:sz w:val="24"/>
              </w:rPr>
              <w:t>⑧地震烈度：抗震设防烈度7度，地震动峰值加速度系数为0.10g；</w:t>
            </w:r>
          </w:p>
          <w:p>
            <w:pPr>
              <w:spacing w:line="360" w:lineRule="auto"/>
              <w:ind w:firstLine="480" w:firstLineChars="200"/>
              <w:outlineLvl w:val="1"/>
              <w:rPr>
                <w:bCs/>
                <w:kern w:val="21"/>
                <w:sz w:val="24"/>
              </w:rPr>
            </w:pPr>
            <w:r>
              <w:rPr>
                <w:rFonts w:hint="eastAsia"/>
                <w:bCs/>
                <w:kern w:val="21"/>
                <w:sz w:val="24"/>
              </w:rPr>
              <w:t>⑨温度影响力：按《公路桥梁设计规范》JTJD60－2015计算第4.5.7.8条；</w:t>
            </w:r>
          </w:p>
          <w:p>
            <w:pPr>
              <w:spacing w:line="360" w:lineRule="auto"/>
              <w:ind w:firstLine="480" w:firstLineChars="200"/>
              <w:outlineLvl w:val="1"/>
              <w:rPr>
                <w:bCs/>
                <w:kern w:val="21"/>
                <w:sz w:val="24"/>
              </w:rPr>
            </w:pPr>
            <w:r>
              <w:rPr>
                <w:rFonts w:hint="eastAsia"/>
                <w:bCs/>
                <w:kern w:val="21"/>
                <w:sz w:val="24"/>
              </w:rPr>
              <w:t>⑩支座不均匀沉降：按5毫米计；</w:t>
            </w:r>
          </w:p>
          <w:p>
            <w:pPr>
              <w:spacing w:line="360" w:lineRule="auto"/>
              <w:ind w:firstLine="480" w:firstLineChars="200"/>
              <w:outlineLvl w:val="1"/>
              <w:rPr>
                <w:bCs/>
                <w:kern w:val="21"/>
                <w:sz w:val="24"/>
              </w:rPr>
            </w:pPr>
            <w:r>
              <w:rPr>
                <w:rFonts w:hint="eastAsia"/>
                <w:bCs/>
                <w:kern w:val="21"/>
                <w:sz w:val="24"/>
              </w:rPr>
              <w:t>⑪混凝土收缩徐变：按十年计；</w:t>
            </w:r>
          </w:p>
          <w:p>
            <w:pPr>
              <w:spacing w:line="360" w:lineRule="auto"/>
              <w:ind w:firstLine="480" w:firstLineChars="200"/>
              <w:outlineLvl w:val="1"/>
              <w:rPr>
                <w:rFonts w:hint="eastAsia" w:eastAsia="宋体"/>
                <w:bCs/>
                <w:kern w:val="21"/>
                <w:sz w:val="24"/>
                <w:lang w:eastAsia="zh-CN"/>
              </w:rPr>
            </w:pPr>
            <w:r>
              <w:rPr>
                <w:rFonts w:hint="eastAsia"/>
                <w:bCs/>
                <w:kern w:val="21"/>
                <w:sz w:val="24"/>
              </w:rPr>
              <w:t>⑫设计洪水频率：50年一遇</w:t>
            </w:r>
            <w:r>
              <w:rPr>
                <w:rFonts w:hint="eastAsia"/>
                <w:bCs/>
                <w:kern w:val="21"/>
                <w:sz w:val="24"/>
                <w:lang w:eastAsia="zh-CN"/>
              </w:rPr>
              <w:t>；</w:t>
            </w:r>
          </w:p>
          <w:p>
            <w:pPr>
              <w:spacing w:line="360" w:lineRule="auto"/>
              <w:ind w:firstLine="480" w:firstLineChars="200"/>
              <w:outlineLvl w:val="1"/>
              <w:rPr>
                <w:bCs/>
                <w:kern w:val="21"/>
                <w:sz w:val="24"/>
              </w:rPr>
            </w:pPr>
            <w:r>
              <w:rPr>
                <w:rFonts w:hint="eastAsia"/>
                <w:bCs/>
                <w:kern w:val="21"/>
                <w:sz w:val="24"/>
              </w:rPr>
              <w:t>⑬通航要求：不通航。</w:t>
            </w:r>
          </w:p>
          <w:p>
            <w:pPr>
              <w:spacing w:line="360" w:lineRule="auto"/>
              <w:ind w:firstLine="480" w:firstLineChars="200"/>
              <w:outlineLvl w:val="1"/>
              <w:rPr>
                <w:bCs/>
                <w:kern w:val="21"/>
                <w:sz w:val="24"/>
              </w:rPr>
            </w:pPr>
            <w:r>
              <w:rPr>
                <w:rFonts w:hint="eastAsia"/>
                <w:bCs/>
                <w:kern w:val="21"/>
                <w:sz w:val="24"/>
              </w:rPr>
              <w:t>（2）桥梁总体设计</w:t>
            </w:r>
          </w:p>
          <w:p>
            <w:pPr>
              <w:spacing w:line="360" w:lineRule="auto"/>
              <w:ind w:firstLine="480" w:firstLineChars="200"/>
              <w:outlineLvl w:val="1"/>
              <w:rPr>
                <w:bCs/>
                <w:kern w:val="21"/>
                <w:sz w:val="24"/>
              </w:rPr>
            </w:pPr>
            <w:r>
              <w:rPr>
                <w:rFonts w:hint="eastAsia"/>
                <w:bCs/>
                <w:kern w:val="21"/>
                <w:sz w:val="24"/>
              </w:rPr>
              <w:t>根据福泽大道北延伸段现状情况，本次FZK0+060.206桥推荐方案设计线处的跨径布置具体如下：</w:t>
            </w:r>
          </w:p>
          <w:p>
            <w:pPr>
              <w:spacing w:line="360" w:lineRule="auto"/>
              <w:ind w:firstLine="480" w:firstLineChars="200"/>
              <w:outlineLvl w:val="1"/>
              <w:rPr>
                <w:bCs/>
                <w:kern w:val="21"/>
                <w:sz w:val="24"/>
              </w:rPr>
            </w:pPr>
            <w:r>
              <w:rPr>
                <w:rFonts w:hint="eastAsia"/>
                <w:bCs/>
                <w:kern w:val="21"/>
                <w:sz w:val="24"/>
              </w:rPr>
              <w:t>新建桥梁跨径布置为：（1×22）m，全桥长25.68m；结构采用22m跨径预制预应力混凝土空心板梁，梁高1.1m。</w:t>
            </w:r>
          </w:p>
          <w:p>
            <w:pPr>
              <w:spacing w:line="360" w:lineRule="auto"/>
              <w:ind w:firstLine="480" w:firstLineChars="200"/>
              <w:outlineLvl w:val="1"/>
              <w:rPr>
                <w:bCs/>
                <w:kern w:val="21"/>
                <w:sz w:val="24"/>
              </w:rPr>
            </w:pPr>
            <w:r>
              <w:rPr>
                <w:rFonts w:hint="eastAsia"/>
                <w:bCs/>
                <w:kern w:val="21"/>
                <w:sz w:val="24"/>
              </w:rPr>
              <w:t>（3）上、下部结构</w:t>
            </w:r>
          </w:p>
          <w:p>
            <w:pPr>
              <w:spacing w:line="360" w:lineRule="auto"/>
              <w:ind w:firstLine="480" w:firstLineChars="200"/>
              <w:outlineLvl w:val="1"/>
              <w:rPr>
                <w:bCs/>
                <w:kern w:val="21"/>
                <w:sz w:val="24"/>
              </w:rPr>
            </w:pPr>
            <w:r>
              <w:rPr>
                <w:rFonts w:hint="eastAsia"/>
                <w:bCs/>
                <w:kern w:val="21"/>
                <w:sz w:val="24"/>
              </w:rPr>
              <w:t>为避免现浇结构在河中搭设的支架、桥墩对规划水系的水利影响，采用22m跨径预制空心板梁桥跨越河道的结构设计。设计线处的跨径布置如上所示。桥梁分左右两幅布置，单幅桥宽23m、22m。支点处及跨中处梁高均为1.1m。</w:t>
            </w:r>
          </w:p>
          <w:p>
            <w:pPr>
              <w:spacing w:line="360" w:lineRule="auto"/>
              <w:ind w:firstLine="480" w:firstLineChars="200"/>
              <w:outlineLvl w:val="1"/>
              <w:rPr>
                <w:bCs/>
                <w:kern w:val="21"/>
                <w:sz w:val="24"/>
              </w:rPr>
            </w:pPr>
            <w:r>
              <w:rPr>
                <w:rFonts w:hint="eastAsia"/>
                <w:bCs/>
                <w:kern w:val="21"/>
                <w:sz w:val="24"/>
              </w:rPr>
              <w:t>下部结构桥台采用重力式桥台，采用钻孔灌注桩基础。</w:t>
            </w:r>
          </w:p>
          <w:p>
            <w:pPr>
              <w:ind w:firstLine="480" w:firstLineChars="200"/>
              <w:outlineLvl w:val="1"/>
              <w:rPr>
                <w:bCs/>
                <w:kern w:val="21"/>
                <w:sz w:val="24"/>
              </w:rPr>
            </w:pPr>
            <w:r>
              <w:rPr>
                <w:rFonts w:hint="eastAsia"/>
                <w:bCs/>
                <w:kern w:val="21"/>
                <w:sz w:val="24"/>
              </w:rPr>
              <w:t>桥梁平面布置图见附图7。</w:t>
            </w:r>
          </w:p>
          <w:p>
            <w:pPr>
              <w:pStyle w:val="26"/>
              <w:ind w:left="0" w:leftChars="0" w:firstLine="0" w:firstLineChars="0"/>
              <w:rPr>
                <w:rFonts w:hint="eastAsia"/>
                <w:bCs/>
                <w:kern w:val="21"/>
              </w:rPr>
            </w:pPr>
            <w:r>
              <w:drawing>
                <wp:inline distT="0" distB="0" distL="114300" distR="114300">
                  <wp:extent cx="5455920" cy="4095115"/>
                  <wp:effectExtent l="0" t="0" r="5080" b="6985"/>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pic:cNvPicPr>
                            <a:picLocks noChangeAspect="1"/>
                          </pic:cNvPicPr>
                        </pic:nvPicPr>
                        <pic:blipFill>
                          <a:blip r:embed="rId18"/>
                          <a:stretch>
                            <a:fillRect/>
                          </a:stretch>
                        </pic:blipFill>
                        <pic:spPr>
                          <a:xfrm>
                            <a:off x="0" y="0"/>
                            <a:ext cx="5455920" cy="4095115"/>
                          </a:xfrm>
                          <a:prstGeom prst="rect">
                            <a:avLst/>
                          </a:prstGeom>
                          <a:noFill/>
                          <a:ln>
                            <a:noFill/>
                          </a:ln>
                        </pic:spPr>
                      </pic:pic>
                    </a:graphicData>
                  </a:graphic>
                </wp:inline>
              </w:drawing>
            </w:r>
          </w:p>
          <w:p>
            <w:pPr>
              <w:jc w:val="center"/>
              <w:rPr>
                <w:rFonts w:hint="eastAsia"/>
                <w:b/>
                <w:kern w:val="21"/>
                <w:sz w:val="24"/>
              </w:rPr>
            </w:pPr>
            <w:r>
              <w:rPr>
                <w:rFonts w:hint="eastAsia"/>
                <w:b/>
                <w:kern w:val="21"/>
                <w:sz w:val="24"/>
              </w:rPr>
              <w:t>图2.4-3  桥梁</w:t>
            </w:r>
            <w:r>
              <w:rPr>
                <w:rFonts w:hint="eastAsia"/>
                <w:b/>
                <w:kern w:val="21"/>
                <w:sz w:val="24"/>
                <w:lang w:val="en-US" w:eastAsia="zh-CN"/>
              </w:rPr>
              <w:t>立</w:t>
            </w:r>
            <w:r>
              <w:rPr>
                <w:rFonts w:hint="eastAsia"/>
                <w:b/>
                <w:kern w:val="21"/>
                <w:sz w:val="24"/>
              </w:rPr>
              <w:t>面图</w:t>
            </w:r>
          </w:p>
          <w:p>
            <w:pPr>
              <w:pStyle w:val="17"/>
              <w:spacing w:before="120" w:beforeLines="50" w:line="360" w:lineRule="auto"/>
              <w:outlineLvl w:val="1"/>
              <w:rPr>
                <w:b/>
                <w:bCs/>
                <w:kern w:val="2"/>
                <w:sz w:val="24"/>
                <w:szCs w:val="24"/>
              </w:rPr>
            </w:pPr>
            <w:r>
              <w:rPr>
                <w:b/>
                <w:bCs/>
                <w:kern w:val="2"/>
                <w:sz w:val="24"/>
                <w:szCs w:val="24"/>
              </w:rPr>
              <w:t>2.</w:t>
            </w:r>
            <w:r>
              <w:rPr>
                <w:rFonts w:hint="eastAsia"/>
                <w:b/>
                <w:bCs/>
                <w:kern w:val="2"/>
                <w:sz w:val="24"/>
                <w:szCs w:val="24"/>
              </w:rPr>
              <w:t>4.8结构</w:t>
            </w:r>
            <w:r>
              <w:rPr>
                <w:b/>
                <w:bCs/>
                <w:kern w:val="2"/>
                <w:sz w:val="24"/>
                <w:szCs w:val="24"/>
              </w:rPr>
              <w:t>工程</w:t>
            </w:r>
          </w:p>
          <w:p>
            <w:pPr>
              <w:spacing w:line="360" w:lineRule="auto"/>
              <w:ind w:firstLine="480" w:firstLineChars="200"/>
              <w:rPr>
                <w:rFonts w:hint="eastAsia"/>
                <w:sz w:val="24"/>
                <w:szCs w:val="32"/>
              </w:rPr>
            </w:pPr>
            <w:r>
              <w:rPr>
                <w:rFonts w:hint="eastAsia"/>
                <w:sz w:val="24"/>
                <w:szCs w:val="32"/>
              </w:rPr>
              <w:t>本工程为上跨福泽大道北延路，连接全民健身园与会展中心的盖板结构工程，长约150m，宽约40~45m，主要功能为实现道路两侧人员通行、景观及绿化等。本工程建筑结构安全等级为二级，设计使用年限为50年，结构重要性系数取1.0；根据《建筑工程抗震设防分类标准》（GB50223-2008），本工程抗震设防类别为标准设防类，根据《建筑抗震设计规范》（GB50011-2010(2016版)），抗震设防烈度为7度，设计地震分组为第三组，基本地震动峰值加速度为0.10g，抗震等级为三级。</w:t>
            </w:r>
          </w:p>
          <w:p>
            <w:pPr>
              <w:spacing w:line="360" w:lineRule="auto"/>
              <w:ind w:firstLine="480" w:firstLineChars="200"/>
              <w:rPr>
                <w:sz w:val="24"/>
                <w:szCs w:val="32"/>
              </w:rPr>
            </w:pPr>
            <w:r>
              <w:rPr>
                <w:rFonts w:hint="eastAsia"/>
                <w:sz w:val="24"/>
                <w:szCs w:val="32"/>
              </w:rPr>
              <w:t>本工程设计荷载为附加恒载10Kpa，附加活载5Kpa，基本风压荷载标准值为0.70kN/m2（50年一遇），地面粗糙度为B类。混凝土强度等级C35，抗渗等级P6，钢筋采用热轧钢筋，型号HRB400及HPB300。</w:t>
            </w:r>
          </w:p>
          <w:p>
            <w:pPr>
              <w:spacing w:line="360" w:lineRule="auto"/>
              <w:ind w:firstLine="480" w:firstLineChars="200"/>
              <w:rPr>
                <w:sz w:val="24"/>
                <w:szCs w:val="32"/>
              </w:rPr>
            </w:pPr>
            <w:r>
              <w:rPr>
                <w:rFonts w:hint="eastAsia"/>
                <w:sz w:val="24"/>
                <w:szCs w:val="32"/>
              </w:rPr>
              <w:t>（1）设计方案</w:t>
            </w:r>
          </w:p>
          <w:p>
            <w:pPr>
              <w:spacing w:line="360" w:lineRule="auto"/>
              <w:ind w:firstLine="480" w:firstLineChars="200"/>
              <w:rPr>
                <w:rFonts w:hint="eastAsia"/>
                <w:sz w:val="24"/>
                <w:szCs w:val="32"/>
              </w:rPr>
            </w:pPr>
            <w:r>
              <w:rPr>
                <w:rFonts w:hint="eastAsia"/>
                <w:sz w:val="24"/>
                <w:szCs w:val="32"/>
              </w:rPr>
              <w:t>①上部结构</w:t>
            </w:r>
          </w:p>
          <w:p>
            <w:pPr>
              <w:spacing w:line="360" w:lineRule="auto"/>
              <w:ind w:firstLine="480" w:firstLineChars="200"/>
              <w:rPr>
                <w:rFonts w:hint="eastAsia"/>
                <w:sz w:val="24"/>
                <w:szCs w:val="32"/>
              </w:rPr>
            </w:pPr>
            <w:r>
              <w:rPr>
                <w:rFonts w:hint="eastAsia"/>
                <w:sz w:val="24"/>
                <w:szCs w:val="32"/>
              </w:rPr>
              <w:t>本盖板工程西侧与全民健身园地下室相接，东侧与会展中心地下室相接，盖板与二者室外地面铺装及景观绿化整体统一设计。西侧全民健身园地下室外设计钢筋混凝土挡土墙。盖板结构宽约40~45m，长约150m，纵向结构找坡，坡率0.33%，北侧中心结构标高23.8m，南侧中心结构标高23.3m，盖板下道路北侧标高约18.19m，南侧标高约16.50m，盖板横向坡率1%，盖板下车行道净空均不小于5m。盖板结构设变形缝2道，缝宽2cm。</w:t>
            </w:r>
          </w:p>
          <w:p>
            <w:pPr>
              <w:spacing w:line="360" w:lineRule="auto"/>
              <w:ind w:firstLine="480" w:firstLineChars="200"/>
              <w:rPr>
                <w:sz w:val="24"/>
                <w:szCs w:val="32"/>
              </w:rPr>
            </w:pPr>
            <w:r>
              <w:rPr>
                <w:rFonts w:hint="eastAsia"/>
                <w:sz w:val="24"/>
                <w:szCs w:val="32"/>
              </w:rPr>
              <w:t>盖板上部结构为五柱四跨结</w:t>
            </w:r>
            <w:r>
              <w:rPr>
                <w:sz w:val="24"/>
                <w:szCs w:val="32"/>
              </w:rPr>
              <w:t>构，立柱均位于道路绿化带范围内，横向最大跨度14.5m，纵向柱距约8.4m，立柱600×600、800×800mm，纵梁600×1200mm，单向板厚600mm；横断面如下图所示。</w:t>
            </w:r>
          </w:p>
          <w:p>
            <w:pPr>
              <w:spacing w:line="360" w:lineRule="auto"/>
              <w:rPr>
                <w:sz w:val="24"/>
                <w:szCs w:val="32"/>
              </w:rPr>
            </w:pPr>
            <w:r>
              <w:drawing>
                <wp:inline distT="0" distB="0" distL="0" distR="0">
                  <wp:extent cx="5459095" cy="2277745"/>
                  <wp:effectExtent l="0" t="0" r="0" b="0"/>
                  <wp:docPr id="1448311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11957" name="图片 1"/>
                          <pic:cNvPicPr>
                            <a:picLocks noChangeAspect="1"/>
                          </pic:cNvPicPr>
                        </pic:nvPicPr>
                        <pic:blipFill>
                          <a:blip r:embed="rId19"/>
                          <a:stretch>
                            <a:fillRect/>
                          </a:stretch>
                        </pic:blipFill>
                        <pic:spPr>
                          <a:xfrm>
                            <a:off x="0" y="0"/>
                            <a:ext cx="5468070" cy="2281979"/>
                          </a:xfrm>
                          <a:prstGeom prst="rect">
                            <a:avLst/>
                          </a:prstGeom>
                        </pic:spPr>
                      </pic:pic>
                    </a:graphicData>
                  </a:graphic>
                </wp:inline>
              </w:drawing>
            </w:r>
          </w:p>
          <w:p>
            <w:pPr>
              <w:pStyle w:val="26"/>
              <w:ind w:left="0" w:leftChars="0" w:firstLine="0" w:firstLineChars="0"/>
              <w:rPr>
                <w:rFonts w:hint="eastAsia"/>
              </w:rPr>
            </w:pPr>
            <w:r>
              <w:drawing>
                <wp:inline distT="0" distB="0" distL="0" distR="0">
                  <wp:extent cx="5472430" cy="2327910"/>
                  <wp:effectExtent l="0" t="0" r="0" b="0"/>
                  <wp:docPr id="1978295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95384" name="图片 1"/>
                          <pic:cNvPicPr>
                            <a:picLocks noChangeAspect="1"/>
                          </pic:cNvPicPr>
                        </pic:nvPicPr>
                        <pic:blipFill>
                          <a:blip r:embed="rId20"/>
                          <a:stretch>
                            <a:fillRect/>
                          </a:stretch>
                        </pic:blipFill>
                        <pic:spPr>
                          <a:xfrm>
                            <a:off x="0" y="0"/>
                            <a:ext cx="5487134" cy="2334089"/>
                          </a:xfrm>
                          <a:prstGeom prst="rect">
                            <a:avLst/>
                          </a:prstGeom>
                        </pic:spPr>
                      </pic:pic>
                    </a:graphicData>
                  </a:graphic>
                </wp:inline>
              </w:drawing>
            </w:r>
          </w:p>
          <w:p>
            <w:pPr>
              <w:spacing w:line="360" w:lineRule="auto"/>
              <w:jc w:val="center"/>
              <w:rPr>
                <w:rFonts w:hint="eastAsia"/>
                <w:b/>
                <w:bCs/>
                <w:sz w:val="24"/>
                <w:szCs w:val="32"/>
              </w:rPr>
            </w:pPr>
            <w:r>
              <w:rPr>
                <w:rFonts w:hint="eastAsia"/>
                <w:b/>
                <w:bCs/>
                <w:sz w:val="24"/>
                <w:szCs w:val="32"/>
              </w:rPr>
              <w:t>图2.4-4  结构工程标准横断面</w:t>
            </w:r>
          </w:p>
          <w:p>
            <w:pPr>
              <w:pStyle w:val="17"/>
              <w:spacing w:line="360" w:lineRule="auto"/>
              <w:outlineLvl w:val="1"/>
              <w:rPr>
                <w:b/>
                <w:bCs/>
                <w:kern w:val="2"/>
                <w:sz w:val="24"/>
                <w:szCs w:val="24"/>
              </w:rPr>
            </w:pPr>
            <w:r>
              <w:rPr>
                <w:b/>
                <w:bCs/>
                <w:kern w:val="2"/>
                <w:sz w:val="24"/>
                <w:szCs w:val="24"/>
              </w:rPr>
              <w:t>2.</w:t>
            </w:r>
            <w:r>
              <w:rPr>
                <w:rFonts w:hint="eastAsia"/>
                <w:b/>
                <w:bCs/>
                <w:kern w:val="2"/>
                <w:sz w:val="24"/>
                <w:szCs w:val="24"/>
              </w:rPr>
              <w:t>4.8 管线综合</w:t>
            </w:r>
          </w:p>
          <w:p>
            <w:pPr>
              <w:spacing w:line="360" w:lineRule="auto"/>
              <w:ind w:firstLine="422"/>
              <w:outlineLvl w:val="1"/>
              <w:rPr>
                <w:rFonts w:hint="eastAsia"/>
                <w:sz w:val="24"/>
              </w:rPr>
            </w:pPr>
            <w:r>
              <w:rPr>
                <w:rFonts w:hint="eastAsia"/>
                <w:sz w:val="24"/>
              </w:rPr>
              <w:t>（1）本工程的管线设计包含雨水、污水、电力、通信、照明、给水（预留管位）、燃气（预留管位），根据道路红线宽度结合《城市工程管线综合规划规范》要求布置管线。本项目设计红线宽40米，雨水、电力、通信、照明设计管线根据规划及管综会议要求，均考虑双侧布置，污水设计管线单侧布置，给水、燃气管道单侧预留管位。</w:t>
            </w:r>
          </w:p>
          <w:p>
            <w:pPr>
              <w:spacing w:line="360" w:lineRule="auto"/>
              <w:ind w:firstLine="422"/>
              <w:outlineLvl w:val="1"/>
              <w:rPr>
                <w:sz w:val="24"/>
              </w:rPr>
            </w:pPr>
            <w:r>
              <w:rPr>
                <w:rFonts w:hint="eastAsia"/>
                <w:sz w:val="24"/>
              </w:rPr>
              <w:t>（2）标准横断面管线布置图如下：</w:t>
            </w:r>
          </w:p>
          <w:p>
            <w:pPr>
              <w:spacing w:line="360" w:lineRule="auto"/>
              <w:outlineLvl w:val="9"/>
              <w:rPr>
                <w:sz w:val="24"/>
              </w:rPr>
            </w:pPr>
            <w:r>
              <w:drawing>
                <wp:inline distT="0" distB="0" distL="0" distR="0">
                  <wp:extent cx="5462270" cy="3752850"/>
                  <wp:effectExtent l="0" t="0" r="0" b="0"/>
                  <wp:docPr id="1183732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32063" name="图片 1"/>
                          <pic:cNvPicPr>
                            <a:picLocks noChangeAspect="1"/>
                          </pic:cNvPicPr>
                        </pic:nvPicPr>
                        <pic:blipFill>
                          <a:blip r:embed="rId21"/>
                          <a:stretch>
                            <a:fillRect/>
                          </a:stretch>
                        </pic:blipFill>
                        <pic:spPr>
                          <a:xfrm>
                            <a:off x="0" y="0"/>
                            <a:ext cx="5468132" cy="3756929"/>
                          </a:xfrm>
                          <a:prstGeom prst="rect">
                            <a:avLst/>
                          </a:prstGeom>
                        </pic:spPr>
                      </pic:pic>
                    </a:graphicData>
                  </a:graphic>
                </wp:inline>
              </w:drawing>
            </w:r>
          </w:p>
          <w:p>
            <w:pPr>
              <w:spacing w:line="360" w:lineRule="auto"/>
              <w:jc w:val="center"/>
              <w:outlineLvl w:val="1"/>
              <w:rPr>
                <w:rFonts w:hint="eastAsia"/>
                <w:b/>
                <w:bCs/>
                <w:sz w:val="24"/>
              </w:rPr>
            </w:pPr>
            <w:r>
              <w:rPr>
                <w:rFonts w:hint="eastAsia"/>
                <w:b/>
                <w:bCs/>
                <w:sz w:val="24"/>
                <w:szCs w:val="32"/>
              </w:rPr>
              <w:t xml:space="preserve">图2.4-5  </w:t>
            </w:r>
            <w:r>
              <w:rPr>
                <w:rFonts w:hint="eastAsia"/>
                <w:b/>
                <w:bCs/>
                <w:sz w:val="24"/>
              </w:rPr>
              <w:t>道路标准横断面管线布置图</w:t>
            </w:r>
          </w:p>
          <w:p>
            <w:pPr>
              <w:spacing w:line="360" w:lineRule="auto"/>
              <w:outlineLvl w:val="9"/>
              <w:rPr>
                <w:rFonts w:hint="eastAsia"/>
                <w:sz w:val="24"/>
              </w:rPr>
            </w:pPr>
            <w:r>
              <w:drawing>
                <wp:inline distT="0" distB="0" distL="0" distR="0">
                  <wp:extent cx="5410835" cy="2615565"/>
                  <wp:effectExtent l="0" t="0" r="0" b="0"/>
                  <wp:docPr id="20315246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24648" name="图片 1"/>
                          <pic:cNvPicPr>
                            <a:picLocks noChangeAspect="1"/>
                          </pic:cNvPicPr>
                        </pic:nvPicPr>
                        <pic:blipFill>
                          <a:blip r:embed="rId22"/>
                          <a:stretch>
                            <a:fillRect/>
                          </a:stretch>
                        </pic:blipFill>
                        <pic:spPr>
                          <a:xfrm>
                            <a:off x="0" y="0"/>
                            <a:ext cx="5422648" cy="2621066"/>
                          </a:xfrm>
                          <a:prstGeom prst="rect">
                            <a:avLst/>
                          </a:prstGeom>
                        </pic:spPr>
                      </pic:pic>
                    </a:graphicData>
                  </a:graphic>
                </wp:inline>
              </w:drawing>
            </w:r>
          </w:p>
          <w:p>
            <w:pPr>
              <w:spacing w:line="360" w:lineRule="auto"/>
              <w:jc w:val="center"/>
              <w:outlineLvl w:val="1"/>
              <w:rPr>
                <w:b/>
                <w:bCs/>
                <w:sz w:val="24"/>
                <w:szCs w:val="32"/>
              </w:rPr>
            </w:pPr>
            <w:r>
              <w:rPr>
                <w:rFonts w:hint="eastAsia"/>
                <w:b/>
                <w:bCs/>
                <w:sz w:val="24"/>
                <w:szCs w:val="32"/>
              </w:rPr>
              <w:t xml:space="preserve">图2.4-6  </w:t>
            </w:r>
            <w:r>
              <w:rPr>
                <w:b/>
                <w:bCs/>
                <w:sz w:val="24"/>
                <w:szCs w:val="32"/>
              </w:rPr>
              <w:t>道路标准横断面管线布置图（适用于</w:t>
            </w:r>
            <w:r>
              <w:rPr>
                <w:rFonts w:hint="eastAsia"/>
                <w:b/>
                <w:bCs/>
                <w:sz w:val="24"/>
                <w:szCs w:val="32"/>
              </w:rPr>
              <w:t>结构工程下穿路段</w:t>
            </w:r>
            <w:r>
              <w:rPr>
                <w:b/>
                <w:bCs/>
                <w:sz w:val="24"/>
                <w:szCs w:val="32"/>
              </w:rPr>
              <w:t>）</w:t>
            </w:r>
          </w:p>
          <w:p>
            <w:pPr>
              <w:spacing w:line="360" w:lineRule="auto"/>
              <w:outlineLvl w:val="9"/>
              <w:rPr>
                <w:rFonts w:hint="eastAsia"/>
                <w:sz w:val="24"/>
              </w:rPr>
            </w:pPr>
            <w:r>
              <w:drawing>
                <wp:inline distT="0" distB="0" distL="0" distR="0">
                  <wp:extent cx="5760720" cy="3481705"/>
                  <wp:effectExtent l="0" t="0" r="0" b="4445"/>
                  <wp:docPr id="1882260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6087" name="图片 1"/>
                          <pic:cNvPicPr>
                            <a:picLocks noChangeAspect="1"/>
                          </pic:cNvPicPr>
                        </pic:nvPicPr>
                        <pic:blipFill>
                          <a:blip r:embed="rId23"/>
                          <a:stretch>
                            <a:fillRect/>
                          </a:stretch>
                        </pic:blipFill>
                        <pic:spPr>
                          <a:xfrm>
                            <a:off x="0" y="0"/>
                            <a:ext cx="5760720" cy="3481705"/>
                          </a:xfrm>
                          <a:prstGeom prst="rect">
                            <a:avLst/>
                          </a:prstGeom>
                        </pic:spPr>
                      </pic:pic>
                    </a:graphicData>
                  </a:graphic>
                </wp:inline>
              </w:drawing>
            </w:r>
          </w:p>
          <w:p>
            <w:pPr>
              <w:spacing w:line="360" w:lineRule="auto"/>
              <w:jc w:val="center"/>
              <w:outlineLvl w:val="1"/>
              <w:rPr>
                <w:rFonts w:hint="eastAsia"/>
                <w:b/>
                <w:bCs/>
                <w:sz w:val="24"/>
              </w:rPr>
            </w:pPr>
            <w:r>
              <w:rPr>
                <w:rFonts w:hint="eastAsia"/>
                <w:b/>
                <w:bCs/>
                <w:sz w:val="24"/>
              </w:rPr>
              <w:t xml:space="preserve">图2.4-7  </w:t>
            </w:r>
            <w:r>
              <w:rPr>
                <w:b/>
                <w:bCs/>
                <w:sz w:val="24"/>
              </w:rPr>
              <w:t>道路标准横断面管线布置图（适用于K0+680至K0+745段）</w:t>
            </w:r>
          </w:p>
          <w:p>
            <w:pPr>
              <w:spacing w:line="360" w:lineRule="auto"/>
              <w:ind w:firstLine="422"/>
              <w:outlineLvl w:val="1"/>
              <w:rPr>
                <w:rFonts w:hint="eastAsia"/>
                <w:sz w:val="24"/>
              </w:rPr>
            </w:pPr>
            <w:r>
              <w:rPr>
                <w:rFonts w:hint="eastAsia"/>
                <w:sz w:val="24"/>
              </w:rPr>
              <w:t>（3）管线综合竖向设计</w:t>
            </w:r>
          </w:p>
          <w:p>
            <w:pPr>
              <w:spacing w:line="360" w:lineRule="auto"/>
              <w:ind w:firstLine="422"/>
              <w:outlineLvl w:val="1"/>
              <w:rPr>
                <w:sz w:val="24"/>
              </w:rPr>
            </w:pPr>
            <w:r>
              <w:rPr>
                <w:rFonts w:hint="eastAsia"/>
                <w:sz w:val="24"/>
              </w:rPr>
              <w:t>道路下的管线，排水管（雨水、污水）为重力流管道，管道需要坡度，并且对管道竖向标高有严格要求，已铺设好的各种管线在标高上避让重力流管道，使其能顺利运行。排水管道与给水管、通信管交叉时优先考虑排水。排水管道与弱电管交叉时，弱电管道采用增加连接井；与给水交叉时，采取给水管道增加弯头避让的方式。</w:t>
            </w:r>
          </w:p>
          <w:p>
            <w:pPr>
              <w:spacing w:line="360" w:lineRule="auto"/>
              <w:ind w:firstLine="422"/>
              <w:outlineLvl w:val="1"/>
              <w:rPr>
                <w:sz w:val="24"/>
              </w:rPr>
            </w:pPr>
            <w:r>
              <w:rPr>
                <w:rFonts w:hint="eastAsia"/>
                <w:sz w:val="24"/>
              </w:rPr>
              <w:t>（4）给水系统</w:t>
            </w:r>
          </w:p>
          <w:p>
            <w:pPr>
              <w:spacing w:line="360" w:lineRule="auto"/>
              <w:ind w:firstLine="422"/>
              <w:outlineLvl w:val="1"/>
              <w:rPr>
                <w:rFonts w:hint="eastAsia"/>
                <w:sz w:val="24"/>
              </w:rPr>
            </w:pPr>
            <w:r>
              <w:rPr>
                <w:rFonts w:hint="eastAsia"/>
                <w:sz w:val="24"/>
              </w:rPr>
              <w:t>给水现状：本工程为新建道路，设计范围内无现状管线。与本次设计道路相交的清繁大道双侧有DN200~400现状给水管。</w:t>
            </w:r>
          </w:p>
          <w:p>
            <w:pPr>
              <w:spacing w:line="360" w:lineRule="auto"/>
              <w:ind w:firstLine="422"/>
              <w:outlineLvl w:val="1"/>
              <w:rPr>
                <w:rFonts w:hint="eastAsia"/>
                <w:sz w:val="24"/>
              </w:rPr>
            </w:pPr>
            <w:r>
              <w:rPr>
                <w:rFonts w:hint="eastAsia"/>
                <w:sz w:val="24"/>
              </w:rPr>
              <w:t>给水规划：福清市福泽片区福泽大道北延伸段双侧规划有DN300给水管。</w:t>
            </w:r>
          </w:p>
          <w:p>
            <w:pPr>
              <w:spacing w:line="360" w:lineRule="auto"/>
              <w:ind w:firstLine="422"/>
              <w:outlineLvl w:val="1"/>
              <w:rPr>
                <w:sz w:val="24"/>
              </w:rPr>
            </w:pPr>
            <w:r>
              <w:rPr>
                <w:rFonts w:hint="eastAsia"/>
                <w:sz w:val="24"/>
              </w:rPr>
              <w:t>给水设计：根据福清市福泽片区控制性详细规划并结合管综协调会相关部门意见，考虑周边地块用水、沿线市政消防需求及水务部门意见，福泽大道北延伸段在东侧非机动车道下预留DN300给水管位。</w:t>
            </w:r>
          </w:p>
          <w:p>
            <w:pPr>
              <w:spacing w:line="360" w:lineRule="auto"/>
              <w:ind w:firstLine="422"/>
              <w:outlineLvl w:val="1"/>
              <w:rPr>
                <w:rFonts w:hint="eastAsia"/>
                <w:sz w:val="24"/>
              </w:rPr>
            </w:pPr>
            <w:r>
              <w:rPr>
                <w:rFonts w:hint="eastAsia"/>
                <w:sz w:val="24"/>
              </w:rPr>
              <w:t>（2）雨水系统</w:t>
            </w:r>
          </w:p>
          <w:p>
            <w:pPr>
              <w:spacing w:line="360" w:lineRule="auto"/>
              <w:ind w:firstLine="422"/>
              <w:outlineLvl w:val="1"/>
              <w:rPr>
                <w:rFonts w:hint="eastAsia"/>
                <w:sz w:val="24"/>
              </w:rPr>
            </w:pPr>
            <w:r>
              <w:rPr>
                <w:rFonts w:hint="eastAsia"/>
                <w:sz w:val="24"/>
              </w:rPr>
              <w:t>雨水现状：本工程为新建道路，设计范围内无现状管线。与本次设计道路相交的清繁大道双侧有DN1000~DN1400现状雨水管。</w:t>
            </w:r>
          </w:p>
          <w:p>
            <w:pPr>
              <w:spacing w:line="360" w:lineRule="auto"/>
              <w:ind w:firstLine="422"/>
              <w:outlineLvl w:val="1"/>
              <w:rPr>
                <w:rFonts w:hint="eastAsia"/>
                <w:sz w:val="24"/>
              </w:rPr>
            </w:pPr>
            <w:r>
              <w:rPr>
                <w:rFonts w:hint="eastAsia"/>
                <w:sz w:val="24"/>
              </w:rPr>
              <w:t>现状水系：本工程所处地块，东西北三面环山，地块内山洪汇集水系发达，与本项目存在多处交叉或重合。</w:t>
            </w:r>
          </w:p>
          <w:p>
            <w:pPr>
              <w:spacing w:line="360" w:lineRule="auto"/>
              <w:ind w:firstLine="422"/>
              <w:outlineLvl w:val="1"/>
              <w:rPr>
                <w:sz w:val="24"/>
              </w:rPr>
            </w:pPr>
            <w:r>
              <w:rPr>
                <w:rFonts w:hint="eastAsia"/>
                <w:sz w:val="24"/>
              </w:rPr>
              <w:t>雨水规划：根据福清市福泽片区控制性详细规划，福泽大道北延伸段规划有DN1200雨水管，自北向南分段排入里美溪水系。规划里美溪与本项目在纬二路北侧路口相交后，于道路西侧与本道路并行。</w:t>
            </w:r>
          </w:p>
          <w:p>
            <w:pPr>
              <w:spacing w:line="360" w:lineRule="auto"/>
              <w:ind w:firstLine="422"/>
              <w:outlineLvl w:val="1"/>
              <w:rPr>
                <w:rFonts w:hint="eastAsia"/>
                <w:sz w:val="24"/>
              </w:rPr>
            </w:pPr>
            <w:r>
              <w:rPr>
                <w:rFonts w:hint="eastAsia"/>
                <w:sz w:val="24"/>
              </w:rPr>
              <w:t>雨水设计：由于规划里美溪线位调整，里美溪改由清繁大道北侧横穿福泽大道后往南接入下游规划水系，故（纬二路-清繁大道）段雨水系统，需承接纬二路以北段落雨水负荷，本次设计结合道路纵坡及周边汇水情况进行核算，设计管径调整为：福泽大道北延伸段西侧机动车道下设计DN1000~DN1800雨水管，东侧机动车道下设计DN1000~DN1400 雨水管，自北向南汇集后在西侧采用 DN2000 排入同步建设里美溪。</w:t>
            </w:r>
          </w:p>
          <w:p>
            <w:pPr>
              <w:spacing w:line="360" w:lineRule="auto"/>
              <w:ind w:firstLine="422"/>
              <w:outlineLvl w:val="1"/>
              <w:rPr>
                <w:sz w:val="24"/>
              </w:rPr>
            </w:pPr>
            <w:r>
              <w:rPr>
                <w:rFonts w:hint="eastAsia"/>
                <w:sz w:val="24"/>
              </w:rPr>
              <w:t>现状水系梳理：由于地块外围截洪沟近期未启动设计，为保证地块山洪疏导安全，需对本次道路设计范围内现状水系进行疏导，在道路桩号K0+660处增加3×DN1600雨水排管将道路西侧水系引至道路东侧，并于道路东侧并行修建BXH=1.5m*2.0m,m=1.5临时渠道，从北往南，排至纬二路北侧同步修建临时渠道后，从西往东排入同步建设里美溪内。</w:t>
            </w:r>
          </w:p>
          <w:p>
            <w:pPr>
              <w:spacing w:line="360" w:lineRule="auto"/>
              <w:ind w:firstLine="422"/>
              <w:outlineLvl w:val="1"/>
              <w:rPr>
                <w:rFonts w:hint="eastAsia"/>
                <w:sz w:val="24"/>
              </w:rPr>
            </w:pPr>
            <w:r>
              <w:rPr>
                <w:rFonts w:hint="eastAsia"/>
                <w:sz w:val="24"/>
              </w:rPr>
              <w:t>（3）污水系统</w:t>
            </w:r>
          </w:p>
          <w:p>
            <w:pPr>
              <w:spacing w:line="360" w:lineRule="auto"/>
              <w:ind w:firstLine="422"/>
              <w:outlineLvl w:val="1"/>
              <w:rPr>
                <w:rFonts w:hint="eastAsia"/>
                <w:sz w:val="24"/>
              </w:rPr>
            </w:pPr>
            <w:r>
              <w:rPr>
                <w:rFonts w:hint="eastAsia"/>
                <w:sz w:val="24"/>
              </w:rPr>
              <w:t>污水现状：本工程为新建道路，设计范围内无现状污水管线。与本次设计道路相交的清繁大道有双侧DN400现状污水管。</w:t>
            </w:r>
          </w:p>
          <w:p>
            <w:pPr>
              <w:spacing w:line="360" w:lineRule="auto"/>
              <w:ind w:firstLine="422"/>
              <w:outlineLvl w:val="1"/>
              <w:rPr>
                <w:rFonts w:hint="eastAsia"/>
                <w:sz w:val="24"/>
              </w:rPr>
            </w:pPr>
            <w:r>
              <w:rPr>
                <w:rFonts w:hint="eastAsia"/>
                <w:sz w:val="24"/>
              </w:rPr>
              <w:t>污水规划：根据福清市福泽片区控制性详细规划，福泽大道北延伸段双侧规划有DN400污水管，自北向南排入清繁大道。</w:t>
            </w:r>
          </w:p>
          <w:p>
            <w:pPr>
              <w:spacing w:line="360" w:lineRule="auto"/>
              <w:ind w:firstLine="422"/>
              <w:outlineLvl w:val="1"/>
              <w:rPr>
                <w:sz w:val="24"/>
              </w:rPr>
            </w:pPr>
            <w:r>
              <w:rPr>
                <w:rFonts w:hint="eastAsia"/>
                <w:sz w:val="24"/>
              </w:rPr>
              <w:t>污水设计：根据福清市福泽片区控制性详细规划，并结合管综协调会相关部门意见，福泽大道北延伸段在东侧机动车道下单侧设计DN400污水管，自北向南排入清繁大道现状污水管。</w:t>
            </w:r>
          </w:p>
          <w:p>
            <w:pPr>
              <w:spacing w:line="360" w:lineRule="auto"/>
              <w:ind w:firstLine="422"/>
              <w:outlineLvl w:val="1"/>
              <w:rPr>
                <w:rFonts w:hint="eastAsia"/>
                <w:sz w:val="24"/>
              </w:rPr>
            </w:pPr>
            <w:r>
              <w:rPr>
                <w:rFonts w:hint="eastAsia"/>
                <w:sz w:val="24"/>
              </w:rPr>
              <w:t>（4）消火栓设计</w:t>
            </w:r>
          </w:p>
          <w:p>
            <w:pPr>
              <w:spacing w:line="360" w:lineRule="auto"/>
              <w:ind w:firstLine="422"/>
              <w:outlineLvl w:val="1"/>
              <w:rPr>
                <w:rFonts w:hint="eastAsia"/>
                <w:sz w:val="24"/>
              </w:rPr>
            </w:pPr>
            <w:r>
              <w:rPr>
                <w:rFonts w:hint="eastAsia"/>
                <w:sz w:val="24"/>
              </w:rPr>
              <w:t>①平面布置</w:t>
            </w:r>
          </w:p>
          <w:p>
            <w:pPr>
              <w:spacing w:line="360" w:lineRule="auto"/>
              <w:ind w:firstLine="422"/>
              <w:outlineLvl w:val="1"/>
              <w:rPr>
                <w:rFonts w:hint="eastAsia"/>
                <w:sz w:val="24"/>
              </w:rPr>
            </w:pPr>
            <w:r>
              <w:rPr>
                <w:rFonts w:hint="eastAsia"/>
                <w:sz w:val="24"/>
              </w:rPr>
              <w:t>给水工程仅预留给水管位，并进行消火栓设计，本次设计根据控规，并结合管综协调会相关部门意见，考虑周边地块用水、沿线市政消防需求及水务部门意见，在东侧非机动车道下预留DN300给水管位。</w:t>
            </w:r>
          </w:p>
          <w:p>
            <w:pPr>
              <w:spacing w:line="360" w:lineRule="auto"/>
              <w:ind w:firstLine="422"/>
              <w:outlineLvl w:val="1"/>
              <w:rPr>
                <w:rFonts w:hint="eastAsia"/>
                <w:sz w:val="24"/>
              </w:rPr>
            </w:pPr>
            <w:r>
              <w:rPr>
                <w:rFonts w:hint="eastAsia"/>
                <w:sz w:val="24"/>
              </w:rPr>
              <w:t>②消火栓布置</w:t>
            </w:r>
          </w:p>
          <w:p>
            <w:pPr>
              <w:spacing w:line="360" w:lineRule="auto"/>
              <w:ind w:firstLine="422"/>
              <w:outlineLvl w:val="1"/>
              <w:rPr>
                <w:rFonts w:hint="eastAsia"/>
                <w:sz w:val="24"/>
              </w:rPr>
            </w:pPr>
            <w:r>
              <w:rPr>
                <w:rFonts w:hint="eastAsia"/>
                <w:sz w:val="24"/>
              </w:rPr>
              <w:t>根据《消防给水及消火栓系统技术规范》（GB50974-2014），市政消火栓宜在道路的一侧设置，并宜靠近十字路口，但当市政道路宽度超过60m时，应在道路的两侧交叉错落设置市政消火栓。本项目道路红线宽未超过60m，消火栓单侧布置，在规划给水管引水设置消火栓。消火栓设置间距不大于120m，接管管径为DN150。</w:t>
            </w:r>
          </w:p>
          <w:p>
            <w:pPr>
              <w:pStyle w:val="26"/>
              <w:spacing w:after="0" w:line="360" w:lineRule="auto"/>
              <w:ind w:left="0" w:leftChars="0" w:firstLine="0" w:firstLineChars="0"/>
              <w:outlineLvl w:val="1"/>
              <w:rPr>
                <w:b/>
                <w:bCs/>
                <w:kern w:val="2"/>
              </w:rPr>
            </w:pPr>
            <w:r>
              <w:rPr>
                <w:rFonts w:hint="eastAsia"/>
                <w:b/>
                <w:bCs/>
                <w:kern w:val="2"/>
              </w:rPr>
              <w:t>2.4.9 电气工程</w:t>
            </w:r>
          </w:p>
          <w:p>
            <w:pPr>
              <w:spacing w:line="360" w:lineRule="auto"/>
              <w:ind w:firstLine="480" w:firstLineChars="200"/>
              <w:outlineLvl w:val="1"/>
              <w:rPr>
                <w:sz w:val="24"/>
              </w:rPr>
            </w:pPr>
            <w:r>
              <w:rPr>
                <w:rFonts w:hint="eastAsia"/>
                <w:sz w:val="24"/>
              </w:rPr>
              <w:t>（1）电力工程设计</w:t>
            </w:r>
          </w:p>
          <w:p>
            <w:pPr>
              <w:spacing w:line="360" w:lineRule="auto"/>
              <w:ind w:firstLine="480" w:firstLineChars="200"/>
              <w:outlineLvl w:val="1"/>
              <w:rPr>
                <w:rFonts w:hint="eastAsia"/>
                <w:sz w:val="24"/>
              </w:rPr>
            </w:pPr>
            <w:r>
              <w:rPr>
                <w:rFonts w:hint="eastAsia"/>
                <w:sz w:val="24"/>
              </w:rPr>
              <w:t>依据</w:t>
            </w:r>
            <w:r>
              <w:rPr>
                <w:sz w:val="24"/>
              </w:rPr>
              <w:t>规划以及电力通道建设习惯，设计道路新建的电力通道采用电力排管双侧布置，电力管道位于设计道路人行道下；清繁大道~纬二路设计双侧16Ø175+2Ø100电力排管，纬二路~纬一路设计双侧12Ø175+2Ø100电力排管，管顶覆土按照不小于0.7m设计。相交</w:t>
            </w:r>
            <w:r>
              <w:rPr>
                <w:rFonts w:hint="eastAsia"/>
                <w:sz w:val="24"/>
              </w:rPr>
              <w:t>道路根据道路规格及规划意图设置电缆通道规格。</w:t>
            </w:r>
          </w:p>
          <w:p>
            <w:pPr>
              <w:spacing w:line="360" w:lineRule="auto"/>
              <w:ind w:firstLine="480" w:firstLineChars="200"/>
              <w:outlineLvl w:val="1"/>
              <w:rPr>
                <w:sz w:val="24"/>
              </w:rPr>
            </w:pPr>
            <w:r>
              <w:rPr>
                <w:rFonts w:hint="eastAsia"/>
                <w:sz w:val="24"/>
              </w:rPr>
              <w:t>中压电缆管每隔150m左右或在路口处设一组横过管，以满足对侧电力用户需求。过路管采用MPP电缆保护管，支管管口末端设接力井，便于将来接线用。</w:t>
            </w:r>
          </w:p>
          <w:p>
            <w:pPr>
              <w:spacing w:line="360" w:lineRule="auto"/>
              <w:ind w:firstLine="480" w:firstLineChars="200"/>
              <w:outlineLvl w:val="1"/>
              <w:rPr>
                <w:sz w:val="24"/>
              </w:rPr>
            </w:pPr>
            <w:r>
              <w:rPr>
                <w:rFonts w:hint="eastAsia"/>
                <w:sz w:val="24"/>
              </w:rPr>
              <w:t>（2）通信工程设计</w:t>
            </w:r>
          </w:p>
          <w:p>
            <w:pPr>
              <w:spacing w:line="360" w:lineRule="auto"/>
              <w:ind w:firstLine="480" w:firstLineChars="200"/>
              <w:outlineLvl w:val="1"/>
              <w:rPr>
                <w:rFonts w:hint="eastAsia"/>
                <w:sz w:val="24"/>
              </w:rPr>
            </w:pPr>
            <w:r>
              <w:rPr>
                <w:rFonts w:hint="eastAsia"/>
                <w:sz w:val="24"/>
              </w:rPr>
              <w:t>本次设计道路全线单侧人行道上设置6Ø110通信排管。标准路段单侧布置在东侧人行道下，管道中心距离非机动车道外侧 1.4m;相交道路根据道路规格及规划意图设置通信排管。</w:t>
            </w:r>
          </w:p>
          <w:p>
            <w:pPr>
              <w:spacing w:line="360" w:lineRule="auto"/>
              <w:ind w:firstLine="480" w:firstLineChars="200"/>
              <w:outlineLvl w:val="1"/>
              <w:rPr>
                <w:sz w:val="24"/>
              </w:rPr>
            </w:pPr>
            <w:r>
              <w:rPr>
                <w:rFonts w:hint="eastAsia"/>
                <w:sz w:val="24"/>
              </w:rPr>
              <w:t>通信排管每隔200m左右或在路口处设一组横过管，以满足对侧通信用户需求。支管管口末端设接力井，便于将来接线用。</w:t>
            </w:r>
          </w:p>
          <w:p>
            <w:pPr>
              <w:spacing w:line="360" w:lineRule="auto"/>
              <w:ind w:firstLine="480" w:firstLineChars="200"/>
              <w:outlineLvl w:val="1"/>
              <w:rPr>
                <w:sz w:val="24"/>
              </w:rPr>
            </w:pPr>
            <w:r>
              <w:rPr>
                <w:rFonts w:hint="eastAsia"/>
                <w:sz w:val="24"/>
              </w:rPr>
              <w:t>（3）道路照明工程设计</w:t>
            </w:r>
          </w:p>
          <w:p>
            <w:pPr>
              <w:spacing w:line="360" w:lineRule="auto"/>
              <w:ind w:firstLine="480" w:firstLineChars="200"/>
              <w:outlineLvl w:val="1"/>
              <w:rPr>
                <w:sz w:val="24"/>
              </w:rPr>
            </w:pPr>
            <w:r>
              <w:rPr>
                <w:rFonts w:hint="eastAsia"/>
                <w:sz w:val="24"/>
              </w:rPr>
              <w:t>本次设计道路为城市主干路。参照《城市道路照明设计标准》（CJJ45-2015）及《城市道路LED照明设计标准》（DBJ/T13-169-2013），照明标准要求达到指标、道路布灯形式及要求：</w:t>
            </w:r>
          </w:p>
          <w:p>
            <w:pPr>
              <w:spacing w:line="360" w:lineRule="auto"/>
              <w:ind w:firstLine="480" w:firstLineChars="200"/>
              <w:outlineLvl w:val="1"/>
              <w:rPr>
                <w:rFonts w:hint="eastAsia"/>
                <w:sz w:val="24"/>
              </w:rPr>
            </w:pPr>
            <w:r>
              <w:rPr>
                <w:rFonts w:hint="eastAsia"/>
                <w:sz w:val="24"/>
              </w:rPr>
              <w:t>本次设计道路标准段机动车道宽22m，人行道+非机动车道宽6m，路灯采用双侧布置。采用12m单臂钢杆灯，路灯臂长2.5m，灯杆布置于距离非机动车道道牙0.75m的人行道上，路灯间距35m左右，机动车道侧光源采用300WLED灯，人行道侧光源采用100WLED灯；下穿通道机动车道采用300W吸顶灯，人行道+非机动车道采用100WLED灯。</w:t>
            </w:r>
          </w:p>
          <w:p>
            <w:pPr>
              <w:pStyle w:val="12"/>
            </w:pPr>
          </w:p>
          <w:p>
            <w:pPr>
              <w:spacing w:line="360" w:lineRule="auto"/>
              <w:outlineLvl w:val="1"/>
              <w:rPr>
                <w:b/>
                <w:bCs/>
                <w:sz w:val="24"/>
              </w:rPr>
            </w:pPr>
            <w:r>
              <w:rPr>
                <w:b/>
                <w:bCs/>
                <w:sz w:val="24"/>
              </w:rPr>
              <w:t>2.</w:t>
            </w:r>
            <w:r>
              <w:rPr>
                <w:rFonts w:hint="eastAsia"/>
                <w:b/>
                <w:bCs/>
                <w:sz w:val="24"/>
              </w:rPr>
              <w:t>5</w:t>
            </w:r>
            <w:r>
              <w:rPr>
                <w:b/>
                <w:bCs/>
                <w:sz w:val="24"/>
              </w:rPr>
              <w:t>交通标志标线设计</w:t>
            </w:r>
          </w:p>
          <w:p>
            <w:pPr>
              <w:spacing w:line="360" w:lineRule="auto"/>
              <w:ind w:firstLine="480" w:firstLineChars="200"/>
              <w:outlineLvl w:val="1"/>
              <w:rPr>
                <w:sz w:val="24"/>
              </w:rPr>
            </w:pPr>
            <w:r>
              <w:rPr>
                <w:sz w:val="24"/>
              </w:rPr>
              <w:t>交通标志标线设计内容为：交通标志、交通标线、</w:t>
            </w:r>
            <w:r>
              <w:rPr>
                <w:rFonts w:hint="eastAsia"/>
                <w:sz w:val="24"/>
              </w:rPr>
              <w:t>交通监控设计</w:t>
            </w:r>
            <w:r>
              <w:rPr>
                <w:sz w:val="24"/>
              </w:rPr>
              <w:t>等。</w:t>
            </w:r>
          </w:p>
          <w:p>
            <w:pPr>
              <w:spacing w:line="360" w:lineRule="auto"/>
              <w:ind w:firstLine="480" w:firstLineChars="200"/>
              <w:outlineLvl w:val="1"/>
              <w:rPr>
                <w:rFonts w:hint="eastAsia"/>
                <w:sz w:val="24"/>
              </w:rPr>
            </w:pPr>
            <w:r>
              <w:rPr>
                <w:rFonts w:hint="eastAsia"/>
                <w:sz w:val="24"/>
              </w:rPr>
              <w:t>（1）交通标志设计</w:t>
            </w:r>
          </w:p>
          <w:p>
            <w:pPr>
              <w:spacing w:line="360" w:lineRule="auto"/>
              <w:ind w:firstLine="480" w:firstLineChars="200"/>
              <w:outlineLvl w:val="1"/>
              <w:rPr>
                <w:sz w:val="24"/>
              </w:rPr>
            </w:pPr>
            <w:r>
              <w:rPr>
                <w:rFonts w:hint="eastAsia"/>
                <w:sz w:val="24"/>
              </w:rPr>
              <w:t>交通标志是车辆在道路行驶中的重要信息来源。标志的设置以尽可能合理、齐全，便于驶入道路的车辆能安全快速地到达目的地为设计原则。它分为禁令标志、指示标志、警告标志、指路标志，本项目交通工程和沿线设施，按《道路交通标志和标线》（GB5768－2009）有关规定进行设计，为道路安全行车提供重要保障。</w:t>
            </w:r>
          </w:p>
          <w:p>
            <w:pPr>
              <w:spacing w:line="360" w:lineRule="auto"/>
              <w:ind w:firstLine="480" w:firstLineChars="200"/>
              <w:outlineLvl w:val="1"/>
              <w:rPr>
                <w:sz w:val="24"/>
              </w:rPr>
            </w:pPr>
            <w:r>
              <w:rPr>
                <w:rFonts w:hint="eastAsia"/>
                <w:sz w:val="24"/>
              </w:rPr>
              <w:t>（2）交通标志线设计</w:t>
            </w:r>
          </w:p>
          <w:p>
            <w:pPr>
              <w:spacing w:line="360" w:lineRule="auto"/>
              <w:ind w:firstLine="480" w:firstLineChars="200"/>
              <w:outlineLvl w:val="1"/>
              <w:rPr>
                <w:rFonts w:hint="eastAsia"/>
                <w:sz w:val="24"/>
              </w:rPr>
            </w:pPr>
            <w:r>
              <w:rPr>
                <w:rFonts w:hint="eastAsia"/>
                <w:sz w:val="24"/>
              </w:rPr>
              <w:t>交通标线的作用是管制和引导交通，交通标线应能确保车流分道行驶,导流交通行驶方向，指引车辆在汇合和分流前驶入正确的车道,规范行车纪律和秩序，减少事故。保证在白天和晚上都具有视线诱导功能，车道分界清晰，线向清楚，轮廓分明，并与交通标志有机结合，合理诱导交通流。</w:t>
            </w:r>
          </w:p>
          <w:p>
            <w:pPr>
              <w:spacing w:line="360" w:lineRule="auto"/>
              <w:ind w:firstLine="480" w:firstLineChars="200"/>
              <w:outlineLvl w:val="1"/>
              <w:rPr>
                <w:rFonts w:hint="eastAsia"/>
                <w:sz w:val="24"/>
              </w:rPr>
            </w:pPr>
            <w:r>
              <w:rPr>
                <w:rFonts w:hint="eastAsia"/>
                <w:sz w:val="24"/>
              </w:rPr>
              <w:t>本次设计交通标线采用热熔型标线涂料，突出标线的反光性、美观性和耐久性。</w:t>
            </w:r>
          </w:p>
          <w:p>
            <w:pPr>
              <w:spacing w:line="360" w:lineRule="auto"/>
              <w:ind w:firstLine="480" w:firstLineChars="200"/>
              <w:outlineLvl w:val="1"/>
              <w:rPr>
                <w:sz w:val="24"/>
              </w:rPr>
            </w:pPr>
            <w:r>
              <w:rPr>
                <w:rFonts w:hint="eastAsia"/>
                <w:sz w:val="24"/>
              </w:rPr>
              <w:t>交通标线设计依据是《道路交通标志和标线》（GB5768-2009）的规定，并结合以往道路标线设计的经验综合而成。</w:t>
            </w:r>
          </w:p>
          <w:p>
            <w:pPr>
              <w:spacing w:line="360" w:lineRule="auto"/>
              <w:ind w:firstLine="480" w:firstLineChars="200"/>
              <w:outlineLvl w:val="1"/>
              <w:rPr>
                <w:sz w:val="24"/>
              </w:rPr>
            </w:pPr>
            <w:r>
              <w:rPr>
                <w:rFonts w:hint="eastAsia"/>
                <w:sz w:val="24"/>
              </w:rPr>
              <w:t>（3）交通监控设计</w:t>
            </w:r>
          </w:p>
          <w:p>
            <w:pPr>
              <w:spacing w:line="360" w:lineRule="auto"/>
              <w:ind w:firstLine="480" w:firstLineChars="200"/>
              <w:outlineLvl w:val="1"/>
              <w:rPr>
                <w:sz w:val="24"/>
              </w:rPr>
            </w:pPr>
            <w:r>
              <w:rPr>
                <w:rFonts w:hint="eastAsia"/>
                <w:sz w:val="24"/>
              </w:rPr>
              <w:t>本次交通监控设计包含 1 个灯控路口。 交通监控工程设计内容包括交通信号控制系统、高清电子警察系统、 CCTV 视频监控系统、网络传输、设备供配电系统及防雷接地系统等。</w:t>
            </w:r>
          </w:p>
          <w:p>
            <w:pPr>
              <w:spacing w:line="360" w:lineRule="auto"/>
              <w:rPr>
                <w:rFonts w:hint="eastAsia"/>
              </w:rPr>
            </w:pPr>
            <w:r>
              <w:rPr>
                <w:b/>
                <w:bCs/>
                <w:sz w:val="24"/>
              </w:rPr>
              <w:t>2.</w:t>
            </w:r>
            <w:r>
              <w:rPr>
                <w:rFonts w:hint="eastAsia"/>
                <w:b/>
                <w:bCs/>
                <w:sz w:val="24"/>
              </w:rPr>
              <w:t>6绿化工程</w:t>
            </w:r>
          </w:p>
          <w:p>
            <w:pPr>
              <w:spacing w:line="360" w:lineRule="auto"/>
              <w:ind w:firstLine="480" w:firstLineChars="200"/>
              <w:rPr>
                <w:rFonts w:hint="eastAsia"/>
                <w:sz w:val="24"/>
              </w:rPr>
            </w:pPr>
            <w:r>
              <w:rPr>
                <w:rFonts w:hint="eastAsia"/>
                <w:sz w:val="24"/>
              </w:rPr>
              <w:t>中央绿化带：以景观乔木(如火焰木、刺桐等)作主景列植，配置小乔木(如黄灌木球（三角梅、扶桑球等）与灌木地被搭配种植，营造律动活波的植物造景。</w:t>
            </w:r>
          </w:p>
          <w:p>
            <w:pPr>
              <w:spacing w:line="360" w:lineRule="auto"/>
              <w:ind w:firstLine="480" w:firstLineChars="200"/>
              <w:rPr>
                <w:rFonts w:hint="eastAsia"/>
                <w:sz w:val="24"/>
              </w:rPr>
            </w:pPr>
            <w:r>
              <w:rPr>
                <w:rFonts w:hint="eastAsia"/>
                <w:sz w:val="24"/>
              </w:rPr>
              <w:t>机非分隔带：以开花乔木(如美人树、宫粉紫荆等)列植， 配置小乔木(如黄槐、红千层、南洋杉等)搭配地被满铺。</w:t>
            </w:r>
          </w:p>
          <w:p>
            <w:pPr>
              <w:spacing w:line="360" w:lineRule="auto"/>
              <w:ind w:firstLine="480" w:firstLineChars="200"/>
              <w:rPr>
                <w:sz w:val="24"/>
              </w:rPr>
            </w:pPr>
            <w:r>
              <w:rPr>
                <w:rFonts w:hint="eastAsia"/>
                <w:sz w:val="24"/>
              </w:rPr>
              <w:t>树池：以常绿乔木(如秋枫、樟树等)列植。</w:t>
            </w:r>
          </w:p>
          <w:p>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2.</w:t>
            </w:r>
            <w:r>
              <w:rPr>
                <w:rFonts w:hint="eastAsia" w:ascii="Times New Roman" w:hAnsi="Times New Roman" w:eastAsia="宋体" w:cs="Times New Roman"/>
                <w:b/>
                <w:bCs/>
                <w:sz w:val="24"/>
              </w:rPr>
              <w:t>7工程占地及拆迁</w:t>
            </w:r>
          </w:p>
          <w:p>
            <w:pPr>
              <w:spacing w:line="360" w:lineRule="auto"/>
              <w:rPr>
                <w:rFonts w:ascii="Times New Roman" w:hAnsi="Times New Roman" w:eastAsia="宋体" w:cs="Times New Roman"/>
                <w:b/>
                <w:bCs/>
                <w:sz w:val="24"/>
              </w:rPr>
            </w:pPr>
            <w:bookmarkStart w:id="59" w:name="_Toc8233"/>
            <w:r>
              <w:rPr>
                <w:rFonts w:ascii="Times New Roman" w:hAnsi="Times New Roman" w:eastAsia="宋体" w:cs="Times New Roman"/>
                <w:b/>
                <w:bCs/>
                <w:sz w:val="24"/>
              </w:rPr>
              <w:t>2.</w:t>
            </w:r>
            <w:r>
              <w:rPr>
                <w:rFonts w:hint="eastAsia" w:ascii="Times New Roman" w:hAnsi="Times New Roman" w:eastAsia="宋体" w:cs="Times New Roman"/>
                <w:b/>
                <w:bCs/>
                <w:sz w:val="24"/>
                <w:lang w:val="en-US" w:eastAsia="zh-CN"/>
              </w:rPr>
              <w:t>7</w:t>
            </w:r>
            <w:r>
              <w:rPr>
                <w:rFonts w:ascii="Times New Roman" w:hAnsi="Times New Roman" w:eastAsia="宋体" w:cs="Times New Roman"/>
                <w:b/>
                <w:bCs/>
                <w:sz w:val="24"/>
              </w:rPr>
              <w:t xml:space="preserve">.1 </w:t>
            </w:r>
            <w:r>
              <w:rPr>
                <w:rFonts w:hint="eastAsia" w:ascii="Times New Roman" w:hAnsi="Times New Roman" w:eastAsia="宋体" w:cs="Times New Roman"/>
                <w:b/>
                <w:bCs/>
                <w:sz w:val="24"/>
              </w:rPr>
              <w:t>工程占地</w:t>
            </w:r>
            <w:bookmarkEnd w:id="59"/>
          </w:p>
          <w:p>
            <w:pPr>
              <w:spacing w:line="360" w:lineRule="auto"/>
              <w:ind w:firstLine="480" w:firstLineChars="200"/>
              <w:rPr>
                <w:sz w:val="24"/>
              </w:rPr>
            </w:pPr>
            <w:r>
              <w:rPr>
                <w:rFonts w:hint="eastAsia"/>
                <w:sz w:val="24"/>
              </w:rPr>
              <w:t>（1）永久占地</w:t>
            </w:r>
          </w:p>
          <w:p>
            <w:pPr>
              <w:spacing w:line="360" w:lineRule="auto"/>
              <w:ind w:firstLine="480" w:firstLineChars="200"/>
              <w:rPr>
                <w:sz w:val="24"/>
              </w:rPr>
            </w:pPr>
            <w:r>
              <w:rPr>
                <w:rFonts w:hint="eastAsia"/>
                <w:sz w:val="24"/>
              </w:rPr>
              <w:t>根据项目主体设计资料，永久征收土地面积4</w:t>
            </w:r>
            <w:r>
              <w:rPr>
                <w:rFonts w:hint="eastAsia"/>
                <w:sz w:val="24"/>
                <w:lang w:val="en-US" w:eastAsia="zh-CN"/>
              </w:rPr>
              <w:t>.</w:t>
            </w:r>
            <w:r>
              <w:rPr>
                <w:rFonts w:hint="eastAsia"/>
                <w:sz w:val="24"/>
              </w:rPr>
              <w:t>0976</w:t>
            </w:r>
            <w:r>
              <w:rPr>
                <w:sz w:val="24"/>
              </w:rPr>
              <w:t>h㎡</w:t>
            </w:r>
            <w:r>
              <w:rPr>
                <w:rFonts w:hint="eastAsia"/>
                <w:sz w:val="24"/>
              </w:rPr>
              <w:t>，其中：农用地3.7437</w:t>
            </w:r>
            <w:r>
              <w:rPr>
                <w:sz w:val="24"/>
              </w:rPr>
              <w:t>h</w:t>
            </w:r>
            <w:r>
              <w:rPr>
                <w:rFonts w:hint="eastAsia"/>
                <w:sz w:val="24"/>
              </w:rPr>
              <w:t>m</w:t>
            </w:r>
            <w:r>
              <w:rPr>
                <w:rFonts w:hint="eastAsia"/>
                <w:sz w:val="24"/>
                <w:vertAlign w:val="superscript"/>
              </w:rPr>
              <w:t>2</w:t>
            </w:r>
            <w:r>
              <w:rPr>
                <w:rFonts w:hint="eastAsia"/>
                <w:sz w:val="24"/>
              </w:rPr>
              <w:t>、建设用地0.2121</w:t>
            </w:r>
            <w:r>
              <w:rPr>
                <w:sz w:val="24"/>
              </w:rPr>
              <w:t>h</w:t>
            </w:r>
            <w:r>
              <w:rPr>
                <w:rFonts w:hint="eastAsia"/>
                <w:sz w:val="24"/>
              </w:rPr>
              <w:t>m</w:t>
            </w:r>
            <w:r>
              <w:rPr>
                <w:rFonts w:hint="eastAsia"/>
                <w:sz w:val="24"/>
                <w:vertAlign w:val="superscript"/>
              </w:rPr>
              <w:t>2</w:t>
            </w:r>
            <w:r>
              <w:rPr>
                <w:rFonts w:hint="eastAsia"/>
                <w:sz w:val="24"/>
              </w:rPr>
              <w:t>、未利用地0.142</w:t>
            </w:r>
            <w:r>
              <w:rPr>
                <w:sz w:val="24"/>
              </w:rPr>
              <w:t>h</w:t>
            </w:r>
            <w:r>
              <w:rPr>
                <w:rFonts w:hint="eastAsia"/>
                <w:sz w:val="24"/>
              </w:rPr>
              <w:t>m</w:t>
            </w:r>
            <w:r>
              <w:rPr>
                <w:rFonts w:hint="eastAsia"/>
                <w:sz w:val="24"/>
                <w:vertAlign w:val="superscript"/>
              </w:rPr>
              <w:t>2</w:t>
            </w:r>
            <w:r>
              <w:rPr>
                <w:rFonts w:hint="eastAsia"/>
                <w:sz w:val="24"/>
              </w:rPr>
              <w:t>，见表2.7-1。</w:t>
            </w:r>
          </w:p>
          <w:p>
            <w:pPr>
              <w:spacing w:line="360" w:lineRule="auto"/>
              <w:ind w:firstLine="480" w:firstLineChars="200"/>
              <w:rPr>
                <w:sz w:val="24"/>
              </w:rPr>
            </w:pPr>
            <w:r>
              <w:rPr>
                <w:rFonts w:hint="eastAsia"/>
                <w:sz w:val="24"/>
              </w:rPr>
              <w:t>（2）临时占地</w:t>
            </w:r>
          </w:p>
          <w:p>
            <w:pPr>
              <w:spacing w:line="360" w:lineRule="auto"/>
              <w:ind w:firstLine="480" w:firstLineChars="200"/>
              <w:rPr>
                <w:rFonts w:hAnsi="宋体"/>
                <w:kern w:val="0"/>
                <w:sz w:val="24"/>
              </w:rPr>
            </w:pPr>
            <w:r>
              <w:rPr>
                <w:rFonts w:hint="eastAsia"/>
                <w:sz w:val="24"/>
              </w:rPr>
              <w:t>本项目临时占地主要为施工场地，位于</w:t>
            </w:r>
            <w:r>
              <w:rPr>
                <w:rFonts w:hint="eastAsia"/>
                <w:sz w:val="24"/>
                <w:lang w:val="en-US" w:eastAsia="zh-CN"/>
              </w:rPr>
              <w:t>清繁大道红线范围内</w:t>
            </w:r>
            <w:r>
              <w:rPr>
                <w:rFonts w:hint="eastAsia"/>
                <w:sz w:val="24"/>
              </w:rPr>
              <w:t>，</w:t>
            </w:r>
            <w:r>
              <w:rPr>
                <w:rFonts w:hint="eastAsia" w:ascii="宋体" w:hAnsi="宋体" w:cs="宋体"/>
                <w:kern w:val="0"/>
                <w:sz w:val="24"/>
              </w:rPr>
              <w:t>占地类型为建设用地，</w:t>
            </w:r>
            <w:r>
              <w:rPr>
                <w:rFonts w:hAnsi="宋体"/>
                <w:kern w:val="0"/>
                <w:sz w:val="24"/>
              </w:rPr>
              <w:t>见表</w:t>
            </w:r>
            <w:r>
              <w:rPr>
                <w:kern w:val="0"/>
                <w:sz w:val="24"/>
              </w:rPr>
              <w:t>2.</w:t>
            </w:r>
            <w:r>
              <w:rPr>
                <w:rFonts w:hint="eastAsia"/>
                <w:kern w:val="0"/>
                <w:sz w:val="24"/>
              </w:rPr>
              <w:t>7</w:t>
            </w:r>
            <w:r>
              <w:rPr>
                <w:kern w:val="0"/>
                <w:sz w:val="24"/>
              </w:rPr>
              <w:t>-1</w:t>
            </w:r>
            <w:r>
              <w:rPr>
                <w:rFonts w:hAnsi="宋体"/>
                <w:kern w:val="0"/>
                <w:sz w:val="24"/>
              </w:rPr>
              <w:t>。</w:t>
            </w:r>
          </w:p>
          <w:p>
            <w:pPr>
              <w:pStyle w:val="16"/>
              <w:spacing w:after="0" w:line="360" w:lineRule="auto"/>
              <w:ind w:left="0" w:leftChars="0"/>
              <w:jc w:val="center"/>
              <w:rPr>
                <w:rFonts w:hAnsi="宋体"/>
                <w:b/>
                <w:kern w:val="0"/>
                <w:sz w:val="24"/>
              </w:rPr>
            </w:pPr>
            <w:r>
              <w:rPr>
                <w:rFonts w:hAnsi="宋体"/>
                <w:b/>
                <w:kern w:val="0"/>
                <w:sz w:val="24"/>
              </w:rPr>
              <w:t>表</w:t>
            </w:r>
            <w:r>
              <w:rPr>
                <w:rFonts w:hint="eastAsia"/>
                <w:b/>
                <w:kern w:val="0"/>
                <w:sz w:val="24"/>
              </w:rPr>
              <w:t>2.7-1</w:t>
            </w:r>
            <w:r>
              <w:rPr>
                <w:b/>
                <w:kern w:val="0"/>
                <w:sz w:val="24"/>
              </w:rPr>
              <w:t xml:space="preserve">  </w:t>
            </w:r>
            <w:r>
              <w:rPr>
                <w:rFonts w:hAnsi="宋体"/>
                <w:b/>
                <w:kern w:val="0"/>
                <w:sz w:val="24"/>
              </w:rPr>
              <w:t>项目占地情况一览表</w:t>
            </w:r>
          </w:p>
          <w:tbl>
            <w:tblPr>
              <w:tblStyle w:val="27"/>
              <w:tblW w:w="87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927"/>
              <w:gridCol w:w="992"/>
              <w:gridCol w:w="851"/>
              <w:gridCol w:w="850"/>
              <w:gridCol w:w="709"/>
              <w:gridCol w:w="851"/>
              <w:gridCol w:w="1134"/>
              <w:gridCol w:w="850"/>
              <w:gridCol w:w="851"/>
              <w:gridCol w:w="7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84" w:hRule="atLeast"/>
                <w:jc w:val="center"/>
              </w:trPr>
              <w:tc>
                <w:tcPr>
                  <w:tcW w:w="1919" w:type="dxa"/>
                  <w:gridSpan w:val="2"/>
                  <w:vMerge w:val="restart"/>
                  <w:tcBorders>
                    <w:right w:val="single" w:color="auto" w:sz="4" w:space="0"/>
                  </w:tcBorders>
                  <w:vAlign w:val="center"/>
                </w:tcPr>
                <w:p>
                  <w:pPr>
                    <w:adjustRightInd w:val="0"/>
                    <w:snapToGrid w:val="0"/>
                    <w:jc w:val="center"/>
                    <w:rPr>
                      <w:rFonts w:hint="eastAsia"/>
                      <w:b/>
                      <w:bCs/>
                      <w:sz w:val="21"/>
                      <w:szCs w:val="21"/>
                    </w:rPr>
                  </w:pPr>
                  <w:r>
                    <w:rPr>
                      <w:rFonts w:hint="eastAsia"/>
                      <w:b/>
                      <w:bCs/>
                      <w:sz w:val="21"/>
                      <w:szCs w:val="21"/>
                    </w:rPr>
                    <w:t>类别</w:t>
                  </w:r>
                </w:p>
              </w:tc>
              <w:tc>
                <w:tcPr>
                  <w:tcW w:w="4395" w:type="dxa"/>
                  <w:gridSpan w:val="5"/>
                  <w:tcBorders>
                    <w:left w:val="single" w:color="auto" w:sz="4" w:space="0"/>
                    <w:right w:val="single" w:color="auto" w:sz="4" w:space="0"/>
                  </w:tcBorders>
                  <w:vAlign w:val="center"/>
                </w:tcPr>
                <w:p>
                  <w:pPr>
                    <w:jc w:val="center"/>
                    <w:rPr>
                      <w:b/>
                      <w:bCs/>
                      <w:kern w:val="0"/>
                      <w:sz w:val="21"/>
                      <w:szCs w:val="21"/>
                    </w:rPr>
                  </w:pPr>
                  <w:r>
                    <w:rPr>
                      <w:rFonts w:hint="eastAsia"/>
                      <w:b/>
                      <w:bCs/>
                      <w:kern w:val="0"/>
                      <w:sz w:val="21"/>
                      <w:szCs w:val="21"/>
                    </w:rPr>
                    <w:t>农用地</w:t>
                  </w:r>
                </w:p>
              </w:tc>
              <w:tc>
                <w:tcPr>
                  <w:tcW w:w="850" w:type="dxa"/>
                  <w:vMerge w:val="restart"/>
                  <w:tcBorders>
                    <w:left w:val="single" w:color="auto" w:sz="4" w:space="0"/>
                    <w:right w:val="single" w:color="auto" w:sz="4" w:space="0"/>
                  </w:tcBorders>
                  <w:vAlign w:val="center"/>
                </w:tcPr>
                <w:p>
                  <w:pPr>
                    <w:jc w:val="center"/>
                    <w:rPr>
                      <w:b/>
                      <w:bCs/>
                      <w:kern w:val="0"/>
                      <w:sz w:val="21"/>
                      <w:szCs w:val="21"/>
                    </w:rPr>
                  </w:pPr>
                  <w:r>
                    <w:rPr>
                      <w:rFonts w:hint="eastAsia"/>
                      <w:b/>
                      <w:bCs/>
                      <w:kern w:val="0"/>
                      <w:sz w:val="21"/>
                      <w:szCs w:val="21"/>
                    </w:rPr>
                    <w:t>建设用地</w:t>
                  </w:r>
                </w:p>
              </w:tc>
              <w:tc>
                <w:tcPr>
                  <w:tcW w:w="851" w:type="dxa"/>
                  <w:vMerge w:val="restart"/>
                  <w:tcBorders>
                    <w:left w:val="single" w:color="auto" w:sz="4" w:space="0"/>
                  </w:tcBorders>
                  <w:vAlign w:val="center"/>
                </w:tcPr>
                <w:p>
                  <w:pPr>
                    <w:jc w:val="center"/>
                    <w:rPr>
                      <w:b/>
                      <w:bCs/>
                      <w:kern w:val="0"/>
                      <w:sz w:val="21"/>
                      <w:szCs w:val="21"/>
                    </w:rPr>
                  </w:pPr>
                  <w:r>
                    <w:rPr>
                      <w:rFonts w:hint="eastAsia"/>
                      <w:b/>
                      <w:bCs/>
                      <w:kern w:val="0"/>
                      <w:sz w:val="21"/>
                      <w:szCs w:val="21"/>
                    </w:rPr>
                    <w:t>未利用地</w:t>
                  </w:r>
                </w:p>
              </w:tc>
              <w:tc>
                <w:tcPr>
                  <w:tcW w:w="762" w:type="dxa"/>
                  <w:vMerge w:val="restart"/>
                  <w:vAlign w:val="center"/>
                </w:tcPr>
                <w:p>
                  <w:pPr>
                    <w:adjustRightInd w:val="0"/>
                    <w:snapToGrid w:val="0"/>
                    <w:jc w:val="center"/>
                    <w:rPr>
                      <w:b/>
                      <w:bCs/>
                      <w:sz w:val="21"/>
                      <w:szCs w:val="21"/>
                    </w:rPr>
                  </w:pPr>
                  <w:r>
                    <w:rPr>
                      <w:b/>
                      <w:bCs/>
                      <w:sz w:val="21"/>
                      <w:szCs w:val="21"/>
                    </w:rPr>
                    <w:t>合计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1919" w:type="dxa"/>
                  <w:gridSpan w:val="2"/>
                  <w:vMerge w:val="continue"/>
                  <w:tcBorders>
                    <w:right w:val="single" w:color="auto" w:sz="4" w:space="0"/>
                  </w:tcBorders>
                  <w:vAlign w:val="center"/>
                </w:tcPr>
                <w:p>
                  <w:pPr>
                    <w:adjustRightInd w:val="0"/>
                    <w:snapToGrid w:val="0"/>
                    <w:jc w:val="center"/>
                    <w:rPr>
                      <w:rFonts w:hint="eastAsia"/>
                      <w:sz w:val="21"/>
                      <w:szCs w:val="21"/>
                    </w:rPr>
                  </w:pPr>
                </w:p>
              </w:tc>
              <w:tc>
                <w:tcPr>
                  <w:tcW w:w="851" w:type="dxa"/>
                  <w:tcBorders>
                    <w:left w:val="single" w:color="auto" w:sz="4" w:space="0"/>
                  </w:tcBorders>
                  <w:vAlign w:val="center"/>
                </w:tcPr>
                <w:p>
                  <w:pPr>
                    <w:adjustRightInd w:val="0"/>
                    <w:snapToGrid w:val="0"/>
                    <w:jc w:val="center"/>
                    <w:rPr>
                      <w:rFonts w:hint="eastAsia"/>
                      <w:b/>
                      <w:bCs/>
                      <w:sz w:val="21"/>
                      <w:szCs w:val="21"/>
                    </w:rPr>
                  </w:pPr>
                  <w:r>
                    <w:rPr>
                      <w:rFonts w:hint="eastAsia"/>
                      <w:b/>
                      <w:bCs/>
                      <w:sz w:val="21"/>
                      <w:szCs w:val="21"/>
                    </w:rPr>
                    <w:t>耕地</w:t>
                  </w:r>
                </w:p>
              </w:tc>
              <w:tc>
                <w:tcPr>
                  <w:tcW w:w="850" w:type="dxa"/>
                  <w:vAlign w:val="center"/>
                </w:tcPr>
                <w:p>
                  <w:pPr>
                    <w:adjustRightInd w:val="0"/>
                    <w:snapToGrid w:val="0"/>
                    <w:jc w:val="center"/>
                    <w:rPr>
                      <w:rFonts w:hint="eastAsia"/>
                      <w:b/>
                      <w:bCs/>
                      <w:sz w:val="21"/>
                      <w:szCs w:val="21"/>
                    </w:rPr>
                  </w:pPr>
                  <w:r>
                    <w:rPr>
                      <w:rFonts w:hint="eastAsia"/>
                      <w:b/>
                      <w:bCs/>
                      <w:sz w:val="21"/>
                      <w:szCs w:val="21"/>
                    </w:rPr>
                    <w:t>林地</w:t>
                  </w:r>
                </w:p>
              </w:tc>
              <w:tc>
                <w:tcPr>
                  <w:tcW w:w="709" w:type="dxa"/>
                  <w:vAlign w:val="center"/>
                </w:tcPr>
                <w:p>
                  <w:pPr>
                    <w:widowControl/>
                    <w:jc w:val="center"/>
                    <w:rPr>
                      <w:rFonts w:hint="eastAsia"/>
                      <w:b/>
                      <w:bCs/>
                      <w:kern w:val="0"/>
                      <w:sz w:val="21"/>
                      <w:szCs w:val="21"/>
                    </w:rPr>
                  </w:pPr>
                  <w:r>
                    <w:rPr>
                      <w:rFonts w:hint="eastAsia"/>
                      <w:b/>
                      <w:bCs/>
                      <w:kern w:val="0"/>
                      <w:sz w:val="21"/>
                      <w:szCs w:val="21"/>
                    </w:rPr>
                    <w:t>园地</w:t>
                  </w:r>
                </w:p>
              </w:tc>
              <w:tc>
                <w:tcPr>
                  <w:tcW w:w="851" w:type="dxa"/>
                  <w:tcBorders>
                    <w:right w:val="single" w:color="auto" w:sz="4" w:space="0"/>
                  </w:tcBorders>
                  <w:vAlign w:val="center"/>
                </w:tcPr>
                <w:p>
                  <w:pPr>
                    <w:widowControl/>
                    <w:jc w:val="center"/>
                    <w:rPr>
                      <w:rFonts w:hint="eastAsia"/>
                      <w:b/>
                      <w:bCs/>
                      <w:kern w:val="0"/>
                      <w:sz w:val="21"/>
                      <w:szCs w:val="21"/>
                    </w:rPr>
                  </w:pPr>
                  <w:r>
                    <w:rPr>
                      <w:rFonts w:hint="eastAsia"/>
                      <w:b/>
                      <w:bCs/>
                      <w:kern w:val="0"/>
                      <w:sz w:val="21"/>
                      <w:szCs w:val="21"/>
                    </w:rPr>
                    <w:t>草地</w:t>
                  </w:r>
                </w:p>
              </w:tc>
              <w:tc>
                <w:tcPr>
                  <w:tcW w:w="1134" w:type="dxa"/>
                  <w:tcBorders>
                    <w:left w:val="single" w:color="auto" w:sz="4" w:space="0"/>
                    <w:right w:val="single" w:color="auto" w:sz="4" w:space="0"/>
                  </w:tcBorders>
                  <w:vAlign w:val="center"/>
                </w:tcPr>
                <w:p>
                  <w:pPr>
                    <w:jc w:val="center"/>
                    <w:rPr>
                      <w:rFonts w:hint="eastAsia"/>
                      <w:b/>
                      <w:bCs/>
                      <w:kern w:val="0"/>
                      <w:sz w:val="21"/>
                      <w:szCs w:val="21"/>
                    </w:rPr>
                  </w:pPr>
                  <w:r>
                    <w:rPr>
                      <w:rFonts w:hint="eastAsia"/>
                      <w:b/>
                      <w:bCs/>
                      <w:kern w:val="0"/>
                      <w:sz w:val="21"/>
                      <w:szCs w:val="21"/>
                    </w:rPr>
                    <w:t>其他农用地</w:t>
                  </w:r>
                </w:p>
              </w:tc>
              <w:tc>
                <w:tcPr>
                  <w:tcW w:w="850" w:type="dxa"/>
                  <w:vMerge w:val="continue"/>
                  <w:tcBorders>
                    <w:left w:val="single" w:color="auto" w:sz="4" w:space="0"/>
                    <w:right w:val="single" w:color="auto" w:sz="4" w:space="0"/>
                  </w:tcBorders>
                  <w:vAlign w:val="center"/>
                </w:tcPr>
                <w:p>
                  <w:pPr>
                    <w:jc w:val="center"/>
                    <w:rPr>
                      <w:rFonts w:hint="eastAsia"/>
                      <w:bCs/>
                      <w:kern w:val="0"/>
                      <w:sz w:val="21"/>
                      <w:szCs w:val="21"/>
                    </w:rPr>
                  </w:pPr>
                </w:p>
              </w:tc>
              <w:tc>
                <w:tcPr>
                  <w:tcW w:w="851" w:type="dxa"/>
                  <w:vMerge w:val="continue"/>
                  <w:tcBorders>
                    <w:left w:val="single" w:color="auto" w:sz="4" w:space="0"/>
                  </w:tcBorders>
                  <w:vAlign w:val="center"/>
                </w:tcPr>
                <w:p>
                  <w:pPr>
                    <w:jc w:val="center"/>
                    <w:rPr>
                      <w:rFonts w:hint="eastAsia"/>
                      <w:bCs/>
                      <w:kern w:val="0"/>
                      <w:sz w:val="21"/>
                      <w:szCs w:val="21"/>
                    </w:rPr>
                  </w:pPr>
                </w:p>
              </w:tc>
              <w:tc>
                <w:tcPr>
                  <w:tcW w:w="762" w:type="dxa"/>
                  <w:vMerge w:val="continue"/>
                  <w:vAlign w:val="center"/>
                </w:tcPr>
                <w:p>
                  <w:pPr>
                    <w:adjustRightInd w:val="0"/>
                    <w:snapToGrid w:val="0"/>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927" w:type="dxa"/>
                  <w:tcBorders>
                    <w:right w:val="single" w:color="auto" w:sz="4" w:space="0"/>
                  </w:tcBorders>
                  <w:vAlign w:val="center"/>
                </w:tcPr>
                <w:p>
                  <w:pPr>
                    <w:adjustRightInd w:val="0"/>
                    <w:snapToGrid w:val="0"/>
                    <w:jc w:val="center"/>
                    <w:rPr>
                      <w:sz w:val="21"/>
                      <w:szCs w:val="21"/>
                    </w:rPr>
                  </w:pPr>
                  <w:r>
                    <w:rPr>
                      <w:rFonts w:hint="eastAsia"/>
                      <w:sz w:val="21"/>
                      <w:szCs w:val="21"/>
                    </w:rPr>
                    <w:t>永久占地</w:t>
                  </w:r>
                </w:p>
              </w:tc>
              <w:tc>
                <w:tcPr>
                  <w:tcW w:w="992" w:type="dxa"/>
                  <w:tcBorders>
                    <w:right w:val="single" w:color="auto" w:sz="4" w:space="0"/>
                  </w:tcBorders>
                  <w:vAlign w:val="center"/>
                </w:tcPr>
                <w:p>
                  <w:pPr>
                    <w:adjustRightInd w:val="0"/>
                    <w:snapToGrid w:val="0"/>
                    <w:jc w:val="center"/>
                    <w:rPr>
                      <w:rFonts w:hint="eastAsia"/>
                      <w:sz w:val="21"/>
                      <w:szCs w:val="21"/>
                    </w:rPr>
                  </w:pPr>
                  <w:r>
                    <w:rPr>
                      <w:rFonts w:hint="eastAsia"/>
                      <w:sz w:val="21"/>
                      <w:szCs w:val="21"/>
                    </w:rPr>
                    <w:t>主体工程</w:t>
                  </w:r>
                </w:p>
              </w:tc>
              <w:tc>
                <w:tcPr>
                  <w:tcW w:w="851" w:type="dxa"/>
                  <w:tcBorders>
                    <w:left w:val="single" w:color="auto" w:sz="4" w:space="0"/>
                  </w:tcBorders>
                  <w:vAlign w:val="center"/>
                </w:tcPr>
                <w:p>
                  <w:pPr>
                    <w:adjustRightInd w:val="0"/>
                    <w:snapToGrid w:val="0"/>
                    <w:jc w:val="center"/>
                    <w:rPr>
                      <w:sz w:val="21"/>
                      <w:szCs w:val="21"/>
                    </w:rPr>
                  </w:pPr>
                  <w:r>
                    <w:rPr>
                      <w:rFonts w:hint="eastAsia"/>
                      <w:sz w:val="21"/>
                      <w:szCs w:val="21"/>
                    </w:rPr>
                    <w:t>1.3941</w:t>
                  </w:r>
                </w:p>
              </w:tc>
              <w:tc>
                <w:tcPr>
                  <w:tcW w:w="850" w:type="dxa"/>
                  <w:vAlign w:val="center"/>
                </w:tcPr>
                <w:p>
                  <w:pPr>
                    <w:adjustRightInd w:val="0"/>
                    <w:snapToGrid w:val="0"/>
                    <w:jc w:val="center"/>
                    <w:rPr>
                      <w:sz w:val="21"/>
                      <w:szCs w:val="21"/>
                    </w:rPr>
                  </w:pPr>
                  <w:r>
                    <w:rPr>
                      <w:rFonts w:hint="eastAsia"/>
                      <w:sz w:val="21"/>
                      <w:szCs w:val="21"/>
                    </w:rPr>
                    <w:t>0.5603</w:t>
                  </w:r>
                </w:p>
              </w:tc>
              <w:tc>
                <w:tcPr>
                  <w:tcW w:w="709" w:type="dxa"/>
                  <w:vAlign w:val="center"/>
                </w:tcPr>
                <w:p>
                  <w:pPr>
                    <w:adjustRightInd w:val="0"/>
                    <w:snapToGrid w:val="0"/>
                    <w:jc w:val="center"/>
                    <w:rPr>
                      <w:sz w:val="21"/>
                      <w:szCs w:val="21"/>
                    </w:rPr>
                  </w:pPr>
                  <w:r>
                    <w:rPr>
                      <w:rFonts w:hint="eastAsia"/>
                      <w:sz w:val="21"/>
                      <w:szCs w:val="21"/>
                    </w:rPr>
                    <w:t>1.3562</w:t>
                  </w:r>
                </w:p>
              </w:tc>
              <w:tc>
                <w:tcPr>
                  <w:tcW w:w="851" w:type="dxa"/>
                  <w:tcBorders>
                    <w:right w:val="single" w:color="auto" w:sz="4" w:space="0"/>
                  </w:tcBorders>
                  <w:vAlign w:val="center"/>
                </w:tcPr>
                <w:p>
                  <w:pPr>
                    <w:adjustRightInd w:val="0"/>
                    <w:snapToGrid w:val="0"/>
                    <w:jc w:val="center"/>
                    <w:rPr>
                      <w:sz w:val="21"/>
                      <w:szCs w:val="21"/>
                    </w:rPr>
                  </w:pPr>
                  <w:r>
                    <w:rPr>
                      <w:rFonts w:hint="eastAsia"/>
                      <w:sz w:val="21"/>
                      <w:szCs w:val="21"/>
                    </w:rPr>
                    <w:t>0.0293</w:t>
                  </w:r>
                </w:p>
              </w:tc>
              <w:tc>
                <w:tcPr>
                  <w:tcW w:w="1134" w:type="dxa"/>
                  <w:tcBorders>
                    <w:left w:val="single" w:color="auto" w:sz="4" w:space="0"/>
                    <w:right w:val="single" w:color="auto" w:sz="4" w:space="0"/>
                  </w:tcBorders>
                  <w:vAlign w:val="center"/>
                </w:tcPr>
                <w:p>
                  <w:pPr>
                    <w:adjustRightInd w:val="0"/>
                    <w:snapToGrid w:val="0"/>
                    <w:jc w:val="center"/>
                    <w:rPr>
                      <w:sz w:val="21"/>
                      <w:szCs w:val="21"/>
                    </w:rPr>
                  </w:pPr>
                  <w:r>
                    <w:rPr>
                      <w:rFonts w:hint="eastAsia"/>
                      <w:sz w:val="21"/>
                      <w:szCs w:val="21"/>
                    </w:rPr>
                    <w:t>0.4038</w:t>
                  </w:r>
                </w:p>
              </w:tc>
              <w:tc>
                <w:tcPr>
                  <w:tcW w:w="850" w:type="dxa"/>
                  <w:tcBorders>
                    <w:left w:val="single" w:color="auto" w:sz="4" w:space="0"/>
                    <w:right w:val="single" w:color="auto" w:sz="4" w:space="0"/>
                  </w:tcBorders>
                  <w:vAlign w:val="center"/>
                </w:tcPr>
                <w:p>
                  <w:pPr>
                    <w:adjustRightInd w:val="0"/>
                    <w:snapToGrid w:val="0"/>
                    <w:jc w:val="center"/>
                    <w:rPr>
                      <w:sz w:val="21"/>
                      <w:szCs w:val="21"/>
                    </w:rPr>
                  </w:pPr>
                  <w:r>
                    <w:rPr>
                      <w:rFonts w:hint="eastAsia"/>
                      <w:sz w:val="21"/>
                      <w:szCs w:val="21"/>
                    </w:rPr>
                    <w:t>0.2121</w:t>
                  </w:r>
                </w:p>
              </w:tc>
              <w:tc>
                <w:tcPr>
                  <w:tcW w:w="851" w:type="dxa"/>
                  <w:tcBorders>
                    <w:left w:val="single" w:color="auto" w:sz="4" w:space="0"/>
                  </w:tcBorders>
                  <w:vAlign w:val="center"/>
                </w:tcPr>
                <w:p>
                  <w:pPr>
                    <w:adjustRightInd w:val="0"/>
                    <w:snapToGrid w:val="0"/>
                    <w:jc w:val="center"/>
                    <w:rPr>
                      <w:sz w:val="21"/>
                      <w:szCs w:val="21"/>
                    </w:rPr>
                  </w:pPr>
                  <w:r>
                    <w:rPr>
                      <w:rFonts w:hint="eastAsia"/>
                      <w:sz w:val="21"/>
                      <w:szCs w:val="21"/>
                    </w:rPr>
                    <w:t>0.1420</w:t>
                  </w:r>
                </w:p>
              </w:tc>
              <w:tc>
                <w:tcPr>
                  <w:tcW w:w="762" w:type="dxa"/>
                  <w:vAlign w:val="center"/>
                </w:tcPr>
                <w:p>
                  <w:pPr>
                    <w:adjustRightInd w:val="0"/>
                    <w:snapToGrid w:val="0"/>
                    <w:jc w:val="center"/>
                    <w:rPr>
                      <w:sz w:val="21"/>
                      <w:szCs w:val="21"/>
                    </w:rPr>
                  </w:pPr>
                  <w:r>
                    <w:rPr>
                      <w:rFonts w:hint="eastAsia"/>
                      <w:sz w:val="21"/>
                      <w:szCs w:val="21"/>
                    </w:rPr>
                    <w:t>4.0976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927" w:type="dxa"/>
                  <w:tcBorders>
                    <w:right w:val="single" w:color="auto" w:sz="4" w:space="0"/>
                  </w:tcBorders>
                  <w:vAlign w:val="center"/>
                </w:tcPr>
                <w:p>
                  <w:pPr>
                    <w:adjustRightInd w:val="0"/>
                    <w:snapToGrid w:val="0"/>
                    <w:jc w:val="center"/>
                    <w:rPr>
                      <w:sz w:val="21"/>
                      <w:szCs w:val="21"/>
                    </w:rPr>
                  </w:pPr>
                  <w:r>
                    <w:rPr>
                      <w:rFonts w:hint="eastAsia"/>
                      <w:sz w:val="21"/>
                      <w:szCs w:val="21"/>
                    </w:rPr>
                    <w:t>临时占地</w:t>
                  </w:r>
                </w:p>
              </w:tc>
              <w:tc>
                <w:tcPr>
                  <w:tcW w:w="992" w:type="dxa"/>
                  <w:tcBorders>
                    <w:righ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rPr>
                    <w:t>临时</w:t>
                  </w:r>
                  <w:r>
                    <w:rPr>
                      <w:rFonts w:hint="eastAsia"/>
                      <w:sz w:val="21"/>
                      <w:szCs w:val="21"/>
                      <w:lang w:val="en-US" w:eastAsia="zh-CN"/>
                    </w:rPr>
                    <w:t>施工场地</w:t>
                  </w:r>
                </w:p>
              </w:tc>
              <w:tc>
                <w:tcPr>
                  <w:tcW w:w="851" w:type="dxa"/>
                  <w:tcBorders>
                    <w:left w:val="single" w:color="auto" w:sz="4" w:space="0"/>
                  </w:tcBorders>
                  <w:vAlign w:val="center"/>
                </w:tcPr>
                <w:p>
                  <w:pPr>
                    <w:adjustRightInd w:val="0"/>
                    <w:snapToGrid w:val="0"/>
                    <w:jc w:val="center"/>
                    <w:rPr>
                      <w:sz w:val="21"/>
                      <w:szCs w:val="21"/>
                    </w:rPr>
                  </w:pPr>
                  <w:r>
                    <w:rPr>
                      <w:rFonts w:hint="eastAsia"/>
                      <w:sz w:val="21"/>
                      <w:szCs w:val="21"/>
                    </w:rPr>
                    <w:t>0</w:t>
                  </w:r>
                </w:p>
              </w:tc>
              <w:tc>
                <w:tcPr>
                  <w:tcW w:w="850" w:type="dxa"/>
                  <w:vAlign w:val="center"/>
                </w:tcPr>
                <w:p>
                  <w:pPr>
                    <w:adjustRightInd w:val="0"/>
                    <w:snapToGrid w:val="0"/>
                    <w:jc w:val="center"/>
                    <w:rPr>
                      <w:sz w:val="21"/>
                      <w:szCs w:val="21"/>
                    </w:rPr>
                  </w:pPr>
                  <w:r>
                    <w:rPr>
                      <w:rFonts w:hint="eastAsia"/>
                      <w:sz w:val="21"/>
                      <w:szCs w:val="21"/>
                    </w:rPr>
                    <w:t>0</w:t>
                  </w:r>
                </w:p>
              </w:tc>
              <w:tc>
                <w:tcPr>
                  <w:tcW w:w="709" w:type="dxa"/>
                  <w:vAlign w:val="center"/>
                </w:tcPr>
                <w:p>
                  <w:pPr>
                    <w:adjustRightInd w:val="0"/>
                    <w:snapToGrid w:val="0"/>
                    <w:jc w:val="center"/>
                    <w:rPr>
                      <w:sz w:val="21"/>
                      <w:szCs w:val="21"/>
                    </w:rPr>
                  </w:pPr>
                  <w:r>
                    <w:rPr>
                      <w:rFonts w:hint="eastAsia"/>
                      <w:sz w:val="21"/>
                      <w:szCs w:val="21"/>
                    </w:rPr>
                    <w:t>0</w:t>
                  </w:r>
                </w:p>
              </w:tc>
              <w:tc>
                <w:tcPr>
                  <w:tcW w:w="851" w:type="dxa"/>
                  <w:tcBorders>
                    <w:right w:val="single" w:color="auto" w:sz="4" w:space="0"/>
                  </w:tcBorders>
                  <w:vAlign w:val="center"/>
                </w:tcPr>
                <w:p>
                  <w:pPr>
                    <w:adjustRightInd w:val="0"/>
                    <w:snapToGrid w:val="0"/>
                    <w:jc w:val="center"/>
                    <w:rPr>
                      <w:sz w:val="21"/>
                      <w:szCs w:val="21"/>
                    </w:rPr>
                  </w:pPr>
                  <w:r>
                    <w:rPr>
                      <w:rFonts w:hint="eastAsia"/>
                      <w:sz w:val="21"/>
                      <w:szCs w:val="21"/>
                    </w:rPr>
                    <w:t>0</w:t>
                  </w:r>
                </w:p>
              </w:tc>
              <w:tc>
                <w:tcPr>
                  <w:tcW w:w="1134" w:type="dxa"/>
                  <w:tcBorders>
                    <w:left w:val="single" w:color="auto" w:sz="4" w:space="0"/>
                    <w:right w:val="single" w:color="auto" w:sz="4" w:space="0"/>
                  </w:tcBorders>
                  <w:vAlign w:val="center"/>
                </w:tcPr>
                <w:p>
                  <w:pPr>
                    <w:adjustRightInd w:val="0"/>
                    <w:snapToGrid w:val="0"/>
                    <w:jc w:val="center"/>
                    <w:rPr>
                      <w:sz w:val="21"/>
                      <w:szCs w:val="21"/>
                    </w:rPr>
                  </w:pPr>
                  <w:r>
                    <w:rPr>
                      <w:rFonts w:hint="eastAsia"/>
                      <w:sz w:val="21"/>
                      <w:szCs w:val="21"/>
                    </w:rPr>
                    <w:t>0</w:t>
                  </w:r>
                </w:p>
              </w:tc>
              <w:tc>
                <w:tcPr>
                  <w:tcW w:w="850" w:type="dxa"/>
                  <w:tcBorders>
                    <w:left w:val="single" w:color="auto" w:sz="4" w:space="0"/>
                    <w:right w:val="single" w:color="auto" w:sz="4" w:space="0"/>
                  </w:tcBorders>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0.30</w:t>
                  </w:r>
                </w:p>
              </w:tc>
              <w:tc>
                <w:tcPr>
                  <w:tcW w:w="851" w:type="dxa"/>
                  <w:tcBorders>
                    <w:left w:val="single" w:color="auto" w:sz="4" w:space="0"/>
                  </w:tcBorders>
                  <w:vAlign w:val="center"/>
                </w:tcPr>
                <w:p>
                  <w:pPr>
                    <w:adjustRightInd w:val="0"/>
                    <w:snapToGrid w:val="0"/>
                    <w:jc w:val="center"/>
                    <w:rPr>
                      <w:sz w:val="21"/>
                      <w:szCs w:val="21"/>
                    </w:rPr>
                  </w:pPr>
                  <w:r>
                    <w:rPr>
                      <w:rFonts w:hint="eastAsia"/>
                      <w:sz w:val="21"/>
                      <w:szCs w:val="21"/>
                    </w:rPr>
                    <w:t>0</w:t>
                  </w:r>
                </w:p>
              </w:tc>
              <w:tc>
                <w:tcPr>
                  <w:tcW w:w="762" w:type="dxa"/>
                  <w:vAlign w:val="center"/>
                </w:tcPr>
                <w:p>
                  <w:pPr>
                    <w:adjustRightInd w:val="0"/>
                    <w:snapToGrid w:val="0"/>
                    <w:jc w:val="center"/>
                    <w:rPr>
                      <w:rFonts w:hint="default" w:eastAsia="宋体"/>
                      <w:sz w:val="21"/>
                      <w:szCs w:val="21"/>
                      <w:lang w:val="en-US" w:eastAsia="zh-CN"/>
                    </w:rPr>
                  </w:pPr>
                  <w:r>
                    <w:rPr>
                      <w:rFonts w:hint="eastAsia"/>
                      <w:sz w:val="21"/>
                      <w:szCs w:val="21"/>
                    </w:rPr>
                    <w:t>0.</w:t>
                  </w:r>
                  <w:r>
                    <w:rPr>
                      <w:rFonts w:hint="eastAsia"/>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1919" w:type="dxa"/>
                  <w:gridSpan w:val="2"/>
                  <w:tcBorders>
                    <w:right w:val="single" w:color="auto" w:sz="4" w:space="0"/>
                  </w:tcBorders>
                  <w:vAlign w:val="center"/>
                </w:tcPr>
                <w:p>
                  <w:pPr>
                    <w:adjustRightInd w:val="0"/>
                    <w:snapToGrid w:val="0"/>
                    <w:jc w:val="center"/>
                    <w:rPr>
                      <w:rFonts w:hint="eastAsia"/>
                      <w:sz w:val="21"/>
                      <w:szCs w:val="21"/>
                    </w:rPr>
                  </w:pPr>
                  <w:r>
                    <w:rPr>
                      <w:rFonts w:hint="eastAsia"/>
                      <w:sz w:val="21"/>
                      <w:szCs w:val="21"/>
                    </w:rPr>
                    <w:t>合计</w:t>
                  </w:r>
                </w:p>
              </w:tc>
              <w:tc>
                <w:tcPr>
                  <w:tcW w:w="851" w:type="dxa"/>
                  <w:tcBorders>
                    <w:left w:val="single" w:color="auto" w:sz="4" w:space="0"/>
                  </w:tcBorders>
                  <w:vAlign w:val="center"/>
                </w:tcPr>
                <w:p>
                  <w:pPr>
                    <w:adjustRightInd w:val="0"/>
                    <w:snapToGrid w:val="0"/>
                    <w:jc w:val="center"/>
                    <w:rPr>
                      <w:sz w:val="21"/>
                      <w:szCs w:val="21"/>
                    </w:rPr>
                  </w:pPr>
                  <w:r>
                    <w:rPr>
                      <w:rFonts w:hint="eastAsia"/>
                      <w:sz w:val="21"/>
                      <w:szCs w:val="21"/>
                    </w:rPr>
                    <w:t>1.3941</w:t>
                  </w:r>
                </w:p>
              </w:tc>
              <w:tc>
                <w:tcPr>
                  <w:tcW w:w="850" w:type="dxa"/>
                  <w:vAlign w:val="center"/>
                </w:tcPr>
                <w:p>
                  <w:pPr>
                    <w:adjustRightInd w:val="0"/>
                    <w:snapToGrid w:val="0"/>
                    <w:jc w:val="center"/>
                    <w:rPr>
                      <w:sz w:val="21"/>
                      <w:szCs w:val="21"/>
                    </w:rPr>
                  </w:pPr>
                  <w:r>
                    <w:rPr>
                      <w:rFonts w:hint="eastAsia"/>
                      <w:sz w:val="21"/>
                      <w:szCs w:val="21"/>
                    </w:rPr>
                    <w:t>0.5603</w:t>
                  </w:r>
                </w:p>
              </w:tc>
              <w:tc>
                <w:tcPr>
                  <w:tcW w:w="709" w:type="dxa"/>
                  <w:vAlign w:val="center"/>
                </w:tcPr>
                <w:p>
                  <w:pPr>
                    <w:adjustRightInd w:val="0"/>
                    <w:snapToGrid w:val="0"/>
                    <w:jc w:val="center"/>
                    <w:rPr>
                      <w:sz w:val="21"/>
                      <w:szCs w:val="21"/>
                    </w:rPr>
                  </w:pPr>
                  <w:r>
                    <w:rPr>
                      <w:rFonts w:hint="eastAsia"/>
                      <w:sz w:val="21"/>
                      <w:szCs w:val="21"/>
                    </w:rPr>
                    <w:t>1.3562</w:t>
                  </w:r>
                </w:p>
              </w:tc>
              <w:tc>
                <w:tcPr>
                  <w:tcW w:w="851" w:type="dxa"/>
                  <w:tcBorders>
                    <w:right w:val="single" w:color="auto" w:sz="4" w:space="0"/>
                  </w:tcBorders>
                  <w:vAlign w:val="center"/>
                </w:tcPr>
                <w:p>
                  <w:pPr>
                    <w:adjustRightInd w:val="0"/>
                    <w:snapToGrid w:val="0"/>
                    <w:jc w:val="center"/>
                    <w:rPr>
                      <w:sz w:val="21"/>
                      <w:szCs w:val="21"/>
                    </w:rPr>
                  </w:pPr>
                  <w:r>
                    <w:rPr>
                      <w:rFonts w:hint="eastAsia"/>
                      <w:sz w:val="21"/>
                      <w:szCs w:val="21"/>
                    </w:rPr>
                    <w:t>0.0293</w:t>
                  </w:r>
                </w:p>
              </w:tc>
              <w:tc>
                <w:tcPr>
                  <w:tcW w:w="1134" w:type="dxa"/>
                  <w:tcBorders>
                    <w:left w:val="single" w:color="auto" w:sz="4" w:space="0"/>
                    <w:right w:val="single" w:color="auto" w:sz="4" w:space="0"/>
                  </w:tcBorders>
                  <w:vAlign w:val="center"/>
                </w:tcPr>
                <w:p>
                  <w:pPr>
                    <w:adjustRightInd w:val="0"/>
                    <w:snapToGrid w:val="0"/>
                    <w:jc w:val="center"/>
                    <w:rPr>
                      <w:sz w:val="21"/>
                      <w:szCs w:val="21"/>
                    </w:rPr>
                  </w:pPr>
                  <w:r>
                    <w:rPr>
                      <w:rFonts w:hint="eastAsia"/>
                      <w:sz w:val="21"/>
                      <w:szCs w:val="21"/>
                    </w:rPr>
                    <w:t>0.4038</w:t>
                  </w:r>
                </w:p>
              </w:tc>
              <w:tc>
                <w:tcPr>
                  <w:tcW w:w="850" w:type="dxa"/>
                  <w:tcBorders>
                    <w:left w:val="single" w:color="auto" w:sz="4" w:space="0"/>
                    <w:right w:val="single" w:color="auto" w:sz="4" w:space="0"/>
                  </w:tcBorders>
                  <w:vAlign w:val="center"/>
                </w:tcPr>
                <w:p>
                  <w:pPr>
                    <w:adjustRightInd w:val="0"/>
                    <w:snapToGrid w:val="0"/>
                    <w:jc w:val="center"/>
                    <w:rPr>
                      <w:sz w:val="21"/>
                      <w:szCs w:val="21"/>
                    </w:rPr>
                  </w:pPr>
                  <w:r>
                    <w:rPr>
                      <w:rFonts w:hint="eastAsia"/>
                      <w:sz w:val="21"/>
                      <w:szCs w:val="21"/>
                    </w:rPr>
                    <w:t>0.5121</w:t>
                  </w:r>
                </w:p>
              </w:tc>
              <w:tc>
                <w:tcPr>
                  <w:tcW w:w="851" w:type="dxa"/>
                  <w:tcBorders>
                    <w:left w:val="single" w:color="auto" w:sz="4" w:space="0"/>
                  </w:tcBorders>
                  <w:vAlign w:val="center"/>
                </w:tcPr>
                <w:p>
                  <w:pPr>
                    <w:adjustRightInd w:val="0"/>
                    <w:snapToGrid w:val="0"/>
                    <w:jc w:val="center"/>
                    <w:rPr>
                      <w:sz w:val="21"/>
                      <w:szCs w:val="21"/>
                    </w:rPr>
                  </w:pPr>
                  <w:r>
                    <w:rPr>
                      <w:rFonts w:hint="eastAsia"/>
                      <w:sz w:val="21"/>
                      <w:szCs w:val="21"/>
                    </w:rPr>
                    <w:t>0.1420</w:t>
                  </w:r>
                </w:p>
              </w:tc>
              <w:tc>
                <w:tcPr>
                  <w:tcW w:w="762" w:type="dxa"/>
                  <w:vAlign w:val="center"/>
                </w:tcPr>
                <w:p>
                  <w:pPr>
                    <w:adjustRightInd w:val="0"/>
                    <w:snapToGrid w:val="0"/>
                    <w:jc w:val="center"/>
                    <w:rPr>
                      <w:sz w:val="21"/>
                      <w:szCs w:val="21"/>
                    </w:rPr>
                  </w:pPr>
                  <w:r>
                    <w:rPr>
                      <w:rFonts w:hint="eastAsia"/>
                      <w:sz w:val="21"/>
                      <w:szCs w:val="21"/>
                    </w:rPr>
                    <w:t>4.3976</w:t>
                  </w:r>
                </w:p>
              </w:tc>
            </w:tr>
          </w:tbl>
          <w:p>
            <w:pPr>
              <w:spacing w:line="360" w:lineRule="auto"/>
              <w:rPr>
                <w:rFonts w:hint="default" w:ascii="Times New Roman" w:hAnsi="Times New Roman" w:eastAsia="宋体" w:cs="Times New Roman"/>
                <w:b/>
                <w:bCs/>
                <w:sz w:val="24"/>
                <w:lang w:val="en-US" w:eastAsia="zh-CN"/>
              </w:rPr>
            </w:pPr>
            <w:bookmarkStart w:id="60" w:name="_Toc22969"/>
            <w:r>
              <w:rPr>
                <w:rFonts w:ascii="Times New Roman" w:hAnsi="Times New Roman" w:eastAsia="宋体" w:cs="Times New Roman"/>
                <w:b/>
                <w:bCs/>
                <w:sz w:val="24"/>
              </w:rPr>
              <w:t>2.</w:t>
            </w:r>
            <w:r>
              <w:rPr>
                <w:rFonts w:hint="eastAsia" w:ascii="Times New Roman" w:hAnsi="Times New Roman" w:eastAsia="宋体" w:cs="Times New Roman"/>
                <w:b/>
                <w:bCs/>
                <w:sz w:val="24"/>
                <w:lang w:val="en-US" w:eastAsia="zh-CN"/>
              </w:rPr>
              <w:t>7</w:t>
            </w: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拆迁</w:t>
            </w:r>
            <w:r>
              <w:rPr>
                <w:rFonts w:hint="eastAsia" w:ascii="Times New Roman" w:hAnsi="Times New Roman" w:eastAsia="宋体" w:cs="Times New Roman"/>
                <w:b/>
                <w:bCs/>
                <w:sz w:val="24"/>
                <w:lang w:val="en-US" w:eastAsia="zh-CN"/>
              </w:rPr>
              <w:t>与征地</w:t>
            </w:r>
            <w:bookmarkEnd w:id="60"/>
          </w:p>
          <w:p>
            <w:pPr>
              <w:pStyle w:val="26"/>
              <w:spacing w:after="0" w:line="360" w:lineRule="auto"/>
              <w:ind w:left="0" w:leftChars="0" w:firstLine="480"/>
              <w:rPr>
                <w:rFonts w:hint="eastAsia"/>
                <w:color w:val="auto"/>
                <w:sz w:val="24"/>
              </w:rPr>
            </w:pPr>
            <w:r>
              <w:rPr>
                <w:rFonts w:hint="eastAsia"/>
                <w:color w:val="auto"/>
                <w:sz w:val="24"/>
              </w:rPr>
              <w:t>本项目共征地为56.72亩，拆迁房屋共331㎡，其中拆迁简易房为256㎡、拆迁混合结构房60㎡和拆迁砖房15㎡。</w:t>
            </w:r>
          </w:p>
          <w:p>
            <w:pPr>
              <w:pStyle w:val="26"/>
              <w:spacing w:after="0" w:line="360" w:lineRule="auto"/>
              <w:ind w:left="0" w:leftChars="0" w:firstLine="480"/>
              <w:rPr>
                <w:b/>
                <w:bCs/>
                <w:sz w:val="24"/>
              </w:rPr>
            </w:pPr>
            <w:r>
              <w:rPr>
                <w:rFonts w:hint="eastAsia"/>
                <w:color w:val="auto"/>
                <w:sz w:val="24"/>
              </w:rPr>
              <w:t>工程涉及的征地拆迁由当地政府负责</w:t>
            </w:r>
            <w:r>
              <w:rPr>
                <w:rFonts w:hint="eastAsia"/>
                <w:color w:val="auto"/>
                <w:sz w:val="24"/>
                <w:lang w:eastAsia="zh-CN"/>
              </w:rPr>
              <w:t>，</w:t>
            </w:r>
            <w:r>
              <w:rPr>
                <w:rFonts w:hint="eastAsia"/>
                <w:color w:val="auto"/>
                <w:sz w:val="24"/>
              </w:rPr>
              <w:t>将依照福建省及福州市有关补偿依据，做好补偿费用工作。</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b/>
                <w:bCs/>
                <w:sz w:val="24"/>
              </w:rPr>
            </w:pPr>
            <w:r>
              <w:rPr>
                <w:b/>
                <w:bCs/>
                <w:sz w:val="24"/>
              </w:rPr>
              <w:t>2.</w:t>
            </w:r>
            <w:r>
              <w:rPr>
                <w:rFonts w:hint="eastAsia"/>
                <w:b/>
                <w:bCs/>
                <w:sz w:val="24"/>
              </w:rPr>
              <w:t xml:space="preserve">8 </w:t>
            </w:r>
            <w:r>
              <w:rPr>
                <w:b/>
                <w:bCs/>
                <w:sz w:val="24"/>
              </w:rPr>
              <w:t>土石方平衡</w:t>
            </w:r>
          </w:p>
          <w:p>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根据项目</w:t>
            </w:r>
            <w:r>
              <w:rPr>
                <w:rFonts w:hint="eastAsia" w:ascii="Times New Roman" w:hAnsi="Times New Roman" w:eastAsia="宋体" w:cs="Times New Roman"/>
                <w:color w:val="auto"/>
                <w:sz w:val="24"/>
                <w:szCs w:val="24"/>
                <w:lang w:val="en-US" w:eastAsia="zh-CN"/>
              </w:rPr>
              <w:t>水土保持方案</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本项目土石方挖填总量</w:t>
            </w:r>
            <w:r>
              <w:rPr>
                <w:rFonts w:hint="default" w:ascii="Times New Roman" w:hAnsi="Times New Roman" w:eastAsia="宋体" w:cs="Times New Roman"/>
                <w:sz w:val="24"/>
                <w:szCs w:val="24"/>
                <w:lang w:val="en-US" w:eastAsia="zh-CN"/>
              </w:rPr>
              <w:t>19.07</w:t>
            </w:r>
            <w:r>
              <w:rPr>
                <w:rFonts w:hint="eastAsia" w:ascii="Times New Roman" w:hAnsi="Times New Roman" w:eastAsia="宋体" w:cs="Times New Roman"/>
                <w:sz w:val="24"/>
                <w:szCs w:val="24"/>
                <w:lang w:val="en-US" w:eastAsia="zh-CN"/>
              </w:rPr>
              <w:t>万</w:t>
            </w:r>
            <w:r>
              <w:rPr>
                <w:rFonts w:hint="default" w:ascii="Times New Roman" w:hAnsi="Times New Roman" w:eastAsia="宋体" w:cs="Times New Roman"/>
                <w:sz w:val="24"/>
                <w:szCs w:val="24"/>
                <w:lang w:val="en-US" w:eastAsia="zh-CN"/>
              </w:rPr>
              <w:t>m³</w:t>
            </w:r>
            <w:r>
              <w:rPr>
                <w:rFonts w:hint="eastAsia" w:ascii="Times New Roman" w:hAnsi="Times New Roman" w:eastAsia="宋体" w:cs="Times New Roman"/>
                <w:sz w:val="24"/>
                <w:szCs w:val="24"/>
                <w:lang w:val="en-US" w:eastAsia="zh-CN"/>
              </w:rPr>
              <w:t>。其中，挖方总量为</w:t>
            </w:r>
            <w:r>
              <w:rPr>
                <w:rFonts w:hint="default" w:ascii="Times New Roman" w:hAnsi="Times New Roman" w:eastAsia="宋体" w:cs="Times New Roman"/>
                <w:sz w:val="24"/>
                <w:szCs w:val="24"/>
                <w:lang w:val="en-US" w:eastAsia="zh-CN"/>
              </w:rPr>
              <w:t>13.06</w:t>
            </w:r>
            <w:r>
              <w:rPr>
                <w:rFonts w:hint="eastAsia" w:ascii="Times New Roman" w:hAnsi="Times New Roman" w:eastAsia="宋体" w:cs="Times New Roman"/>
                <w:sz w:val="24"/>
                <w:szCs w:val="24"/>
                <w:lang w:val="en-US" w:eastAsia="zh-CN"/>
              </w:rPr>
              <w:t>万</w:t>
            </w:r>
            <w:r>
              <w:rPr>
                <w:rFonts w:hint="default" w:ascii="Times New Roman" w:hAnsi="Times New Roman" w:eastAsia="宋体" w:cs="Times New Roman"/>
                <w:sz w:val="24"/>
                <w:szCs w:val="24"/>
                <w:lang w:val="en-US" w:eastAsia="zh-CN"/>
              </w:rPr>
              <w:t>m³</w:t>
            </w:r>
            <w:r>
              <w:rPr>
                <w:rFonts w:hint="eastAsia" w:ascii="Times New Roman" w:hAnsi="Times New Roman" w:eastAsia="宋体" w:cs="Times New Roman"/>
                <w:sz w:val="24"/>
                <w:szCs w:val="24"/>
                <w:lang w:val="en-US" w:eastAsia="zh-CN"/>
              </w:rPr>
              <w:t>，填方总量为</w:t>
            </w:r>
            <w:r>
              <w:rPr>
                <w:rFonts w:hint="default" w:ascii="Times New Roman" w:hAnsi="Times New Roman" w:eastAsia="宋体" w:cs="Times New Roman"/>
                <w:sz w:val="24"/>
                <w:szCs w:val="24"/>
                <w:lang w:val="en-US" w:eastAsia="zh-CN"/>
              </w:rPr>
              <w:t>6.01</w:t>
            </w:r>
            <w:r>
              <w:rPr>
                <w:rFonts w:hint="eastAsia" w:ascii="Times New Roman" w:hAnsi="Times New Roman" w:eastAsia="宋体" w:cs="Times New Roman"/>
                <w:sz w:val="24"/>
                <w:szCs w:val="24"/>
                <w:lang w:val="en-US" w:eastAsia="zh-CN"/>
              </w:rPr>
              <w:t>万</w:t>
            </w:r>
            <w:r>
              <w:rPr>
                <w:rFonts w:hint="default" w:ascii="Times New Roman" w:hAnsi="Times New Roman" w:eastAsia="宋体" w:cs="Times New Roman"/>
                <w:sz w:val="24"/>
                <w:szCs w:val="24"/>
                <w:lang w:val="en-US" w:eastAsia="zh-CN"/>
              </w:rPr>
              <w:t>m³</w:t>
            </w:r>
            <w:r>
              <w:rPr>
                <w:rFonts w:hint="eastAsia" w:ascii="Times New Roman" w:hAnsi="Times New Roman" w:eastAsia="宋体" w:cs="Times New Roman"/>
                <w:sz w:val="24"/>
                <w:szCs w:val="24"/>
                <w:lang w:val="en-US" w:eastAsia="zh-CN"/>
              </w:rPr>
              <w:t>（</w:t>
            </w:r>
            <w:r>
              <w:rPr>
                <w:rFonts w:hint="eastAsia"/>
                <w:kern w:val="2"/>
                <w:sz w:val="24"/>
                <w:szCs w:val="24"/>
              </w:rPr>
              <w:t>含外购绿化种植土1.4万m³</w:t>
            </w:r>
            <w:r>
              <w:rPr>
                <w:rFonts w:hint="eastAsia" w:ascii="Times New Roman" w:hAnsi="Times New Roman" w:eastAsia="宋体" w:cs="Times New Roman"/>
                <w:sz w:val="24"/>
                <w:szCs w:val="24"/>
                <w:lang w:val="en-US" w:eastAsia="zh-CN"/>
              </w:rPr>
              <w:t>），无借方，余方总量</w:t>
            </w:r>
            <w:r>
              <w:rPr>
                <w:rFonts w:hint="default" w:ascii="Times New Roman" w:hAnsi="Times New Roman" w:eastAsia="宋体" w:cs="Times New Roman"/>
                <w:sz w:val="24"/>
                <w:szCs w:val="24"/>
                <w:lang w:val="en-US" w:eastAsia="zh-CN"/>
              </w:rPr>
              <w:t>7.05</w:t>
            </w:r>
            <w:r>
              <w:rPr>
                <w:rFonts w:hint="eastAsia" w:ascii="Times New Roman" w:hAnsi="Times New Roman" w:eastAsia="宋体" w:cs="Times New Roman"/>
                <w:sz w:val="24"/>
                <w:szCs w:val="24"/>
                <w:lang w:val="en-US" w:eastAsia="zh-CN"/>
              </w:rPr>
              <w:t>万</w:t>
            </w:r>
            <w:r>
              <w:rPr>
                <w:rFonts w:hint="default" w:ascii="Times New Roman" w:hAnsi="Times New Roman" w:eastAsia="宋体" w:cs="Times New Roman"/>
                <w:sz w:val="24"/>
                <w:szCs w:val="24"/>
                <w:lang w:val="en-US" w:eastAsia="zh-CN"/>
              </w:rPr>
              <w:t>m³</w:t>
            </w:r>
            <w:r>
              <w:rPr>
                <w:rFonts w:hint="eastAsia" w:ascii="Times New Roman" w:hAnsi="Times New Roman" w:eastAsia="宋体" w:cs="Times New Roman"/>
                <w:sz w:val="24"/>
                <w:szCs w:val="24"/>
              </w:rPr>
              <w:t>。本项目余方由福清市建筑垃圾资源信息平台进行调配，并按照平台调配路线进行运输。</w:t>
            </w:r>
          </w:p>
          <w:p>
            <w:pPr>
              <w:spacing w:line="360" w:lineRule="auto"/>
              <w:ind w:firstLine="480" w:firstLineChars="200"/>
              <w:rPr>
                <w:rFonts w:hint="eastAsia" w:ascii="Times New Roman" w:hAnsi="Times New Roman" w:eastAsia="宋体" w:cs="Times New Roman"/>
                <w:sz w:val="24"/>
                <w:szCs w:val="24"/>
              </w:rPr>
            </w:pPr>
            <w:bookmarkStart w:id="61" w:name="_Toc8427"/>
            <w:r>
              <w:rPr>
                <w:rFonts w:hint="eastAsia" w:ascii="Times New Roman" w:hAnsi="Times New Roman" w:eastAsia="宋体" w:cs="Times New Roman"/>
                <w:sz w:val="24"/>
                <w:szCs w:val="24"/>
              </w:rPr>
              <w:t>根据建设单位提供资料，拟建道路沿线用地主要为农用地，但大多荒废无耕种作业，表层土大部分为素填土，内含较多碎石及少量建筑垃圾等，不宜直接做绿化覆土和路基回填土，因此项目施工时未单独剥离表土。</w:t>
            </w:r>
          </w:p>
          <w:bookmarkEnd w:id="61"/>
          <w:p>
            <w:pPr>
              <w:spacing w:line="360" w:lineRule="auto"/>
              <w:jc w:val="center"/>
              <w:outlineLvl w:val="1"/>
              <w:rPr>
                <w:b/>
                <w:bCs/>
                <w:sz w:val="24"/>
                <w:szCs w:val="32"/>
                <w:vertAlign w:val="superscript"/>
              </w:rPr>
            </w:pPr>
            <w:r>
              <w:rPr>
                <w:rFonts w:hint="eastAsia"/>
                <w:b/>
                <w:bCs/>
                <w:sz w:val="24"/>
                <w:szCs w:val="32"/>
              </w:rPr>
              <w:t>表2.8-1  项目土石方一览表   单位：万m</w:t>
            </w:r>
            <w:r>
              <w:rPr>
                <w:rFonts w:hint="eastAsia"/>
                <w:b/>
                <w:bCs/>
                <w:sz w:val="24"/>
                <w:szCs w:val="32"/>
                <w:vertAlign w:val="superscript"/>
              </w:rPr>
              <w:t>3</w:t>
            </w:r>
          </w:p>
          <w:tbl>
            <w:tblPr>
              <w:tblStyle w:val="27"/>
              <w:tblW w:w="87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801"/>
              <w:gridCol w:w="685"/>
              <w:gridCol w:w="666"/>
              <w:gridCol w:w="704"/>
              <w:gridCol w:w="704"/>
              <w:gridCol w:w="704"/>
              <w:gridCol w:w="702"/>
              <w:gridCol w:w="845"/>
              <w:gridCol w:w="750"/>
              <w:gridCol w:w="15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Merge w:val="restart"/>
                  <w:vAlign w:val="center"/>
                </w:tcPr>
                <w:p>
                  <w:pPr>
                    <w:pStyle w:val="26"/>
                    <w:spacing w:after="0"/>
                    <w:ind w:left="0" w:leftChars="0" w:firstLine="0" w:firstLineChars="0"/>
                    <w:jc w:val="center"/>
                    <w:rPr>
                      <w:b/>
                      <w:bCs/>
                      <w:kern w:val="2"/>
                      <w:sz w:val="18"/>
                      <w:szCs w:val="18"/>
                    </w:rPr>
                  </w:pPr>
                  <w:r>
                    <w:rPr>
                      <w:rFonts w:hint="eastAsia"/>
                      <w:b/>
                      <w:bCs/>
                      <w:kern w:val="2"/>
                      <w:sz w:val="18"/>
                      <w:szCs w:val="18"/>
                    </w:rPr>
                    <w:t>类别</w:t>
                  </w:r>
                </w:p>
              </w:tc>
              <w:tc>
                <w:tcPr>
                  <w:tcW w:w="801" w:type="dxa"/>
                  <w:vMerge w:val="restart"/>
                  <w:vAlign w:val="center"/>
                </w:tcPr>
                <w:p>
                  <w:pPr>
                    <w:pStyle w:val="26"/>
                    <w:spacing w:after="0"/>
                    <w:ind w:left="0" w:leftChars="0" w:firstLine="0" w:firstLineChars="0"/>
                    <w:jc w:val="center"/>
                    <w:rPr>
                      <w:b/>
                      <w:bCs/>
                      <w:kern w:val="2"/>
                      <w:sz w:val="18"/>
                      <w:szCs w:val="18"/>
                    </w:rPr>
                  </w:pPr>
                  <w:r>
                    <w:rPr>
                      <w:rFonts w:hint="eastAsia"/>
                      <w:b/>
                      <w:bCs/>
                      <w:kern w:val="2"/>
                      <w:sz w:val="18"/>
                      <w:szCs w:val="18"/>
                    </w:rPr>
                    <w:t>开挖量</w:t>
                  </w:r>
                </w:p>
              </w:tc>
              <w:tc>
                <w:tcPr>
                  <w:tcW w:w="685" w:type="dxa"/>
                  <w:vMerge w:val="restart"/>
                  <w:vAlign w:val="center"/>
                </w:tcPr>
                <w:p>
                  <w:pPr>
                    <w:pStyle w:val="26"/>
                    <w:spacing w:after="0"/>
                    <w:ind w:left="0" w:leftChars="0" w:firstLine="0" w:firstLineChars="0"/>
                    <w:jc w:val="center"/>
                    <w:rPr>
                      <w:b/>
                      <w:bCs/>
                      <w:kern w:val="2"/>
                      <w:sz w:val="18"/>
                      <w:szCs w:val="18"/>
                    </w:rPr>
                  </w:pPr>
                  <w:r>
                    <w:rPr>
                      <w:rFonts w:hint="eastAsia"/>
                      <w:b/>
                      <w:bCs/>
                      <w:kern w:val="2"/>
                      <w:sz w:val="18"/>
                      <w:szCs w:val="18"/>
                    </w:rPr>
                    <w:t>回填量</w:t>
                  </w:r>
                </w:p>
              </w:tc>
              <w:tc>
                <w:tcPr>
                  <w:tcW w:w="1370" w:type="dxa"/>
                  <w:gridSpan w:val="2"/>
                  <w:vAlign w:val="center"/>
                </w:tcPr>
                <w:p>
                  <w:pPr>
                    <w:pStyle w:val="26"/>
                    <w:spacing w:after="0"/>
                    <w:ind w:left="0" w:leftChars="0" w:firstLine="0" w:firstLineChars="0"/>
                    <w:jc w:val="center"/>
                    <w:rPr>
                      <w:b/>
                      <w:bCs/>
                      <w:kern w:val="2"/>
                      <w:sz w:val="18"/>
                      <w:szCs w:val="18"/>
                    </w:rPr>
                  </w:pPr>
                  <w:r>
                    <w:rPr>
                      <w:rFonts w:hint="eastAsia"/>
                      <w:b/>
                      <w:bCs/>
                      <w:kern w:val="2"/>
                      <w:sz w:val="18"/>
                      <w:szCs w:val="18"/>
                    </w:rPr>
                    <w:t>调入</w:t>
                  </w:r>
                </w:p>
              </w:tc>
              <w:tc>
                <w:tcPr>
                  <w:tcW w:w="1408" w:type="dxa"/>
                  <w:gridSpan w:val="2"/>
                  <w:vAlign w:val="center"/>
                </w:tcPr>
                <w:p>
                  <w:pPr>
                    <w:pStyle w:val="26"/>
                    <w:spacing w:after="0"/>
                    <w:ind w:left="0" w:leftChars="0" w:firstLine="0" w:firstLineChars="0"/>
                    <w:jc w:val="center"/>
                    <w:rPr>
                      <w:b/>
                      <w:bCs/>
                      <w:kern w:val="2"/>
                      <w:sz w:val="18"/>
                      <w:szCs w:val="18"/>
                    </w:rPr>
                  </w:pPr>
                  <w:r>
                    <w:rPr>
                      <w:rFonts w:hint="eastAsia"/>
                      <w:b/>
                      <w:bCs/>
                      <w:kern w:val="2"/>
                      <w:sz w:val="18"/>
                      <w:szCs w:val="18"/>
                    </w:rPr>
                    <w:t>调出</w:t>
                  </w:r>
                </w:p>
              </w:tc>
              <w:tc>
                <w:tcPr>
                  <w:tcW w:w="1547" w:type="dxa"/>
                  <w:gridSpan w:val="2"/>
                  <w:vAlign w:val="center"/>
                </w:tcPr>
                <w:p>
                  <w:pPr>
                    <w:pStyle w:val="26"/>
                    <w:spacing w:after="0"/>
                    <w:ind w:left="0" w:leftChars="0" w:firstLine="0" w:firstLineChars="0"/>
                    <w:jc w:val="center"/>
                    <w:rPr>
                      <w:b/>
                      <w:bCs/>
                      <w:kern w:val="2"/>
                      <w:sz w:val="18"/>
                      <w:szCs w:val="18"/>
                    </w:rPr>
                  </w:pPr>
                  <w:r>
                    <w:rPr>
                      <w:rFonts w:hint="eastAsia"/>
                      <w:b/>
                      <w:bCs/>
                      <w:kern w:val="2"/>
                      <w:sz w:val="18"/>
                      <w:szCs w:val="18"/>
                    </w:rPr>
                    <w:t>借方</w:t>
                  </w:r>
                </w:p>
              </w:tc>
              <w:tc>
                <w:tcPr>
                  <w:tcW w:w="2257" w:type="dxa"/>
                  <w:gridSpan w:val="2"/>
                  <w:vAlign w:val="center"/>
                </w:tcPr>
                <w:p>
                  <w:pPr>
                    <w:pStyle w:val="26"/>
                    <w:spacing w:after="0"/>
                    <w:ind w:left="0" w:leftChars="0" w:firstLine="0" w:firstLineChars="0"/>
                    <w:jc w:val="center"/>
                    <w:rPr>
                      <w:b/>
                      <w:bCs/>
                      <w:kern w:val="2"/>
                      <w:sz w:val="18"/>
                      <w:szCs w:val="18"/>
                    </w:rPr>
                  </w:pPr>
                  <w:r>
                    <w:rPr>
                      <w:rFonts w:hint="eastAsia"/>
                      <w:b/>
                      <w:bCs/>
                      <w:kern w:val="2"/>
                      <w:sz w:val="18"/>
                      <w:szCs w:val="18"/>
                    </w:rPr>
                    <w:t>余（弃）方去向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Merge w:val="continue"/>
                  <w:vAlign w:val="center"/>
                </w:tcPr>
                <w:p>
                  <w:pPr>
                    <w:pStyle w:val="26"/>
                    <w:spacing w:after="0"/>
                    <w:ind w:left="0" w:leftChars="0" w:firstLine="0" w:firstLineChars="0"/>
                    <w:jc w:val="center"/>
                    <w:rPr>
                      <w:b/>
                      <w:bCs/>
                      <w:kern w:val="2"/>
                      <w:sz w:val="18"/>
                      <w:szCs w:val="18"/>
                    </w:rPr>
                  </w:pPr>
                </w:p>
              </w:tc>
              <w:tc>
                <w:tcPr>
                  <w:tcW w:w="801" w:type="dxa"/>
                  <w:vMerge w:val="continue"/>
                  <w:vAlign w:val="center"/>
                </w:tcPr>
                <w:p>
                  <w:pPr>
                    <w:pStyle w:val="26"/>
                    <w:spacing w:after="0"/>
                    <w:ind w:left="0" w:leftChars="0" w:firstLine="0" w:firstLineChars="0"/>
                    <w:jc w:val="center"/>
                    <w:rPr>
                      <w:b/>
                      <w:bCs/>
                      <w:kern w:val="2"/>
                      <w:sz w:val="18"/>
                      <w:szCs w:val="18"/>
                    </w:rPr>
                  </w:pPr>
                </w:p>
              </w:tc>
              <w:tc>
                <w:tcPr>
                  <w:tcW w:w="685" w:type="dxa"/>
                  <w:vMerge w:val="continue"/>
                  <w:vAlign w:val="center"/>
                </w:tcPr>
                <w:p>
                  <w:pPr>
                    <w:pStyle w:val="26"/>
                    <w:spacing w:after="0"/>
                    <w:ind w:left="0" w:leftChars="0" w:firstLine="0" w:firstLineChars="0"/>
                    <w:jc w:val="center"/>
                    <w:rPr>
                      <w:b/>
                      <w:bCs/>
                      <w:kern w:val="2"/>
                      <w:sz w:val="18"/>
                      <w:szCs w:val="18"/>
                    </w:rPr>
                  </w:pPr>
                </w:p>
              </w:tc>
              <w:tc>
                <w:tcPr>
                  <w:tcW w:w="666" w:type="dxa"/>
                  <w:vAlign w:val="center"/>
                </w:tcPr>
                <w:p>
                  <w:pPr>
                    <w:pStyle w:val="26"/>
                    <w:spacing w:after="0"/>
                    <w:ind w:left="0" w:leftChars="0" w:firstLine="0" w:firstLineChars="0"/>
                    <w:jc w:val="center"/>
                    <w:rPr>
                      <w:b/>
                      <w:bCs/>
                      <w:kern w:val="2"/>
                      <w:sz w:val="18"/>
                      <w:szCs w:val="18"/>
                    </w:rPr>
                  </w:pPr>
                  <w:r>
                    <w:rPr>
                      <w:rFonts w:hint="eastAsia"/>
                      <w:b/>
                      <w:bCs/>
                      <w:kern w:val="2"/>
                      <w:sz w:val="18"/>
                      <w:szCs w:val="18"/>
                    </w:rPr>
                    <w:t>数量</w:t>
                  </w:r>
                </w:p>
              </w:tc>
              <w:tc>
                <w:tcPr>
                  <w:tcW w:w="704" w:type="dxa"/>
                  <w:vAlign w:val="center"/>
                </w:tcPr>
                <w:p>
                  <w:pPr>
                    <w:pStyle w:val="26"/>
                    <w:spacing w:after="0"/>
                    <w:ind w:left="0" w:leftChars="0" w:firstLine="0" w:firstLineChars="0"/>
                    <w:jc w:val="center"/>
                    <w:rPr>
                      <w:b/>
                      <w:bCs/>
                      <w:kern w:val="2"/>
                      <w:sz w:val="18"/>
                      <w:szCs w:val="18"/>
                    </w:rPr>
                  </w:pPr>
                  <w:r>
                    <w:rPr>
                      <w:rFonts w:hint="eastAsia"/>
                      <w:b/>
                      <w:bCs/>
                      <w:kern w:val="2"/>
                      <w:sz w:val="18"/>
                      <w:szCs w:val="18"/>
                    </w:rPr>
                    <w:t>来源</w:t>
                  </w:r>
                </w:p>
              </w:tc>
              <w:tc>
                <w:tcPr>
                  <w:tcW w:w="704" w:type="dxa"/>
                  <w:vAlign w:val="center"/>
                </w:tcPr>
                <w:p>
                  <w:pPr>
                    <w:pStyle w:val="26"/>
                    <w:spacing w:after="0"/>
                    <w:ind w:left="0" w:leftChars="0" w:firstLine="0" w:firstLineChars="0"/>
                    <w:jc w:val="center"/>
                    <w:rPr>
                      <w:b/>
                      <w:bCs/>
                      <w:kern w:val="2"/>
                      <w:sz w:val="18"/>
                      <w:szCs w:val="18"/>
                    </w:rPr>
                  </w:pPr>
                  <w:r>
                    <w:rPr>
                      <w:rFonts w:hint="eastAsia"/>
                      <w:b/>
                      <w:bCs/>
                      <w:kern w:val="2"/>
                      <w:sz w:val="18"/>
                      <w:szCs w:val="18"/>
                    </w:rPr>
                    <w:t>数量</w:t>
                  </w:r>
                </w:p>
              </w:tc>
              <w:tc>
                <w:tcPr>
                  <w:tcW w:w="704" w:type="dxa"/>
                  <w:vAlign w:val="center"/>
                </w:tcPr>
                <w:p>
                  <w:pPr>
                    <w:pStyle w:val="26"/>
                    <w:spacing w:after="0"/>
                    <w:ind w:left="0" w:leftChars="0" w:firstLine="0" w:firstLineChars="0"/>
                    <w:jc w:val="center"/>
                    <w:rPr>
                      <w:b/>
                      <w:bCs/>
                      <w:kern w:val="2"/>
                      <w:sz w:val="18"/>
                      <w:szCs w:val="18"/>
                    </w:rPr>
                  </w:pPr>
                  <w:r>
                    <w:rPr>
                      <w:rFonts w:hint="eastAsia"/>
                      <w:b/>
                      <w:bCs/>
                      <w:kern w:val="2"/>
                      <w:sz w:val="18"/>
                      <w:szCs w:val="18"/>
                    </w:rPr>
                    <w:t>来源</w:t>
                  </w:r>
                </w:p>
              </w:tc>
              <w:tc>
                <w:tcPr>
                  <w:tcW w:w="702" w:type="dxa"/>
                  <w:vAlign w:val="center"/>
                </w:tcPr>
                <w:p>
                  <w:pPr>
                    <w:pStyle w:val="26"/>
                    <w:spacing w:after="0"/>
                    <w:ind w:left="0" w:leftChars="0" w:firstLine="0" w:firstLineChars="0"/>
                    <w:jc w:val="center"/>
                    <w:rPr>
                      <w:b/>
                      <w:bCs/>
                      <w:kern w:val="2"/>
                      <w:sz w:val="18"/>
                      <w:szCs w:val="18"/>
                    </w:rPr>
                  </w:pPr>
                  <w:r>
                    <w:rPr>
                      <w:rFonts w:hint="eastAsia"/>
                      <w:b/>
                      <w:bCs/>
                      <w:kern w:val="2"/>
                      <w:sz w:val="18"/>
                      <w:szCs w:val="18"/>
                    </w:rPr>
                    <w:t>数量</w:t>
                  </w:r>
                </w:p>
              </w:tc>
              <w:tc>
                <w:tcPr>
                  <w:tcW w:w="845" w:type="dxa"/>
                  <w:vAlign w:val="center"/>
                </w:tcPr>
                <w:p>
                  <w:pPr>
                    <w:pStyle w:val="26"/>
                    <w:spacing w:after="0"/>
                    <w:ind w:left="0" w:leftChars="0" w:firstLine="0" w:firstLineChars="0"/>
                    <w:jc w:val="center"/>
                    <w:rPr>
                      <w:b/>
                      <w:bCs/>
                      <w:kern w:val="2"/>
                      <w:sz w:val="18"/>
                      <w:szCs w:val="18"/>
                    </w:rPr>
                  </w:pPr>
                  <w:r>
                    <w:rPr>
                      <w:rFonts w:hint="eastAsia"/>
                      <w:b/>
                      <w:bCs/>
                      <w:kern w:val="2"/>
                      <w:sz w:val="18"/>
                      <w:szCs w:val="18"/>
                    </w:rPr>
                    <w:t>来源</w:t>
                  </w:r>
                </w:p>
              </w:tc>
              <w:tc>
                <w:tcPr>
                  <w:tcW w:w="750" w:type="dxa"/>
                  <w:vAlign w:val="center"/>
                </w:tcPr>
                <w:p>
                  <w:pPr>
                    <w:pStyle w:val="26"/>
                    <w:spacing w:after="0"/>
                    <w:ind w:left="0" w:leftChars="0" w:firstLine="0" w:firstLineChars="0"/>
                    <w:jc w:val="center"/>
                    <w:rPr>
                      <w:b/>
                      <w:bCs/>
                      <w:kern w:val="2"/>
                      <w:sz w:val="18"/>
                      <w:szCs w:val="18"/>
                    </w:rPr>
                  </w:pPr>
                  <w:r>
                    <w:rPr>
                      <w:rFonts w:hint="eastAsia"/>
                      <w:b/>
                      <w:bCs/>
                      <w:kern w:val="2"/>
                      <w:sz w:val="18"/>
                      <w:szCs w:val="18"/>
                    </w:rPr>
                    <w:t>数量</w:t>
                  </w:r>
                </w:p>
              </w:tc>
              <w:tc>
                <w:tcPr>
                  <w:tcW w:w="1507" w:type="dxa"/>
                  <w:vAlign w:val="center"/>
                </w:tcPr>
                <w:p>
                  <w:pPr>
                    <w:pStyle w:val="26"/>
                    <w:spacing w:after="0"/>
                    <w:ind w:left="0" w:leftChars="0" w:firstLine="0" w:firstLineChars="0"/>
                    <w:jc w:val="center"/>
                    <w:rPr>
                      <w:b/>
                      <w:bCs/>
                      <w:kern w:val="2"/>
                      <w:sz w:val="18"/>
                      <w:szCs w:val="18"/>
                    </w:rPr>
                  </w:pPr>
                  <w:r>
                    <w:rPr>
                      <w:rFonts w:hint="eastAsia"/>
                      <w:b/>
                      <w:bCs/>
                      <w:kern w:val="2"/>
                      <w:sz w:val="18"/>
                      <w:szCs w:val="18"/>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26"/>
                    <w:spacing w:after="0"/>
                    <w:ind w:left="0" w:leftChars="0" w:firstLine="0" w:firstLineChars="0"/>
                    <w:jc w:val="center"/>
                    <w:rPr>
                      <w:kern w:val="2"/>
                      <w:sz w:val="18"/>
                      <w:szCs w:val="18"/>
                    </w:rPr>
                  </w:pPr>
                  <w:r>
                    <w:rPr>
                      <w:rFonts w:hint="eastAsia"/>
                      <w:kern w:val="2"/>
                      <w:sz w:val="18"/>
                      <w:szCs w:val="18"/>
                    </w:rPr>
                    <w:t>道路工程</w:t>
                  </w:r>
                </w:p>
              </w:tc>
              <w:tc>
                <w:tcPr>
                  <w:tcW w:w="801"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13.06</w:t>
                  </w:r>
                </w:p>
              </w:tc>
              <w:tc>
                <w:tcPr>
                  <w:tcW w:w="685"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6.01</w:t>
                  </w:r>
                </w:p>
              </w:tc>
              <w:tc>
                <w:tcPr>
                  <w:tcW w:w="666"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6.01</w:t>
                  </w:r>
                </w:p>
              </w:tc>
              <w:tc>
                <w:tcPr>
                  <w:tcW w:w="704" w:type="dxa"/>
                  <w:vAlign w:val="center"/>
                </w:tcPr>
                <w:p>
                  <w:pPr>
                    <w:pStyle w:val="26"/>
                    <w:spacing w:after="0"/>
                    <w:ind w:left="0" w:leftChars="0" w:firstLine="0" w:firstLineChars="0"/>
                    <w:jc w:val="center"/>
                    <w:rPr>
                      <w:kern w:val="2"/>
                      <w:sz w:val="18"/>
                      <w:szCs w:val="18"/>
                    </w:rPr>
                  </w:pPr>
                  <w:r>
                    <w:rPr>
                      <w:rFonts w:hint="eastAsia"/>
                      <w:kern w:val="2"/>
                      <w:sz w:val="18"/>
                      <w:szCs w:val="18"/>
                    </w:rPr>
                    <w:t>道路工程</w:t>
                  </w:r>
                </w:p>
              </w:tc>
              <w:tc>
                <w:tcPr>
                  <w:tcW w:w="704"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704"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702"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845"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750"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7.05</w:t>
                  </w:r>
                </w:p>
              </w:tc>
              <w:tc>
                <w:tcPr>
                  <w:tcW w:w="1507" w:type="dxa"/>
                  <w:vMerge w:val="restart"/>
                  <w:vAlign w:val="center"/>
                </w:tcPr>
                <w:p>
                  <w:pPr>
                    <w:pStyle w:val="26"/>
                    <w:spacing w:after="0"/>
                    <w:ind w:left="0" w:leftChars="0" w:firstLine="0" w:firstLineChars="0"/>
                    <w:jc w:val="center"/>
                    <w:rPr>
                      <w:kern w:val="2"/>
                      <w:sz w:val="18"/>
                      <w:szCs w:val="18"/>
                    </w:rPr>
                  </w:pPr>
                  <w:r>
                    <w:rPr>
                      <w:rFonts w:hint="eastAsia" w:ascii="宋体" w:hAnsi="宋体" w:cs="宋体"/>
                      <w:sz w:val="18"/>
                      <w:szCs w:val="18"/>
                    </w:rPr>
                    <w:t>由福清市建筑垃圾资源信息平台进行调配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26"/>
                    <w:spacing w:after="0"/>
                    <w:ind w:left="0" w:leftChars="0" w:firstLine="0" w:firstLineChars="0"/>
                    <w:jc w:val="center"/>
                    <w:rPr>
                      <w:kern w:val="2"/>
                      <w:sz w:val="18"/>
                      <w:szCs w:val="18"/>
                    </w:rPr>
                  </w:pPr>
                  <w:r>
                    <w:rPr>
                      <w:rFonts w:hint="eastAsia"/>
                      <w:kern w:val="2"/>
                      <w:sz w:val="18"/>
                      <w:szCs w:val="18"/>
                    </w:rPr>
                    <w:t>绿化工程</w:t>
                  </w:r>
                </w:p>
              </w:tc>
              <w:tc>
                <w:tcPr>
                  <w:tcW w:w="801"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685"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1.4</w:t>
                  </w:r>
                </w:p>
              </w:tc>
              <w:tc>
                <w:tcPr>
                  <w:tcW w:w="666"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w:t>
                  </w:r>
                </w:p>
              </w:tc>
              <w:tc>
                <w:tcPr>
                  <w:tcW w:w="704" w:type="dxa"/>
                  <w:vAlign w:val="center"/>
                </w:tcPr>
                <w:p>
                  <w:pPr>
                    <w:pStyle w:val="26"/>
                    <w:spacing w:after="0"/>
                    <w:ind w:left="0" w:leftChars="0" w:firstLine="0" w:firstLineChars="0"/>
                    <w:jc w:val="center"/>
                    <w:rPr>
                      <w:kern w:val="2"/>
                      <w:sz w:val="18"/>
                      <w:szCs w:val="18"/>
                    </w:rPr>
                  </w:pPr>
                  <w:r>
                    <w:rPr>
                      <w:rFonts w:hint="eastAsia"/>
                      <w:kern w:val="2"/>
                      <w:sz w:val="18"/>
                      <w:szCs w:val="18"/>
                    </w:rPr>
                    <w:t>道路工程</w:t>
                  </w:r>
                </w:p>
              </w:tc>
              <w:tc>
                <w:tcPr>
                  <w:tcW w:w="704"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704"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702"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1.4</w:t>
                  </w:r>
                </w:p>
              </w:tc>
              <w:tc>
                <w:tcPr>
                  <w:tcW w:w="845" w:type="dxa"/>
                  <w:vAlign w:val="center"/>
                </w:tcPr>
                <w:p>
                  <w:pPr>
                    <w:pStyle w:val="26"/>
                    <w:spacing w:after="0"/>
                    <w:ind w:left="0" w:leftChars="0" w:firstLine="0" w:firstLineChars="0"/>
                    <w:jc w:val="center"/>
                    <w:rPr>
                      <w:kern w:val="2"/>
                      <w:sz w:val="18"/>
                      <w:szCs w:val="18"/>
                    </w:rPr>
                  </w:pPr>
                  <w:r>
                    <w:rPr>
                      <w:rFonts w:hint="eastAsia"/>
                      <w:kern w:val="2"/>
                      <w:sz w:val="18"/>
                      <w:szCs w:val="18"/>
                    </w:rPr>
                    <w:t>外购</w:t>
                  </w:r>
                </w:p>
              </w:tc>
              <w:tc>
                <w:tcPr>
                  <w:tcW w:w="750"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1507" w:type="dxa"/>
                  <w:vMerge w:val="continue"/>
                  <w:vAlign w:val="center"/>
                </w:tcPr>
                <w:p>
                  <w:pPr>
                    <w:pStyle w:val="26"/>
                    <w:spacing w:after="0"/>
                    <w:ind w:left="0" w:leftChars="0" w:firstLine="0" w:firstLineChars="0"/>
                    <w:jc w:val="center"/>
                    <w:rPr>
                      <w:kern w:val="2"/>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2" w:type="dxa"/>
                  <w:vAlign w:val="center"/>
                </w:tcPr>
                <w:p>
                  <w:pPr>
                    <w:pStyle w:val="26"/>
                    <w:spacing w:after="0"/>
                    <w:ind w:left="0" w:leftChars="0" w:firstLine="0" w:firstLineChars="0"/>
                    <w:jc w:val="center"/>
                    <w:rPr>
                      <w:kern w:val="2"/>
                      <w:sz w:val="18"/>
                      <w:szCs w:val="18"/>
                    </w:rPr>
                  </w:pPr>
                  <w:r>
                    <w:rPr>
                      <w:rFonts w:hint="eastAsia"/>
                      <w:kern w:val="2"/>
                      <w:sz w:val="18"/>
                      <w:szCs w:val="18"/>
                    </w:rPr>
                    <w:t>合计</w:t>
                  </w:r>
                </w:p>
              </w:tc>
              <w:tc>
                <w:tcPr>
                  <w:tcW w:w="801"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13.06</w:t>
                  </w:r>
                </w:p>
              </w:tc>
              <w:tc>
                <w:tcPr>
                  <w:tcW w:w="685"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7.41</w:t>
                  </w:r>
                </w:p>
              </w:tc>
              <w:tc>
                <w:tcPr>
                  <w:tcW w:w="666"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6.01</w:t>
                  </w:r>
                </w:p>
              </w:tc>
              <w:tc>
                <w:tcPr>
                  <w:tcW w:w="704"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704"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704"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702"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1.4</w:t>
                  </w:r>
                </w:p>
              </w:tc>
              <w:tc>
                <w:tcPr>
                  <w:tcW w:w="845" w:type="dxa"/>
                  <w:vAlign w:val="center"/>
                </w:tcPr>
                <w:p>
                  <w:pPr>
                    <w:pStyle w:val="26"/>
                    <w:spacing w:after="0"/>
                    <w:ind w:left="0" w:leftChars="0" w:firstLine="0" w:firstLineChars="0"/>
                    <w:jc w:val="center"/>
                    <w:rPr>
                      <w:kern w:val="2"/>
                      <w:sz w:val="18"/>
                      <w:szCs w:val="18"/>
                    </w:rPr>
                  </w:pPr>
                  <w:r>
                    <w:rPr>
                      <w:rFonts w:hint="eastAsia"/>
                      <w:kern w:val="2"/>
                      <w:sz w:val="18"/>
                      <w:szCs w:val="18"/>
                    </w:rPr>
                    <w:t>/</w:t>
                  </w:r>
                </w:p>
              </w:tc>
              <w:tc>
                <w:tcPr>
                  <w:tcW w:w="750" w:type="dxa"/>
                  <w:vAlign w:val="center"/>
                </w:tcPr>
                <w:p>
                  <w:pPr>
                    <w:pStyle w:val="26"/>
                    <w:spacing w:after="0"/>
                    <w:ind w:left="0" w:leftChars="0" w:firstLine="0" w:firstLineChars="0"/>
                    <w:jc w:val="center"/>
                    <w:rPr>
                      <w:rFonts w:hint="eastAsia"/>
                      <w:kern w:val="2"/>
                      <w:sz w:val="18"/>
                      <w:szCs w:val="18"/>
                    </w:rPr>
                  </w:pPr>
                  <w:r>
                    <w:rPr>
                      <w:rFonts w:hint="eastAsia"/>
                      <w:kern w:val="2"/>
                      <w:sz w:val="18"/>
                      <w:szCs w:val="18"/>
                    </w:rPr>
                    <w:t>7.06</w:t>
                  </w:r>
                </w:p>
              </w:tc>
              <w:tc>
                <w:tcPr>
                  <w:tcW w:w="1507" w:type="dxa"/>
                  <w:vMerge w:val="continue"/>
                  <w:vAlign w:val="center"/>
                </w:tcPr>
                <w:p>
                  <w:pPr>
                    <w:pStyle w:val="26"/>
                    <w:spacing w:after="0"/>
                    <w:ind w:left="0" w:leftChars="0" w:firstLine="0" w:firstLineChars="0"/>
                    <w:jc w:val="center"/>
                    <w:rPr>
                      <w:kern w:val="2"/>
                      <w:sz w:val="18"/>
                      <w:szCs w:val="18"/>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2.9交通量预测</w:t>
            </w:r>
          </w:p>
          <w:p>
            <w:pPr>
              <w:spacing w:line="360" w:lineRule="auto"/>
              <w:ind w:firstLine="480"/>
              <w:jc w:val="left"/>
              <w:rPr>
                <w:color w:val="auto"/>
                <w:sz w:val="24"/>
              </w:rPr>
            </w:pPr>
            <w:r>
              <w:rPr>
                <w:rFonts w:hint="default" w:ascii="Times New Roman" w:hAnsi="Times New Roman" w:cs="Times New Roman"/>
                <w:sz w:val="24"/>
              </w:rPr>
              <w:t>项目计划于202</w:t>
            </w:r>
            <w:r>
              <w:rPr>
                <w:rFonts w:hint="eastAsia" w:cs="Times New Roman"/>
                <w:sz w:val="24"/>
                <w:lang w:val="en-US" w:eastAsia="zh-CN"/>
              </w:rPr>
              <w:t>6</w:t>
            </w:r>
            <w:r>
              <w:rPr>
                <w:rFonts w:hint="default" w:ascii="Times New Roman" w:hAnsi="Times New Roman" w:cs="Times New Roman"/>
                <w:sz w:val="24"/>
              </w:rPr>
              <w:t>年</w:t>
            </w:r>
            <w:r>
              <w:rPr>
                <w:rFonts w:hint="eastAsia" w:cs="Times New Roman"/>
                <w:sz w:val="24"/>
                <w:lang w:val="en-US" w:eastAsia="zh-CN"/>
              </w:rPr>
              <w:t>1月</w:t>
            </w:r>
            <w:r>
              <w:rPr>
                <w:rFonts w:hint="default" w:ascii="Times New Roman" w:hAnsi="Times New Roman" w:cs="Times New Roman"/>
                <w:sz w:val="24"/>
              </w:rPr>
              <w:t>通车，</w:t>
            </w:r>
            <w:r>
              <w:rPr>
                <w:color w:val="auto"/>
                <w:sz w:val="24"/>
              </w:rPr>
              <w:t>根据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环境影响评价技术导则</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公路建设项目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HJ 1358-2024</w:t>
            </w:r>
            <w:r>
              <w:rPr>
                <w:rFonts w:ascii="Times New Roman" w:hAnsi="Times New Roman" w:eastAsia="宋体" w:cs="Times New Roman"/>
                <w:color w:val="auto"/>
                <w:sz w:val="24"/>
              </w:rPr>
              <w:t>)中第</w:t>
            </w:r>
            <w:r>
              <w:rPr>
                <w:rFonts w:hint="eastAsia" w:ascii="Times New Roman" w:hAnsi="Times New Roman" w:eastAsia="宋体" w:cs="Times New Roman"/>
                <w:color w:val="auto"/>
                <w:sz w:val="24"/>
                <w:lang w:val="en-US" w:eastAsia="zh-CN"/>
              </w:rPr>
              <w:t>5.2.9</w:t>
            </w:r>
            <w:r>
              <w:rPr>
                <w:rFonts w:ascii="Times New Roman" w:hAnsi="Times New Roman" w:eastAsia="宋体" w:cs="Times New Roman"/>
                <w:color w:val="auto"/>
                <w:sz w:val="24"/>
              </w:rPr>
              <w:t>条规定“根据工程可行性研究报告或设计文件，分别选取运营第1、7和15年作为运营近、中、远期的代表年份”，</w:t>
            </w:r>
            <w:r>
              <w:rPr>
                <w:rFonts w:hint="eastAsia" w:ascii="Times New Roman" w:hAnsi="Times New Roman" w:eastAsia="宋体" w:cs="Times New Roman"/>
                <w:color w:val="auto"/>
                <w:sz w:val="24"/>
                <w:lang w:val="en-US" w:eastAsia="zh-CN"/>
              </w:rPr>
              <w:t>本次</w:t>
            </w:r>
            <w:r>
              <w:rPr>
                <w:rFonts w:ascii="Times New Roman" w:hAnsi="Times New Roman" w:eastAsia="宋体" w:cs="Times New Roman"/>
                <w:color w:val="auto"/>
                <w:sz w:val="24"/>
              </w:rPr>
              <w:t>预测</w:t>
            </w:r>
            <w:r>
              <w:rPr>
                <w:color w:val="auto"/>
                <w:sz w:val="24"/>
              </w:rPr>
              <w:t>年限取202</w:t>
            </w:r>
            <w:r>
              <w:rPr>
                <w:rFonts w:hint="eastAsia"/>
                <w:color w:val="auto"/>
                <w:sz w:val="24"/>
                <w:lang w:val="en-US" w:eastAsia="zh-CN"/>
              </w:rPr>
              <w:t>6</w:t>
            </w:r>
            <w:r>
              <w:rPr>
                <w:color w:val="auto"/>
                <w:sz w:val="24"/>
              </w:rPr>
              <w:t>年（营运近期）、203</w:t>
            </w:r>
            <w:r>
              <w:rPr>
                <w:rFonts w:hint="eastAsia"/>
                <w:color w:val="auto"/>
                <w:sz w:val="24"/>
                <w:lang w:val="en-US" w:eastAsia="zh-CN"/>
              </w:rPr>
              <w:t>2</w:t>
            </w:r>
            <w:r>
              <w:rPr>
                <w:color w:val="auto"/>
                <w:sz w:val="24"/>
              </w:rPr>
              <w:t>年（营运中期）和20</w:t>
            </w:r>
            <w:r>
              <w:rPr>
                <w:rFonts w:hint="eastAsia"/>
                <w:color w:val="auto"/>
                <w:sz w:val="24"/>
                <w:lang w:val="en-US" w:eastAsia="zh-CN"/>
              </w:rPr>
              <w:t>40</w:t>
            </w:r>
            <w:r>
              <w:rPr>
                <w:color w:val="auto"/>
                <w:sz w:val="24"/>
              </w:rPr>
              <w:t>年（营运远期）。根据“</w:t>
            </w:r>
            <w:r>
              <w:rPr>
                <w:rFonts w:hint="eastAsia"/>
                <w:color w:val="auto"/>
                <w:sz w:val="24"/>
                <w:lang w:val="en-US" w:eastAsia="zh-CN"/>
              </w:rPr>
              <w:t>初设</w:t>
            </w:r>
            <w:r>
              <w:rPr>
                <w:color w:val="auto"/>
                <w:sz w:val="24"/>
              </w:rPr>
              <w:t>”报告，项目各规划年</w:t>
            </w:r>
            <w:r>
              <w:rPr>
                <w:rFonts w:hint="eastAsia"/>
                <w:color w:val="auto"/>
                <w:sz w:val="24"/>
                <w:lang w:val="en-US" w:eastAsia="zh-CN"/>
              </w:rPr>
              <w:t>相对</w:t>
            </w:r>
            <w:r>
              <w:rPr>
                <w:color w:val="auto"/>
                <w:sz w:val="24"/>
              </w:rPr>
              <w:t>交通量见</w:t>
            </w:r>
            <w:r>
              <w:rPr>
                <w:b/>
                <w:bCs/>
                <w:color w:val="auto"/>
                <w:sz w:val="24"/>
              </w:rPr>
              <w:t>表</w:t>
            </w:r>
            <w:r>
              <w:rPr>
                <w:rFonts w:hint="eastAsia"/>
                <w:b/>
                <w:bCs/>
                <w:color w:val="auto"/>
                <w:sz w:val="24"/>
                <w:lang w:val="en-US" w:eastAsia="zh-CN"/>
              </w:rPr>
              <w:t>2.9-1</w:t>
            </w:r>
            <w:r>
              <w:rPr>
                <w:color w:val="auto"/>
                <w:sz w:val="24"/>
              </w:rPr>
              <w:t>。</w:t>
            </w:r>
          </w:p>
          <w:p>
            <w:pPr>
              <w:widowControl/>
              <w:snapToGrid w:val="0"/>
              <w:spacing w:before="60" w:after="160"/>
              <w:ind w:right="113" w:firstLine="482"/>
              <w:jc w:val="center"/>
              <w:rPr>
                <w:b/>
                <w:bCs/>
                <w:color w:val="auto"/>
                <w:kern w:val="0"/>
                <w:sz w:val="24"/>
              </w:rPr>
            </w:pPr>
            <w:r>
              <w:rPr>
                <w:b/>
                <w:bCs/>
                <w:color w:val="auto"/>
                <w:kern w:val="0"/>
                <w:sz w:val="24"/>
              </w:rPr>
              <w:t>表</w:t>
            </w:r>
            <w:r>
              <w:rPr>
                <w:rFonts w:hint="eastAsia"/>
                <w:b/>
                <w:bCs/>
                <w:color w:val="auto"/>
                <w:kern w:val="0"/>
                <w:sz w:val="24"/>
                <w:lang w:val="en-US" w:eastAsia="zh-CN"/>
              </w:rPr>
              <w:t>2.9-1</w:t>
            </w:r>
            <w:r>
              <w:rPr>
                <w:b/>
                <w:bCs/>
                <w:color w:val="auto"/>
                <w:kern w:val="0"/>
                <w:sz w:val="24"/>
              </w:rPr>
              <w:t xml:space="preserve"> 项目各规划年</w:t>
            </w:r>
            <w:r>
              <w:rPr>
                <w:rFonts w:hint="eastAsia"/>
                <w:b/>
                <w:bCs/>
                <w:color w:val="auto"/>
                <w:sz w:val="24"/>
                <w:lang w:val="en-US" w:eastAsia="zh-CN"/>
              </w:rPr>
              <w:t>相对</w:t>
            </w:r>
            <w:r>
              <w:rPr>
                <w:b/>
                <w:bCs/>
                <w:color w:val="auto"/>
                <w:kern w:val="0"/>
                <w:sz w:val="24"/>
              </w:rPr>
              <w:t>交通量  单位：pcu/d</w:t>
            </w:r>
          </w:p>
          <w:tbl>
            <w:tblPr>
              <w:tblStyle w:val="27"/>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312"/>
              <w:gridCol w:w="1777"/>
              <w:gridCol w:w="1780"/>
              <w:gridCol w:w="177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3313" w:type="dxa"/>
                  <w:noWrap w:val="0"/>
                  <w:vAlign w:val="center"/>
                </w:tcPr>
                <w:p>
                  <w:pPr>
                    <w:adjustRightInd w:val="0"/>
                    <w:jc w:val="center"/>
                    <w:rPr>
                      <w:b/>
                      <w:bCs/>
                      <w:color w:val="auto"/>
                      <w:sz w:val="21"/>
                      <w:szCs w:val="21"/>
                    </w:rPr>
                  </w:pPr>
                  <w:r>
                    <w:rPr>
                      <w:rFonts w:hint="default" w:ascii="Times New Roman" w:hAnsi="Times New Roman" w:cs="Times New Roman"/>
                      <w:b/>
                      <w:bCs/>
                      <w:sz w:val="21"/>
                      <w:szCs w:val="21"/>
                    </w:rPr>
                    <w:t>道路名称</w:t>
                  </w:r>
                </w:p>
              </w:tc>
              <w:tc>
                <w:tcPr>
                  <w:tcW w:w="1777" w:type="dxa"/>
                  <w:noWrap w:val="0"/>
                  <w:vAlign w:val="center"/>
                </w:tcPr>
                <w:p>
                  <w:pPr>
                    <w:adjustRightInd w:val="0"/>
                    <w:jc w:val="center"/>
                    <w:rPr>
                      <w:b/>
                      <w:bCs/>
                      <w:color w:val="auto"/>
                      <w:sz w:val="21"/>
                      <w:szCs w:val="21"/>
                    </w:rPr>
                  </w:pPr>
                  <w:r>
                    <w:rPr>
                      <w:rFonts w:hint="default" w:ascii="Times New Roman" w:hAnsi="Times New Roman" w:cs="Times New Roman"/>
                      <w:b/>
                      <w:bCs/>
                      <w:sz w:val="21"/>
                      <w:szCs w:val="21"/>
                    </w:rPr>
                    <w:t>202</w:t>
                  </w:r>
                  <w:r>
                    <w:rPr>
                      <w:rFonts w:hint="eastAsia" w:cs="Times New Roman"/>
                      <w:b/>
                      <w:bCs/>
                      <w:sz w:val="21"/>
                      <w:szCs w:val="21"/>
                      <w:lang w:val="en-US" w:eastAsia="zh-CN"/>
                    </w:rPr>
                    <w:t>6</w:t>
                  </w:r>
                  <w:r>
                    <w:rPr>
                      <w:rFonts w:hint="default" w:ascii="Times New Roman" w:hAnsi="Times New Roman" w:cs="Times New Roman"/>
                      <w:b/>
                      <w:bCs/>
                      <w:sz w:val="21"/>
                      <w:szCs w:val="21"/>
                    </w:rPr>
                    <w:t>年</w:t>
                  </w:r>
                </w:p>
              </w:tc>
              <w:tc>
                <w:tcPr>
                  <w:tcW w:w="1780" w:type="dxa"/>
                  <w:noWrap w:val="0"/>
                  <w:vAlign w:val="center"/>
                </w:tcPr>
                <w:p>
                  <w:pPr>
                    <w:adjustRightInd w:val="0"/>
                    <w:jc w:val="center"/>
                    <w:rPr>
                      <w:b/>
                      <w:bCs/>
                      <w:color w:val="auto"/>
                      <w:sz w:val="21"/>
                      <w:szCs w:val="21"/>
                    </w:rPr>
                  </w:pPr>
                  <w:r>
                    <w:rPr>
                      <w:rFonts w:hint="default" w:ascii="Times New Roman" w:hAnsi="Times New Roman" w:cs="Times New Roman"/>
                      <w:b/>
                      <w:bCs/>
                      <w:sz w:val="21"/>
                      <w:szCs w:val="21"/>
                    </w:rPr>
                    <w:t>20</w:t>
                  </w:r>
                  <w:r>
                    <w:rPr>
                      <w:rFonts w:hint="eastAsia" w:cs="Times New Roman"/>
                      <w:b/>
                      <w:bCs/>
                      <w:sz w:val="21"/>
                      <w:szCs w:val="21"/>
                      <w:lang w:val="en-US" w:eastAsia="zh-CN"/>
                    </w:rPr>
                    <w:t>32</w:t>
                  </w:r>
                  <w:r>
                    <w:rPr>
                      <w:rFonts w:hint="default" w:ascii="Times New Roman" w:hAnsi="Times New Roman" w:cs="Times New Roman"/>
                      <w:b/>
                      <w:bCs/>
                      <w:sz w:val="21"/>
                      <w:szCs w:val="21"/>
                    </w:rPr>
                    <w:t>年</w:t>
                  </w:r>
                </w:p>
              </w:tc>
              <w:tc>
                <w:tcPr>
                  <w:tcW w:w="1777" w:type="dxa"/>
                  <w:noWrap w:val="0"/>
                  <w:vAlign w:val="center"/>
                </w:tcPr>
                <w:p>
                  <w:pPr>
                    <w:adjustRightInd w:val="0"/>
                    <w:jc w:val="center"/>
                    <w:rPr>
                      <w:b/>
                      <w:bCs/>
                      <w:color w:val="auto"/>
                      <w:sz w:val="21"/>
                      <w:szCs w:val="21"/>
                    </w:rPr>
                  </w:pPr>
                  <w:r>
                    <w:rPr>
                      <w:rFonts w:hint="default" w:ascii="Times New Roman" w:hAnsi="Times New Roman" w:cs="Times New Roman"/>
                      <w:b/>
                      <w:bCs/>
                      <w:sz w:val="21"/>
                      <w:szCs w:val="21"/>
                    </w:rPr>
                    <w:t>20</w:t>
                  </w:r>
                  <w:r>
                    <w:rPr>
                      <w:rFonts w:hint="eastAsia" w:cs="Times New Roman"/>
                      <w:b/>
                      <w:bCs/>
                      <w:sz w:val="21"/>
                      <w:szCs w:val="21"/>
                      <w:lang w:val="en-US" w:eastAsia="zh-CN"/>
                    </w:rPr>
                    <w:t>40</w:t>
                  </w:r>
                  <w:r>
                    <w:rPr>
                      <w:rFonts w:hint="default" w:ascii="Times New Roman" w:hAnsi="Times New Roman" w:cs="Times New Roman"/>
                      <w:b/>
                      <w:bCs/>
                      <w:sz w:val="21"/>
                      <w:szCs w:val="21"/>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3313" w:type="dxa"/>
                  <w:noWrap w:val="0"/>
                  <w:vAlign w:val="center"/>
                </w:tcPr>
                <w:p>
                  <w:pPr>
                    <w:widowControl/>
                    <w:jc w:val="center"/>
                    <w:rPr>
                      <w:rFonts w:hint="eastAsia"/>
                      <w:color w:val="auto"/>
                      <w:kern w:val="2"/>
                      <w:sz w:val="21"/>
                      <w:szCs w:val="21"/>
                      <w:lang w:val="en-US" w:eastAsia="zh-CN" w:bidi="ar-SA"/>
                    </w:rPr>
                  </w:pPr>
                  <w:r>
                    <w:rPr>
                      <w:rFonts w:hint="default" w:ascii="Times New Roman" w:hAnsi="Times New Roman" w:cs="Times New Roman"/>
                      <w:sz w:val="21"/>
                      <w:szCs w:val="21"/>
                    </w:rPr>
                    <w:t>福泽大道</w:t>
                  </w:r>
                </w:p>
              </w:tc>
              <w:tc>
                <w:tcPr>
                  <w:tcW w:w="1777" w:type="dxa"/>
                  <w:noWrap w:val="0"/>
                  <w:vAlign w:val="center"/>
                </w:tcPr>
                <w:p>
                  <w:pPr>
                    <w:widowControl/>
                    <w:jc w:val="center"/>
                    <w:textAlignment w:val="center"/>
                    <w:rPr>
                      <w:rFonts w:hint="eastAsia"/>
                      <w:color w:val="auto"/>
                      <w:kern w:val="2"/>
                      <w:sz w:val="21"/>
                      <w:szCs w:val="21"/>
                      <w:lang w:val="en-US" w:eastAsia="zh-CN" w:bidi="ar-SA"/>
                    </w:rPr>
                  </w:pPr>
                  <w:r>
                    <w:rPr>
                      <w:rFonts w:hint="default" w:ascii="Times New Roman" w:hAnsi="Times New Roman" w:cs="Times New Roman"/>
                      <w:kern w:val="0"/>
                      <w:sz w:val="21"/>
                      <w:szCs w:val="21"/>
                    </w:rPr>
                    <w:t>10</w:t>
                  </w:r>
                  <w:r>
                    <w:rPr>
                      <w:rFonts w:hint="eastAsia" w:cs="Times New Roman"/>
                      <w:kern w:val="0"/>
                      <w:sz w:val="21"/>
                      <w:szCs w:val="21"/>
                      <w:lang w:val="en-US" w:eastAsia="zh-CN"/>
                    </w:rPr>
                    <w:t>285</w:t>
                  </w:r>
                </w:p>
              </w:tc>
              <w:tc>
                <w:tcPr>
                  <w:tcW w:w="1780" w:type="dxa"/>
                  <w:noWrap w:val="0"/>
                  <w:vAlign w:val="center"/>
                </w:tcPr>
                <w:p>
                  <w:pPr>
                    <w:widowControl/>
                    <w:jc w:val="center"/>
                    <w:textAlignment w:val="center"/>
                    <w:rPr>
                      <w:rFonts w:hint="eastAsia" w:ascii="Times New Roman" w:hAnsi="Times New Roman" w:eastAsia="宋体" w:cs="Times New Roman"/>
                      <w:color w:val="auto"/>
                      <w:sz w:val="21"/>
                      <w:szCs w:val="21"/>
                    </w:rPr>
                  </w:pPr>
                  <w:r>
                    <w:rPr>
                      <w:rFonts w:hint="eastAsia" w:cs="Times New Roman"/>
                      <w:sz w:val="21"/>
                      <w:szCs w:val="21"/>
                      <w:lang w:val="en-US" w:eastAsia="zh-CN"/>
                    </w:rPr>
                    <w:t>13130</w:t>
                  </w:r>
                </w:p>
              </w:tc>
              <w:tc>
                <w:tcPr>
                  <w:tcW w:w="1777" w:type="dxa"/>
                  <w:noWrap w:val="0"/>
                  <w:vAlign w:val="center"/>
                </w:tcPr>
                <w:p>
                  <w:pPr>
                    <w:widowControl/>
                    <w:jc w:val="center"/>
                    <w:textAlignment w:val="center"/>
                    <w:rPr>
                      <w:rFonts w:hint="eastAsia"/>
                      <w:color w:val="auto"/>
                      <w:kern w:val="2"/>
                      <w:sz w:val="21"/>
                      <w:szCs w:val="21"/>
                      <w:lang w:val="en-US" w:eastAsia="zh-CN" w:bidi="ar-SA"/>
                    </w:rPr>
                  </w:pPr>
                  <w:r>
                    <w:rPr>
                      <w:rFonts w:hint="eastAsia" w:cs="Times New Roman"/>
                      <w:sz w:val="21"/>
                      <w:szCs w:val="21"/>
                      <w:lang w:val="en-US" w:eastAsia="zh-CN"/>
                    </w:rPr>
                    <w:t>16167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exact"/>
                <w:jc w:val="center"/>
              </w:trPr>
              <w:tc>
                <w:tcPr>
                  <w:tcW w:w="8647" w:type="dxa"/>
                  <w:gridSpan w:val="4"/>
                  <w:noWrap w:val="0"/>
                  <w:vAlign w:val="center"/>
                </w:tcPr>
                <w:p>
                  <w:pPr>
                    <w:jc w:val="left"/>
                    <w:rPr>
                      <w:rFonts w:hint="eastAsia"/>
                      <w:color w:val="auto"/>
                      <w:kern w:val="2"/>
                      <w:sz w:val="21"/>
                      <w:szCs w:val="21"/>
                      <w:lang w:val="en-US" w:eastAsia="zh-CN" w:bidi="ar-SA"/>
                    </w:rPr>
                  </w:pPr>
                  <w:r>
                    <w:rPr>
                      <w:rFonts w:hint="eastAsia" w:cs="Times New Roman"/>
                      <w:sz w:val="21"/>
                      <w:szCs w:val="21"/>
                      <w:lang w:val="en-US" w:eastAsia="zh-CN"/>
                    </w:rPr>
                    <w:t>备注：中期交通量采用内插法计算。</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 w:val="24"/>
              </w:rPr>
            </w:pPr>
            <w:r>
              <w:rPr>
                <w:rFonts w:hint="default" w:ascii="Times New Roman" w:hAnsi="Times New Roman" w:cs="Times New Roman"/>
                <w:sz w:val="24"/>
                <w:szCs w:val="24"/>
              </w:rPr>
              <w:t>福泽大道</w:t>
            </w:r>
            <w:r>
              <w:rPr>
                <w:rFonts w:hint="eastAsia" w:ascii="Times New Roman" w:hAnsi="Times New Roman" w:cs="Times New Roman"/>
                <w:sz w:val="24"/>
                <w:szCs w:val="24"/>
                <w:lang w:val="en-US" w:eastAsia="zh-CN"/>
              </w:rPr>
              <w:t>连接</w:t>
            </w:r>
            <w:r>
              <w:rPr>
                <w:rFonts w:hint="default" w:ascii="Times New Roman" w:hAnsi="Times New Roman" w:cs="Times New Roman"/>
                <w:sz w:val="24"/>
                <w:szCs w:val="24"/>
              </w:rPr>
              <w:t>清繁大道</w:t>
            </w:r>
            <w:r>
              <w:rPr>
                <w:rFonts w:hint="eastAsia" w:ascii="Times New Roman" w:hAnsi="Times New Roman" w:cs="Times New Roman"/>
                <w:sz w:val="24"/>
                <w:szCs w:val="24"/>
                <w:lang w:val="en-US" w:eastAsia="zh-CN"/>
              </w:rPr>
              <w:t>和洪宽大道（远期），考虑有</w:t>
            </w:r>
            <w:r>
              <w:rPr>
                <w:color w:val="auto"/>
                <w:sz w:val="24"/>
                <w:szCs w:val="24"/>
              </w:rPr>
              <w:t>载质量＞20</w:t>
            </w:r>
            <w:r>
              <w:rPr>
                <w:rFonts w:hint="eastAsia"/>
                <w:color w:val="auto"/>
                <w:sz w:val="24"/>
                <w:szCs w:val="24"/>
                <w:lang w:val="en-US" w:eastAsia="zh-CN"/>
              </w:rPr>
              <w:t>t的货车上路，环评取</w:t>
            </w:r>
            <w:r>
              <w:rPr>
                <w:color w:val="auto"/>
                <w:kern w:val="0"/>
                <w:sz w:val="24"/>
                <w:szCs w:val="24"/>
              </w:rPr>
              <w:t>各类型车折算系数：小型车=1，中型车=1.5，大型车=</w:t>
            </w:r>
            <w:r>
              <w:rPr>
                <w:rFonts w:hint="default" w:ascii="Times New Roman" w:hAnsi="Times New Roman" w:cs="Times New Roman"/>
                <w:sz w:val="24"/>
                <w:szCs w:val="24"/>
              </w:rPr>
              <w:t>3。</w:t>
            </w:r>
            <w:r>
              <w:rPr>
                <w:rFonts w:ascii="Times New Roman" w:hAnsi="Times New Roman" w:eastAsia="宋体" w:cs="Times New Roman"/>
                <w:color w:val="auto"/>
                <w:sz w:val="24"/>
              </w:rPr>
              <w:t>根据工程可研设计</w:t>
            </w:r>
            <w:r>
              <w:rPr>
                <w:rFonts w:hint="eastAsia" w:ascii="Times New Roman" w:hAnsi="Times New Roman" w:eastAsia="宋体" w:cs="Times New Roman"/>
                <w:color w:val="auto"/>
                <w:sz w:val="24"/>
                <w:lang w:val="en-US" w:eastAsia="zh-CN"/>
              </w:rPr>
              <w:t>资料，项目</w:t>
            </w:r>
            <w:r>
              <w:rPr>
                <w:bCs/>
                <w:color w:val="auto"/>
                <w:kern w:val="0"/>
                <w:sz w:val="24"/>
                <w:szCs w:val="22"/>
              </w:rPr>
              <w:t>本项目</w:t>
            </w:r>
            <w:r>
              <w:rPr>
                <w:rFonts w:hint="eastAsia"/>
                <w:bCs/>
                <w:color w:val="auto"/>
                <w:kern w:val="0"/>
                <w:sz w:val="24"/>
                <w:szCs w:val="22"/>
              </w:rPr>
              <w:t>道路</w:t>
            </w:r>
            <w:r>
              <w:rPr>
                <w:bCs/>
                <w:color w:val="auto"/>
                <w:kern w:val="0"/>
                <w:sz w:val="24"/>
                <w:szCs w:val="22"/>
              </w:rPr>
              <w:t>车型比为小型车∶中型车∶大型车为</w:t>
            </w:r>
            <w:r>
              <w:rPr>
                <w:rFonts w:hint="eastAsia"/>
                <w:bCs/>
                <w:color w:val="auto"/>
                <w:kern w:val="0"/>
                <w:sz w:val="24"/>
                <w:szCs w:val="22"/>
                <w:lang w:val="en-US" w:eastAsia="zh-CN"/>
              </w:rPr>
              <w:t>80</w:t>
            </w:r>
            <w:r>
              <w:rPr>
                <w:rFonts w:hint="eastAsia"/>
                <w:bCs/>
                <w:color w:val="auto"/>
                <w:kern w:val="0"/>
                <w:sz w:val="24"/>
                <w:szCs w:val="22"/>
              </w:rPr>
              <w:t>.0</w:t>
            </w:r>
            <w:r>
              <w:rPr>
                <w:bCs/>
                <w:color w:val="auto"/>
                <w:kern w:val="0"/>
                <w:sz w:val="24"/>
                <w:szCs w:val="22"/>
              </w:rPr>
              <w:t>%∶</w:t>
            </w:r>
            <w:r>
              <w:rPr>
                <w:rFonts w:hint="eastAsia"/>
                <w:bCs/>
                <w:color w:val="auto"/>
                <w:kern w:val="0"/>
                <w:sz w:val="24"/>
                <w:szCs w:val="22"/>
                <w:lang w:val="en-US" w:eastAsia="zh-CN"/>
              </w:rPr>
              <w:t>15</w:t>
            </w:r>
            <w:r>
              <w:rPr>
                <w:bCs/>
                <w:color w:val="auto"/>
                <w:kern w:val="0"/>
                <w:sz w:val="24"/>
                <w:szCs w:val="22"/>
              </w:rPr>
              <w:t>%∶</w:t>
            </w:r>
            <w:r>
              <w:rPr>
                <w:rFonts w:hint="eastAsia"/>
                <w:bCs/>
                <w:color w:val="auto"/>
                <w:kern w:val="0"/>
                <w:sz w:val="24"/>
                <w:szCs w:val="22"/>
                <w:lang w:val="en-US" w:eastAsia="zh-CN"/>
              </w:rPr>
              <w:t>5</w:t>
            </w:r>
            <w:r>
              <w:rPr>
                <w:bCs/>
                <w:color w:val="auto"/>
                <w:kern w:val="0"/>
                <w:sz w:val="24"/>
                <w:szCs w:val="22"/>
              </w:rPr>
              <w:t>%，昼夜比例为</w:t>
            </w:r>
            <w:r>
              <w:rPr>
                <w:rFonts w:hint="eastAsia"/>
                <w:bCs/>
                <w:color w:val="auto"/>
                <w:kern w:val="0"/>
                <w:sz w:val="24"/>
                <w:szCs w:val="22"/>
                <w:lang w:val="en-US" w:eastAsia="zh-CN"/>
              </w:rPr>
              <w:t>85</w:t>
            </w:r>
            <w:r>
              <w:rPr>
                <w:bCs/>
                <w:color w:val="auto"/>
                <w:kern w:val="0"/>
                <w:sz w:val="24"/>
                <w:szCs w:val="22"/>
              </w:rPr>
              <w:t>∶</w:t>
            </w:r>
            <w:r>
              <w:rPr>
                <w:rFonts w:hint="eastAsia"/>
                <w:bCs/>
                <w:color w:val="auto"/>
                <w:kern w:val="0"/>
                <w:sz w:val="24"/>
                <w:szCs w:val="22"/>
                <w:lang w:val="en-US" w:eastAsia="zh-CN"/>
              </w:rPr>
              <w:t>15</w:t>
            </w:r>
            <w:r>
              <w:rPr>
                <w:rFonts w:hint="eastAsia"/>
                <w:bCs/>
                <w:color w:val="auto"/>
                <w:kern w:val="0"/>
                <w:sz w:val="24"/>
                <w:szCs w:val="22"/>
                <w:lang w:eastAsia="zh-CN"/>
              </w:rPr>
              <w:t>。</w:t>
            </w:r>
            <w:r>
              <w:rPr>
                <w:rFonts w:hint="eastAsia" w:ascii="Times New Roman" w:hAnsi="Times New Roman" w:eastAsia="宋体" w:cs="Times New Roman"/>
                <w:color w:val="auto"/>
                <w:sz w:val="24"/>
                <w:lang w:val="en-US" w:eastAsia="zh-CN"/>
              </w:rPr>
              <w:t>根据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环境影响评价技术导则</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公路建设项目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HJ 1358-2024</w:t>
            </w:r>
            <w:r>
              <w:rPr>
                <w:rFonts w:ascii="Times New Roman" w:hAnsi="Times New Roman" w:eastAsia="宋体" w:cs="Times New Roman"/>
                <w:color w:val="auto"/>
                <w:sz w:val="24"/>
              </w:rPr>
              <w:t>)，按照不同折算系数分别折算成大、中、小型车，</w:t>
            </w:r>
            <w:r>
              <w:rPr>
                <w:color w:val="auto"/>
                <w:kern w:val="0"/>
                <w:sz w:val="24"/>
                <w:szCs w:val="22"/>
              </w:rPr>
              <w:t>计算出项目近、中、远期昼夜小时</w:t>
            </w:r>
            <w:r>
              <w:rPr>
                <w:rFonts w:hint="eastAsia"/>
                <w:color w:val="auto"/>
                <w:kern w:val="0"/>
                <w:sz w:val="24"/>
                <w:szCs w:val="22"/>
                <w:lang w:val="en-US" w:eastAsia="zh-CN"/>
              </w:rPr>
              <w:t>绝对</w:t>
            </w:r>
            <w:r>
              <w:rPr>
                <w:color w:val="auto"/>
                <w:kern w:val="0"/>
                <w:sz w:val="24"/>
                <w:szCs w:val="22"/>
              </w:rPr>
              <w:t>交通量</w:t>
            </w:r>
            <w:r>
              <w:rPr>
                <w:rFonts w:hint="eastAsia"/>
                <w:color w:val="auto"/>
                <w:kern w:val="0"/>
                <w:sz w:val="24"/>
                <w:szCs w:val="22"/>
                <w:lang w:eastAsia="zh-CN"/>
              </w:rPr>
              <w:t>，计算</w:t>
            </w:r>
            <w:r>
              <w:rPr>
                <w:rFonts w:hint="eastAsia"/>
                <w:color w:val="auto"/>
                <w:kern w:val="0"/>
                <w:sz w:val="24"/>
                <w:szCs w:val="22"/>
                <w:lang w:val="en-US" w:eastAsia="zh-CN"/>
              </w:rPr>
              <w:t>结果</w:t>
            </w:r>
            <w:r>
              <w:rPr>
                <w:color w:val="auto"/>
                <w:kern w:val="0"/>
                <w:sz w:val="24"/>
                <w:szCs w:val="22"/>
              </w:rPr>
              <w:t>详见</w:t>
            </w:r>
            <w:r>
              <w:rPr>
                <w:b/>
                <w:bCs/>
                <w:color w:val="auto"/>
                <w:kern w:val="0"/>
                <w:sz w:val="24"/>
                <w:szCs w:val="22"/>
              </w:rPr>
              <w:t>表</w:t>
            </w:r>
            <w:r>
              <w:rPr>
                <w:rFonts w:hint="eastAsia"/>
                <w:b/>
                <w:bCs/>
                <w:color w:val="auto"/>
                <w:kern w:val="0"/>
                <w:sz w:val="24"/>
                <w:szCs w:val="22"/>
                <w:lang w:val="en-US" w:eastAsia="zh-CN"/>
              </w:rPr>
              <w:t>2.9-2</w:t>
            </w:r>
            <w:r>
              <w:rPr>
                <w:color w:val="auto"/>
                <w:kern w:val="0"/>
                <w:sz w:val="24"/>
                <w:szCs w:val="22"/>
              </w:rPr>
              <w:t>。</w:t>
            </w:r>
          </w:p>
          <w:p>
            <w:pPr>
              <w:pStyle w:val="62"/>
              <w:spacing w:line="360" w:lineRule="auto"/>
              <w:ind w:firstLine="480"/>
              <w:rPr>
                <w:color w:val="auto"/>
                <w:sz w:val="24"/>
              </w:rPr>
            </w:pPr>
            <w:r>
              <w:rPr>
                <w:color w:val="auto"/>
                <w:sz w:val="24"/>
              </w:rPr>
              <w:t>表</w:t>
            </w:r>
            <w:r>
              <w:rPr>
                <w:rFonts w:hint="eastAsia"/>
                <w:color w:val="auto"/>
                <w:sz w:val="24"/>
                <w:lang w:val="en-US" w:eastAsia="zh-CN"/>
              </w:rPr>
              <w:t>2.9-2</w:t>
            </w:r>
            <w:r>
              <w:rPr>
                <w:color w:val="auto"/>
                <w:sz w:val="24"/>
              </w:rPr>
              <w:t xml:space="preserve"> 预测年各路段小时</w:t>
            </w:r>
            <w:r>
              <w:rPr>
                <w:rFonts w:hint="eastAsia"/>
                <w:color w:val="auto"/>
                <w:sz w:val="24"/>
                <w:lang w:val="en-US" w:eastAsia="zh-CN"/>
              </w:rPr>
              <w:t>绝对</w:t>
            </w:r>
            <w:r>
              <w:rPr>
                <w:color w:val="auto"/>
                <w:sz w:val="24"/>
              </w:rPr>
              <w:t>交通量  单位：辆/小时</w:t>
            </w:r>
          </w:p>
          <w:tbl>
            <w:tblPr>
              <w:tblStyle w:val="27"/>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autofit"/>
              <w:tblCellMar>
                <w:top w:w="0" w:type="dxa"/>
                <w:left w:w="108" w:type="dxa"/>
                <w:bottom w:w="0" w:type="dxa"/>
                <w:right w:w="108" w:type="dxa"/>
              </w:tblCellMar>
            </w:tblPr>
            <w:tblGrid>
              <w:gridCol w:w="1023"/>
              <w:gridCol w:w="1024"/>
              <w:gridCol w:w="1150"/>
              <w:gridCol w:w="1052"/>
              <w:gridCol w:w="1150"/>
              <w:gridCol w:w="1052"/>
              <w:gridCol w:w="1150"/>
              <w:gridCol w:w="105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tblHeader/>
              </w:trPr>
              <w:tc>
                <w:tcPr>
                  <w:tcW w:w="2047" w:type="dxa"/>
                  <w:gridSpan w:val="2"/>
                  <w:vMerge w:val="restart"/>
                  <w:noWrap w:val="0"/>
                  <w:vAlign w:val="center"/>
                </w:tcPr>
                <w:p>
                  <w:pPr>
                    <w:widowControl/>
                    <w:jc w:val="center"/>
                    <w:textAlignment w:val="center"/>
                    <w:rPr>
                      <w:b/>
                      <w:bCs/>
                      <w:color w:val="auto"/>
                      <w:szCs w:val="21"/>
                    </w:rPr>
                  </w:pPr>
                  <w:r>
                    <w:rPr>
                      <w:b/>
                      <w:bCs/>
                      <w:color w:val="auto"/>
                      <w:kern w:val="0"/>
                      <w:szCs w:val="21"/>
                      <w:lang w:bidi="ar"/>
                    </w:rPr>
                    <w:t>车型</w:t>
                  </w:r>
                </w:p>
              </w:tc>
              <w:tc>
                <w:tcPr>
                  <w:tcW w:w="2202" w:type="dxa"/>
                  <w:gridSpan w:val="2"/>
                  <w:noWrap w:val="0"/>
                  <w:vAlign w:val="center"/>
                </w:tcPr>
                <w:p>
                  <w:pPr>
                    <w:widowControl/>
                    <w:jc w:val="center"/>
                    <w:textAlignment w:val="center"/>
                    <w:rPr>
                      <w:b/>
                      <w:bCs/>
                      <w:color w:val="auto"/>
                      <w:szCs w:val="21"/>
                    </w:rPr>
                  </w:pPr>
                  <w:r>
                    <w:rPr>
                      <w:b/>
                      <w:bCs/>
                      <w:color w:val="auto"/>
                      <w:kern w:val="0"/>
                      <w:szCs w:val="21"/>
                      <w:lang w:bidi="ar"/>
                    </w:rPr>
                    <w:t>202</w:t>
                  </w:r>
                  <w:r>
                    <w:rPr>
                      <w:rFonts w:hint="eastAsia"/>
                      <w:b/>
                      <w:bCs/>
                      <w:color w:val="auto"/>
                      <w:kern w:val="0"/>
                      <w:szCs w:val="21"/>
                      <w:lang w:val="en-US" w:eastAsia="zh-CN" w:bidi="ar"/>
                    </w:rPr>
                    <w:t>6</w:t>
                  </w:r>
                  <w:r>
                    <w:rPr>
                      <w:b/>
                      <w:bCs/>
                      <w:color w:val="auto"/>
                      <w:kern w:val="0"/>
                      <w:szCs w:val="21"/>
                      <w:lang w:bidi="ar"/>
                    </w:rPr>
                    <w:t>年</w:t>
                  </w:r>
                </w:p>
              </w:tc>
              <w:tc>
                <w:tcPr>
                  <w:tcW w:w="2202" w:type="dxa"/>
                  <w:gridSpan w:val="2"/>
                  <w:noWrap w:val="0"/>
                  <w:vAlign w:val="center"/>
                </w:tcPr>
                <w:p>
                  <w:pPr>
                    <w:widowControl/>
                    <w:jc w:val="center"/>
                    <w:textAlignment w:val="center"/>
                    <w:rPr>
                      <w:b/>
                      <w:bCs/>
                      <w:color w:val="auto"/>
                      <w:szCs w:val="21"/>
                    </w:rPr>
                  </w:pPr>
                  <w:r>
                    <w:rPr>
                      <w:b/>
                      <w:bCs/>
                      <w:color w:val="auto"/>
                      <w:kern w:val="0"/>
                      <w:szCs w:val="21"/>
                      <w:lang w:bidi="ar"/>
                    </w:rPr>
                    <w:t>203</w:t>
                  </w:r>
                  <w:r>
                    <w:rPr>
                      <w:rFonts w:hint="eastAsia"/>
                      <w:b/>
                      <w:bCs/>
                      <w:color w:val="auto"/>
                      <w:kern w:val="0"/>
                      <w:szCs w:val="21"/>
                      <w:lang w:val="en-US" w:eastAsia="zh-CN" w:bidi="ar"/>
                    </w:rPr>
                    <w:t>2</w:t>
                  </w:r>
                  <w:r>
                    <w:rPr>
                      <w:b/>
                      <w:bCs/>
                      <w:color w:val="auto"/>
                      <w:kern w:val="0"/>
                      <w:szCs w:val="21"/>
                      <w:lang w:bidi="ar"/>
                    </w:rPr>
                    <w:t>年</w:t>
                  </w:r>
                </w:p>
              </w:tc>
              <w:tc>
                <w:tcPr>
                  <w:tcW w:w="2202" w:type="dxa"/>
                  <w:gridSpan w:val="2"/>
                  <w:noWrap w:val="0"/>
                  <w:vAlign w:val="center"/>
                </w:tcPr>
                <w:p>
                  <w:pPr>
                    <w:widowControl/>
                    <w:jc w:val="center"/>
                    <w:textAlignment w:val="center"/>
                    <w:rPr>
                      <w:b/>
                      <w:bCs/>
                      <w:color w:val="auto"/>
                      <w:szCs w:val="21"/>
                    </w:rPr>
                  </w:pPr>
                  <w:r>
                    <w:rPr>
                      <w:b/>
                      <w:bCs/>
                      <w:color w:val="auto"/>
                      <w:kern w:val="0"/>
                      <w:szCs w:val="21"/>
                      <w:lang w:bidi="ar"/>
                    </w:rPr>
                    <w:t>20</w:t>
                  </w:r>
                  <w:r>
                    <w:rPr>
                      <w:rFonts w:hint="eastAsia"/>
                      <w:b/>
                      <w:bCs/>
                      <w:color w:val="auto"/>
                      <w:kern w:val="0"/>
                      <w:szCs w:val="21"/>
                      <w:lang w:val="en-US" w:eastAsia="zh-CN" w:bidi="ar"/>
                    </w:rPr>
                    <w:t>40</w:t>
                  </w:r>
                  <w:r>
                    <w:rPr>
                      <w:b/>
                      <w:bCs/>
                      <w:color w:val="auto"/>
                      <w:kern w:val="0"/>
                      <w:szCs w:val="21"/>
                      <w:lang w:bidi="ar"/>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tblHeader/>
              </w:trPr>
              <w:tc>
                <w:tcPr>
                  <w:tcW w:w="2047" w:type="dxa"/>
                  <w:gridSpan w:val="2"/>
                  <w:vMerge w:val="continue"/>
                  <w:noWrap w:val="0"/>
                  <w:vAlign w:val="center"/>
                </w:tcPr>
                <w:p>
                  <w:pPr>
                    <w:jc w:val="center"/>
                    <w:rPr>
                      <w:b/>
                      <w:bCs/>
                      <w:color w:val="auto"/>
                      <w:szCs w:val="21"/>
                    </w:rPr>
                  </w:pPr>
                </w:p>
              </w:tc>
              <w:tc>
                <w:tcPr>
                  <w:tcW w:w="1150" w:type="dxa"/>
                  <w:noWrap w:val="0"/>
                  <w:vAlign w:val="center"/>
                </w:tcPr>
                <w:p>
                  <w:pPr>
                    <w:widowControl/>
                    <w:jc w:val="center"/>
                    <w:textAlignment w:val="center"/>
                    <w:rPr>
                      <w:b/>
                      <w:bCs/>
                      <w:color w:val="auto"/>
                      <w:szCs w:val="21"/>
                    </w:rPr>
                  </w:pPr>
                  <w:r>
                    <w:rPr>
                      <w:b/>
                      <w:bCs/>
                      <w:color w:val="auto"/>
                      <w:kern w:val="0"/>
                      <w:szCs w:val="21"/>
                      <w:lang w:bidi="ar"/>
                    </w:rPr>
                    <w:t>昼间</w:t>
                  </w:r>
                </w:p>
              </w:tc>
              <w:tc>
                <w:tcPr>
                  <w:tcW w:w="1052" w:type="dxa"/>
                  <w:noWrap w:val="0"/>
                  <w:vAlign w:val="center"/>
                </w:tcPr>
                <w:p>
                  <w:pPr>
                    <w:widowControl/>
                    <w:jc w:val="center"/>
                    <w:textAlignment w:val="center"/>
                    <w:rPr>
                      <w:b/>
                      <w:bCs/>
                      <w:color w:val="auto"/>
                      <w:szCs w:val="21"/>
                    </w:rPr>
                  </w:pPr>
                  <w:r>
                    <w:rPr>
                      <w:b/>
                      <w:bCs/>
                      <w:color w:val="auto"/>
                      <w:kern w:val="0"/>
                      <w:szCs w:val="21"/>
                      <w:lang w:bidi="ar"/>
                    </w:rPr>
                    <w:t>夜间</w:t>
                  </w:r>
                </w:p>
              </w:tc>
              <w:tc>
                <w:tcPr>
                  <w:tcW w:w="1150" w:type="dxa"/>
                  <w:noWrap w:val="0"/>
                  <w:vAlign w:val="center"/>
                </w:tcPr>
                <w:p>
                  <w:pPr>
                    <w:widowControl/>
                    <w:jc w:val="center"/>
                    <w:textAlignment w:val="center"/>
                    <w:rPr>
                      <w:b/>
                      <w:bCs/>
                      <w:color w:val="auto"/>
                      <w:szCs w:val="21"/>
                    </w:rPr>
                  </w:pPr>
                  <w:r>
                    <w:rPr>
                      <w:b/>
                      <w:bCs/>
                      <w:color w:val="auto"/>
                      <w:kern w:val="0"/>
                      <w:szCs w:val="21"/>
                      <w:lang w:bidi="ar"/>
                    </w:rPr>
                    <w:t>昼间</w:t>
                  </w:r>
                </w:p>
              </w:tc>
              <w:tc>
                <w:tcPr>
                  <w:tcW w:w="1052" w:type="dxa"/>
                  <w:noWrap w:val="0"/>
                  <w:vAlign w:val="center"/>
                </w:tcPr>
                <w:p>
                  <w:pPr>
                    <w:widowControl/>
                    <w:jc w:val="center"/>
                    <w:textAlignment w:val="center"/>
                    <w:rPr>
                      <w:b/>
                      <w:bCs/>
                      <w:color w:val="auto"/>
                      <w:szCs w:val="21"/>
                    </w:rPr>
                  </w:pPr>
                  <w:r>
                    <w:rPr>
                      <w:b/>
                      <w:bCs/>
                      <w:color w:val="auto"/>
                      <w:kern w:val="0"/>
                      <w:szCs w:val="21"/>
                      <w:lang w:bidi="ar"/>
                    </w:rPr>
                    <w:t>夜间</w:t>
                  </w:r>
                </w:p>
              </w:tc>
              <w:tc>
                <w:tcPr>
                  <w:tcW w:w="1150" w:type="dxa"/>
                  <w:noWrap w:val="0"/>
                  <w:vAlign w:val="center"/>
                </w:tcPr>
                <w:p>
                  <w:pPr>
                    <w:widowControl/>
                    <w:jc w:val="center"/>
                    <w:textAlignment w:val="center"/>
                    <w:rPr>
                      <w:b/>
                      <w:bCs/>
                      <w:color w:val="auto"/>
                      <w:szCs w:val="21"/>
                    </w:rPr>
                  </w:pPr>
                  <w:r>
                    <w:rPr>
                      <w:b/>
                      <w:bCs/>
                      <w:color w:val="auto"/>
                      <w:kern w:val="0"/>
                      <w:szCs w:val="21"/>
                      <w:lang w:bidi="ar"/>
                    </w:rPr>
                    <w:t>昼间</w:t>
                  </w:r>
                </w:p>
              </w:tc>
              <w:tc>
                <w:tcPr>
                  <w:tcW w:w="1052" w:type="dxa"/>
                  <w:noWrap w:val="0"/>
                  <w:vAlign w:val="center"/>
                </w:tcPr>
                <w:p>
                  <w:pPr>
                    <w:widowControl/>
                    <w:jc w:val="center"/>
                    <w:textAlignment w:val="center"/>
                    <w:rPr>
                      <w:b/>
                      <w:bCs/>
                      <w:color w:val="auto"/>
                      <w:szCs w:val="21"/>
                    </w:rPr>
                  </w:pPr>
                  <w:r>
                    <w:rPr>
                      <w:b/>
                      <w:bCs/>
                      <w:color w:val="auto"/>
                      <w:kern w:val="0"/>
                      <w:szCs w:val="21"/>
                      <w:lang w:bidi="ar"/>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trPr>
              <w:tc>
                <w:tcPr>
                  <w:tcW w:w="1023" w:type="dxa"/>
                  <w:vMerge w:val="restart"/>
                  <w:noWrap w:val="0"/>
                  <w:vAlign w:val="center"/>
                </w:tcPr>
                <w:p>
                  <w:pPr>
                    <w:widowControl/>
                    <w:jc w:val="center"/>
                    <w:textAlignment w:val="center"/>
                    <w:rPr>
                      <w:color w:val="auto"/>
                      <w:szCs w:val="21"/>
                    </w:rPr>
                  </w:pPr>
                  <w:r>
                    <w:rPr>
                      <w:rFonts w:hint="default" w:ascii="Times New Roman" w:hAnsi="Times New Roman" w:cs="Times New Roman"/>
                      <w:sz w:val="21"/>
                      <w:szCs w:val="21"/>
                    </w:rPr>
                    <w:t>福泽大道</w:t>
                  </w:r>
                </w:p>
              </w:tc>
              <w:tc>
                <w:tcPr>
                  <w:tcW w:w="1024" w:type="dxa"/>
                  <w:noWrap w:val="0"/>
                  <w:vAlign w:val="center"/>
                </w:tcPr>
                <w:p>
                  <w:pPr>
                    <w:widowControl/>
                    <w:jc w:val="center"/>
                    <w:textAlignment w:val="center"/>
                    <w:rPr>
                      <w:color w:val="auto"/>
                      <w:szCs w:val="21"/>
                    </w:rPr>
                  </w:pPr>
                  <w:r>
                    <w:rPr>
                      <w:color w:val="auto"/>
                      <w:kern w:val="0"/>
                      <w:szCs w:val="21"/>
                      <w:lang w:bidi="ar"/>
                    </w:rPr>
                    <w:t>小型车</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437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154 </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558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197 </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687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243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trPr>
              <w:tc>
                <w:tcPr>
                  <w:tcW w:w="1023" w:type="dxa"/>
                  <w:vMerge w:val="continue"/>
                  <w:noWrap w:val="0"/>
                  <w:vAlign w:val="center"/>
                </w:tcPr>
                <w:p>
                  <w:pPr>
                    <w:jc w:val="center"/>
                    <w:rPr>
                      <w:color w:val="auto"/>
                      <w:szCs w:val="21"/>
                    </w:rPr>
                  </w:pPr>
                </w:p>
              </w:tc>
              <w:tc>
                <w:tcPr>
                  <w:tcW w:w="1024" w:type="dxa"/>
                  <w:noWrap w:val="0"/>
                  <w:vAlign w:val="center"/>
                </w:tcPr>
                <w:p>
                  <w:pPr>
                    <w:widowControl/>
                    <w:jc w:val="center"/>
                    <w:textAlignment w:val="center"/>
                    <w:rPr>
                      <w:color w:val="auto"/>
                      <w:szCs w:val="21"/>
                    </w:rPr>
                  </w:pPr>
                  <w:r>
                    <w:rPr>
                      <w:color w:val="auto"/>
                      <w:kern w:val="0"/>
                      <w:szCs w:val="21"/>
                      <w:lang w:bidi="ar"/>
                    </w:rPr>
                    <w:t>中型车</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19 </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70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25 </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86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trPr>
              <w:tc>
                <w:tcPr>
                  <w:tcW w:w="1023" w:type="dxa"/>
                  <w:vMerge w:val="continue"/>
                  <w:noWrap w:val="0"/>
                  <w:vAlign w:val="center"/>
                </w:tcPr>
                <w:p>
                  <w:pPr>
                    <w:jc w:val="center"/>
                    <w:rPr>
                      <w:color w:val="auto"/>
                      <w:szCs w:val="21"/>
                    </w:rPr>
                  </w:pPr>
                </w:p>
              </w:tc>
              <w:tc>
                <w:tcPr>
                  <w:tcW w:w="1024" w:type="dxa"/>
                  <w:noWrap w:val="0"/>
                  <w:vAlign w:val="center"/>
                </w:tcPr>
                <w:p>
                  <w:pPr>
                    <w:widowControl/>
                    <w:jc w:val="center"/>
                    <w:textAlignment w:val="center"/>
                    <w:rPr>
                      <w:color w:val="auto"/>
                      <w:szCs w:val="21"/>
                    </w:rPr>
                  </w:pPr>
                  <w:r>
                    <w:rPr>
                      <w:color w:val="auto"/>
                      <w:kern w:val="0"/>
                      <w:szCs w:val="21"/>
                      <w:lang w:bidi="ar"/>
                    </w:rPr>
                    <w:t>大型车</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 </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12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 </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40" w:hRule="atLeast"/>
              </w:trPr>
              <w:tc>
                <w:tcPr>
                  <w:tcW w:w="1023" w:type="dxa"/>
                  <w:vMerge w:val="continue"/>
                  <w:noWrap w:val="0"/>
                  <w:vAlign w:val="center"/>
                </w:tcPr>
                <w:p>
                  <w:pPr>
                    <w:jc w:val="center"/>
                    <w:rPr>
                      <w:color w:val="auto"/>
                      <w:szCs w:val="21"/>
                    </w:rPr>
                  </w:pPr>
                </w:p>
              </w:tc>
              <w:tc>
                <w:tcPr>
                  <w:tcW w:w="1024" w:type="dxa"/>
                  <w:noWrap w:val="0"/>
                  <w:vAlign w:val="center"/>
                </w:tcPr>
                <w:p>
                  <w:pPr>
                    <w:widowControl/>
                    <w:jc w:val="center"/>
                    <w:textAlignment w:val="center"/>
                    <w:rPr>
                      <w:color w:val="auto"/>
                      <w:szCs w:val="21"/>
                    </w:rPr>
                  </w:pPr>
                  <w:r>
                    <w:rPr>
                      <w:color w:val="auto"/>
                      <w:kern w:val="0"/>
                      <w:szCs w:val="21"/>
                      <w:lang w:bidi="ar"/>
                    </w:rPr>
                    <w:t>合计</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501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177 </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639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226 </w:t>
                  </w:r>
                </w:p>
              </w:tc>
              <w:tc>
                <w:tcPr>
                  <w:tcW w:w="115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787 </w:t>
                  </w:r>
                </w:p>
              </w:tc>
              <w:tc>
                <w:tcPr>
                  <w:tcW w:w="1052"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278 </w:t>
                  </w:r>
                </w:p>
              </w:tc>
            </w:tr>
          </w:tbl>
          <w:p>
            <w:pPr>
              <w:spacing w:line="360" w:lineRule="auto"/>
              <w:outlineLvl w:val="9"/>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4" w:hRule="atLeast"/>
          <w:jc w:val="center"/>
        </w:trPr>
        <w:tc>
          <w:tcPr>
            <w:tcW w:w="786" w:type="dxa"/>
            <w:vAlign w:val="center"/>
          </w:tcPr>
          <w:p>
            <w:pPr>
              <w:adjustRightInd w:val="0"/>
              <w:snapToGrid w:val="0"/>
              <w:jc w:val="center"/>
              <w:outlineLvl w:val="1"/>
              <w:rPr>
                <w:rFonts w:hint="eastAsia" w:ascii="宋体" w:hAnsi="宋体" w:cs="宋体"/>
                <w:kern w:val="0"/>
                <w:szCs w:val="21"/>
              </w:rPr>
            </w:pPr>
            <w:r>
              <w:rPr>
                <w:rFonts w:hint="eastAsia" w:ascii="宋体" w:hAnsi="宋体" w:cs="宋体"/>
                <w:kern w:val="0"/>
                <w:szCs w:val="21"/>
              </w:rPr>
              <w:t>总平面及现场布置</w:t>
            </w:r>
          </w:p>
        </w:tc>
        <w:tc>
          <w:tcPr>
            <w:tcW w:w="8304" w:type="dxa"/>
          </w:tcPr>
          <w:p>
            <w:pPr>
              <w:adjustRightInd w:val="0"/>
              <w:snapToGrid w:val="0"/>
              <w:spacing w:before="120" w:beforeLines="50" w:line="360" w:lineRule="auto"/>
              <w:outlineLvl w:val="1"/>
              <w:rPr>
                <w:b/>
                <w:bCs/>
                <w:sz w:val="24"/>
              </w:rPr>
            </w:pPr>
            <w:r>
              <w:rPr>
                <w:rFonts w:hint="eastAsia"/>
                <w:b/>
                <w:bCs/>
                <w:sz w:val="24"/>
              </w:rPr>
              <w:t>2.9 项目平面布置</w:t>
            </w:r>
          </w:p>
          <w:p>
            <w:pPr>
              <w:adjustRightInd w:val="0"/>
              <w:snapToGrid w:val="0"/>
              <w:spacing w:line="360" w:lineRule="auto"/>
              <w:outlineLvl w:val="1"/>
              <w:rPr>
                <w:b/>
                <w:bCs/>
                <w:sz w:val="24"/>
              </w:rPr>
            </w:pPr>
            <w:r>
              <w:rPr>
                <w:b/>
                <w:bCs/>
                <w:sz w:val="24"/>
              </w:rPr>
              <w:t>2.</w:t>
            </w:r>
            <w:r>
              <w:rPr>
                <w:rFonts w:hint="eastAsia"/>
                <w:b/>
                <w:bCs/>
                <w:sz w:val="24"/>
              </w:rPr>
              <w:t xml:space="preserve">9.1 </w:t>
            </w:r>
            <w:r>
              <w:rPr>
                <w:b/>
                <w:bCs/>
                <w:sz w:val="24"/>
              </w:rPr>
              <w:t>总平面布置</w:t>
            </w:r>
          </w:p>
          <w:p>
            <w:pPr>
              <w:widowControl/>
              <w:spacing w:line="360" w:lineRule="auto"/>
              <w:ind w:firstLine="480" w:firstLineChars="200"/>
              <w:jc w:val="left"/>
              <w:outlineLvl w:val="1"/>
              <w:rPr>
                <w:sz w:val="24"/>
              </w:rPr>
            </w:pPr>
            <w:r>
              <w:rPr>
                <w:rFonts w:hint="eastAsia"/>
                <w:sz w:val="24"/>
              </w:rPr>
              <w:t>道路整体呈南北走向，</w:t>
            </w:r>
            <w:r>
              <w:rPr>
                <w:sz w:val="24"/>
              </w:rPr>
              <w:t>起点位于</w:t>
            </w:r>
            <w:r>
              <w:rPr>
                <w:rFonts w:hint="eastAsia"/>
                <w:sz w:val="24"/>
              </w:rPr>
              <w:t>清繁大道，路线向北布线与规划的纬二路平面交叉，</w:t>
            </w:r>
            <w:r>
              <w:rPr>
                <w:rFonts w:hint="eastAsia" w:ascii="宋体" w:hAnsi="宋体" w:cs="宋体"/>
                <w:kern w:val="0"/>
                <w:sz w:val="24"/>
              </w:rPr>
              <w:t>设置桥梁一座，</w:t>
            </w:r>
            <w:r>
              <w:rPr>
                <w:sz w:val="24"/>
              </w:rPr>
              <w:t>设计终点</w:t>
            </w:r>
            <w:r>
              <w:rPr>
                <w:rFonts w:hint="eastAsia"/>
                <w:sz w:val="24"/>
              </w:rPr>
              <w:t>位于纬一路，</w:t>
            </w:r>
            <w:r>
              <w:rPr>
                <w:sz w:val="24"/>
              </w:rPr>
              <w:t>路线总长</w:t>
            </w:r>
            <w:r>
              <w:rPr>
                <w:rFonts w:hint="eastAsia"/>
                <w:sz w:val="24"/>
              </w:rPr>
              <w:t>880</w:t>
            </w:r>
            <w:r>
              <w:rPr>
                <w:sz w:val="24"/>
              </w:rPr>
              <w:t>米。</w:t>
            </w:r>
          </w:p>
          <w:p>
            <w:pPr>
              <w:widowControl/>
              <w:spacing w:line="360" w:lineRule="auto"/>
              <w:ind w:firstLine="480" w:firstLineChars="200"/>
              <w:jc w:val="left"/>
              <w:outlineLvl w:val="1"/>
              <w:rPr>
                <w:sz w:val="24"/>
              </w:rPr>
            </w:pPr>
            <w:r>
              <w:rPr>
                <w:sz w:val="24"/>
              </w:rPr>
              <w:t>本项目沿线共与</w:t>
            </w:r>
            <w:r>
              <w:rPr>
                <w:rFonts w:hint="eastAsia"/>
                <w:sz w:val="24"/>
              </w:rPr>
              <w:t>3</w:t>
            </w:r>
            <w:r>
              <w:rPr>
                <w:sz w:val="24"/>
              </w:rPr>
              <w:t>条道路相交</w:t>
            </w:r>
            <w:r>
              <w:rPr>
                <w:rFonts w:hint="eastAsia"/>
                <w:sz w:val="24"/>
              </w:rPr>
              <w:t>（见表2.4-1），起点与</w:t>
            </w:r>
            <w:r>
              <w:rPr>
                <w:rFonts w:hint="eastAsia"/>
                <w:sz w:val="24"/>
                <w:szCs w:val="32"/>
                <w:lang w:val="zh-CN"/>
              </w:rPr>
              <w:t>清繁大道</w:t>
            </w:r>
            <w:r>
              <w:rPr>
                <w:rFonts w:hint="eastAsia"/>
                <w:sz w:val="24"/>
              </w:rPr>
              <w:t>相交，终点与</w:t>
            </w:r>
            <w:r>
              <w:rPr>
                <w:rFonts w:hint="eastAsia"/>
                <w:sz w:val="24"/>
                <w:szCs w:val="32"/>
                <w:lang w:val="zh-CN"/>
              </w:rPr>
              <w:t>纬一路</w:t>
            </w:r>
            <w:r>
              <w:rPr>
                <w:rFonts w:hint="eastAsia"/>
                <w:sz w:val="24"/>
              </w:rPr>
              <w:t>相交</w:t>
            </w:r>
            <w:r>
              <w:rPr>
                <w:sz w:val="24"/>
              </w:rPr>
              <w:t>。桩号</w:t>
            </w:r>
            <w:r>
              <w:rPr>
                <w:sz w:val="24"/>
                <w:szCs w:val="32"/>
              </w:rPr>
              <w:t>K0+060.206</w:t>
            </w:r>
            <w:r>
              <w:rPr>
                <w:rFonts w:hint="eastAsia"/>
                <w:sz w:val="24"/>
                <w:szCs w:val="32"/>
              </w:rPr>
              <w:t>处新建1座桥梁。</w:t>
            </w:r>
          </w:p>
          <w:p>
            <w:pPr>
              <w:pStyle w:val="26"/>
              <w:spacing w:after="0" w:line="360" w:lineRule="auto"/>
              <w:ind w:left="0" w:leftChars="0" w:firstLine="480"/>
              <w:jc w:val="left"/>
            </w:pPr>
            <w:r>
              <w:rPr>
                <w:rFonts w:hint="eastAsia"/>
              </w:rPr>
              <w:t>本项目路线走向以规划为依据，经分析及现场踏勘，规划路线走向基本合理，</w:t>
            </w:r>
            <w:r>
              <w:rPr>
                <w:rFonts w:hint="eastAsia" w:ascii="宋体" w:hAnsi="宋体" w:cs="宋体"/>
              </w:rPr>
              <w:t>福泽大道北延伸段项目</w:t>
            </w:r>
            <w:r>
              <w:rPr>
                <w:rFonts w:hint="eastAsia"/>
              </w:rPr>
              <w:t>本次设计线位完全遵照规划线位，平面布置合理。</w:t>
            </w:r>
          </w:p>
          <w:p>
            <w:pPr>
              <w:adjustRightInd w:val="0"/>
              <w:snapToGrid w:val="0"/>
              <w:spacing w:line="360" w:lineRule="auto"/>
              <w:outlineLvl w:val="1"/>
              <w:rPr>
                <w:b/>
                <w:bCs/>
                <w:sz w:val="24"/>
              </w:rPr>
            </w:pPr>
            <w:r>
              <w:rPr>
                <w:b/>
                <w:bCs/>
                <w:sz w:val="24"/>
              </w:rPr>
              <w:t>2.</w:t>
            </w:r>
            <w:r>
              <w:rPr>
                <w:rFonts w:hint="eastAsia"/>
                <w:b/>
                <w:bCs/>
                <w:sz w:val="24"/>
              </w:rPr>
              <w:t xml:space="preserve">9.2 </w:t>
            </w:r>
            <w:r>
              <w:rPr>
                <w:b/>
                <w:bCs/>
                <w:sz w:val="24"/>
              </w:rPr>
              <w:t>施工现场布置</w:t>
            </w:r>
          </w:p>
          <w:p>
            <w:pPr>
              <w:pStyle w:val="79"/>
            </w:pPr>
            <w:r>
              <w:t>（1）取土场、弃渣场</w:t>
            </w:r>
          </w:p>
          <w:p>
            <w:pPr>
              <w:pStyle w:val="79"/>
            </w:pPr>
            <w:bookmarkStart w:id="62" w:name="土石方去向"/>
            <w:r>
              <w:t>项目总工程挖方</w:t>
            </w:r>
            <w:r>
              <w:rPr>
                <w:rFonts w:hint="eastAsia"/>
              </w:rPr>
              <w:t>13.06</w:t>
            </w:r>
            <w:r>
              <w:t>万m³，填方</w:t>
            </w:r>
            <w:r>
              <w:rPr>
                <w:rFonts w:hint="eastAsia"/>
              </w:rPr>
              <w:t>7.41</w:t>
            </w:r>
            <w:r>
              <w:t>万m³（含</w:t>
            </w:r>
            <w:r>
              <w:rPr>
                <w:rFonts w:hint="eastAsia"/>
              </w:rPr>
              <w:t>外购</w:t>
            </w:r>
            <w:r>
              <w:t>绿化</w:t>
            </w:r>
            <w:r>
              <w:rPr>
                <w:rFonts w:hint="eastAsia"/>
              </w:rPr>
              <w:t>种植土1.4</w:t>
            </w:r>
            <w:r>
              <w:t>万m³），余方</w:t>
            </w:r>
            <w:r>
              <w:rPr>
                <w:rFonts w:hint="eastAsia"/>
              </w:rPr>
              <w:t>7.05</w:t>
            </w:r>
            <w:r>
              <w:t>万m³。</w:t>
            </w:r>
            <w:r>
              <w:rPr>
                <w:rFonts w:hint="eastAsia" w:ascii="Times New Roman" w:hAnsi="Times New Roman" w:eastAsia="宋体" w:cs="Times New Roman"/>
                <w:sz w:val="24"/>
                <w:szCs w:val="24"/>
              </w:rPr>
              <w:t>余方由福清市建筑垃圾资源信息平台进行调配，并按照平台调配路线进行运输。</w:t>
            </w:r>
            <w:r>
              <w:t>本项目不设置取土场及弃渣场。</w:t>
            </w:r>
          </w:p>
          <w:bookmarkEnd w:id="62"/>
          <w:p>
            <w:pPr>
              <w:pStyle w:val="79"/>
            </w:pPr>
            <w:r>
              <w:t>（2）临时堆土场</w:t>
            </w:r>
          </w:p>
          <w:p>
            <w:pPr>
              <w:pStyle w:val="79"/>
            </w:pPr>
            <w:r>
              <w:t>项目</w:t>
            </w:r>
            <w:r>
              <w:rPr>
                <w:rFonts w:hint="eastAsia"/>
              </w:rPr>
              <w:t>施工过程合理把控施工进度，土石方挖填做到随挖随运随填，不再设置临时堆土场</w:t>
            </w:r>
            <w:r>
              <w:t>。</w:t>
            </w:r>
          </w:p>
          <w:p>
            <w:pPr>
              <w:pStyle w:val="79"/>
            </w:pPr>
            <w:r>
              <w:t>（3）施工场地</w:t>
            </w:r>
          </w:p>
          <w:p>
            <w:pPr>
              <w:pStyle w:val="79"/>
            </w:pPr>
            <w:r>
              <w:t>本项目路面采用商品沥青混凝土，施工场地主要用于临时堆放建筑材料等。根据项目建设的需求，本工程拟在</w:t>
            </w:r>
            <w:r>
              <w:rPr>
                <w:spacing w:val="-2"/>
                <w:szCs w:val="21"/>
              </w:rPr>
              <w:fldChar w:fldCharType="begin"/>
            </w:r>
            <w:r>
              <w:instrText xml:space="preserve"> REF 施工场地位置 \h </w:instrText>
            </w:r>
            <w:r>
              <w:rPr>
                <w:spacing w:val="-2"/>
                <w:szCs w:val="21"/>
              </w:rPr>
              <w:instrText xml:space="preserve"> \* MERGEFORMAT </w:instrText>
            </w:r>
            <w:r>
              <w:rPr>
                <w:spacing w:val="-2"/>
                <w:szCs w:val="21"/>
              </w:rPr>
              <w:fldChar w:fldCharType="separate"/>
            </w:r>
            <w:r>
              <w:rPr>
                <w:rFonts w:hint="eastAsia"/>
                <w:spacing w:val="-2"/>
                <w:szCs w:val="21"/>
              </w:rPr>
              <w:t>项目起点与清繁大道连接处</w:t>
            </w:r>
            <w:r>
              <w:rPr>
                <w:spacing w:val="-2"/>
                <w:szCs w:val="21"/>
              </w:rPr>
              <w:fldChar w:fldCharType="end"/>
            </w:r>
            <w:r>
              <w:t>布置1个施工场地，施工场地占地面积为</w:t>
            </w:r>
            <w:r>
              <w:rPr>
                <w:rFonts w:hint="eastAsia"/>
              </w:rPr>
              <w:t>3000</w:t>
            </w:r>
            <w:r>
              <w:t>m</w:t>
            </w:r>
            <w:r>
              <w:rPr>
                <w:vertAlign w:val="superscript"/>
              </w:rPr>
              <w:t>2</w:t>
            </w:r>
            <w:r>
              <w:t>。</w:t>
            </w:r>
          </w:p>
          <w:p>
            <w:pPr>
              <w:pStyle w:val="79"/>
            </w:pPr>
            <w:r>
              <w:t>（4）施工便道</w:t>
            </w:r>
          </w:p>
          <w:p>
            <w:pPr>
              <w:adjustRightInd w:val="0"/>
              <w:snapToGrid w:val="0"/>
              <w:spacing w:line="360" w:lineRule="auto"/>
              <w:ind w:firstLine="480"/>
              <w:outlineLvl w:val="1"/>
              <w:rPr>
                <w:sz w:val="24"/>
              </w:rPr>
            </w:pPr>
            <w:r>
              <w:rPr>
                <w:sz w:val="24"/>
              </w:rPr>
              <w:t>项目</w:t>
            </w:r>
            <w:r>
              <w:rPr>
                <w:rFonts w:hint="eastAsia"/>
                <w:sz w:val="24"/>
              </w:rPr>
              <w:t>无需设置施工便道</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73" w:hRule="atLeast"/>
          <w:jc w:val="center"/>
        </w:trPr>
        <w:tc>
          <w:tcPr>
            <w:tcW w:w="786" w:type="dxa"/>
            <w:vAlign w:val="center"/>
          </w:tcPr>
          <w:p>
            <w:pPr>
              <w:adjustRightInd w:val="0"/>
              <w:snapToGrid w:val="0"/>
              <w:jc w:val="center"/>
              <w:outlineLvl w:val="2"/>
              <w:rPr>
                <w:rFonts w:hint="eastAsia" w:ascii="宋体" w:hAnsi="宋体" w:cs="宋体"/>
                <w:kern w:val="0"/>
                <w:szCs w:val="21"/>
              </w:rPr>
            </w:pPr>
            <w:r>
              <w:rPr>
                <w:rFonts w:hint="eastAsia" w:ascii="宋体" w:hAnsi="宋体" w:cs="宋体"/>
                <w:kern w:val="0"/>
                <w:szCs w:val="21"/>
              </w:rPr>
              <w:t>施工方案</w:t>
            </w:r>
          </w:p>
        </w:tc>
        <w:tc>
          <w:tcPr>
            <w:tcW w:w="8304" w:type="dxa"/>
            <w:vAlign w:val="center"/>
          </w:tcPr>
          <w:p>
            <w:pPr>
              <w:pStyle w:val="26"/>
              <w:spacing w:before="120" w:beforeLines="50" w:after="0" w:line="360" w:lineRule="auto"/>
              <w:ind w:left="0" w:leftChars="0" w:firstLine="0" w:firstLineChars="0"/>
              <w:outlineLvl w:val="2"/>
              <w:rPr>
                <w:b/>
                <w:bCs/>
                <w:kern w:val="2"/>
                <w:sz w:val="30"/>
                <w:szCs w:val="30"/>
              </w:rPr>
            </w:pPr>
            <w:r>
              <w:rPr>
                <w:b/>
                <w:bCs/>
                <w:kern w:val="2"/>
                <w:sz w:val="30"/>
                <w:szCs w:val="30"/>
              </w:rPr>
              <w:t>2.</w:t>
            </w:r>
            <w:r>
              <w:rPr>
                <w:rFonts w:hint="eastAsia"/>
                <w:b/>
                <w:bCs/>
                <w:kern w:val="2"/>
                <w:sz w:val="30"/>
                <w:szCs w:val="30"/>
              </w:rPr>
              <w:t xml:space="preserve">10 </w:t>
            </w:r>
            <w:r>
              <w:rPr>
                <w:b/>
                <w:bCs/>
                <w:kern w:val="2"/>
                <w:sz w:val="30"/>
                <w:szCs w:val="30"/>
              </w:rPr>
              <w:t>施工方案</w:t>
            </w:r>
          </w:p>
          <w:p>
            <w:pPr>
              <w:pStyle w:val="26"/>
              <w:spacing w:after="0" w:line="360" w:lineRule="auto"/>
              <w:ind w:left="0" w:leftChars="0" w:firstLine="0" w:firstLineChars="0"/>
              <w:outlineLvl w:val="2"/>
              <w:rPr>
                <w:kern w:val="2"/>
              </w:rPr>
            </w:pPr>
            <w:r>
              <w:rPr>
                <w:b/>
                <w:bCs/>
                <w:kern w:val="2"/>
              </w:rPr>
              <w:t>2.</w:t>
            </w:r>
            <w:r>
              <w:rPr>
                <w:rFonts w:hint="eastAsia"/>
                <w:b/>
                <w:bCs/>
                <w:kern w:val="2"/>
              </w:rPr>
              <w:t>10</w:t>
            </w:r>
            <w:r>
              <w:rPr>
                <w:b/>
                <w:bCs/>
                <w:kern w:val="2"/>
              </w:rPr>
              <w:t>.1</w:t>
            </w:r>
            <w:r>
              <w:rPr>
                <w:rFonts w:hint="eastAsia"/>
                <w:b/>
                <w:bCs/>
                <w:kern w:val="2"/>
              </w:rPr>
              <w:t xml:space="preserve"> </w:t>
            </w:r>
            <w:r>
              <w:rPr>
                <w:b/>
                <w:bCs/>
                <w:kern w:val="2"/>
              </w:rPr>
              <w:t>施工工艺</w:t>
            </w:r>
          </w:p>
          <w:p>
            <w:pPr>
              <w:spacing w:line="360" w:lineRule="auto"/>
              <w:ind w:firstLine="480" w:firstLineChars="200"/>
              <w:outlineLvl w:val="2"/>
              <w:rPr>
                <w:sz w:val="24"/>
              </w:rPr>
            </w:pPr>
            <w:r>
              <w:rPr>
                <w:rFonts w:hint="eastAsia"/>
                <w:sz w:val="24"/>
              </w:rPr>
              <w:t>（1）一般路基施工</w:t>
            </w:r>
          </w:p>
          <w:p>
            <w:pPr>
              <w:adjustRightInd w:val="0"/>
              <w:snapToGrid w:val="0"/>
              <w:spacing w:line="360" w:lineRule="auto"/>
              <w:ind w:firstLine="480" w:firstLineChars="200"/>
              <w:outlineLvl w:val="2"/>
              <w:rPr>
                <w:sz w:val="24"/>
              </w:rPr>
            </w:pPr>
            <w:r>
              <w:rPr>
                <w:rFonts w:hint="eastAsia"/>
                <w:kern w:val="0"/>
                <w:sz w:val="24"/>
              </w:rPr>
              <w:t>为确保路基、路堑稳定，需采取多种措施确保工程质量。路基如基底强度不足或遇山间软土时，采取相应的处理措施（如换填、增设砂砾垫层、盲沟及土工格栅等）。对高填方路段的路基可先进行施工，根据计算结果进行超载预压，以减少路基不均匀沉降。</w:t>
            </w:r>
            <w:r>
              <w:rPr>
                <w:sz w:val="24"/>
              </w:rPr>
              <w:t>填筑路基以机械压实为主，一般采用水平分层填筑施工，即按照横断面全宽分成水平层次逐层向上填筑。</w:t>
            </w:r>
          </w:p>
          <w:p>
            <w:pPr>
              <w:adjustRightInd w:val="0"/>
              <w:snapToGrid w:val="0"/>
              <w:spacing w:line="360" w:lineRule="auto"/>
              <w:ind w:firstLine="420"/>
              <w:jc w:val="left"/>
              <w:outlineLvl w:val="2"/>
              <w:rPr>
                <w:sz w:val="24"/>
              </w:rPr>
            </w:pPr>
            <w:r>
              <w:rPr>
                <w:sz w:val="24"/>
              </w:rPr>
              <w:t>施工工序为：排除地表水→开挖临时排水沟、沉砂池→清除表层杂草→平地机、推土机压路机压实、路基填筑。填土时适当加大宽度和高度，分层填土、压实，多余部分利用平地机或其它方法铲除修整。如原地面不平，应由最低处分层填起，每填一层，经过压实并符合压实度规定要求后，再填上一层。</w:t>
            </w:r>
          </w:p>
          <w:p>
            <w:pPr>
              <w:adjustRightInd w:val="0"/>
              <w:snapToGrid w:val="0"/>
              <w:spacing w:line="360" w:lineRule="auto"/>
              <w:ind w:left="420"/>
              <w:outlineLvl w:val="2"/>
              <w:rPr>
                <w:kern w:val="0"/>
                <w:sz w:val="24"/>
              </w:rPr>
            </w:pPr>
            <w:r>
              <w:rPr>
                <w:rFonts w:hint="eastAsia"/>
                <w:kern w:val="0"/>
                <w:sz w:val="24"/>
              </w:rPr>
              <w:t>（2）路面工程</w:t>
            </w:r>
          </w:p>
          <w:p>
            <w:pPr>
              <w:pStyle w:val="7"/>
              <w:spacing w:line="360" w:lineRule="auto"/>
              <w:ind w:firstLine="480" w:firstLineChars="200"/>
              <w:outlineLvl w:val="2"/>
              <w:rPr>
                <w:sz w:val="24"/>
              </w:rPr>
            </w:pPr>
            <w:r>
              <w:rPr>
                <w:sz w:val="24"/>
              </w:rPr>
              <w:t>路面所需的砾料采用集中拌和专用汽车运输，摊铺采用摊铺机并碾压。道路施工方式流程见图2.</w:t>
            </w:r>
            <w:r>
              <w:rPr>
                <w:rFonts w:hint="eastAsia"/>
                <w:sz w:val="24"/>
              </w:rPr>
              <w:t>10</w:t>
            </w:r>
            <w:r>
              <w:rPr>
                <w:sz w:val="24"/>
              </w:rPr>
              <w:t>-1。</w:t>
            </w:r>
          </w:p>
          <w:p>
            <w:pPr>
              <w:spacing w:line="360" w:lineRule="auto"/>
              <w:rPr>
                <w:sz w:val="24"/>
              </w:rPr>
            </w:pPr>
            <w:r>
              <w:rPr>
                <w:sz w:val="24"/>
              </w:rPr>
              <mc:AlternateContent>
                <mc:Choice Requires="wpg">
                  <w:drawing>
                    <wp:inline distT="0" distB="0" distL="114300" distR="114300">
                      <wp:extent cx="5165090" cy="830580"/>
                      <wp:effectExtent l="9525" t="9525" r="19685" b="10795"/>
                      <wp:docPr id="15" name="组合 532"/>
                      <wp:cNvGraphicFramePr/>
                      <a:graphic xmlns:a="http://schemas.openxmlformats.org/drawingml/2006/main">
                        <a:graphicData uri="http://schemas.microsoft.com/office/word/2010/wordprocessingGroup">
                          <wpg:wgp>
                            <wpg:cNvGrpSpPr/>
                            <wpg:grpSpPr>
                              <a:xfrm>
                                <a:off x="0" y="0"/>
                                <a:ext cx="5165090" cy="830580"/>
                                <a:chOff x="0" y="0"/>
                                <a:chExt cx="8396" cy="1308"/>
                              </a:xfrm>
                            </wpg:grpSpPr>
                            <wps:wsp>
                              <wps:cNvPr id="1" name="直线 533"/>
                              <wps:cNvCnPr/>
                              <wps:spPr>
                                <a:xfrm>
                                  <a:off x="3360" y="1061"/>
                                  <a:ext cx="695" cy="1"/>
                                </a:xfrm>
                                <a:prstGeom prst="line">
                                  <a:avLst/>
                                </a:prstGeom>
                                <a:ln w="9525" cap="flat" cmpd="sng">
                                  <a:solidFill>
                                    <a:srgbClr val="000000"/>
                                  </a:solidFill>
                                  <a:prstDash val="solid"/>
                                  <a:headEnd type="triangle" w="sm" len="lg"/>
                                  <a:tailEnd type="none" w="med" len="med"/>
                                </a:ln>
                              </wps:spPr>
                              <wps:bodyPr upright="1"/>
                            </wps:wsp>
                            <wps:wsp>
                              <wps:cNvPr id="2" name="直线 534"/>
                              <wps:cNvCnPr/>
                              <wps:spPr>
                                <a:xfrm>
                                  <a:off x="1340" y="224"/>
                                  <a:ext cx="694" cy="1"/>
                                </a:xfrm>
                                <a:prstGeom prst="line">
                                  <a:avLst/>
                                </a:prstGeom>
                                <a:ln w="9525" cap="flat" cmpd="sng">
                                  <a:solidFill>
                                    <a:srgbClr val="000000"/>
                                  </a:solidFill>
                                  <a:prstDash val="solid"/>
                                  <a:headEnd type="none" w="med" len="med"/>
                                  <a:tailEnd type="triangle" w="sm" len="lg"/>
                                </a:ln>
                              </wps:spPr>
                              <wps:bodyPr upright="1"/>
                            </wps:wsp>
                            <wps:wsp>
                              <wps:cNvPr id="3" name="文本框 535"/>
                              <wps:cNvSpPr txBox="1"/>
                              <wps:spPr>
                                <a:xfrm>
                                  <a:off x="4019" y="0"/>
                                  <a:ext cx="1621"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szCs w:val="21"/>
                                      </w:rPr>
                                    </w:pPr>
                                    <w:r>
                                      <w:rPr>
                                        <w:rFonts w:hint="eastAsia"/>
                                        <w:szCs w:val="21"/>
                                      </w:rPr>
                                      <w:t>铺筑碎石垫层</w:t>
                                    </w:r>
                                  </w:p>
                                </w:txbxContent>
                              </wps:txbx>
                              <wps:bodyPr lIns="0" tIns="0" rIns="0" bIns="0" upright="1"/>
                            </wps:wsp>
                            <wps:wsp>
                              <wps:cNvPr id="4" name="直线 536"/>
                              <wps:cNvCnPr/>
                              <wps:spPr>
                                <a:xfrm>
                                  <a:off x="6088" y="1045"/>
                                  <a:ext cx="695" cy="1"/>
                                </a:xfrm>
                                <a:prstGeom prst="line">
                                  <a:avLst/>
                                </a:prstGeom>
                                <a:ln w="9525" cap="flat" cmpd="sng">
                                  <a:solidFill>
                                    <a:srgbClr val="000000"/>
                                  </a:solidFill>
                                  <a:prstDash val="solid"/>
                                  <a:headEnd type="triangle" w="sm" len="lg"/>
                                  <a:tailEnd type="none" w="med" len="med"/>
                                </a:ln>
                              </wps:spPr>
                              <wps:bodyPr upright="1"/>
                            </wps:wsp>
                            <wps:wsp>
                              <wps:cNvPr id="5" name="直线 537"/>
                              <wps:cNvCnPr/>
                              <wps:spPr>
                                <a:xfrm>
                                  <a:off x="5625" y="207"/>
                                  <a:ext cx="695" cy="1"/>
                                </a:xfrm>
                                <a:prstGeom prst="line">
                                  <a:avLst/>
                                </a:prstGeom>
                                <a:ln w="9525" cap="flat" cmpd="sng">
                                  <a:solidFill>
                                    <a:srgbClr val="000000"/>
                                  </a:solidFill>
                                  <a:prstDash val="solid"/>
                                  <a:headEnd type="none" w="med" len="med"/>
                                  <a:tailEnd type="triangle" w="sm" len="lg"/>
                                </a:ln>
                              </wps:spPr>
                              <wps:bodyPr upright="1"/>
                            </wps:wsp>
                            <wps:wsp>
                              <wps:cNvPr id="6" name="直线 538"/>
                              <wps:cNvCnPr/>
                              <wps:spPr>
                                <a:xfrm>
                                  <a:off x="3346" y="224"/>
                                  <a:ext cx="695" cy="1"/>
                                </a:xfrm>
                                <a:prstGeom prst="line">
                                  <a:avLst/>
                                </a:prstGeom>
                                <a:ln w="9525" cap="flat" cmpd="sng">
                                  <a:solidFill>
                                    <a:srgbClr val="000000"/>
                                  </a:solidFill>
                                  <a:prstDash val="solid"/>
                                  <a:headEnd type="none" w="med" len="med"/>
                                  <a:tailEnd type="triangle" w="sm" len="lg"/>
                                </a:ln>
                              </wps:spPr>
                              <wps:bodyPr upright="1"/>
                            </wps:wsp>
                            <wps:wsp>
                              <wps:cNvPr id="7" name="直线 539"/>
                              <wps:cNvCnPr/>
                              <wps:spPr>
                                <a:xfrm>
                                  <a:off x="7538" y="443"/>
                                  <a:ext cx="0" cy="423"/>
                                </a:xfrm>
                                <a:prstGeom prst="line">
                                  <a:avLst/>
                                </a:prstGeom>
                                <a:ln w="9525" cap="flat" cmpd="sng">
                                  <a:solidFill>
                                    <a:srgbClr val="000000"/>
                                  </a:solidFill>
                                  <a:prstDash val="solid"/>
                                  <a:headEnd type="none" w="med" len="med"/>
                                  <a:tailEnd type="triangle" w="sm" len="lg"/>
                                </a:ln>
                              </wps:spPr>
                              <wps:bodyPr upright="1"/>
                            </wps:wsp>
                            <wps:wsp>
                              <wps:cNvPr id="8" name="文本框 540"/>
                              <wps:cNvSpPr txBox="1"/>
                              <wps:spPr>
                                <a:xfrm>
                                  <a:off x="6312" y="0"/>
                                  <a:ext cx="2084"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szCs w:val="21"/>
                                      </w:rPr>
                                    </w:pPr>
                                    <w:r>
                                      <w:rPr>
                                        <w:rFonts w:hint="eastAsia"/>
                                        <w:szCs w:val="21"/>
                                      </w:rPr>
                                      <w:t>铺筑水泥稳定</w:t>
                                    </w:r>
                                    <w:r>
                                      <w:rPr>
                                        <w:szCs w:val="21"/>
                                      </w:rPr>
                                      <w:t>碎石</w:t>
                                    </w:r>
                                  </w:p>
                                </w:txbxContent>
                              </wps:txbx>
                              <wps:bodyPr lIns="0" tIns="0" rIns="0" bIns="0" upright="1"/>
                            </wps:wsp>
                            <wps:wsp>
                              <wps:cNvPr id="9" name="文本框 541"/>
                              <wps:cNvSpPr txBox="1"/>
                              <wps:spPr>
                                <a:xfrm>
                                  <a:off x="6698" y="836"/>
                                  <a:ext cx="1621"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40" w:lineRule="exact"/>
                                      <w:jc w:val="center"/>
                                      <w:rPr>
                                        <w:color w:val="000000"/>
                                        <w:szCs w:val="21"/>
                                      </w:rPr>
                                    </w:pPr>
                                    <w:r>
                                      <w:rPr>
                                        <w:rFonts w:hint="eastAsia"/>
                                        <w:color w:val="000000"/>
                                        <w:szCs w:val="21"/>
                                      </w:rPr>
                                      <w:t>平整</w:t>
                                    </w:r>
                                  </w:p>
                                  <w:p>
                                    <w:pPr>
                                      <w:spacing w:line="300" w:lineRule="exact"/>
                                      <w:ind w:firstLine="420"/>
                                      <w:jc w:val="center"/>
                                      <w:rPr>
                                        <w:szCs w:val="21"/>
                                      </w:rPr>
                                    </w:pPr>
                                  </w:p>
                                </w:txbxContent>
                              </wps:txbx>
                              <wps:bodyPr lIns="0" tIns="0" rIns="0" bIns="0" upright="1"/>
                            </wps:wsp>
                            <wps:wsp>
                              <wps:cNvPr id="11" name="文本框 542"/>
                              <wps:cNvSpPr txBox="1"/>
                              <wps:spPr>
                                <a:xfrm>
                                  <a:off x="4020" y="836"/>
                                  <a:ext cx="2083"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szCs w:val="21"/>
                                      </w:rPr>
                                    </w:pPr>
                                    <w:r>
                                      <w:rPr>
                                        <w:rFonts w:hint="eastAsia"/>
                                        <w:szCs w:val="21"/>
                                      </w:rPr>
                                      <w:t>铺筑沥青混凝土</w:t>
                                    </w:r>
                                  </w:p>
                                </w:txbxContent>
                              </wps:txbx>
                              <wps:bodyPr lIns="0" tIns="0" rIns="0" bIns="0" upright="1"/>
                            </wps:wsp>
                            <wps:wsp>
                              <wps:cNvPr id="12" name="文本框 543"/>
                              <wps:cNvSpPr txBox="1"/>
                              <wps:spPr>
                                <a:xfrm>
                                  <a:off x="2009" y="0"/>
                                  <a:ext cx="1390"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szCs w:val="21"/>
                                      </w:rPr>
                                    </w:pPr>
                                    <w:r>
                                      <w:rPr>
                                        <w:rFonts w:hint="eastAsia"/>
                                        <w:szCs w:val="21"/>
                                      </w:rPr>
                                      <w:t>下管线</w:t>
                                    </w:r>
                                  </w:p>
                                </w:txbxContent>
                              </wps:txbx>
                              <wps:bodyPr lIns="0" tIns="0" rIns="0" bIns="0" upright="1"/>
                            </wps:wsp>
                            <wps:wsp>
                              <wps:cNvPr id="13" name="文本框 544"/>
                              <wps:cNvSpPr txBox="1"/>
                              <wps:spPr>
                                <a:xfrm>
                                  <a:off x="0" y="0"/>
                                  <a:ext cx="1390"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szCs w:val="21"/>
                                      </w:rPr>
                                    </w:pPr>
                                    <w:r>
                                      <w:rPr>
                                        <w:rFonts w:hint="eastAsia"/>
                                        <w:szCs w:val="21"/>
                                      </w:rPr>
                                      <w:t>清整场地</w:t>
                                    </w:r>
                                  </w:p>
                                </w:txbxContent>
                              </wps:txbx>
                              <wps:bodyPr lIns="7200" tIns="3600" rIns="7200" bIns="3600" upright="1"/>
                            </wps:wsp>
                            <wps:wsp>
                              <wps:cNvPr id="14" name="文本框 545"/>
                              <wps:cNvSpPr txBox="1"/>
                              <wps:spPr>
                                <a:xfrm>
                                  <a:off x="1980" y="865"/>
                                  <a:ext cx="1390" cy="443"/>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spacing w:line="300" w:lineRule="exact"/>
                                      <w:jc w:val="center"/>
                                      <w:rPr>
                                        <w:szCs w:val="21"/>
                                      </w:rPr>
                                    </w:pPr>
                                    <w:r>
                                      <w:rPr>
                                        <w:rFonts w:hint="eastAsia"/>
                                        <w:szCs w:val="21"/>
                                      </w:rPr>
                                      <w:t>养护路面</w:t>
                                    </w:r>
                                  </w:p>
                                </w:txbxContent>
                              </wps:txbx>
                              <wps:bodyPr lIns="0" tIns="0" rIns="0" bIns="0" upright="1"/>
                            </wps:wsp>
                          </wpg:wgp>
                        </a:graphicData>
                      </a:graphic>
                    </wp:inline>
                  </w:drawing>
                </mc:Choice>
                <mc:Fallback>
                  <w:pict>
                    <v:group id="组合 532" o:spid="_x0000_s1026" o:spt="203" style="height:65.4pt;width:406.7pt;" coordsize="8396,1308" o:gfxdata="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">
                      <o:lock v:ext="edit" aspectratio="f"/>
                      <v:line id="直线 533" o:spid="_x0000_s1026" o:spt="20" style="position:absolute;left:3360;top:1061;height:1;width:695;" filled="f" stroked="t" coordsize="21600,21600" o:gfxdata="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H1bsAAADa&#10;AAAADwAAAAAAAAABACAAAAAiAAAAZHJzL2Rvd25yZXYueG1sUEsBAhQAFAAAAAgAh07iQDMvBZ47&#10;AAAAOQAAABAAAAAAAAAAAQAgAAAACgEAAGRycy9zaGFwZXhtbC54bWxQSwUGAAAAAAYABgBbAQAA&#10;tAMAAAAA&#10;">
                        <v:fill on="f" focussize="0,0"/>
                        <v:stroke color="#000000" joinstyle="round" startarrow="block" startarrowwidth="narrow" startarrowlength="long"/>
                        <v:imagedata o:title=""/>
                        <o:lock v:ext="edit" aspectratio="f"/>
                      </v:line>
                      <v:line id="直线 534" o:spid="_x0000_s1026" o:spt="20" style="position:absolute;left:1340;top:224;height:1;width:694;" filled="f" stroked="t" coordsize="21600,21600" o:gfxdata="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gMRvQAA&#10;ANo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shape id="文本框 535" o:spid="_x0000_s1026" o:spt="202" type="#_x0000_t202" style="position:absolute;left:4019;top:0;height:443;width:1621;" fillcolor="#FFFFFF" filled="t" stroked="t" coordsize="21600,21600" o:gfxdata="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IYO0vQAA&#10;ANo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w:txbxContent>
                            <w:p>
                              <w:pPr>
                                <w:spacing w:line="300" w:lineRule="exact"/>
                                <w:jc w:val="center"/>
                                <w:rPr>
                                  <w:szCs w:val="21"/>
                                </w:rPr>
                              </w:pPr>
                              <w:r>
                                <w:rPr>
                                  <w:rFonts w:hint="eastAsia"/>
                                  <w:szCs w:val="21"/>
                                </w:rPr>
                                <w:t>铺筑碎石垫层</w:t>
                              </w:r>
                            </w:p>
                          </w:txbxContent>
                        </v:textbox>
                      </v:shape>
                      <v:line id="直线 536" o:spid="_x0000_s1026" o:spt="20" style="position:absolute;left:6088;top:1045;height:1;width:695;" filled="f" stroked="t" coordsize="21600,21600" o:gfxdata="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QpE28AAAA&#10;2gAAAA8AAAAAAAAAAQAgAAAAIgAAAGRycy9kb3ducmV2LnhtbFBLAQIUABQAAAAIAIdO4kAzLwWe&#10;OwAAADkAAAAQAAAAAAAAAAEAIAAAAAsBAABkcnMvc2hhcGV4bWwueG1sUEsFBgAAAAAGAAYAWwEA&#10;ALUDAAAAAA==&#10;">
                        <v:fill on="f" focussize="0,0"/>
                        <v:stroke color="#000000" joinstyle="round" startarrow="block" startarrowwidth="narrow" startarrowlength="long"/>
                        <v:imagedata o:title=""/>
                        <o:lock v:ext="edit" aspectratio="f"/>
                      </v:line>
                      <v:line id="直线 537" o:spid="_x0000_s1026" o:spt="20" style="position:absolute;left:5625;top:207;height:1;width:695;" filled="f" stroked="t" coordsize="21600,21600" o:gfxdata="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75tlvQAA&#10;ANo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直线 538" o:spid="_x0000_s1026" o:spt="20" style="position:absolute;left:3346;top:224;height:1;width:695;" filled="f" stroked="t" coordsize="21600,21600" o:gfxdata="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PQUSvQAA&#10;ANo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line id="直线 539" o:spid="_x0000_s1026" o:spt="20" style="position:absolute;left:7538;top:443;height:423;width:0;" filled="f" stroked="t" coordsize="21600,21600" o:gfxdata="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caCJvQAA&#10;ANo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line>
                      <v:shape id="文本框 540" o:spid="_x0000_s1026" o:spt="202" type="#_x0000_t202" style="position:absolute;left:6312;top:0;height:443;width:2084;" fillcolor="#FFFFFF" filled="t" stroked="t" coordsize="21600,21600" o:gfxdata="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FEcW5AAAA2g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w:txbxContent>
                            <w:p>
                              <w:pPr>
                                <w:spacing w:line="300" w:lineRule="exact"/>
                                <w:jc w:val="center"/>
                                <w:rPr>
                                  <w:szCs w:val="21"/>
                                </w:rPr>
                              </w:pPr>
                              <w:r>
                                <w:rPr>
                                  <w:rFonts w:hint="eastAsia"/>
                                  <w:szCs w:val="21"/>
                                </w:rPr>
                                <w:t>铺筑水泥稳定</w:t>
                              </w:r>
                              <w:r>
                                <w:rPr>
                                  <w:szCs w:val="21"/>
                                </w:rPr>
                                <w:t>碎石</w:t>
                              </w:r>
                            </w:p>
                          </w:txbxContent>
                        </v:textbox>
                      </v:shape>
                      <v:shape id="文本框 541" o:spid="_x0000_s1026" o:spt="202" type="#_x0000_t202" style="position:absolute;left:6698;top:836;height:443;width:1621;" fillcolor="#FFFFFF" filled="t" stroked="t" coordsize="21600,21600" o:gfxdata="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ybRevQAA&#10;ANo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w:txbxContent>
                            <w:p>
                              <w:pPr>
                                <w:spacing w:line="340" w:lineRule="exact"/>
                                <w:jc w:val="center"/>
                                <w:rPr>
                                  <w:color w:val="000000"/>
                                  <w:szCs w:val="21"/>
                                </w:rPr>
                              </w:pPr>
                              <w:r>
                                <w:rPr>
                                  <w:rFonts w:hint="eastAsia"/>
                                  <w:color w:val="000000"/>
                                  <w:szCs w:val="21"/>
                                </w:rPr>
                                <w:t>平整</w:t>
                              </w:r>
                            </w:p>
                            <w:p>
                              <w:pPr>
                                <w:spacing w:line="300" w:lineRule="exact"/>
                                <w:ind w:firstLine="420"/>
                                <w:jc w:val="center"/>
                                <w:rPr>
                                  <w:szCs w:val="21"/>
                                </w:rPr>
                              </w:pPr>
                            </w:p>
                          </w:txbxContent>
                        </v:textbox>
                      </v:shape>
                      <v:shape id="文本框 542" o:spid="_x0000_s1026" o:spt="202" type="#_x0000_t202" style="position:absolute;left:4020;top:836;height:443;width:2083;" fillcolor="#FFFFFF" filled="t" stroked="t" coordsize="21600,21600" o:gfxdata="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jdF6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w:txbxContent>
                            <w:p>
                              <w:pPr>
                                <w:spacing w:line="300" w:lineRule="exact"/>
                                <w:jc w:val="center"/>
                                <w:rPr>
                                  <w:szCs w:val="21"/>
                                </w:rPr>
                              </w:pPr>
                              <w:r>
                                <w:rPr>
                                  <w:rFonts w:hint="eastAsia"/>
                                  <w:szCs w:val="21"/>
                                </w:rPr>
                                <w:t>铺筑沥青混凝土</w:t>
                              </w:r>
                            </w:p>
                          </w:txbxContent>
                        </v:textbox>
                      </v:shape>
                      <v:shape id="文本框 543" o:spid="_x0000_s1026" o:spt="202" type="#_x0000_t202" style="position:absolute;left:2009;top:0;height:443;width:1390;" fillcolor="#FFFFFF" filled="t" stroked="t" coordsize="21600,21600" o:gfxdata="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x6im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w:txbxContent>
                            <w:p>
                              <w:pPr>
                                <w:spacing w:line="300" w:lineRule="exact"/>
                                <w:jc w:val="center"/>
                                <w:rPr>
                                  <w:szCs w:val="21"/>
                                </w:rPr>
                              </w:pPr>
                              <w:r>
                                <w:rPr>
                                  <w:rFonts w:hint="eastAsia"/>
                                  <w:szCs w:val="21"/>
                                </w:rPr>
                                <w:t>下管线</w:t>
                              </w:r>
                            </w:p>
                          </w:txbxContent>
                        </v:textbox>
                      </v:shape>
                      <v:shape id="文本框 544" o:spid="_x0000_s1026" o:spt="202" type="#_x0000_t202" style="position:absolute;left:0;top:0;height:443;width:1390;" fillcolor="#FFFFFF" filled="t" stroked="t" coordsize="21600,21600" o:gfxdata="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4Na0y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2mm,0.1mm,0.2mm,0.1mm">
                          <w:txbxContent>
                            <w:p>
                              <w:pPr>
                                <w:spacing w:line="300" w:lineRule="exact"/>
                                <w:jc w:val="center"/>
                                <w:rPr>
                                  <w:szCs w:val="21"/>
                                </w:rPr>
                              </w:pPr>
                              <w:r>
                                <w:rPr>
                                  <w:rFonts w:hint="eastAsia"/>
                                  <w:szCs w:val="21"/>
                                </w:rPr>
                                <w:t>清整场地</w:t>
                              </w:r>
                            </w:p>
                          </w:txbxContent>
                        </v:textbox>
                      </v:shape>
                      <v:shape id="文本框 545" o:spid="_x0000_s1026" o:spt="202" type="#_x0000_t202" style="position:absolute;left:1980;top:865;height:443;width:1390;" fillcolor="#FFFFFF" filled="t" stroked="t" coordsize="21600,21600" o:gfxdata="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U18a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w:txbxContent>
                            <w:p>
                              <w:pPr>
                                <w:spacing w:line="300" w:lineRule="exact"/>
                                <w:jc w:val="center"/>
                                <w:rPr>
                                  <w:szCs w:val="21"/>
                                </w:rPr>
                              </w:pPr>
                              <w:r>
                                <w:rPr>
                                  <w:rFonts w:hint="eastAsia"/>
                                  <w:szCs w:val="21"/>
                                </w:rPr>
                                <w:t>养护路面</w:t>
                              </w:r>
                            </w:p>
                          </w:txbxContent>
                        </v:textbox>
                      </v:shape>
                      <w10:wrap type="none"/>
                      <w10:anchorlock/>
                    </v:group>
                  </w:pict>
                </mc:Fallback>
              </mc:AlternateContent>
            </w:r>
          </w:p>
          <w:p>
            <w:pPr>
              <w:spacing w:line="360" w:lineRule="auto"/>
              <w:ind w:firstLine="422"/>
              <w:jc w:val="center"/>
              <w:outlineLvl w:val="2"/>
              <w:rPr>
                <w:b/>
                <w:bCs/>
                <w:sz w:val="24"/>
              </w:rPr>
            </w:pPr>
            <w:r>
              <w:rPr>
                <w:b/>
                <w:bCs/>
                <w:sz w:val="24"/>
              </w:rPr>
              <w:t>图2.</w:t>
            </w:r>
            <w:r>
              <w:rPr>
                <w:rFonts w:hint="eastAsia"/>
                <w:b/>
                <w:bCs/>
                <w:sz w:val="24"/>
              </w:rPr>
              <w:t>10</w:t>
            </w:r>
            <w:r>
              <w:rPr>
                <w:b/>
                <w:bCs/>
                <w:sz w:val="24"/>
              </w:rPr>
              <w:t>-1 路面施工工艺流程图</w:t>
            </w:r>
          </w:p>
          <w:p>
            <w:pPr>
              <w:adjustRightInd w:val="0"/>
              <w:snapToGrid w:val="0"/>
              <w:spacing w:line="360" w:lineRule="auto"/>
              <w:ind w:firstLine="480" w:firstLineChars="200"/>
              <w:outlineLvl w:val="2"/>
              <w:rPr>
                <w:kern w:val="0"/>
                <w:sz w:val="24"/>
              </w:rPr>
            </w:pPr>
            <w:r>
              <w:rPr>
                <w:rFonts w:hint="eastAsia"/>
                <w:kern w:val="0"/>
                <w:sz w:val="24"/>
              </w:rPr>
              <w:t>（3）桥梁工程</w:t>
            </w:r>
          </w:p>
          <w:p>
            <w:pPr>
              <w:adjustRightInd w:val="0"/>
              <w:snapToGrid w:val="0"/>
              <w:spacing w:line="360" w:lineRule="auto"/>
              <w:ind w:firstLine="480" w:firstLineChars="200"/>
              <w:outlineLvl w:val="2"/>
              <w:rPr>
                <w:kern w:val="0"/>
                <w:sz w:val="24"/>
              </w:rPr>
            </w:pPr>
            <w:r>
              <w:rPr>
                <w:rFonts w:hint="eastAsia"/>
                <w:kern w:val="0"/>
                <w:sz w:val="24"/>
              </w:rPr>
              <w:t>为避免现浇结构在河中搭设的支架、桥墩对规划水系的水利影响，采用22m跨径预制空心板梁桥跨越河道的结构设计。下部结构桥台采用重力式桥台，采用钻孔灌注桩基础。</w:t>
            </w:r>
          </w:p>
          <w:p>
            <w:pPr>
              <w:pStyle w:val="26"/>
              <w:spacing w:after="0" w:line="360" w:lineRule="auto"/>
              <w:ind w:left="0" w:leftChars="0" w:firstLine="480"/>
              <w:jc w:val="left"/>
            </w:pPr>
            <w:r>
              <w:rPr>
                <w:rFonts w:hint="eastAsia"/>
              </w:rPr>
              <w:t>桩基施工方案：搭设水上钻孔平台，采用旋挖钻机钻孔；预制组合梁架设法：采用简易型钢导梁架设法或者双导梁架桥机架设法。</w:t>
            </w:r>
          </w:p>
          <w:p>
            <w:pPr>
              <w:spacing w:line="360" w:lineRule="auto"/>
              <w:ind w:firstLine="482"/>
              <w:jc w:val="left"/>
              <w:rPr>
                <w:sz w:val="24"/>
              </w:rPr>
            </w:pPr>
            <w:r>
              <w:rPr>
                <w:rFonts w:hint="eastAsia"/>
                <w:sz w:val="24"/>
              </w:rPr>
              <w:t>桥梁上部施工：上部结构为</w:t>
            </w:r>
            <w:r>
              <w:rPr>
                <w:rFonts w:hint="eastAsia"/>
                <w:kern w:val="0"/>
                <w:sz w:val="24"/>
              </w:rPr>
              <w:t>预制空心板梁</w:t>
            </w:r>
            <w:r>
              <w:rPr>
                <w:rFonts w:hint="eastAsia"/>
                <w:sz w:val="24"/>
              </w:rPr>
              <w:t>，可在周边选取合适的场地作为预制梁梁厂，在梁场内完成预制后运至桥位处并实施吊装和现场施工。</w:t>
            </w:r>
          </w:p>
          <w:p>
            <w:pPr>
              <w:pStyle w:val="26"/>
              <w:spacing w:after="0" w:line="360" w:lineRule="auto"/>
              <w:ind w:left="0" w:leftChars="0" w:firstLine="480"/>
              <w:jc w:val="left"/>
            </w:pPr>
            <w:r>
              <w:rPr>
                <w:rFonts w:hint="eastAsia"/>
              </w:rPr>
              <w:t>（4）管线施工</w:t>
            </w:r>
          </w:p>
          <w:p>
            <w:pPr>
              <w:spacing w:line="360" w:lineRule="auto"/>
              <w:ind w:firstLine="480" w:firstLineChars="200"/>
              <w:jc w:val="left"/>
              <w:rPr>
                <w:sz w:val="24"/>
              </w:rPr>
            </w:pPr>
            <w:r>
              <w:rPr>
                <w:rFonts w:hint="eastAsia" w:ascii="宋体" w:hAnsi="宋体" w:cs="宋体"/>
                <w:sz w:val="24"/>
              </w:rPr>
              <w:t>①</w:t>
            </w:r>
            <w:r>
              <w:rPr>
                <w:rFonts w:hint="eastAsia"/>
                <w:sz w:val="24"/>
              </w:rPr>
              <w:t>工艺流程</w:t>
            </w:r>
          </w:p>
          <w:p>
            <w:pPr>
              <w:spacing w:line="360" w:lineRule="auto"/>
              <w:ind w:firstLine="480" w:firstLineChars="200"/>
              <w:jc w:val="left"/>
              <w:rPr>
                <w:sz w:val="24"/>
              </w:rPr>
            </w:pPr>
            <w:r>
              <w:rPr>
                <w:rFonts w:hint="eastAsia"/>
                <w:sz w:val="24"/>
              </w:rPr>
              <w:t>施工放样→管沟开挖→垫层、基础施工→管道安装→管座及接口施工→管沟回填。</w:t>
            </w:r>
          </w:p>
          <w:p>
            <w:pPr>
              <w:spacing w:line="360" w:lineRule="auto"/>
              <w:ind w:firstLine="480" w:firstLineChars="200"/>
              <w:jc w:val="left"/>
              <w:rPr>
                <w:sz w:val="24"/>
              </w:rPr>
            </w:pPr>
            <w:r>
              <w:rPr>
                <w:rFonts w:hint="eastAsia" w:ascii="宋体" w:hAnsi="宋体" w:cs="宋体"/>
                <w:sz w:val="24"/>
              </w:rPr>
              <w:t>②</w:t>
            </w:r>
            <w:r>
              <w:rPr>
                <w:rFonts w:hint="eastAsia"/>
                <w:sz w:val="24"/>
              </w:rPr>
              <w:t>施工方法</w:t>
            </w:r>
          </w:p>
          <w:p>
            <w:pPr>
              <w:spacing w:line="360" w:lineRule="auto"/>
              <w:ind w:firstLine="480" w:firstLineChars="200"/>
              <w:jc w:val="left"/>
              <w:rPr>
                <w:sz w:val="24"/>
              </w:rPr>
            </w:pPr>
            <w:r>
              <w:rPr>
                <w:rFonts w:hint="eastAsia"/>
                <w:sz w:val="24"/>
              </w:rPr>
              <w:t>施工放样：精确测量放线，做好装点固定保护；</w:t>
            </w:r>
          </w:p>
          <w:p>
            <w:pPr>
              <w:spacing w:line="360" w:lineRule="auto"/>
              <w:ind w:firstLine="480" w:firstLineChars="200"/>
              <w:jc w:val="left"/>
              <w:rPr>
                <w:sz w:val="24"/>
              </w:rPr>
            </w:pPr>
            <w:r>
              <w:rPr>
                <w:rFonts w:hint="eastAsia"/>
                <w:sz w:val="24"/>
              </w:rPr>
              <w:t>管沟开挖：先进行准确测量，机械施工，沟槽采用自然放坡。</w:t>
            </w:r>
          </w:p>
          <w:p>
            <w:pPr>
              <w:spacing w:line="360" w:lineRule="auto"/>
              <w:ind w:firstLine="480" w:firstLineChars="200"/>
              <w:jc w:val="left"/>
              <w:rPr>
                <w:sz w:val="24"/>
              </w:rPr>
            </w:pPr>
            <w:r>
              <w:rPr>
                <w:rFonts w:hint="eastAsia"/>
                <w:sz w:val="24"/>
              </w:rPr>
              <w:t>垫层、基础施工：槽底以上</w:t>
            </w:r>
            <w:r>
              <w:rPr>
                <w:sz w:val="24"/>
              </w:rPr>
              <w:t>20cm</w:t>
            </w:r>
            <w:r>
              <w:rPr>
                <w:rFonts w:hint="eastAsia"/>
                <w:sz w:val="24"/>
              </w:rPr>
              <w:t>必须用人工修整地面，槽底的松散土、大石块等要及时清除，并保持沟槽干燥，修整好地面，立即进行基础施工。沟槽形成后，在槽底面上铺</w:t>
            </w:r>
            <w:r>
              <w:rPr>
                <w:sz w:val="24"/>
              </w:rPr>
              <w:t>20cm</w:t>
            </w:r>
            <w:r>
              <w:rPr>
                <w:rFonts w:hint="eastAsia"/>
                <w:sz w:val="24"/>
              </w:rPr>
              <w:t>砂垫层，并用机械振动夯实，密实度达</w:t>
            </w:r>
            <w:r>
              <w:rPr>
                <w:sz w:val="24"/>
              </w:rPr>
              <w:t>90%</w:t>
            </w:r>
            <w:r>
              <w:rPr>
                <w:rFonts w:hint="eastAsia"/>
                <w:sz w:val="24"/>
              </w:rPr>
              <w:t>以上；</w:t>
            </w:r>
          </w:p>
          <w:p>
            <w:pPr>
              <w:spacing w:line="360" w:lineRule="auto"/>
              <w:ind w:firstLine="480" w:firstLineChars="200"/>
              <w:jc w:val="left"/>
              <w:rPr>
                <w:sz w:val="24"/>
              </w:rPr>
            </w:pPr>
            <w:r>
              <w:rPr>
                <w:rFonts w:hint="eastAsia"/>
                <w:sz w:val="24"/>
              </w:rPr>
              <w:t>管道安装：管道基础验收合格后，方可进行管道施工，管道安装前，应虚铺</w:t>
            </w:r>
            <w:r>
              <w:rPr>
                <w:sz w:val="24"/>
              </w:rPr>
              <w:t>5-10cm</w:t>
            </w:r>
            <w:r>
              <w:rPr>
                <w:rFonts w:hint="eastAsia"/>
                <w:sz w:val="24"/>
              </w:rPr>
              <w:t>的砂层，以确保腋部充填饱满，管道安装应在厂方技术人员的指导下完成；</w:t>
            </w:r>
          </w:p>
          <w:p>
            <w:pPr>
              <w:spacing w:line="360" w:lineRule="auto"/>
              <w:ind w:firstLine="200"/>
              <w:jc w:val="left"/>
            </w:pPr>
            <w:r>
              <w:rPr>
                <w:rFonts w:hint="eastAsia"/>
                <w:sz w:val="24"/>
              </w:rPr>
              <w:t>管沟回填：管道安装回填应分区对称进行，严禁单侧回填。</w:t>
            </w:r>
          </w:p>
          <w:p>
            <w:pPr>
              <w:adjustRightInd w:val="0"/>
              <w:snapToGrid w:val="0"/>
              <w:spacing w:line="360" w:lineRule="auto"/>
              <w:outlineLvl w:val="2"/>
              <w:rPr>
                <w:b/>
                <w:bCs/>
                <w:kern w:val="0"/>
                <w:sz w:val="28"/>
                <w:szCs w:val="28"/>
              </w:rPr>
            </w:pPr>
            <w:r>
              <w:rPr>
                <w:rFonts w:hint="eastAsia"/>
                <w:b/>
                <w:bCs/>
                <w:kern w:val="0"/>
                <w:sz w:val="28"/>
                <w:szCs w:val="28"/>
              </w:rPr>
              <w:t xml:space="preserve">2.10.2 </w:t>
            </w:r>
            <w:r>
              <w:rPr>
                <w:b/>
                <w:bCs/>
                <w:kern w:val="0"/>
                <w:sz w:val="28"/>
                <w:szCs w:val="28"/>
              </w:rPr>
              <w:t>施工总进度</w:t>
            </w:r>
          </w:p>
          <w:p>
            <w:pPr>
              <w:adjustRightInd w:val="0"/>
              <w:snapToGrid w:val="0"/>
              <w:spacing w:line="360" w:lineRule="auto"/>
              <w:ind w:firstLine="480" w:firstLineChars="200"/>
              <w:outlineLvl w:val="2"/>
              <w:rPr>
                <w:rFonts w:hint="eastAsia" w:ascii="宋体" w:hAnsi="宋体" w:cs="宋体"/>
                <w:kern w:val="0"/>
                <w:sz w:val="24"/>
              </w:rPr>
            </w:pPr>
            <w:r>
              <w:rPr>
                <w:rFonts w:hint="eastAsia" w:ascii="宋体" w:hAnsi="宋体" w:cs="宋体"/>
                <w:sz w:val="24"/>
              </w:rPr>
              <w:t>项目</w:t>
            </w:r>
            <w:r>
              <w:rPr>
                <w:sz w:val="24"/>
              </w:rPr>
              <w:t>道路工程</w:t>
            </w:r>
            <w:r>
              <w:rPr>
                <w:color w:val="auto"/>
                <w:sz w:val="24"/>
              </w:rPr>
              <w:t>拟于202</w:t>
            </w:r>
            <w:r>
              <w:rPr>
                <w:rFonts w:hint="eastAsia"/>
                <w:color w:val="auto"/>
                <w:sz w:val="24"/>
                <w:lang w:val="en-US" w:eastAsia="zh-CN"/>
              </w:rPr>
              <w:t>5</w:t>
            </w:r>
            <w:r>
              <w:rPr>
                <w:color w:val="auto"/>
                <w:sz w:val="24"/>
              </w:rPr>
              <w:t>年</w:t>
            </w:r>
            <w:r>
              <w:rPr>
                <w:rFonts w:hint="eastAsia"/>
                <w:color w:val="auto"/>
                <w:sz w:val="24"/>
                <w:lang w:val="en-US" w:eastAsia="zh-CN"/>
              </w:rPr>
              <w:t>1</w:t>
            </w:r>
            <w:r>
              <w:rPr>
                <w:color w:val="auto"/>
                <w:sz w:val="24"/>
              </w:rPr>
              <w:t>月动工，202</w:t>
            </w:r>
            <w:r>
              <w:rPr>
                <w:rFonts w:hint="eastAsia"/>
                <w:color w:val="auto"/>
                <w:sz w:val="24"/>
                <w:lang w:val="en-US" w:eastAsia="zh-CN"/>
              </w:rPr>
              <w:t>5</w:t>
            </w:r>
            <w:r>
              <w:rPr>
                <w:color w:val="auto"/>
                <w:sz w:val="24"/>
              </w:rPr>
              <w:t>年</w:t>
            </w:r>
            <w:r>
              <w:rPr>
                <w:rFonts w:hint="eastAsia"/>
                <w:color w:val="auto"/>
                <w:sz w:val="24"/>
              </w:rPr>
              <w:t>1</w:t>
            </w:r>
            <w:r>
              <w:rPr>
                <w:rFonts w:hint="eastAsia"/>
                <w:color w:val="auto"/>
                <w:sz w:val="24"/>
                <w:lang w:val="en-US" w:eastAsia="zh-CN"/>
              </w:rPr>
              <w:t>2</w:t>
            </w:r>
            <w:r>
              <w:rPr>
                <w:color w:val="auto"/>
                <w:sz w:val="24"/>
              </w:rPr>
              <w:t>月完工，计划工期</w:t>
            </w:r>
            <w:r>
              <w:rPr>
                <w:rFonts w:hint="eastAsia"/>
                <w:color w:val="auto"/>
                <w:sz w:val="24"/>
                <w:lang w:val="en-US" w:eastAsia="zh-CN"/>
              </w:rPr>
              <w:t>12</w:t>
            </w:r>
            <w:r>
              <w:rPr>
                <w:color w:val="auto"/>
                <w:sz w:val="24"/>
              </w:rPr>
              <w:t>个月</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86" w:type="dxa"/>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其他</w:t>
            </w:r>
          </w:p>
        </w:tc>
        <w:tc>
          <w:tcPr>
            <w:tcW w:w="8304" w:type="dxa"/>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无</w:t>
            </w:r>
          </w:p>
        </w:tc>
      </w:tr>
    </w:tbl>
    <w:p>
      <w:pPr>
        <w:pStyle w:val="22"/>
        <w:jc w:val="center"/>
        <w:outlineLvl w:val="0"/>
        <w:rPr>
          <w:rFonts w:hint="eastAsia" w:ascii="黑体" w:hAnsi="黑体" w:eastAsia="黑体"/>
          <w:snapToGrid w:val="0"/>
          <w:sz w:val="30"/>
          <w:szCs w:val="30"/>
        </w:rPr>
      </w:pPr>
      <w:r>
        <w:rPr>
          <w:rFonts w:eastAsia="仿宋_GB2312"/>
          <w:b/>
          <w:bCs/>
        </w:rPr>
        <w:br w:type="page"/>
      </w:r>
      <w:bookmarkStart w:id="63" w:name="_Toc3002"/>
      <w:bookmarkStart w:id="64" w:name="_Toc31734"/>
      <w:bookmarkStart w:id="65" w:name="_Toc7877"/>
      <w:r>
        <w:rPr>
          <w:rFonts w:hint="eastAsia" w:ascii="黑体" w:hAnsi="黑体" w:eastAsia="黑体"/>
          <w:b/>
          <w:bCs/>
          <w:snapToGrid w:val="0"/>
          <w:sz w:val="32"/>
          <w:szCs w:val="32"/>
        </w:rPr>
        <w:t>三、生态环境现状、保护目标及评价标准</w:t>
      </w:r>
      <w:bookmarkEnd w:id="63"/>
      <w:bookmarkEnd w:id="64"/>
      <w:bookmarkEnd w:id="65"/>
    </w:p>
    <w:tbl>
      <w:tblPr>
        <w:tblStyle w:val="27"/>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817" w:type="dxa"/>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生态环境现状</w:t>
            </w:r>
          </w:p>
        </w:tc>
        <w:tc>
          <w:tcPr>
            <w:tcW w:w="8471" w:type="dxa"/>
          </w:tcPr>
          <w:p>
            <w:pPr>
              <w:adjustRightInd w:val="0"/>
              <w:snapToGrid w:val="0"/>
              <w:spacing w:before="120" w:beforeLines="50" w:after="120" w:afterLines="50" w:line="360" w:lineRule="auto"/>
              <w:outlineLvl w:val="1"/>
              <w:rPr>
                <w:b/>
                <w:bCs/>
                <w:snapToGrid w:val="0"/>
                <w:kern w:val="0"/>
                <w:sz w:val="30"/>
                <w:szCs w:val="30"/>
              </w:rPr>
            </w:pPr>
            <w:r>
              <w:rPr>
                <w:rFonts w:eastAsia="黑体"/>
                <w:b/>
                <w:bCs/>
                <w:snapToGrid w:val="0"/>
                <w:kern w:val="0"/>
                <w:sz w:val="30"/>
                <w:szCs w:val="30"/>
              </w:rPr>
              <w:t>3.</w:t>
            </w:r>
            <w:r>
              <w:rPr>
                <w:b/>
                <w:bCs/>
                <w:snapToGrid w:val="0"/>
                <w:kern w:val="0"/>
                <w:sz w:val="30"/>
                <w:szCs w:val="30"/>
              </w:rPr>
              <w:t>1 生态环境质量现状</w:t>
            </w:r>
          </w:p>
          <w:p>
            <w:pPr>
              <w:adjustRightInd w:val="0"/>
              <w:snapToGrid w:val="0"/>
              <w:spacing w:line="360" w:lineRule="auto"/>
              <w:outlineLvl w:val="2"/>
              <w:rPr>
                <w:b/>
                <w:bCs/>
                <w:snapToGrid w:val="0"/>
                <w:kern w:val="0"/>
                <w:sz w:val="28"/>
                <w:szCs w:val="28"/>
              </w:rPr>
            </w:pPr>
            <w:r>
              <w:rPr>
                <w:b/>
                <w:bCs/>
                <w:snapToGrid w:val="0"/>
                <w:kern w:val="0"/>
                <w:sz w:val="28"/>
                <w:szCs w:val="28"/>
              </w:rPr>
              <w:t>3.1.1 水环境</w:t>
            </w:r>
          </w:p>
          <w:p>
            <w:pPr>
              <w:spacing w:line="360" w:lineRule="auto"/>
              <w:ind w:firstLine="480" w:firstLineChars="200"/>
              <w:rPr>
                <w:sz w:val="24"/>
                <w:szCs w:val="22"/>
              </w:rPr>
            </w:pPr>
            <w:r>
              <w:rPr>
                <w:rFonts w:hint="eastAsia"/>
                <w:sz w:val="24"/>
              </w:rPr>
              <w:t>根据</w:t>
            </w:r>
            <w:r>
              <w:rPr>
                <w:rFonts w:hint="eastAsia"/>
                <w:snapToGrid w:val="0"/>
                <w:sz w:val="24"/>
              </w:rPr>
              <w:t>《福建省人民政府关于福州市地表水环境功能区划定方案的批复》(闽政文[2006]133号)及《福州市水环境功能区划》</w:t>
            </w:r>
            <w:r>
              <w:rPr>
                <w:rFonts w:hint="eastAsia"/>
                <w:sz w:val="24"/>
              </w:rPr>
              <w:t>，项目所在区域溪流为里美溪，属于龙江支流，龙江流域“东张水库坝址至大斜龙江桥断面”水体主要功能为工业、农业用水。</w:t>
            </w:r>
            <w:r>
              <w:rPr>
                <w:rFonts w:hint="eastAsia"/>
                <w:sz w:val="24"/>
                <w:szCs w:val="22"/>
              </w:rPr>
              <w:t>根据福建省生态环境厅</w:t>
            </w:r>
            <w:r>
              <w:rPr>
                <w:sz w:val="24"/>
                <w:szCs w:val="22"/>
              </w:rPr>
              <w:t>（http://sthjt.fujian.gov.cn）</w:t>
            </w:r>
            <w:r>
              <w:rPr>
                <w:rFonts w:hint="eastAsia"/>
                <w:sz w:val="24"/>
                <w:szCs w:val="22"/>
              </w:rPr>
              <w:t>发布的《2023年福建省生态环境状况公报》：纳人福建省地表水环境质量考核的375个断面(含国考断面)，按照评价标准，</w:t>
            </w:r>
            <w:r>
              <w:rPr>
                <w:rFonts w:hint="eastAsia" w:ascii="宋体" w:hAnsi="宋体"/>
                <w:sz w:val="24"/>
                <w:szCs w:val="22"/>
              </w:rPr>
              <w:t>Ⅰ</w:t>
            </w:r>
            <w:r>
              <w:rPr>
                <w:rFonts w:hint="eastAsia"/>
                <w:sz w:val="24"/>
                <w:szCs w:val="22"/>
              </w:rPr>
              <w:t>~Ⅲ类水质比例99.5%，同比上升0.8个百分点；其中~Ⅱ类水质比例65.3%，同比上升9.8个百分点；</w:t>
            </w:r>
            <w:r>
              <w:rPr>
                <w:rFonts w:hint="eastAsia" w:ascii="宋体" w:hAnsi="宋体"/>
                <w:sz w:val="24"/>
                <w:szCs w:val="22"/>
              </w:rPr>
              <w:t>Ⅳ</w:t>
            </w:r>
            <w:r>
              <w:rPr>
                <w:rFonts w:hint="eastAsia"/>
                <w:sz w:val="24"/>
                <w:szCs w:val="22"/>
              </w:rPr>
              <w:t>类占0.5%，无V类和劣V类断面。晋江、木兰溪、交溪、霍童溪、萩芦溪、</w:t>
            </w:r>
            <w:r>
              <w:rPr>
                <w:rFonts w:hint="eastAsia"/>
                <w:b/>
                <w:bCs/>
                <w:sz w:val="24"/>
                <w:szCs w:val="22"/>
              </w:rPr>
              <w:t>龙江</w:t>
            </w:r>
            <w:r>
              <w:rPr>
                <w:rFonts w:hint="eastAsia"/>
                <w:sz w:val="24"/>
                <w:szCs w:val="22"/>
              </w:rPr>
              <w:t>、漳江、诏安东溪、东西溪等9条流域，监测的各断面水质均达到Ⅲ类水质标准。</w:t>
            </w:r>
          </w:p>
          <w:p>
            <w:pPr>
              <w:spacing w:line="360" w:lineRule="auto"/>
              <w:rPr>
                <w:b/>
                <w:snapToGrid w:val="0"/>
                <w:kern w:val="0"/>
                <w:sz w:val="28"/>
                <w:szCs w:val="28"/>
              </w:rPr>
            </w:pPr>
            <w:r>
              <w:rPr>
                <w:b/>
                <w:snapToGrid w:val="0"/>
                <w:kern w:val="0"/>
                <w:sz w:val="28"/>
                <w:szCs w:val="28"/>
              </w:rPr>
              <w:t>3.1.2 大气环境</w:t>
            </w:r>
          </w:p>
          <w:p>
            <w:pPr>
              <w:pStyle w:val="74"/>
              <w:ind w:firstLine="480"/>
              <w:rPr>
                <w:rFonts w:hint="default"/>
              </w:rPr>
            </w:pPr>
            <w:r>
              <w:rPr>
                <w:rFonts w:hint="default"/>
              </w:rPr>
              <w:t>为了评述项目所在区域大气环境质量现状</w:t>
            </w:r>
            <w:r>
              <w:t>，本评价引用福州市福清生态环境局</w:t>
            </w:r>
            <w:r>
              <w:rPr>
                <w:rFonts w:hint="default"/>
              </w:rPr>
              <w:t>发布的2023年1月</w:t>
            </w:r>
            <w:r>
              <w:t>～</w:t>
            </w:r>
            <w:r>
              <w:rPr>
                <w:rFonts w:hint="default"/>
              </w:rPr>
              <w:t>2023年12月份福清市环境空气质量月报</w:t>
            </w:r>
            <w:r>
              <w:t>，</w:t>
            </w:r>
            <w:r>
              <w:rPr>
                <w:rFonts w:hint="default"/>
              </w:rPr>
              <w:t>2023年连续1年的大气常规因子环境空气质量监测数据详见表</w:t>
            </w:r>
            <w:r>
              <w:t>3-1</w:t>
            </w:r>
            <w:r>
              <w:rPr>
                <w:rFonts w:hint="default"/>
              </w:rPr>
              <w:t>所示。</w:t>
            </w:r>
          </w:p>
          <w:p>
            <w:pPr>
              <w:pStyle w:val="74"/>
              <w:ind w:firstLine="480"/>
              <w:rPr>
                <w:rFonts w:hint="default"/>
              </w:rPr>
            </w:pPr>
            <w:r>
              <w:rPr>
                <w:rFonts w:hint="default"/>
              </w:rPr>
              <w:t>由表</w:t>
            </w:r>
            <w:r>
              <w:t>3</w:t>
            </w:r>
            <w:r>
              <w:rPr>
                <w:rFonts w:hint="eastAsia"/>
                <w:lang w:val="en-US" w:eastAsia="zh-CN"/>
              </w:rPr>
              <w:t>.1</w:t>
            </w:r>
            <w:r>
              <w:t>-1</w:t>
            </w:r>
            <w:r>
              <w:rPr>
                <w:rFonts w:hint="default"/>
              </w:rPr>
              <w:t>可知</w:t>
            </w:r>
            <w:r>
              <w:t>，</w:t>
            </w:r>
            <w:r>
              <w:rPr>
                <w:rFonts w:hint="default"/>
              </w:rPr>
              <w:t>福清市2023年1月</w:t>
            </w:r>
            <w:r>
              <w:t>～</w:t>
            </w:r>
            <w:r>
              <w:rPr>
                <w:rFonts w:hint="default"/>
              </w:rPr>
              <w:t>2023年12月份空气环境中SO</w:t>
            </w:r>
            <w:r>
              <w:rPr>
                <w:rFonts w:hint="default"/>
                <w:vertAlign w:val="subscript"/>
              </w:rPr>
              <w:t>2</w:t>
            </w:r>
            <w:r>
              <w:rPr>
                <w:rFonts w:hint="default"/>
              </w:rPr>
              <w:t>、NO</w:t>
            </w:r>
            <w:r>
              <w:rPr>
                <w:rFonts w:hint="default"/>
                <w:vertAlign w:val="subscript"/>
              </w:rPr>
              <w:t>2</w:t>
            </w:r>
            <w:r>
              <w:rPr>
                <w:rFonts w:hint="default"/>
              </w:rPr>
              <w:t>、PM</w:t>
            </w:r>
            <w:r>
              <w:rPr>
                <w:rFonts w:hint="default"/>
                <w:vertAlign w:val="subscript"/>
              </w:rPr>
              <w:t>10</w:t>
            </w:r>
            <w:r>
              <w:rPr>
                <w:rFonts w:hint="default"/>
              </w:rPr>
              <w:t>和PM</w:t>
            </w:r>
            <w:r>
              <w:rPr>
                <w:rFonts w:hint="default"/>
                <w:vertAlign w:val="subscript"/>
              </w:rPr>
              <w:t>2.5</w:t>
            </w:r>
            <w:r>
              <w:rPr>
                <w:rFonts w:hint="default"/>
              </w:rPr>
              <w:t>均未超过国家二级标准</w:t>
            </w:r>
            <w:r>
              <w:t>，</w:t>
            </w:r>
            <w:r>
              <w:rPr>
                <w:rFonts w:hint="default"/>
              </w:rPr>
              <w:t>CO日均值第95百分数和O</w:t>
            </w:r>
            <w:r>
              <w:rPr>
                <w:rFonts w:hint="default"/>
                <w:vertAlign w:val="subscript"/>
              </w:rPr>
              <w:t>3</w:t>
            </w:r>
            <w:r>
              <w:rPr>
                <w:rFonts w:hint="default"/>
              </w:rPr>
              <w:t>最大8小时值第90百分数未超过国家二级标准</w:t>
            </w:r>
            <w:r>
              <w:t>，</w:t>
            </w:r>
            <w:r>
              <w:rPr>
                <w:rFonts w:hint="default"/>
              </w:rPr>
              <w:t>因此</w:t>
            </w:r>
            <w:r>
              <w:t>，</w:t>
            </w:r>
            <w:r>
              <w:rPr>
                <w:rFonts w:hint="default"/>
              </w:rPr>
              <w:t>福清市环境空气质量属于达标区。</w:t>
            </w:r>
          </w:p>
          <w:p>
            <w:pPr>
              <w:pStyle w:val="66"/>
              <w:spacing w:beforeLines="0"/>
              <w:rPr>
                <w:sz w:val="24"/>
                <w:szCs w:val="24"/>
              </w:rPr>
            </w:pPr>
            <w:r>
              <w:rPr>
                <w:sz w:val="24"/>
                <w:szCs w:val="24"/>
              </w:rPr>
              <w:t>表</w:t>
            </w:r>
            <w:r>
              <w:rPr>
                <w:rFonts w:hint="eastAsia"/>
                <w:sz w:val="24"/>
                <w:szCs w:val="24"/>
              </w:rPr>
              <w:t>3</w:t>
            </w:r>
            <w:r>
              <w:rPr>
                <w:rFonts w:hint="eastAsia"/>
                <w:sz w:val="24"/>
                <w:szCs w:val="24"/>
                <w:lang w:val="en-US" w:eastAsia="zh-CN"/>
              </w:rPr>
              <w:t>.1</w:t>
            </w:r>
            <w:r>
              <w:rPr>
                <w:rFonts w:hint="eastAsia"/>
                <w:sz w:val="24"/>
                <w:szCs w:val="24"/>
              </w:rPr>
              <w:t>-1</w:t>
            </w:r>
            <w:r>
              <w:rPr>
                <w:sz w:val="24"/>
                <w:szCs w:val="24"/>
              </w:rPr>
              <w:t xml:space="preserve"> </w:t>
            </w:r>
            <w:r>
              <w:rPr>
                <w:rFonts w:hint="eastAsia"/>
                <w:sz w:val="24"/>
                <w:szCs w:val="24"/>
              </w:rPr>
              <w:t xml:space="preserve"> </w:t>
            </w:r>
            <w:r>
              <w:rPr>
                <w:sz w:val="24"/>
                <w:szCs w:val="24"/>
              </w:rPr>
              <w:t>福清市2023年1月份-2023年12月份环境空气质量统计</w:t>
            </w:r>
          </w:p>
          <w:tbl>
            <w:tblPr>
              <w:tblStyle w:val="75"/>
              <w:tblW w:w="8390" w:type="dxa"/>
              <w:jc w:val="center"/>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454"/>
              <w:gridCol w:w="1126"/>
              <w:gridCol w:w="1232"/>
              <w:gridCol w:w="1134"/>
              <w:gridCol w:w="1256"/>
              <w:gridCol w:w="1104"/>
              <w:gridCol w:w="1084"/>
            </w:tblGrid>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时间</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SO</w:t>
                  </w:r>
                  <w:r>
                    <w:rPr>
                      <w:rFonts w:hint="default" w:ascii="Times New Roman" w:hAnsi="Times New Roman" w:eastAsia="宋体" w:cs="Times New Roman"/>
                      <w:b/>
                      <w:bCs/>
                      <w:sz w:val="21"/>
                      <w:szCs w:val="21"/>
                      <w:vertAlign w:val="subscript"/>
                    </w:rPr>
                    <w:t>2</w:t>
                  </w:r>
                  <w:r>
                    <w:rPr>
                      <w:rFonts w:hint="default" w:ascii="Times New Roman" w:hAnsi="Times New Roman" w:eastAsia="宋体" w:cs="Times New Roman"/>
                      <w:b/>
                      <w:bCs/>
                      <w:sz w:val="21"/>
                      <w:szCs w:val="21"/>
                    </w:rPr>
                    <w:t>mg/m³</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NO</w:t>
                  </w:r>
                  <w:r>
                    <w:rPr>
                      <w:rFonts w:hint="default" w:ascii="Times New Roman" w:hAnsi="Times New Roman" w:eastAsia="宋体" w:cs="Times New Roman"/>
                      <w:b/>
                      <w:bCs/>
                      <w:sz w:val="21"/>
                      <w:szCs w:val="21"/>
                      <w:vertAlign w:val="subscript"/>
                    </w:rPr>
                    <w:t>2</w:t>
                  </w:r>
                  <w:r>
                    <w:rPr>
                      <w:rFonts w:hint="default" w:ascii="Times New Roman" w:hAnsi="Times New Roman" w:eastAsia="宋体" w:cs="Times New Roman"/>
                      <w:b/>
                      <w:bCs/>
                      <w:sz w:val="21"/>
                      <w:szCs w:val="21"/>
                    </w:rPr>
                    <w:t>mg/m³</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PM</w:t>
                  </w:r>
                  <w:r>
                    <w:rPr>
                      <w:rFonts w:hint="default" w:ascii="Times New Roman" w:hAnsi="Times New Roman" w:eastAsia="宋体" w:cs="Times New Roman"/>
                      <w:b/>
                      <w:bCs/>
                      <w:sz w:val="21"/>
                      <w:szCs w:val="21"/>
                      <w:vertAlign w:val="subscript"/>
                    </w:rPr>
                    <w:t>10</w:t>
                  </w:r>
                  <w:r>
                    <w:rPr>
                      <w:rFonts w:hint="default" w:ascii="Times New Roman" w:hAnsi="Times New Roman" w:eastAsia="宋体" w:cs="Times New Roman"/>
                      <w:b/>
                      <w:bCs/>
                      <w:sz w:val="21"/>
                      <w:szCs w:val="21"/>
                    </w:rPr>
                    <w:t>mg/m³</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PM</w:t>
                  </w:r>
                  <w:r>
                    <w:rPr>
                      <w:rFonts w:hint="default" w:ascii="Times New Roman" w:hAnsi="Times New Roman" w:eastAsia="宋体" w:cs="Times New Roman"/>
                      <w:b/>
                      <w:bCs/>
                      <w:sz w:val="21"/>
                      <w:szCs w:val="21"/>
                      <w:vertAlign w:val="subscript"/>
                    </w:rPr>
                    <w:t>2.5</w:t>
                  </w:r>
                  <w:r>
                    <w:rPr>
                      <w:rFonts w:hint="default" w:ascii="Times New Roman" w:hAnsi="Times New Roman" w:eastAsia="宋体" w:cs="Times New Roman"/>
                      <w:b/>
                      <w:bCs/>
                      <w:sz w:val="21"/>
                      <w:szCs w:val="21"/>
                    </w:rPr>
                    <w:t>mg/m³</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COmg/m³</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O</w:t>
                  </w:r>
                  <w:r>
                    <w:rPr>
                      <w:rFonts w:hint="default" w:ascii="Times New Roman" w:hAnsi="Times New Roman" w:eastAsia="宋体" w:cs="Times New Roman"/>
                      <w:b/>
                      <w:bCs/>
                      <w:sz w:val="21"/>
                      <w:szCs w:val="21"/>
                      <w:vertAlign w:val="subscript"/>
                    </w:rPr>
                    <w:t>3</w:t>
                  </w:r>
                  <w:r>
                    <w:rPr>
                      <w:rFonts w:hint="default" w:ascii="Times New Roman" w:hAnsi="Times New Roman" w:eastAsia="宋体" w:cs="Times New Roman"/>
                      <w:b/>
                      <w:bCs/>
                      <w:sz w:val="21"/>
                      <w:szCs w:val="21"/>
                    </w:rPr>
                    <w:t>mg/m³</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2023年1月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0.016</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0.032</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0.017</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0.100</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2023年2月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0.020</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0.033</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0.018</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0.105</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2023年3月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0.024</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0.042</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0.020</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0.130</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2023年4月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0.019</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0.047</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0.020</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0.151</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2023年5月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0.013</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0.037</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0.017</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0.137</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2023年6月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0.011</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0.026</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0.012</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0.123</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2023年7月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0.027</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0.010</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0.128</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2023年8月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0.011</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0.027</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0.012</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0.124</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2023年9月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0.007</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0.022</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0.011</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0.115</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2023年10月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0.008</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0.028</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0.014</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0.137</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2023年11月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0.009</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0.030</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0.015</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0.120</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2023年12月</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0.003</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0.019</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0.030</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0.018</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0.9</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0.112</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二级标准</w:t>
                  </w:r>
                </w:p>
              </w:tc>
              <w:tc>
                <w:tcPr>
                  <w:tcW w:w="117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1300"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0.07</w:t>
                  </w:r>
                </w:p>
              </w:tc>
              <w:tc>
                <w:tcPr>
                  <w:tcW w:w="1301"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0.035</w:t>
                  </w:r>
                </w:p>
              </w:tc>
              <w:tc>
                <w:tcPr>
                  <w:tcW w:w="1156"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1153"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0.16</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715" w:type="dxa"/>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达标情况</w:t>
                  </w:r>
                </w:p>
              </w:tc>
              <w:tc>
                <w:tcPr>
                  <w:tcW w:w="7242" w:type="dxa"/>
                  <w:gridSpan w:val="6"/>
                  <w:tcBorders>
                    <w:tl2br w:val="nil"/>
                    <w:tr2bl w:val="nil"/>
                  </w:tcBorders>
                  <w:vAlign w:val="center"/>
                </w:tcPr>
                <w:p>
                  <w:pPr>
                    <w:pStyle w:val="46"/>
                    <w:spacing w:beforeLines="0" w:afterLines="0" w:line="24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000000" w:sz="12" w:space="0"/>
                  <w:left w:val="none" w:color="auto" w:sz="0" w:space="0"/>
                  <w:bottom w:val="single" w:color="auto"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957" w:type="dxa"/>
                  <w:gridSpan w:val="7"/>
                  <w:tcBorders>
                    <w:tl2br w:val="nil"/>
                    <w:tr2bl w:val="nil"/>
                  </w:tcBorders>
                  <w:vAlign w:val="center"/>
                </w:tcPr>
                <w:p>
                  <w:pPr>
                    <w:pStyle w:val="46"/>
                    <w:spacing w:beforeLines="0" w:afterLines="0" w:line="240" w:lineRule="auto"/>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注：CO为日均值第95百分位数，O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为日最大8小时值第90百分位数</w:t>
                  </w:r>
                </w:p>
              </w:tc>
            </w:tr>
          </w:tbl>
          <w:p>
            <w:pPr>
              <w:pStyle w:val="7"/>
              <w:spacing w:before="120" w:beforeLines="50" w:line="360" w:lineRule="auto"/>
              <w:ind w:firstLine="480" w:firstLineChars="200"/>
              <w:rPr>
                <w:bCs/>
                <w:snapToGrid w:val="0"/>
                <w:kern w:val="0"/>
                <w:sz w:val="24"/>
              </w:rPr>
            </w:pPr>
            <w:r>
              <w:rPr>
                <w:bCs/>
                <w:snapToGrid w:val="0"/>
                <w:kern w:val="0"/>
                <w:sz w:val="24"/>
              </w:rPr>
              <w:t>由上表可知，福清市202</w:t>
            </w:r>
            <w:r>
              <w:rPr>
                <w:rFonts w:hint="eastAsia"/>
                <w:bCs/>
                <w:snapToGrid w:val="0"/>
                <w:kern w:val="0"/>
                <w:sz w:val="24"/>
              </w:rPr>
              <w:t>3</w:t>
            </w:r>
            <w:r>
              <w:rPr>
                <w:bCs/>
                <w:snapToGrid w:val="0"/>
                <w:kern w:val="0"/>
                <w:sz w:val="24"/>
              </w:rPr>
              <w:t>年1月~202</w:t>
            </w:r>
            <w:r>
              <w:rPr>
                <w:rFonts w:hint="eastAsia"/>
                <w:bCs/>
                <w:snapToGrid w:val="0"/>
                <w:kern w:val="0"/>
                <w:sz w:val="24"/>
              </w:rPr>
              <w:t>3</w:t>
            </w:r>
            <w:r>
              <w:rPr>
                <w:bCs/>
                <w:snapToGrid w:val="0"/>
                <w:kern w:val="0"/>
                <w:sz w:val="24"/>
              </w:rPr>
              <w:t>年12月份空气环境中SO</w:t>
            </w:r>
            <w:r>
              <w:rPr>
                <w:bCs/>
                <w:snapToGrid w:val="0"/>
                <w:kern w:val="0"/>
                <w:sz w:val="24"/>
                <w:vertAlign w:val="subscript"/>
              </w:rPr>
              <w:t>2</w:t>
            </w:r>
            <w:r>
              <w:rPr>
                <w:bCs/>
                <w:snapToGrid w:val="0"/>
                <w:kern w:val="0"/>
                <w:sz w:val="24"/>
              </w:rPr>
              <w:t>、NO</w:t>
            </w:r>
            <w:r>
              <w:rPr>
                <w:bCs/>
                <w:snapToGrid w:val="0"/>
                <w:kern w:val="0"/>
                <w:sz w:val="24"/>
                <w:vertAlign w:val="subscript"/>
              </w:rPr>
              <w:t>2</w:t>
            </w:r>
            <w:r>
              <w:rPr>
                <w:bCs/>
                <w:snapToGrid w:val="0"/>
                <w:kern w:val="0"/>
                <w:sz w:val="24"/>
              </w:rPr>
              <w:t>、PM</w:t>
            </w:r>
            <w:r>
              <w:rPr>
                <w:bCs/>
                <w:snapToGrid w:val="0"/>
                <w:kern w:val="0"/>
                <w:sz w:val="24"/>
                <w:vertAlign w:val="subscript"/>
              </w:rPr>
              <w:t>10</w:t>
            </w:r>
            <w:r>
              <w:rPr>
                <w:bCs/>
                <w:snapToGrid w:val="0"/>
                <w:kern w:val="0"/>
                <w:sz w:val="24"/>
              </w:rPr>
              <w:t>和PM</w:t>
            </w:r>
            <w:r>
              <w:rPr>
                <w:bCs/>
                <w:snapToGrid w:val="0"/>
                <w:kern w:val="0"/>
                <w:sz w:val="24"/>
                <w:vertAlign w:val="subscript"/>
              </w:rPr>
              <w:t>2.5</w:t>
            </w:r>
            <w:r>
              <w:rPr>
                <w:bCs/>
                <w:snapToGrid w:val="0"/>
                <w:kern w:val="0"/>
                <w:sz w:val="24"/>
              </w:rPr>
              <w:t>均未超过国家二级标准，CO日均值第95百分数和O</w:t>
            </w:r>
            <w:r>
              <w:rPr>
                <w:bCs/>
                <w:snapToGrid w:val="0"/>
                <w:kern w:val="0"/>
                <w:sz w:val="24"/>
                <w:vertAlign w:val="subscript"/>
              </w:rPr>
              <w:t>3</w:t>
            </w:r>
            <w:r>
              <w:rPr>
                <w:bCs/>
                <w:snapToGrid w:val="0"/>
                <w:kern w:val="0"/>
                <w:sz w:val="24"/>
              </w:rPr>
              <w:t>最大8小时值第90百分数未超过国家二级标准，福清市环境空气质量属于达标区。</w:t>
            </w:r>
          </w:p>
          <w:p>
            <w:pPr>
              <w:adjustRightInd w:val="0"/>
              <w:snapToGrid w:val="0"/>
              <w:spacing w:line="360" w:lineRule="auto"/>
              <w:outlineLvl w:val="2"/>
              <w:rPr>
                <w:b/>
                <w:snapToGrid w:val="0"/>
                <w:kern w:val="0"/>
                <w:sz w:val="28"/>
                <w:szCs w:val="28"/>
              </w:rPr>
            </w:pPr>
            <w:r>
              <w:rPr>
                <w:b/>
                <w:snapToGrid w:val="0"/>
                <w:kern w:val="0"/>
                <w:sz w:val="28"/>
                <w:szCs w:val="28"/>
              </w:rPr>
              <w:t>3.1.3 声环境</w:t>
            </w:r>
          </w:p>
          <w:p>
            <w:pPr>
              <w:adjustRightInd w:val="0"/>
              <w:snapToGrid w:val="0"/>
              <w:spacing w:line="360" w:lineRule="auto"/>
              <w:ind w:firstLine="480" w:firstLineChars="200"/>
              <w:outlineLvl w:val="2"/>
              <w:rPr>
                <w:rFonts w:hint="default" w:ascii="Times New Roman" w:hAnsi="Times New Roman" w:cs="Times New Roman"/>
                <w:kern w:val="0"/>
                <w:sz w:val="24"/>
                <w:lang w:val="zh-CN"/>
              </w:rPr>
            </w:pPr>
            <w:r>
              <w:rPr>
                <w:rFonts w:hint="default" w:ascii="Times New Roman" w:hAnsi="Times New Roman" w:cs="Times New Roman"/>
                <w:sz w:val="24"/>
              </w:rPr>
              <w:t>福泽大道</w:t>
            </w:r>
            <w:r>
              <w:rPr>
                <w:rFonts w:hint="eastAsia"/>
                <w:color w:val="auto"/>
                <w:kern w:val="0"/>
                <w:sz w:val="24"/>
                <w:szCs w:val="24"/>
                <w:lang w:val="zh-CN"/>
              </w:rPr>
              <w:t>沿线</w:t>
            </w:r>
            <w:r>
              <w:rPr>
                <w:rFonts w:hint="eastAsia"/>
                <w:color w:val="auto"/>
                <w:sz w:val="24"/>
                <w:szCs w:val="24"/>
              </w:rPr>
              <w:t>昼、夜间声环境可满足</w:t>
            </w:r>
            <w:r>
              <w:rPr>
                <w:color w:val="auto"/>
                <w:sz w:val="24"/>
                <w:szCs w:val="24"/>
              </w:rPr>
              <w:t>《声环境质量标准》（GB3096-2008）</w:t>
            </w:r>
            <w:r>
              <w:rPr>
                <w:rFonts w:hint="eastAsia"/>
                <w:color w:val="auto"/>
                <w:sz w:val="24"/>
                <w:szCs w:val="24"/>
              </w:rPr>
              <w:t>4a类标准</w:t>
            </w:r>
            <w:r>
              <w:rPr>
                <w:rFonts w:hint="eastAsia"/>
                <w:color w:val="auto"/>
                <w:sz w:val="24"/>
                <w:szCs w:val="24"/>
                <w:lang w:eastAsia="zh-CN"/>
              </w:rPr>
              <w:t>，</w:t>
            </w:r>
            <w:r>
              <w:rPr>
                <w:rFonts w:hint="eastAsia" w:ascii="Times New Roman" w:hAnsi="Times New Roman" w:eastAsia="宋体" w:cs="Times New Roman"/>
                <w:kern w:val="0"/>
                <w:sz w:val="24"/>
                <w:lang w:val="en-US" w:eastAsia="zh-CN"/>
              </w:rPr>
              <w:t>规划居住用地、教育科研用地</w:t>
            </w:r>
            <w:r>
              <w:rPr>
                <w:rFonts w:hint="eastAsia"/>
                <w:color w:val="auto"/>
                <w:sz w:val="24"/>
                <w:szCs w:val="24"/>
                <w:lang w:val="en-US" w:eastAsia="zh-CN"/>
              </w:rPr>
              <w:t>现状</w:t>
            </w:r>
            <w:r>
              <w:rPr>
                <w:rFonts w:hint="eastAsia"/>
                <w:color w:val="auto"/>
                <w:sz w:val="24"/>
              </w:rPr>
              <w:t>昼、夜间声环境</w:t>
            </w:r>
            <w:r>
              <w:rPr>
                <w:rFonts w:hint="default" w:ascii="Times New Roman" w:hAnsi="Times New Roman" w:cs="Times New Roman"/>
                <w:kern w:val="0"/>
                <w:sz w:val="24"/>
                <w:lang w:val="zh-CN"/>
              </w:rPr>
              <w:t>符合</w:t>
            </w:r>
            <w:r>
              <w:rPr>
                <w:rFonts w:hint="default" w:ascii="Times New Roman" w:hAnsi="Times New Roman" w:cs="Times New Roman"/>
                <w:sz w:val="24"/>
              </w:rPr>
              <w:t>《声环境质量标准》（GB3096-2008）</w:t>
            </w:r>
            <w:r>
              <w:rPr>
                <w:rFonts w:hint="default" w:ascii="Times New Roman" w:hAnsi="Times New Roman" w:cs="Times New Roman"/>
                <w:kern w:val="0"/>
                <w:sz w:val="24"/>
              </w:rPr>
              <w:t>2类标准</w:t>
            </w:r>
            <w:r>
              <w:rPr>
                <w:rFonts w:hint="default" w:ascii="Times New Roman" w:hAnsi="Times New Roman" w:cs="Times New Roman"/>
                <w:kern w:val="0"/>
                <w:sz w:val="24"/>
                <w:lang w:val="zh-CN"/>
              </w:rPr>
              <w:t>要求。</w:t>
            </w:r>
            <w:r>
              <w:rPr>
                <w:rFonts w:hint="eastAsia"/>
                <w:color w:val="auto"/>
                <w:sz w:val="24"/>
                <w:lang w:val="en-US" w:eastAsia="zh-CN"/>
              </w:rPr>
              <w:t>各监测点位无超标，</w:t>
            </w:r>
            <w:r>
              <w:rPr>
                <w:rFonts w:hint="eastAsia"/>
                <w:color w:val="auto"/>
                <w:kern w:val="0"/>
                <w:sz w:val="24"/>
              </w:rPr>
              <w:t>项目道路沿线总体声环境质量良好</w:t>
            </w:r>
            <w:r>
              <w:rPr>
                <w:rFonts w:hint="default" w:ascii="Times New Roman" w:hAnsi="Times New Roman" w:cs="Times New Roman"/>
                <w:kern w:val="0"/>
                <w:sz w:val="24"/>
                <w:lang w:val="zh-CN"/>
              </w:rPr>
              <w:t>。</w:t>
            </w:r>
          </w:p>
          <w:p>
            <w:pPr>
              <w:adjustRightInd w:val="0"/>
              <w:snapToGrid w:val="0"/>
              <w:spacing w:line="360" w:lineRule="auto"/>
              <w:ind w:firstLine="480" w:firstLineChars="200"/>
              <w:outlineLvl w:val="2"/>
              <w:rPr>
                <w:sz w:val="24"/>
              </w:rPr>
            </w:pPr>
            <w:r>
              <w:rPr>
                <w:rFonts w:hint="eastAsia"/>
                <w:sz w:val="24"/>
              </w:rPr>
              <w:t>具体详见声环境影响专项评价。</w:t>
            </w:r>
          </w:p>
          <w:p>
            <w:pPr>
              <w:adjustRightInd w:val="0"/>
              <w:snapToGrid w:val="0"/>
              <w:spacing w:line="360" w:lineRule="auto"/>
              <w:outlineLvl w:val="2"/>
              <w:rPr>
                <w:b/>
                <w:snapToGrid w:val="0"/>
                <w:kern w:val="0"/>
                <w:sz w:val="28"/>
                <w:szCs w:val="28"/>
              </w:rPr>
            </w:pPr>
            <w:r>
              <w:rPr>
                <w:b/>
                <w:snapToGrid w:val="0"/>
                <w:kern w:val="0"/>
                <w:sz w:val="28"/>
                <w:szCs w:val="28"/>
              </w:rPr>
              <w:t>3.1.4 生态环境</w:t>
            </w:r>
          </w:p>
          <w:p>
            <w:pPr>
              <w:pStyle w:val="77"/>
              <w:ind w:firstLine="480"/>
              <w:rPr>
                <w:sz w:val="24"/>
              </w:rPr>
            </w:pPr>
            <w:r>
              <w:rPr>
                <w:sz w:val="24"/>
              </w:rPr>
              <w:t>（1）土地利用现状调查</w:t>
            </w:r>
          </w:p>
          <w:p>
            <w:pPr>
              <w:pStyle w:val="77"/>
              <w:ind w:firstLine="480"/>
              <w:rPr>
                <w:sz w:val="24"/>
                <w:lang w:val="en-US"/>
              </w:rPr>
            </w:pPr>
            <w:r>
              <w:rPr>
                <w:sz w:val="24"/>
              </w:rPr>
              <w:t>根据现状调查，本项目</w:t>
            </w:r>
            <w:r>
              <w:rPr>
                <w:rFonts w:hint="eastAsia"/>
                <w:sz w:val="24"/>
              </w:rPr>
              <w:t>永久占地</w:t>
            </w:r>
            <w:r>
              <w:rPr>
                <w:sz w:val="24"/>
              </w:rPr>
              <w:t>面积</w:t>
            </w:r>
            <w:r>
              <w:rPr>
                <w:rFonts w:hint="eastAsia"/>
                <w:sz w:val="24"/>
              </w:rPr>
              <w:t>40976㎡</w:t>
            </w:r>
            <w:r>
              <w:rPr>
                <w:sz w:val="24"/>
              </w:rPr>
              <w:t>（不涉及</w:t>
            </w:r>
            <w:r>
              <w:rPr>
                <w:rFonts w:hint="eastAsia"/>
                <w:sz w:val="24"/>
              </w:rPr>
              <w:t>永久</w:t>
            </w:r>
            <w:r>
              <w:rPr>
                <w:sz w:val="24"/>
              </w:rPr>
              <w:t>基本农田），</w:t>
            </w:r>
            <w:r>
              <w:rPr>
                <w:rFonts w:ascii="Times New Roman" w:hAnsi="Times New Roman" w:eastAsia="宋体" w:cs="Times New Roman"/>
                <w:color w:val="auto"/>
                <w:sz w:val="24"/>
              </w:rPr>
              <w:t>临时占地0.</w:t>
            </w:r>
            <w:r>
              <w:rPr>
                <w:rFonts w:hint="eastAsia" w:ascii="Times New Roman" w:hAnsi="Times New Roman" w:eastAsia="宋体" w:cs="Times New Roman"/>
                <w:color w:val="auto"/>
                <w:sz w:val="24"/>
                <w:lang w:val="en-US" w:eastAsia="zh-CN"/>
              </w:rPr>
              <w:t>3</w:t>
            </w:r>
            <w:r>
              <w:rPr>
                <w:rFonts w:ascii="Times New Roman" w:hAnsi="Times New Roman" w:eastAsia="宋体" w:cs="Times New Roman"/>
                <w:color w:val="auto"/>
                <w:sz w:val="24"/>
              </w:rPr>
              <w:t>hm</w:t>
            </w:r>
            <w:r>
              <w:rPr>
                <w:rFonts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vertAlign w:val="baseline"/>
                <w:lang w:eastAsia="zh-CN"/>
              </w:rPr>
              <w:t>，</w:t>
            </w:r>
            <w:r>
              <w:rPr>
                <w:rFonts w:hint="eastAsia" w:ascii="Times New Roman" w:hAnsi="Times New Roman" w:eastAsia="宋体" w:cs="Times New Roman"/>
                <w:color w:val="auto"/>
                <w:sz w:val="24"/>
                <w:vertAlign w:val="baseline"/>
                <w:lang w:val="en-US" w:eastAsia="zh-CN"/>
              </w:rPr>
              <w:t>临时用地位于</w:t>
            </w:r>
            <w:r>
              <w:rPr>
                <w:rFonts w:hint="eastAsia"/>
                <w:sz w:val="24"/>
                <w:lang w:val="en-US" w:eastAsia="zh-CN"/>
              </w:rPr>
              <w:t>清繁大道红线范围内</w:t>
            </w:r>
            <w:r>
              <w:rPr>
                <w:rFonts w:hint="eastAsia" w:ascii="Times New Roman" w:hAnsi="Times New Roman" w:eastAsia="宋体" w:cs="Times New Roman"/>
                <w:color w:val="auto"/>
                <w:sz w:val="24"/>
                <w:vertAlign w:val="baseline"/>
                <w:lang w:val="en-US" w:eastAsia="zh-CN"/>
              </w:rPr>
              <w:t>，</w:t>
            </w:r>
            <w:r>
              <w:rPr>
                <w:sz w:val="24"/>
              </w:rPr>
              <w:t>项目土地利用现状如下表</w:t>
            </w:r>
            <w:r>
              <w:rPr>
                <w:sz w:val="24"/>
                <w:lang w:val="en-US"/>
              </w:rPr>
              <w:t>。</w:t>
            </w:r>
          </w:p>
          <w:p>
            <w:pPr>
              <w:pStyle w:val="66"/>
              <w:spacing w:beforeLines="0"/>
              <w:rPr>
                <w:sz w:val="24"/>
                <w:szCs w:val="24"/>
              </w:rPr>
            </w:pPr>
            <w:bookmarkStart w:id="66" w:name="_Ref91582137"/>
            <w:r>
              <w:rPr>
                <w:sz w:val="24"/>
                <w:szCs w:val="24"/>
              </w:rPr>
              <w:t>表3</w:t>
            </w:r>
            <w:r>
              <w:rPr>
                <w:rFonts w:hint="eastAsia"/>
                <w:sz w:val="24"/>
                <w:szCs w:val="24"/>
                <w:lang w:val="en-US" w:eastAsia="zh-CN"/>
              </w:rPr>
              <w:t>.1</w:t>
            </w:r>
            <w:r>
              <w:rPr>
                <w:sz w:val="24"/>
                <w:szCs w:val="24"/>
              </w:rPr>
              <w:t>-2</w:t>
            </w:r>
            <w:r>
              <w:rPr>
                <w:rFonts w:hint="eastAsia"/>
                <w:sz w:val="24"/>
                <w:szCs w:val="24"/>
              </w:rPr>
              <w:t xml:space="preserve">  </w:t>
            </w:r>
            <w:r>
              <w:rPr>
                <w:sz w:val="24"/>
                <w:szCs w:val="24"/>
              </w:rPr>
              <w:t>土地利用现状表（单位：</w:t>
            </w:r>
            <w:r>
              <w:rPr>
                <w:rFonts w:hint="eastAsia"/>
                <w:sz w:val="24"/>
                <w:szCs w:val="24"/>
                <w:lang w:val="en-US" w:eastAsia="zh-CN"/>
              </w:rPr>
              <w:t>hm</w:t>
            </w:r>
            <w:r>
              <w:rPr>
                <w:rFonts w:hint="eastAsia"/>
                <w:sz w:val="24"/>
                <w:szCs w:val="24"/>
                <w:vertAlign w:val="superscript"/>
                <w:lang w:val="en-US" w:eastAsia="zh-CN"/>
              </w:rPr>
              <w:t>2</w:t>
            </w:r>
            <w:r>
              <w:rPr>
                <w:sz w:val="24"/>
                <w:szCs w:val="24"/>
              </w:rPr>
              <w:t>）</w:t>
            </w:r>
            <w:bookmarkEnd w:id="66"/>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884"/>
              <w:gridCol w:w="950"/>
              <w:gridCol w:w="812"/>
              <w:gridCol w:w="812"/>
              <w:gridCol w:w="676"/>
              <w:gridCol w:w="812"/>
              <w:gridCol w:w="1089"/>
              <w:gridCol w:w="812"/>
              <w:gridCol w:w="812"/>
              <w:gridCol w:w="7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1093" w:type="pct"/>
                  <w:gridSpan w:val="2"/>
                  <w:vMerge w:val="restart"/>
                  <w:tcBorders>
                    <w:right w:val="single" w:color="auto" w:sz="4" w:space="0"/>
                  </w:tcBorders>
                  <w:vAlign w:val="center"/>
                </w:tcPr>
                <w:p>
                  <w:pPr>
                    <w:adjustRightInd w:val="0"/>
                    <w:snapToGrid w:val="0"/>
                    <w:jc w:val="center"/>
                    <w:rPr>
                      <w:rFonts w:hint="eastAsia"/>
                      <w:b/>
                      <w:bCs/>
                      <w:sz w:val="18"/>
                      <w:szCs w:val="18"/>
                    </w:rPr>
                  </w:pPr>
                  <w:r>
                    <w:rPr>
                      <w:rFonts w:hint="eastAsia"/>
                      <w:b/>
                      <w:bCs/>
                      <w:sz w:val="18"/>
                      <w:szCs w:val="18"/>
                    </w:rPr>
                    <w:t>类别</w:t>
                  </w:r>
                </w:p>
              </w:tc>
              <w:tc>
                <w:tcPr>
                  <w:tcW w:w="2504" w:type="pct"/>
                  <w:gridSpan w:val="5"/>
                  <w:tcBorders>
                    <w:left w:val="single" w:color="auto" w:sz="4" w:space="0"/>
                    <w:right w:val="single" w:color="auto" w:sz="4" w:space="0"/>
                  </w:tcBorders>
                  <w:vAlign w:val="center"/>
                </w:tcPr>
                <w:p>
                  <w:pPr>
                    <w:jc w:val="center"/>
                    <w:rPr>
                      <w:b/>
                      <w:bCs/>
                      <w:kern w:val="0"/>
                      <w:sz w:val="18"/>
                      <w:szCs w:val="18"/>
                    </w:rPr>
                  </w:pPr>
                  <w:r>
                    <w:rPr>
                      <w:rFonts w:hint="eastAsia"/>
                      <w:b/>
                      <w:bCs/>
                      <w:kern w:val="0"/>
                      <w:sz w:val="18"/>
                      <w:szCs w:val="18"/>
                    </w:rPr>
                    <w:t>农用地</w:t>
                  </w:r>
                </w:p>
              </w:tc>
              <w:tc>
                <w:tcPr>
                  <w:tcW w:w="484" w:type="pct"/>
                  <w:vMerge w:val="restart"/>
                  <w:tcBorders>
                    <w:left w:val="single" w:color="auto" w:sz="4" w:space="0"/>
                    <w:right w:val="single" w:color="auto" w:sz="4" w:space="0"/>
                  </w:tcBorders>
                  <w:vAlign w:val="center"/>
                </w:tcPr>
                <w:p>
                  <w:pPr>
                    <w:jc w:val="center"/>
                    <w:rPr>
                      <w:b/>
                      <w:bCs/>
                      <w:kern w:val="0"/>
                      <w:sz w:val="18"/>
                      <w:szCs w:val="18"/>
                    </w:rPr>
                  </w:pPr>
                  <w:r>
                    <w:rPr>
                      <w:rFonts w:hint="eastAsia"/>
                      <w:b/>
                      <w:bCs/>
                      <w:kern w:val="0"/>
                      <w:sz w:val="18"/>
                      <w:szCs w:val="18"/>
                    </w:rPr>
                    <w:t>建设用地</w:t>
                  </w:r>
                </w:p>
              </w:tc>
              <w:tc>
                <w:tcPr>
                  <w:tcW w:w="484" w:type="pct"/>
                  <w:vMerge w:val="restart"/>
                  <w:tcBorders>
                    <w:left w:val="single" w:color="auto" w:sz="4" w:space="0"/>
                  </w:tcBorders>
                  <w:vAlign w:val="center"/>
                </w:tcPr>
                <w:p>
                  <w:pPr>
                    <w:jc w:val="center"/>
                    <w:rPr>
                      <w:b/>
                      <w:bCs/>
                      <w:kern w:val="0"/>
                      <w:sz w:val="18"/>
                      <w:szCs w:val="18"/>
                    </w:rPr>
                  </w:pPr>
                  <w:r>
                    <w:rPr>
                      <w:rFonts w:hint="eastAsia"/>
                      <w:b/>
                      <w:bCs/>
                      <w:kern w:val="0"/>
                      <w:sz w:val="18"/>
                      <w:szCs w:val="18"/>
                    </w:rPr>
                    <w:t>未利用地</w:t>
                  </w:r>
                </w:p>
              </w:tc>
              <w:tc>
                <w:tcPr>
                  <w:tcW w:w="433" w:type="pct"/>
                  <w:vMerge w:val="restart"/>
                  <w:vAlign w:val="center"/>
                </w:tcPr>
                <w:p>
                  <w:pPr>
                    <w:adjustRightInd w:val="0"/>
                    <w:snapToGrid w:val="0"/>
                    <w:jc w:val="center"/>
                    <w:rPr>
                      <w:b/>
                      <w:bCs/>
                      <w:sz w:val="18"/>
                      <w:szCs w:val="18"/>
                    </w:rPr>
                  </w:pPr>
                  <w:r>
                    <w:rPr>
                      <w:b/>
                      <w:bCs/>
                      <w:sz w:val="18"/>
                      <w:szCs w:val="18"/>
                    </w:rPr>
                    <w:t>合计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1093" w:type="pct"/>
                  <w:gridSpan w:val="2"/>
                  <w:vMerge w:val="continue"/>
                  <w:tcBorders>
                    <w:right w:val="single" w:color="auto" w:sz="4" w:space="0"/>
                  </w:tcBorders>
                  <w:vAlign w:val="center"/>
                </w:tcPr>
                <w:p>
                  <w:pPr>
                    <w:adjustRightInd w:val="0"/>
                    <w:snapToGrid w:val="0"/>
                    <w:jc w:val="center"/>
                    <w:rPr>
                      <w:rFonts w:hint="eastAsia"/>
                      <w:sz w:val="18"/>
                      <w:szCs w:val="18"/>
                    </w:rPr>
                  </w:pPr>
                </w:p>
              </w:tc>
              <w:tc>
                <w:tcPr>
                  <w:tcW w:w="484" w:type="pct"/>
                  <w:tcBorders>
                    <w:left w:val="single" w:color="auto" w:sz="4" w:space="0"/>
                  </w:tcBorders>
                  <w:vAlign w:val="center"/>
                </w:tcPr>
                <w:p>
                  <w:pPr>
                    <w:adjustRightInd w:val="0"/>
                    <w:snapToGrid w:val="0"/>
                    <w:jc w:val="center"/>
                    <w:rPr>
                      <w:rFonts w:hint="eastAsia"/>
                      <w:b/>
                      <w:bCs/>
                      <w:sz w:val="18"/>
                      <w:szCs w:val="18"/>
                    </w:rPr>
                  </w:pPr>
                  <w:r>
                    <w:rPr>
                      <w:rFonts w:hint="eastAsia"/>
                      <w:b/>
                      <w:bCs/>
                      <w:sz w:val="18"/>
                      <w:szCs w:val="18"/>
                    </w:rPr>
                    <w:t>耕地</w:t>
                  </w:r>
                </w:p>
              </w:tc>
              <w:tc>
                <w:tcPr>
                  <w:tcW w:w="484" w:type="pct"/>
                  <w:vAlign w:val="center"/>
                </w:tcPr>
                <w:p>
                  <w:pPr>
                    <w:adjustRightInd w:val="0"/>
                    <w:snapToGrid w:val="0"/>
                    <w:jc w:val="center"/>
                    <w:rPr>
                      <w:rFonts w:hint="eastAsia"/>
                      <w:b/>
                      <w:bCs/>
                      <w:sz w:val="18"/>
                      <w:szCs w:val="18"/>
                    </w:rPr>
                  </w:pPr>
                  <w:r>
                    <w:rPr>
                      <w:rFonts w:hint="eastAsia"/>
                      <w:b/>
                      <w:bCs/>
                      <w:sz w:val="18"/>
                      <w:szCs w:val="18"/>
                    </w:rPr>
                    <w:t>林地</w:t>
                  </w:r>
                </w:p>
              </w:tc>
              <w:tc>
                <w:tcPr>
                  <w:tcW w:w="403" w:type="pct"/>
                  <w:vAlign w:val="center"/>
                </w:tcPr>
                <w:p>
                  <w:pPr>
                    <w:widowControl/>
                    <w:jc w:val="center"/>
                    <w:rPr>
                      <w:rFonts w:hint="eastAsia"/>
                      <w:b/>
                      <w:bCs/>
                      <w:kern w:val="0"/>
                      <w:sz w:val="18"/>
                      <w:szCs w:val="18"/>
                    </w:rPr>
                  </w:pPr>
                  <w:r>
                    <w:rPr>
                      <w:rFonts w:hint="eastAsia"/>
                      <w:b/>
                      <w:bCs/>
                      <w:kern w:val="0"/>
                      <w:sz w:val="18"/>
                      <w:szCs w:val="18"/>
                    </w:rPr>
                    <w:t>园地</w:t>
                  </w:r>
                </w:p>
              </w:tc>
              <w:tc>
                <w:tcPr>
                  <w:tcW w:w="484" w:type="pct"/>
                  <w:tcBorders>
                    <w:right w:val="single" w:color="auto" w:sz="4" w:space="0"/>
                  </w:tcBorders>
                  <w:vAlign w:val="center"/>
                </w:tcPr>
                <w:p>
                  <w:pPr>
                    <w:widowControl/>
                    <w:jc w:val="center"/>
                    <w:rPr>
                      <w:rFonts w:hint="eastAsia"/>
                      <w:b/>
                      <w:bCs/>
                      <w:kern w:val="0"/>
                      <w:sz w:val="18"/>
                      <w:szCs w:val="18"/>
                    </w:rPr>
                  </w:pPr>
                  <w:r>
                    <w:rPr>
                      <w:rFonts w:hint="eastAsia"/>
                      <w:b/>
                      <w:bCs/>
                      <w:kern w:val="0"/>
                      <w:sz w:val="18"/>
                      <w:szCs w:val="18"/>
                    </w:rPr>
                    <w:t>草地</w:t>
                  </w:r>
                </w:p>
              </w:tc>
              <w:tc>
                <w:tcPr>
                  <w:tcW w:w="647" w:type="pct"/>
                  <w:tcBorders>
                    <w:left w:val="single" w:color="auto" w:sz="4" w:space="0"/>
                    <w:right w:val="single" w:color="auto" w:sz="4" w:space="0"/>
                  </w:tcBorders>
                  <w:vAlign w:val="center"/>
                </w:tcPr>
                <w:p>
                  <w:pPr>
                    <w:jc w:val="center"/>
                    <w:rPr>
                      <w:rFonts w:hint="eastAsia"/>
                      <w:b/>
                      <w:bCs/>
                      <w:kern w:val="0"/>
                      <w:sz w:val="18"/>
                      <w:szCs w:val="18"/>
                    </w:rPr>
                  </w:pPr>
                  <w:r>
                    <w:rPr>
                      <w:rFonts w:hint="eastAsia"/>
                      <w:b/>
                      <w:bCs/>
                      <w:kern w:val="0"/>
                      <w:sz w:val="18"/>
                      <w:szCs w:val="18"/>
                    </w:rPr>
                    <w:t>其他农用地</w:t>
                  </w:r>
                </w:p>
              </w:tc>
              <w:tc>
                <w:tcPr>
                  <w:tcW w:w="484" w:type="pct"/>
                  <w:vMerge w:val="continue"/>
                  <w:tcBorders>
                    <w:left w:val="single" w:color="auto" w:sz="4" w:space="0"/>
                    <w:right w:val="single" w:color="auto" w:sz="4" w:space="0"/>
                  </w:tcBorders>
                  <w:vAlign w:val="center"/>
                </w:tcPr>
                <w:p>
                  <w:pPr>
                    <w:jc w:val="center"/>
                    <w:rPr>
                      <w:rFonts w:hint="eastAsia"/>
                      <w:bCs/>
                      <w:kern w:val="0"/>
                      <w:sz w:val="18"/>
                      <w:szCs w:val="18"/>
                    </w:rPr>
                  </w:pPr>
                </w:p>
              </w:tc>
              <w:tc>
                <w:tcPr>
                  <w:tcW w:w="484" w:type="pct"/>
                  <w:vMerge w:val="continue"/>
                  <w:tcBorders>
                    <w:left w:val="single" w:color="auto" w:sz="4" w:space="0"/>
                  </w:tcBorders>
                  <w:vAlign w:val="center"/>
                </w:tcPr>
                <w:p>
                  <w:pPr>
                    <w:jc w:val="center"/>
                    <w:rPr>
                      <w:rFonts w:hint="eastAsia"/>
                      <w:bCs/>
                      <w:kern w:val="0"/>
                      <w:sz w:val="18"/>
                      <w:szCs w:val="18"/>
                    </w:rPr>
                  </w:pPr>
                </w:p>
              </w:tc>
              <w:tc>
                <w:tcPr>
                  <w:tcW w:w="433" w:type="pct"/>
                  <w:vMerge w:val="continue"/>
                  <w:vAlign w:val="center"/>
                </w:tcPr>
                <w:p>
                  <w:pPr>
                    <w:adjustRightInd w:val="0"/>
                    <w:snapToGrid w:val="0"/>
                    <w:jc w:val="center"/>
                    <w:rPr>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27" w:type="pct"/>
                  <w:tcBorders>
                    <w:right w:val="single" w:color="auto" w:sz="4" w:space="0"/>
                  </w:tcBorders>
                  <w:vAlign w:val="center"/>
                </w:tcPr>
                <w:p>
                  <w:pPr>
                    <w:adjustRightInd w:val="0"/>
                    <w:snapToGrid w:val="0"/>
                    <w:jc w:val="center"/>
                    <w:rPr>
                      <w:sz w:val="18"/>
                      <w:szCs w:val="18"/>
                    </w:rPr>
                  </w:pPr>
                  <w:r>
                    <w:rPr>
                      <w:rFonts w:hint="eastAsia"/>
                      <w:sz w:val="18"/>
                      <w:szCs w:val="18"/>
                    </w:rPr>
                    <w:t>永久占地</w:t>
                  </w:r>
                </w:p>
              </w:tc>
              <w:tc>
                <w:tcPr>
                  <w:tcW w:w="565" w:type="pct"/>
                  <w:tcBorders>
                    <w:right w:val="single" w:color="auto" w:sz="4" w:space="0"/>
                  </w:tcBorders>
                  <w:vAlign w:val="center"/>
                </w:tcPr>
                <w:p>
                  <w:pPr>
                    <w:adjustRightInd w:val="0"/>
                    <w:snapToGrid w:val="0"/>
                    <w:jc w:val="center"/>
                    <w:rPr>
                      <w:rFonts w:hint="eastAsia"/>
                      <w:sz w:val="18"/>
                      <w:szCs w:val="18"/>
                    </w:rPr>
                  </w:pPr>
                  <w:r>
                    <w:rPr>
                      <w:rFonts w:hint="eastAsia"/>
                      <w:sz w:val="18"/>
                      <w:szCs w:val="18"/>
                    </w:rPr>
                    <w:t>主体工程</w:t>
                  </w:r>
                </w:p>
              </w:tc>
              <w:tc>
                <w:tcPr>
                  <w:tcW w:w="484" w:type="pct"/>
                  <w:tcBorders>
                    <w:left w:val="single" w:color="auto" w:sz="4" w:space="0"/>
                  </w:tcBorders>
                  <w:vAlign w:val="center"/>
                </w:tcPr>
                <w:p>
                  <w:pPr>
                    <w:adjustRightInd w:val="0"/>
                    <w:snapToGrid w:val="0"/>
                    <w:jc w:val="center"/>
                    <w:rPr>
                      <w:sz w:val="18"/>
                      <w:szCs w:val="18"/>
                    </w:rPr>
                  </w:pPr>
                  <w:r>
                    <w:rPr>
                      <w:rFonts w:hint="eastAsia"/>
                      <w:sz w:val="18"/>
                      <w:szCs w:val="18"/>
                    </w:rPr>
                    <w:t>1.3941</w:t>
                  </w:r>
                </w:p>
              </w:tc>
              <w:tc>
                <w:tcPr>
                  <w:tcW w:w="484" w:type="pct"/>
                  <w:vAlign w:val="center"/>
                </w:tcPr>
                <w:p>
                  <w:pPr>
                    <w:adjustRightInd w:val="0"/>
                    <w:snapToGrid w:val="0"/>
                    <w:jc w:val="center"/>
                    <w:rPr>
                      <w:sz w:val="18"/>
                      <w:szCs w:val="18"/>
                    </w:rPr>
                  </w:pPr>
                  <w:r>
                    <w:rPr>
                      <w:rFonts w:hint="eastAsia"/>
                      <w:sz w:val="18"/>
                      <w:szCs w:val="18"/>
                    </w:rPr>
                    <w:t>0.5603</w:t>
                  </w:r>
                </w:p>
              </w:tc>
              <w:tc>
                <w:tcPr>
                  <w:tcW w:w="403" w:type="pct"/>
                  <w:vAlign w:val="center"/>
                </w:tcPr>
                <w:p>
                  <w:pPr>
                    <w:adjustRightInd w:val="0"/>
                    <w:snapToGrid w:val="0"/>
                    <w:jc w:val="center"/>
                    <w:rPr>
                      <w:sz w:val="18"/>
                      <w:szCs w:val="18"/>
                    </w:rPr>
                  </w:pPr>
                  <w:r>
                    <w:rPr>
                      <w:rFonts w:hint="eastAsia"/>
                      <w:sz w:val="18"/>
                      <w:szCs w:val="18"/>
                    </w:rPr>
                    <w:t>1.3562</w:t>
                  </w:r>
                </w:p>
              </w:tc>
              <w:tc>
                <w:tcPr>
                  <w:tcW w:w="484" w:type="pct"/>
                  <w:tcBorders>
                    <w:right w:val="single" w:color="auto" w:sz="4" w:space="0"/>
                  </w:tcBorders>
                  <w:vAlign w:val="center"/>
                </w:tcPr>
                <w:p>
                  <w:pPr>
                    <w:adjustRightInd w:val="0"/>
                    <w:snapToGrid w:val="0"/>
                    <w:jc w:val="center"/>
                    <w:rPr>
                      <w:sz w:val="18"/>
                      <w:szCs w:val="18"/>
                    </w:rPr>
                  </w:pPr>
                  <w:r>
                    <w:rPr>
                      <w:rFonts w:hint="eastAsia"/>
                      <w:sz w:val="18"/>
                      <w:szCs w:val="18"/>
                    </w:rPr>
                    <w:t>0.0293</w:t>
                  </w:r>
                </w:p>
              </w:tc>
              <w:tc>
                <w:tcPr>
                  <w:tcW w:w="647" w:type="pct"/>
                  <w:tcBorders>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0.4038</w:t>
                  </w:r>
                </w:p>
              </w:tc>
              <w:tc>
                <w:tcPr>
                  <w:tcW w:w="484" w:type="pct"/>
                  <w:tcBorders>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0.2121</w:t>
                  </w:r>
                </w:p>
              </w:tc>
              <w:tc>
                <w:tcPr>
                  <w:tcW w:w="484" w:type="pct"/>
                  <w:tcBorders>
                    <w:left w:val="single" w:color="auto" w:sz="4" w:space="0"/>
                  </w:tcBorders>
                  <w:vAlign w:val="center"/>
                </w:tcPr>
                <w:p>
                  <w:pPr>
                    <w:adjustRightInd w:val="0"/>
                    <w:snapToGrid w:val="0"/>
                    <w:jc w:val="center"/>
                    <w:rPr>
                      <w:sz w:val="18"/>
                      <w:szCs w:val="18"/>
                    </w:rPr>
                  </w:pPr>
                  <w:r>
                    <w:rPr>
                      <w:rFonts w:hint="eastAsia"/>
                      <w:sz w:val="18"/>
                      <w:szCs w:val="18"/>
                    </w:rPr>
                    <w:t>0.1420</w:t>
                  </w:r>
                </w:p>
              </w:tc>
              <w:tc>
                <w:tcPr>
                  <w:tcW w:w="433" w:type="pct"/>
                  <w:vAlign w:val="center"/>
                </w:tcPr>
                <w:p>
                  <w:pPr>
                    <w:adjustRightInd w:val="0"/>
                    <w:snapToGrid w:val="0"/>
                    <w:jc w:val="center"/>
                    <w:rPr>
                      <w:sz w:val="18"/>
                      <w:szCs w:val="18"/>
                    </w:rPr>
                  </w:pPr>
                  <w:r>
                    <w:rPr>
                      <w:rFonts w:hint="eastAsia"/>
                      <w:sz w:val="18"/>
                      <w:szCs w:val="18"/>
                    </w:rPr>
                    <w:t>4.0976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527" w:type="pct"/>
                  <w:tcBorders>
                    <w:right w:val="single" w:color="auto" w:sz="4" w:space="0"/>
                  </w:tcBorders>
                  <w:vAlign w:val="center"/>
                </w:tcPr>
                <w:p>
                  <w:pPr>
                    <w:adjustRightInd w:val="0"/>
                    <w:snapToGrid w:val="0"/>
                    <w:jc w:val="center"/>
                    <w:rPr>
                      <w:sz w:val="18"/>
                      <w:szCs w:val="18"/>
                    </w:rPr>
                  </w:pPr>
                  <w:r>
                    <w:rPr>
                      <w:rFonts w:hint="eastAsia"/>
                      <w:sz w:val="18"/>
                      <w:szCs w:val="18"/>
                    </w:rPr>
                    <w:t>临时占地</w:t>
                  </w:r>
                </w:p>
              </w:tc>
              <w:tc>
                <w:tcPr>
                  <w:tcW w:w="565" w:type="pct"/>
                  <w:tcBorders>
                    <w:right w:val="single" w:color="auto" w:sz="4" w:space="0"/>
                  </w:tcBorders>
                  <w:vAlign w:val="center"/>
                </w:tcPr>
                <w:p>
                  <w:pPr>
                    <w:adjustRightInd w:val="0"/>
                    <w:snapToGrid w:val="0"/>
                    <w:jc w:val="center"/>
                    <w:rPr>
                      <w:rFonts w:hint="eastAsia"/>
                      <w:sz w:val="18"/>
                      <w:szCs w:val="18"/>
                    </w:rPr>
                  </w:pPr>
                  <w:r>
                    <w:rPr>
                      <w:rFonts w:hint="eastAsia"/>
                      <w:sz w:val="18"/>
                      <w:szCs w:val="18"/>
                    </w:rPr>
                    <w:t>临时工程</w:t>
                  </w:r>
                </w:p>
              </w:tc>
              <w:tc>
                <w:tcPr>
                  <w:tcW w:w="484" w:type="pct"/>
                  <w:tcBorders>
                    <w:left w:val="single" w:color="auto" w:sz="4" w:space="0"/>
                  </w:tcBorders>
                  <w:vAlign w:val="center"/>
                </w:tcPr>
                <w:p>
                  <w:pPr>
                    <w:adjustRightInd w:val="0"/>
                    <w:snapToGrid w:val="0"/>
                    <w:jc w:val="center"/>
                    <w:rPr>
                      <w:sz w:val="18"/>
                      <w:szCs w:val="18"/>
                    </w:rPr>
                  </w:pPr>
                  <w:r>
                    <w:rPr>
                      <w:rFonts w:hint="eastAsia"/>
                      <w:sz w:val="18"/>
                      <w:szCs w:val="18"/>
                    </w:rPr>
                    <w:t>0</w:t>
                  </w:r>
                </w:p>
              </w:tc>
              <w:tc>
                <w:tcPr>
                  <w:tcW w:w="484" w:type="pct"/>
                  <w:vAlign w:val="center"/>
                </w:tcPr>
                <w:p>
                  <w:pPr>
                    <w:adjustRightInd w:val="0"/>
                    <w:snapToGrid w:val="0"/>
                    <w:jc w:val="center"/>
                    <w:rPr>
                      <w:sz w:val="18"/>
                      <w:szCs w:val="18"/>
                    </w:rPr>
                  </w:pPr>
                  <w:r>
                    <w:rPr>
                      <w:rFonts w:hint="eastAsia"/>
                      <w:sz w:val="18"/>
                      <w:szCs w:val="18"/>
                    </w:rPr>
                    <w:t>0</w:t>
                  </w:r>
                </w:p>
              </w:tc>
              <w:tc>
                <w:tcPr>
                  <w:tcW w:w="403" w:type="pct"/>
                  <w:vAlign w:val="center"/>
                </w:tcPr>
                <w:p>
                  <w:pPr>
                    <w:adjustRightInd w:val="0"/>
                    <w:snapToGrid w:val="0"/>
                    <w:jc w:val="center"/>
                    <w:rPr>
                      <w:sz w:val="18"/>
                      <w:szCs w:val="18"/>
                    </w:rPr>
                  </w:pPr>
                  <w:r>
                    <w:rPr>
                      <w:rFonts w:hint="eastAsia"/>
                      <w:sz w:val="18"/>
                      <w:szCs w:val="18"/>
                    </w:rPr>
                    <w:t>0</w:t>
                  </w:r>
                </w:p>
              </w:tc>
              <w:tc>
                <w:tcPr>
                  <w:tcW w:w="484" w:type="pct"/>
                  <w:tcBorders>
                    <w:right w:val="single" w:color="auto" w:sz="4" w:space="0"/>
                  </w:tcBorders>
                  <w:vAlign w:val="center"/>
                </w:tcPr>
                <w:p>
                  <w:pPr>
                    <w:adjustRightInd w:val="0"/>
                    <w:snapToGrid w:val="0"/>
                    <w:jc w:val="center"/>
                    <w:rPr>
                      <w:sz w:val="18"/>
                      <w:szCs w:val="18"/>
                    </w:rPr>
                  </w:pPr>
                  <w:r>
                    <w:rPr>
                      <w:rFonts w:hint="eastAsia"/>
                      <w:sz w:val="18"/>
                      <w:szCs w:val="18"/>
                    </w:rPr>
                    <w:t>0</w:t>
                  </w:r>
                </w:p>
              </w:tc>
              <w:tc>
                <w:tcPr>
                  <w:tcW w:w="647" w:type="pct"/>
                  <w:tcBorders>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0</w:t>
                  </w:r>
                </w:p>
              </w:tc>
              <w:tc>
                <w:tcPr>
                  <w:tcW w:w="484" w:type="pct"/>
                  <w:tcBorders>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0.3</w:t>
                  </w:r>
                </w:p>
              </w:tc>
              <w:tc>
                <w:tcPr>
                  <w:tcW w:w="484" w:type="pct"/>
                  <w:tcBorders>
                    <w:left w:val="single" w:color="auto" w:sz="4" w:space="0"/>
                  </w:tcBorders>
                  <w:vAlign w:val="center"/>
                </w:tcPr>
                <w:p>
                  <w:pPr>
                    <w:adjustRightInd w:val="0"/>
                    <w:snapToGrid w:val="0"/>
                    <w:jc w:val="center"/>
                    <w:rPr>
                      <w:sz w:val="18"/>
                      <w:szCs w:val="18"/>
                    </w:rPr>
                  </w:pPr>
                  <w:r>
                    <w:rPr>
                      <w:rFonts w:hint="eastAsia"/>
                      <w:sz w:val="18"/>
                      <w:szCs w:val="18"/>
                    </w:rPr>
                    <w:t>0</w:t>
                  </w:r>
                </w:p>
              </w:tc>
              <w:tc>
                <w:tcPr>
                  <w:tcW w:w="433" w:type="pct"/>
                  <w:vAlign w:val="center"/>
                </w:tcPr>
                <w:p>
                  <w:pPr>
                    <w:adjustRightInd w:val="0"/>
                    <w:snapToGrid w:val="0"/>
                    <w:jc w:val="center"/>
                    <w:rPr>
                      <w:sz w:val="18"/>
                      <w:szCs w:val="18"/>
                    </w:rPr>
                  </w:pPr>
                  <w:r>
                    <w:rPr>
                      <w:rFonts w:hint="eastAsia"/>
                      <w:sz w:val="18"/>
                      <w:szCs w:val="18"/>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1093" w:type="pct"/>
                  <w:gridSpan w:val="2"/>
                  <w:tcBorders>
                    <w:right w:val="single" w:color="auto" w:sz="4" w:space="0"/>
                  </w:tcBorders>
                  <w:vAlign w:val="center"/>
                </w:tcPr>
                <w:p>
                  <w:pPr>
                    <w:adjustRightInd w:val="0"/>
                    <w:snapToGrid w:val="0"/>
                    <w:jc w:val="center"/>
                    <w:rPr>
                      <w:rFonts w:hint="eastAsia"/>
                      <w:sz w:val="18"/>
                      <w:szCs w:val="18"/>
                    </w:rPr>
                  </w:pPr>
                  <w:r>
                    <w:rPr>
                      <w:rFonts w:hint="eastAsia"/>
                      <w:sz w:val="18"/>
                      <w:szCs w:val="18"/>
                    </w:rPr>
                    <w:t>合计</w:t>
                  </w:r>
                </w:p>
              </w:tc>
              <w:tc>
                <w:tcPr>
                  <w:tcW w:w="484" w:type="pct"/>
                  <w:tcBorders>
                    <w:left w:val="single" w:color="auto" w:sz="4" w:space="0"/>
                  </w:tcBorders>
                  <w:vAlign w:val="center"/>
                </w:tcPr>
                <w:p>
                  <w:pPr>
                    <w:adjustRightInd w:val="0"/>
                    <w:snapToGrid w:val="0"/>
                    <w:jc w:val="center"/>
                    <w:rPr>
                      <w:sz w:val="18"/>
                      <w:szCs w:val="18"/>
                    </w:rPr>
                  </w:pPr>
                  <w:r>
                    <w:rPr>
                      <w:rFonts w:hint="eastAsia"/>
                      <w:sz w:val="18"/>
                      <w:szCs w:val="18"/>
                    </w:rPr>
                    <w:t>1.3941</w:t>
                  </w:r>
                </w:p>
              </w:tc>
              <w:tc>
                <w:tcPr>
                  <w:tcW w:w="484" w:type="pct"/>
                  <w:vAlign w:val="center"/>
                </w:tcPr>
                <w:p>
                  <w:pPr>
                    <w:adjustRightInd w:val="0"/>
                    <w:snapToGrid w:val="0"/>
                    <w:jc w:val="center"/>
                    <w:rPr>
                      <w:sz w:val="18"/>
                      <w:szCs w:val="18"/>
                    </w:rPr>
                  </w:pPr>
                  <w:r>
                    <w:rPr>
                      <w:rFonts w:hint="eastAsia"/>
                      <w:sz w:val="18"/>
                      <w:szCs w:val="18"/>
                    </w:rPr>
                    <w:t>0.5603</w:t>
                  </w:r>
                </w:p>
              </w:tc>
              <w:tc>
                <w:tcPr>
                  <w:tcW w:w="403" w:type="pct"/>
                  <w:vAlign w:val="center"/>
                </w:tcPr>
                <w:p>
                  <w:pPr>
                    <w:adjustRightInd w:val="0"/>
                    <w:snapToGrid w:val="0"/>
                    <w:jc w:val="center"/>
                    <w:rPr>
                      <w:sz w:val="18"/>
                      <w:szCs w:val="18"/>
                    </w:rPr>
                  </w:pPr>
                  <w:r>
                    <w:rPr>
                      <w:rFonts w:hint="eastAsia"/>
                      <w:sz w:val="18"/>
                      <w:szCs w:val="18"/>
                    </w:rPr>
                    <w:t>1.3562</w:t>
                  </w:r>
                </w:p>
              </w:tc>
              <w:tc>
                <w:tcPr>
                  <w:tcW w:w="484" w:type="pct"/>
                  <w:tcBorders>
                    <w:right w:val="single" w:color="auto" w:sz="4" w:space="0"/>
                  </w:tcBorders>
                  <w:vAlign w:val="center"/>
                </w:tcPr>
                <w:p>
                  <w:pPr>
                    <w:adjustRightInd w:val="0"/>
                    <w:snapToGrid w:val="0"/>
                    <w:jc w:val="center"/>
                    <w:rPr>
                      <w:sz w:val="18"/>
                      <w:szCs w:val="18"/>
                    </w:rPr>
                  </w:pPr>
                  <w:r>
                    <w:rPr>
                      <w:rFonts w:hint="eastAsia"/>
                      <w:sz w:val="18"/>
                      <w:szCs w:val="18"/>
                    </w:rPr>
                    <w:t>0.0293</w:t>
                  </w:r>
                </w:p>
              </w:tc>
              <w:tc>
                <w:tcPr>
                  <w:tcW w:w="647" w:type="pct"/>
                  <w:tcBorders>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0.4038</w:t>
                  </w:r>
                </w:p>
              </w:tc>
              <w:tc>
                <w:tcPr>
                  <w:tcW w:w="484" w:type="pct"/>
                  <w:tcBorders>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0.5121</w:t>
                  </w:r>
                </w:p>
              </w:tc>
              <w:tc>
                <w:tcPr>
                  <w:tcW w:w="484" w:type="pct"/>
                  <w:tcBorders>
                    <w:left w:val="single" w:color="auto" w:sz="4" w:space="0"/>
                  </w:tcBorders>
                  <w:vAlign w:val="center"/>
                </w:tcPr>
                <w:p>
                  <w:pPr>
                    <w:adjustRightInd w:val="0"/>
                    <w:snapToGrid w:val="0"/>
                    <w:jc w:val="center"/>
                    <w:rPr>
                      <w:sz w:val="18"/>
                      <w:szCs w:val="18"/>
                    </w:rPr>
                  </w:pPr>
                  <w:r>
                    <w:rPr>
                      <w:rFonts w:hint="eastAsia"/>
                      <w:sz w:val="18"/>
                      <w:szCs w:val="18"/>
                    </w:rPr>
                    <w:t>0.1420</w:t>
                  </w:r>
                </w:p>
              </w:tc>
              <w:tc>
                <w:tcPr>
                  <w:tcW w:w="433" w:type="pct"/>
                  <w:vAlign w:val="center"/>
                </w:tcPr>
                <w:p>
                  <w:pPr>
                    <w:adjustRightInd w:val="0"/>
                    <w:snapToGrid w:val="0"/>
                    <w:jc w:val="center"/>
                    <w:rPr>
                      <w:sz w:val="18"/>
                      <w:szCs w:val="18"/>
                    </w:rPr>
                  </w:pPr>
                  <w:r>
                    <w:rPr>
                      <w:rFonts w:hint="eastAsia"/>
                      <w:sz w:val="18"/>
                      <w:szCs w:val="18"/>
                    </w:rPr>
                    <w:t>4.3976</w:t>
                  </w:r>
                </w:p>
              </w:tc>
            </w:tr>
          </w:tbl>
          <w:p>
            <w:pPr>
              <w:pStyle w:val="77"/>
              <w:spacing w:before="120" w:beforeLines="50"/>
              <w:ind w:firstLine="480"/>
              <w:rPr>
                <w:sz w:val="24"/>
              </w:rPr>
            </w:pPr>
            <w:r>
              <w:rPr>
                <w:sz w:val="24"/>
              </w:rPr>
              <w:t>（2）植被资源调查</w:t>
            </w:r>
          </w:p>
          <w:p>
            <w:pPr>
              <w:pStyle w:val="77"/>
              <w:ind w:firstLine="480"/>
              <w:rPr>
                <w:sz w:val="24"/>
              </w:rPr>
            </w:pPr>
            <w:r>
              <w:rPr>
                <w:rFonts w:hint="eastAsia"/>
                <w:sz w:val="24"/>
              </w:rPr>
              <w:t>项目所在区域人为活动频繁，以次生植被为主。</w:t>
            </w:r>
            <w:r>
              <w:rPr>
                <w:sz w:val="24"/>
                <w:lang w:val="en-US"/>
              </w:rPr>
              <w:t>根据实地调查，项目沿线植被类型主要为乔木、农作物、灌木、杂草等</w:t>
            </w:r>
            <w:r>
              <w:rPr>
                <w:rFonts w:hint="eastAsia"/>
                <w:sz w:val="24"/>
              </w:rPr>
              <w:t>，</w:t>
            </w:r>
            <w:r>
              <w:rPr>
                <w:rFonts w:hint="eastAsia"/>
                <w:sz w:val="24"/>
                <w:highlight w:val="none"/>
              </w:rPr>
              <w:t>如绿化植被、</w:t>
            </w:r>
            <w:r>
              <w:rPr>
                <w:rFonts w:hint="eastAsia"/>
                <w:sz w:val="24"/>
                <w:highlight w:val="none"/>
                <w:lang w:val="en-US" w:eastAsia="zh-CN"/>
              </w:rPr>
              <w:t>蔬菜、花卉</w:t>
            </w:r>
            <w:r>
              <w:rPr>
                <w:rFonts w:hint="eastAsia"/>
                <w:sz w:val="24"/>
                <w:highlight w:val="none"/>
              </w:rPr>
              <w:t>等。</w:t>
            </w:r>
          </w:p>
          <w:p>
            <w:pPr>
              <w:pStyle w:val="77"/>
              <w:ind w:firstLine="480"/>
              <w:rPr>
                <w:sz w:val="24"/>
              </w:rPr>
            </w:pPr>
            <w:r>
              <w:rPr>
                <w:sz w:val="24"/>
              </w:rPr>
              <w:t>区域内未发现重点保护植物，不涉及生态公益林，亦无自然保护区、自然遗迹、人文遗迹及风景名胜区。</w:t>
            </w:r>
          </w:p>
          <w:p>
            <w:pPr>
              <w:pStyle w:val="77"/>
              <w:ind w:firstLine="480"/>
              <w:rPr>
                <w:sz w:val="24"/>
              </w:rPr>
            </w:pPr>
            <w:r>
              <w:rPr>
                <w:sz w:val="24"/>
              </w:rPr>
              <w:t>（3）动物资源调查</w:t>
            </w:r>
          </w:p>
          <w:p>
            <w:pPr>
              <w:pStyle w:val="77"/>
              <w:ind w:firstLine="480"/>
              <w:rPr>
                <w:rFonts w:hint="eastAsia" w:ascii="Times New Roman" w:hAnsi="Times New Roman" w:eastAsia="宋体" w:cs="Times New Roman"/>
                <w:sz w:val="24"/>
              </w:rPr>
            </w:pPr>
            <w:r>
              <w:rPr>
                <w:rFonts w:hint="eastAsia" w:ascii="Times New Roman" w:hAnsi="Times New Roman" w:eastAsia="宋体" w:cs="Times New Roman"/>
                <w:sz w:val="24"/>
              </w:rPr>
              <w:t>本项目位于农耕区域，经过长期农作物耕作，项目沿线已无大型野生动物，现有的野生动物主要以生活在灌木、树中的小型野生动物为主。经现场踏勘和资料调查，项目区未发现重点保护野生动物，亦无发现野生保护动物栖息地。区域内常见的野生动物物主要为老鼠、鸟类、蝶类、蜻蜓、鹅类、蜂类等，且密度和种群数量较低。</w:t>
            </w:r>
          </w:p>
          <w:p>
            <w:pPr>
              <w:pStyle w:val="77"/>
              <w:ind w:firstLine="480"/>
              <w:rPr>
                <w:sz w:val="24"/>
              </w:rPr>
            </w:pPr>
            <w:r>
              <w:rPr>
                <w:rFonts w:hint="eastAsia" w:ascii="Times New Roman" w:hAnsi="Times New Roman" w:eastAsia="宋体" w:cs="Times New Roman"/>
                <w:sz w:val="24"/>
              </w:rPr>
              <w:t>综上所述，本项目评价区域是人类活动极为频繁的区域，长期以来的农田开发和人类其他的日常生产生活活动使得评价范围内的原生植被已基本丧失，现有的地表植被以农作物为主，物种多样性较低，造成评价区内生境类型较为单一，野生动物资源较为贫乏。道路两侧野生动物存在数量较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817" w:type="dxa"/>
            <w:vAlign w:val="center"/>
          </w:tcPr>
          <w:p>
            <w:pPr>
              <w:adjustRightInd w:val="0"/>
              <w:snapToGrid w:val="0"/>
              <w:jc w:val="center"/>
              <w:rPr>
                <w:rFonts w:hint="eastAsia" w:ascii="宋体" w:hAnsi="宋体" w:cs="宋体"/>
                <w:kern w:val="0"/>
                <w:szCs w:val="21"/>
              </w:rPr>
            </w:pPr>
            <w:r>
              <w:rPr>
                <w:rFonts w:hint="eastAsia" w:ascii="宋体" w:hAnsi="宋体"/>
                <w:bCs/>
                <w:szCs w:val="21"/>
              </w:rPr>
              <w:t>与项目有关的原有环境污染和生态破坏问题</w:t>
            </w:r>
          </w:p>
        </w:tc>
        <w:tc>
          <w:tcPr>
            <w:tcW w:w="8471" w:type="dxa"/>
          </w:tcPr>
          <w:p>
            <w:pPr>
              <w:pStyle w:val="26"/>
              <w:spacing w:after="0" w:line="360" w:lineRule="auto"/>
              <w:ind w:left="0" w:leftChars="0" w:firstLine="480"/>
            </w:pPr>
            <w:r>
              <w:rPr>
                <w:rFonts w:hint="eastAsia"/>
                <w:color w:val="auto"/>
                <w:sz w:val="24"/>
                <w:lang w:val="en-US" w:eastAsia="zh-CN"/>
              </w:rPr>
              <w:t>无</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817" w:type="dxa"/>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生态环境保护目标</w:t>
            </w:r>
          </w:p>
        </w:tc>
        <w:tc>
          <w:tcPr>
            <w:tcW w:w="8471" w:type="dxa"/>
            <w:vAlign w:val="center"/>
          </w:tcPr>
          <w:p>
            <w:pPr>
              <w:adjustRightInd w:val="0"/>
              <w:snapToGrid w:val="0"/>
              <w:spacing w:before="120" w:beforeLines="50" w:line="360" w:lineRule="auto"/>
              <w:ind w:firstLine="480" w:firstLineChars="200"/>
              <w:rPr>
                <w:sz w:val="24"/>
              </w:rPr>
            </w:pPr>
            <w:r>
              <w:rPr>
                <w:sz w:val="24"/>
              </w:rPr>
              <w:t>本项目的主</w:t>
            </w:r>
            <w:r>
              <w:rPr>
                <w:sz w:val="24"/>
                <w:highlight w:val="none"/>
              </w:rPr>
              <w:t>要环境保护目标详见表3</w:t>
            </w:r>
            <w:r>
              <w:rPr>
                <w:rFonts w:hint="eastAsia"/>
                <w:sz w:val="24"/>
                <w:highlight w:val="none"/>
              </w:rPr>
              <w:t>.1</w:t>
            </w:r>
            <w:r>
              <w:rPr>
                <w:sz w:val="24"/>
                <w:highlight w:val="none"/>
              </w:rPr>
              <w:t>-</w:t>
            </w:r>
            <w:r>
              <w:rPr>
                <w:rFonts w:hint="eastAsia"/>
                <w:sz w:val="24"/>
                <w:highlight w:val="none"/>
                <w:lang w:val="en-US" w:eastAsia="zh-CN"/>
              </w:rPr>
              <w:t>3</w:t>
            </w:r>
            <w:r>
              <w:rPr>
                <w:rFonts w:hint="eastAsia"/>
                <w:sz w:val="24"/>
                <w:highlight w:val="none"/>
              </w:rPr>
              <w:t>、项</w:t>
            </w:r>
            <w:r>
              <w:rPr>
                <w:rFonts w:hint="eastAsia" w:ascii="Times New Roman" w:hAnsi="Times New Roman" w:eastAsia="宋体" w:cs="Times New Roman"/>
                <w:sz w:val="24"/>
                <w:highlight w:val="none"/>
              </w:rPr>
              <w:t>目</w:t>
            </w:r>
            <w:r>
              <w:rPr>
                <w:rFonts w:hint="default" w:ascii="Times New Roman" w:hAnsi="Times New Roman" w:eastAsia="宋体" w:cs="Times New Roman"/>
                <w:sz w:val="24"/>
                <w:highlight w:val="none"/>
              </w:rPr>
              <mc:AlternateContent>
                <mc:Choice Requires="wps">
                  <w:drawing>
                    <wp:anchor distT="0" distB="0" distL="114300" distR="114300" simplePos="0" relativeHeight="251661312" behindDoc="0" locked="0" layoutInCell="1" allowOverlap="1">
                      <wp:simplePos x="0" y="0"/>
                      <wp:positionH relativeFrom="column">
                        <wp:posOffset>4778375</wp:posOffset>
                      </wp:positionH>
                      <wp:positionV relativeFrom="paragraph">
                        <wp:posOffset>7426325</wp:posOffset>
                      </wp:positionV>
                      <wp:extent cx="0" cy="423545"/>
                      <wp:effectExtent l="5080" t="0" r="7620" b="8255"/>
                      <wp:wrapNone/>
                      <wp:docPr id="173" name="自选图形 185"/>
                      <wp:cNvGraphicFramePr/>
                      <a:graphic xmlns:a="http://schemas.openxmlformats.org/drawingml/2006/main">
                        <a:graphicData uri="http://schemas.microsoft.com/office/word/2010/wordprocessingShape">
                          <wps:wsp>
                            <wps:cNvCnPr/>
                            <wps:spPr>
                              <a:xfrm>
                                <a:off x="0" y="0"/>
                                <a:ext cx="0" cy="4235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5" o:spid="_x0000_s1026" o:spt="32" type="#_x0000_t32" style="position:absolute;left:0pt;margin-left:376.25pt;margin-top:584.75pt;height:33.35pt;width:0pt;z-index:251661312;mso-width-relative:page;mso-height-relative:page;" filled="f" stroked="t" coordsize="21600,21600" o:gfxdata="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KXlltkAAAANAQAADwAAAAAAAAABACAAAAAiAAAAZHJzL2Rvd25yZXYueG1s&#10;UEsBAhQAFAAAAAgAh07iQAkY4gT3AQAA5gMAAA4AAAAAAAAAAQAgAAAAKAEAAGRycy9lMm9Eb2Mu&#10;eG1sUEsFBgAAAAAGAAYAWQEAAJEFAAAAAA==&#10;">
                      <v:fill on="f" focussize="0,0"/>
                      <v:stroke color="#000000" joinstyle="round"/>
                      <v:imagedata o:title=""/>
                      <o:lock v:ext="edit" aspectratio="f"/>
                    </v:shape>
                  </w:pict>
                </mc:Fallback>
              </mc:AlternateContent>
            </w:r>
            <w:r>
              <w:rPr>
                <w:rFonts w:hint="default" w:ascii="Times New Roman" w:hAnsi="Times New Roman" w:eastAsia="宋体" w:cs="Times New Roman"/>
                <w:sz w:val="24"/>
                <w:highlight w:val="none"/>
              </w:rPr>
              <mc:AlternateContent>
                <mc:Choice Requires="wps">
                  <w:drawing>
                    <wp:anchor distT="0" distB="0" distL="114300" distR="114300" simplePos="0" relativeHeight="251660288" behindDoc="0" locked="0" layoutInCell="1" allowOverlap="1">
                      <wp:simplePos x="0" y="0"/>
                      <wp:positionH relativeFrom="column">
                        <wp:posOffset>4778375</wp:posOffset>
                      </wp:positionH>
                      <wp:positionV relativeFrom="paragraph">
                        <wp:posOffset>7486650</wp:posOffset>
                      </wp:positionV>
                      <wp:extent cx="92075" cy="363220"/>
                      <wp:effectExtent l="0" t="5715" r="0" b="12065"/>
                      <wp:wrapNone/>
                      <wp:docPr id="172" name="自选图形 184"/>
                      <wp:cNvGraphicFramePr/>
                      <a:graphic xmlns:a="http://schemas.openxmlformats.org/drawingml/2006/main">
                        <a:graphicData uri="http://schemas.microsoft.com/office/word/2010/wordprocessingShape">
                          <wps:wsp>
                            <wps:cNvCnPr/>
                            <wps:spPr>
                              <a:xfrm rot="20700000" flipH="1">
                                <a:off x="0" y="0"/>
                                <a:ext cx="92075" cy="36322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4" o:spid="_x0000_s1026" o:spt="32" type="#_x0000_t32" style="position:absolute;left:0pt;flip:x;margin-left:376.25pt;margin-top:589.5pt;height:28.6pt;width:7.25pt;rotation:983040f;z-index:251660288;mso-width-relative:page;mso-height-relative:page;" filled="f" stroked="t" coordsize="21600,21600" o:gfxdata="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MeXK9kAAAANAQAADwAAAAAAAAABACAAAAAi&#10;AAAAZHJzL2Rvd25yZXYueG1sUEsBAhQAFAAAAAgAh07iQHq42RcJAgAAAwQAAA4AAAAAAAAAAQAg&#10;AAAAKAEAAGRycy9lMm9Eb2MueG1sUEsFBgAAAAAGAAYAWQEAAKMFAAAAAA==&#10;">
                      <v:fill on="f" focussize="0,0"/>
                      <v:stroke color="#000000" joinstyle="round"/>
                      <v:imagedata o:title=""/>
                      <o:lock v:ext="edit" aspectratio="f"/>
                    </v:shape>
                  </w:pict>
                </mc:Fallback>
              </mc:AlternateContent>
            </w:r>
            <w:r>
              <w:rPr>
                <w:rFonts w:hint="default" w:ascii="Times New Roman" w:hAnsi="Times New Roman" w:eastAsia="宋体" w:cs="Times New Roman"/>
                <w:sz w:val="24"/>
                <w:highlight w:val="none"/>
              </w:rPr>
              <w:t>周边环境</w:t>
            </w:r>
            <w:r>
              <w:rPr>
                <w:rFonts w:hint="eastAsia" w:ascii="Times New Roman" w:hAnsi="Times New Roman" w:eastAsia="宋体" w:cs="Times New Roman"/>
                <w:sz w:val="24"/>
                <w:highlight w:val="none"/>
              </w:rPr>
              <w:t>与</w:t>
            </w:r>
            <w:r>
              <w:rPr>
                <w:rFonts w:hint="eastAsia"/>
                <w:sz w:val="24"/>
                <w:highlight w:val="none"/>
              </w:rPr>
              <w:t>现状</w:t>
            </w:r>
            <w:r>
              <w:rPr>
                <w:rFonts w:hint="eastAsia"/>
                <w:sz w:val="24"/>
                <w:highlight w:val="none"/>
                <w:lang w:val="en-US" w:eastAsia="zh-CN"/>
              </w:rPr>
              <w:t>照片</w:t>
            </w:r>
            <w:r>
              <w:rPr>
                <w:rFonts w:hint="eastAsia"/>
                <w:sz w:val="24"/>
                <w:highlight w:val="none"/>
              </w:rPr>
              <w:t>图详见附图1</w:t>
            </w:r>
            <w:r>
              <w:rPr>
                <w:rFonts w:hint="eastAsia"/>
                <w:sz w:val="24"/>
                <w:highlight w:val="none"/>
                <w:lang w:val="en-US" w:eastAsia="zh-CN"/>
              </w:rPr>
              <w:t>3</w:t>
            </w:r>
            <w:r>
              <w:rPr>
                <w:rFonts w:hint="eastAsia"/>
                <w:sz w:val="24"/>
                <w:highlight w:val="none"/>
              </w:rPr>
              <w:t>、附图1</w:t>
            </w:r>
            <w:r>
              <w:rPr>
                <w:rFonts w:hint="eastAsia"/>
                <w:sz w:val="24"/>
                <w:highlight w:val="none"/>
                <w:lang w:val="en-US" w:eastAsia="zh-CN"/>
              </w:rPr>
              <w:t>4</w:t>
            </w:r>
            <w:r>
              <w:rPr>
                <w:sz w:val="24"/>
                <w:highlight w:val="none"/>
              </w:rPr>
              <w:t>。</w:t>
            </w:r>
          </w:p>
          <w:p>
            <w:pPr>
              <w:adjustRightInd w:val="0"/>
              <w:snapToGrid w:val="0"/>
              <w:spacing w:line="360" w:lineRule="auto"/>
              <w:ind w:firstLine="482"/>
              <w:jc w:val="center"/>
              <w:rPr>
                <w:sz w:val="24"/>
              </w:rPr>
            </w:pPr>
            <w:bookmarkStart w:id="67" w:name="_Toc744"/>
            <w:bookmarkStart w:id="68" w:name="_Toc14693"/>
            <w:bookmarkStart w:id="69" w:name="_Toc5019"/>
            <w:bookmarkStart w:id="70" w:name="_Toc28050"/>
            <w:bookmarkStart w:id="71" w:name="_Toc11582"/>
            <w:r>
              <w:rPr>
                <w:rFonts w:hint="eastAsia"/>
                <w:b/>
                <w:bCs/>
                <w:sz w:val="24"/>
              </w:rPr>
              <w:t>表3</w:t>
            </w:r>
            <w:r>
              <w:rPr>
                <w:rFonts w:hint="eastAsia"/>
                <w:b/>
                <w:bCs/>
                <w:sz w:val="24"/>
                <w:lang w:val="en-US" w:eastAsia="zh-CN"/>
              </w:rPr>
              <w:t>.1-3</w:t>
            </w:r>
            <w:r>
              <w:rPr>
                <w:rFonts w:hint="eastAsia"/>
                <w:b/>
                <w:bCs/>
                <w:sz w:val="24"/>
              </w:rPr>
              <w:t xml:space="preserve"> 本项目周边环境保护目标一览表</w:t>
            </w:r>
            <w:bookmarkEnd w:id="67"/>
            <w:bookmarkEnd w:id="68"/>
            <w:bookmarkEnd w:id="69"/>
            <w:bookmarkEnd w:id="70"/>
            <w:bookmarkEnd w:id="71"/>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317"/>
              <w:gridCol w:w="1069"/>
              <w:gridCol w:w="792"/>
              <w:gridCol w:w="1490"/>
              <w:gridCol w:w="23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3" w:type="pct"/>
                  <w:vAlign w:val="center"/>
                </w:tcPr>
                <w:p>
                  <w:pPr>
                    <w:pStyle w:val="53"/>
                    <w:spacing w:before="120" w:after="120"/>
                    <w:rPr>
                      <w:b/>
                      <w:bCs/>
                      <w:sz w:val="21"/>
                      <w:szCs w:val="21"/>
                    </w:rPr>
                  </w:pPr>
                  <w:r>
                    <w:rPr>
                      <w:b/>
                      <w:bCs/>
                      <w:sz w:val="21"/>
                      <w:szCs w:val="21"/>
                    </w:rPr>
                    <w:t>环境要素</w:t>
                  </w:r>
                </w:p>
              </w:tc>
              <w:tc>
                <w:tcPr>
                  <w:tcW w:w="785" w:type="pct"/>
                  <w:vAlign w:val="center"/>
                </w:tcPr>
                <w:p>
                  <w:pPr>
                    <w:pStyle w:val="53"/>
                    <w:spacing w:before="120" w:after="120"/>
                    <w:rPr>
                      <w:b/>
                      <w:bCs/>
                      <w:sz w:val="21"/>
                      <w:szCs w:val="21"/>
                    </w:rPr>
                  </w:pPr>
                  <w:r>
                    <w:rPr>
                      <w:b/>
                      <w:bCs/>
                      <w:sz w:val="21"/>
                      <w:szCs w:val="21"/>
                    </w:rPr>
                    <w:t>保护目标</w:t>
                  </w:r>
                </w:p>
              </w:tc>
              <w:tc>
                <w:tcPr>
                  <w:tcW w:w="637" w:type="pct"/>
                  <w:vAlign w:val="center"/>
                </w:tcPr>
                <w:p>
                  <w:pPr>
                    <w:pStyle w:val="53"/>
                    <w:spacing w:before="120" w:after="120"/>
                    <w:rPr>
                      <w:b/>
                      <w:bCs/>
                      <w:sz w:val="21"/>
                      <w:szCs w:val="21"/>
                    </w:rPr>
                  </w:pPr>
                  <w:r>
                    <w:rPr>
                      <w:b/>
                      <w:bCs/>
                      <w:sz w:val="21"/>
                      <w:szCs w:val="21"/>
                    </w:rPr>
                    <w:t>方位</w:t>
                  </w:r>
                </w:p>
              </w:tc>
              <w:tc>
                <w:tcPr>
                  <w:tcW w:w="472" w:type="pct"/>
                  <w:vAlign w:val="center"/>
                </w:tcPr>
                <w:p>
                  <w:pPr>
                    <w:pStyle w:val="53"/>
                    <w:spacing w:before="120" w:after="120"/>
                    <w:rPr>
                      <w:b/>
                      <w:bCs/>
                      <w:sz w:val="21"/>
                      <w:szCs w:val="21"/>
                    </w:rPr>
                  </w:pPr>
                  <w:r>
                    <w:rPr>
                      <w:b/>
                      <w:bCs/>
                      <w:sz w:val="21"/>
                      <w:szCs w:val="21"/>
                    </w:rPr>
                    <w:t>距离</w:t>
                  </w:r>
                </w:p>
              </w:tc>
              <w:tc>
                <w:tcPr>
                  <w:tcW w:w="888" w:type="pct"/>
                  <w:vAlign w:val="center"/>
                </w:tcPr>
                <w:p>
                  <w:pPr>
                    <w:pStyle w:val="53"/>
                    <w:spacing w:before="120" w:after="120"/>
                    <w:rPr>
                      <w:b/>
                      <w:bCs/>
                      <w:sz w:val="21"/>
                      <w:szCs w:val="21"/>
                    </w:rPr>
                  </w:pPr>
                  <w:r>
                    <w:rPr>
                      <w:b/>
                      <w:bCs/>
                      <w:sz w:val="21"/>
                      <w:szCs w:val="21"/>
                    </w:rPr>
                    <w:t>功能及规模</w:t>
                  </w:r>
                </w:p>
              </w:tc>
              <w:tc>
                <w:tcPr>
                  <w:tcW w:w="1426" w:type="pct"/>
                  <w:vAlign w:val="center"/>
                </w:tcPr>
                <w:p>
                  <w:pPr>
                    <w:pStyle w:val="53"/>
                    <w:spacing w:before="120" w:after="120"/>
                    <w:rPr>
                      <w:b/>
                      <w:bCs/>
                      <w:sz w:val="21"/>
                      <w:szCs w:val="21"/>
                    </w:rPr>
                  </w:pPr>
                  <w:r>
                    <w:rPr>
                      <w:b/>
                      <w:bCs/>
                      <w:sz w:val="21"/>
                      <w:szCs w:val="21"/>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Align w:val="center"/>
                </w:tcPr>
                <w:p>
                  <w:pPr>
                    <w:pStyle w:val="53"/>
                    <w:spacing w:before="120" w:after="120"/>
                    <w:rPr>
                      <w:sz w:val="21"/>
                      <w:szCs w:val="21"/>
                    </w:rPr>
                  </w:pPr>
                  <w:r>
                    <w:rPr>
                      <w:sz w:val="21"/>
                      <w:szCs w:val="21"/>
                    </w:rPr>
                    <w:t>大气环境</w:t>
                  </w:r>
                </w:p>
              </w:tc>
              <w:tc>
                <w:tcPr>
                  <w:tcW w:w="2781" w:type="pct"/>
                  <w:gridSpan w:val="4"/>
                  <w:vAlign w:val="center"/>
                </w:tcPr>
                <w:p>
                  <w:pPr>
                    <w:pStyle w:val="53"/>
                    <w:spacing w:before="120" w:after="120"/>
                    <w:rPr>
                      <w:sz w:val="21"/>
                      <w:szCs w:val="21"/>
                    </w:rPr>
                  </w:pPr>
                  <w:r>
                    <w:rPr>
                      <w:rFonts w:hint="eastAsia"/>
                      <w:sz w:val="21"/>
                      <w:szCs w:val="21"/>
                    </w:rPr>
                    <w:t>道路两侧200m</w:t>
                  </w:r>
                  <w:r>
                    <w:rPr>
                      <w:sz w:val="21"/>
                      <w:szCs w:val="21"/>
                    </w:rPr>
                    <w:t>范围内</w:t>
                  </w:r>
                  <w:r>
                    <w:rPr>
                      <w:rFonts w:hint="eastAsia"/>
                      <w:sz w:val="21"/>
                      <w:szCs w:val="21"/>
                    </w:rPr>
                    <w:t>现状</w:t>
                  </w:r>
                  <w:r>
                    <w:rPr>
                      <w:sz w:val="21"/>
                      <w:szCs w:val="21"/>
                    </w:rPr>
                    <w:t>无</w:t>
                  </w:r>
                  <w:r>
                    <w:rPr>
                      <w:rFonts w:hint="eastAsia"/>
                      <w:sz w:val="21"/>
                      <w:szCs w:val="21"/>
                    </w:rPr>
                    <w:t>大气</w:t>
                  </w:r>
                  <w:r>
                    <w:rPr>
                      <w:sz w:val="21"/>
                      <w:szCs w:val="21"/>
                    </w:rPr>
                    <w:t>环境保护目标</w:t>
                  </w:r>
                </w:p>
              </w:tc>
              <w:tc>
                <w:tcPr>
                  <w:tcW w:w="1426" w:type="pct"/>
                  <w:vAlign w:val="center"/>
                </w:tcPr>
                <w:p>
                  <w:pPr>
                    <w:pStyle w:val="53"/>
                    <w:spacing w:before="120" w:after="120"/>
                    <w:rPr>
                      <w:sz w:val="21"/>
                      <w:szCs w:val="21"/>
                    </w:rPr>
                  </w:pPr>
                  <w:r>
                    <w:rPr>
                      <w:rFonts w:hint="eastAsia"/>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Align w:val="center"/>
                </w:tcPr>
                <w:p>
                  <w:pPr>
                    <w:pStyle w:val="53"/>
                    <w:spacing w:before="120" w:after="120"/>
                    <w:rPr>
                      <w:sz w:val="21"/>
                      <w:szCs w:val="21"/>
                    </w:rPr>
                  </w:pPr>
                  <w:r>
                    <w:rPr>
                      <w:sz w:val="21"/>
                      <w:szCs w:val="21"/>
                    </w:rPr>
                    <w:t>地表水环境</w:t>
                  </w:r>
                </w:p>
              </w:tc>
              <w:tc>
                <w:tcPr>
                  <w:tcW w:w="784" w:type="pct"/>
                  <w:vAlign w:val="center"/>
                </w:tcPr>
                <w:p>
                  <w:pPr>
                    <w:pStyle w:val="53"/>
                    <w:spacing w:before="120" w:after="120"/>
                    <w:rPr>
                      <w:sz w:val="21"/>
                      <w:szCs w:val="21"/>
                    </w:rPr>
                  </w:pPr>
                  <w:r>
                    <w:rPr>
                      <w:rFonts w:hint="eastAsia"/>
                      <w:sz w:val="21"/>
                      <w:szCs w:val="21"/>
                    </w:rPr>
                    <w:t>里美溪</w:t>
                  </w:r>
                </w:p>
              </w:tc>
              <w:tc>
                <w:tcPr>
                  <w:tcW w:w="637" w:type="pct"/>
                  <w:vAlign w:val="center"/>
                </w:tcPr>
                <w:p>
                  <w:pPr>
                    <w:pStyle w:val="53"/>
                    <w:spacing w:before="120" w:after="120"/>
                    <w:rPr>
                      <w:sz w:val="21"/>
                      <w:szCs w:val="21"/>
                    </w:rPr>
                  </w:pPr>
                  <w:r>
                    <w:rPr>
                      <w:sz w:val="21"/>
                      <w:szCs w:val="21"/>
                    </w:rPr>
                    <w:t>K0+</w:t>
                  </w:r>
                  <w:r>
                    <w:rPr>
                      <w:rFonts w:hint="eastAsia"/>
                      <w:sz w:val="21"/>
                      <w:szCs w:val="21"/>
                    </w:rPr>
                    <w:t>000~</w:t>
                  </w:r>
                </w:p>
                <w:p>
                  <w:pPr>
                    <w:pStyle w:val="53"/>
                    <w:spacing w:before="120" w:after="120"/>
                    <w:rPr>
                      <w:sz w:val="21"/>
                      <w:szCs w:val="21"/>
                    </w:rPr>
                  </w:pPr>
                  <w:r>
                    <w:rPr>
                      <w:rFonts w:hint="eastAsia"/>
                      <w:sz w:val="21"/>
                      <w:szCs w:val="21"/>
                    </w:rPr>
                    <w:t>K0+420右侧</w:t>
                  </w:r>
                </w:p>
              </w:tc>
              <w:tc>
                <w:tcPr>
                  <w:tcW w:w="472" w:type="pct"/>
                  <w:vAlign w:val="center"/>
                </w:tcPr>
                <w:p>
                  <w:pPr>
                    <w:pStyle w:val="53"/>
                    <w:spacing w:before="120" w:after="120"/>
                    <w:rPr>
                      <w:sz w:val="21"/>
                      <w:szCs w:val="21"/>
                    </w:rPr>
                  </w:pPr>
                  <w:r>
                    <w:rPr>
                      <w:rFonts w:hint="eastAsia"/>
                      <w:sz w:val="21"/>
                      <w:szCs w:val="21"/>
                    </w:rPr>
                    <w:t>5m</w:t>
                  </w:r>
                </w:p>
              </w:tc>
              <w:tc>
                <w:tcPr>
                  <w:tcW w:w="888" w:type="pct"/>
                  <w:vAlign w:val="center"/>
                </w:tcPr>
                <w:p>
                  <w:pPr>
                    <w:pStyle w:val="53"/>
                    <w:spacing w:before="120" w:after="120"/>
                    <w:rPr>
                      <w:sz w:val="21"/>
                      <w:szCs w:val="21"/>
                    </w:rPr>
                  </w:pPr>
                  <w:r>
                    <w:rPr>
                      <w:rFonts w:hint="eastAsia"/>
                      <w:sz w:val="21"/>
                      <w:szCs w:val="21"/>
                    </w:rPr>
                    <w:t>龙江支流</w:t>
                  </w:r>
                </w:p>
              </w:tc>
              <w:tc>
                <w:tcPr>
                  <w:tcW w:w="1426" w:type="pct"/>
                  <w:vAlign w:val="center"/>
                </w:tcPr>
                <w:p>
                  <w:pPr>
                    <w:pStyle w:val="53"/>
                    <w:spacing w:before="120" w:after="120"/>
                    <w:rPr>
                      <w:sz w:val="21"/>
                      <w:szCs w:val="21"/>
                    </w:rPr>
                  </w:pPr>
                  <w:r>
                    <w:rPr>
                      <w:sz w:val="21"/>
                      <w:szCs w:val="21"/>
                    </w:rPr>
                    <w:t>《地表水环境质量标准》（GB3838-2002）</w:t>
                  </w:r>
                  <w:r>
                    <w:rPr>
                      <w:rFonts w:hint="eastAsia" w:ascii="宋体" w:hAnsi="宋体"/>
                      <w:snapToGrid w:val="0"/>
                      <w:kern w:val="0"/>
                      <w:sz w:val="21"/>
                      <w:szCs w:val="21"/>
                    </w:rPr>
                    <w:t>Ⅲ</w:t>
                  </w:r>
                  <w:r>
                    <w:rPr>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Align w:val="center"/>
                </w:tcPr>
                <w:p>
                  <w:pPr>
                    <w:pStyle w:val="53"/>
                    <w:spacing w:before="120" w:after="120"/>
                    <w:rPr>
                      <w:sz w:val="21"/>
                      <w:szCs w:val="21"/>
                    </w:rPr>
                  </w:pPr>
                  <w:r>
                    <w:rPr>
                      <w:sz w:val="21"/>
                      <w:szCs w:val="21"/>
                    </w:rPr>
                    <w:t>声环境</w:t>
                  </w:r>
                </w:p>
              </w:tc>
              <w:tc>
                <w:tcPr>
                  <w:tcW w:w="2781" w:type="pct"/>
                  <w:gridSpan w:val="4"/>
                  <w:vAlign w:val="center"/>
                </w:tcPr>
                <w:p>
                  <w:pPr>
                    <w:pStyle w:val="53"/>
                    <w:spacing w:before="120" w:after="120"/>
                    <w:rPr>
                      <w:sz w:val="21"/>
                      <w:szCs w:val="21"/>
                    </w:rPr>
                  </w:pPr>
                  <w:r>
                    <w:rPr>
                      <w:rFonts w:hint="eastAsia"/>
                      <w:sz w:val="21"/>
                      <w:szCs w:val="21"/>
                    </w:rPr>
                    <w:t>沿线200</w:t>
                  </w:r>
                  <w:r>
                    <w:rPr>
                      <w:sz w:val="21"/>
                      <w:szCs w:val="21"/>
                    </w:rPr>
                    <w:t>m范围内现状无声环境保护目标</w:t>
                  </w:r>
                  <w:r>
                    <w:rPr>
                      <w:rFonts w:hint="eastAsia"/>
                      <w:sz w:val="21"/>
                      <w:szCs w:val="21"/>
                    </w:rPr>
                    <w:t>。项目沿线土地利用规划主要为</w:t>
                  </w:r>
                  <w:r>
                    <w:rPr>
                      <w:rFonts w:hint="eastAsia" w:ascii="Times New Roman" w:hAnsi="Times New Roman" w:eastAsia="宋体" w:cs="Times New Roman"/>
                      <w:color w:val="auto"/>
                      <w:sz w:val="21"/>
                      <w:szCs w:val="21"/>
                      <w:lang w:val="en-US" w:eastAsia="zh-CN"/>
                    </w:rPr>
                    <w:t>体育设施用地、教育科研用地和居住用地</w:t>
                  </w:r>
                  <w:r>
                    <w:rPr>
                      <w:rFonts w:hint="eastAsia" w:cs="Times New Roman"/>
                      <w:color w:val="auto"/>
                      <w:sz w:val="21"/>
                      <w:szCs w:val="21"/>
                      <w:lang w:val="en-US" w:eastAsia="zh-CN"/>
                    </w:rPr>
                    <w:t>，未来可能新增</w:t>
                  </w:r>
                  <w:r>
                    <w:rPr>
                      <w:rFonts w:hint="eastAsia"/>
                      <w:color w:val="auto"/>
                      <w:sz w:val="21"/>
                      <w:szCs w:val="21"/>
                      <w:lang w:val="en-US" w:eastAsia="zh-CN"/>
                    </w:rPr>
                    <w:t>居民</w:t>
                  </w:r>
                  <w:r>
                    <w:rPr>
                      <w:rFonts w:hint="eastAsia" w:ascii="Times New Roman" w:hAnsi="Times New Roman" w:eastAsia="宋体" w:cs="Times New Roman"/>
                      <w:color w:val="auto"/>
                      <w:sz w:val="21"/>
                      <w:szCs w:val="21"/>
                      <w:lang w:val="en-US" w:eastAsia="zh-CN"/>
                    </w:rPr>
                    <w:t>住宅</w:t>
                  </w:r>
                  <w:r>
                    <w:rPr>
                      <w:rFonts w:hint="eastAsia"/>
                      <w:color w:val="auto"/>
                      <w:sz w:val="21"/>
                      <w:szCs w:val="21"/>
                      <w:lang w:val="en-US" w:eastAsia="zh-CN"/>
                    </w:rPr>
                    <w:t>、</w:t>
                  </w:r>
                  <w:r>
                    <w:rPr>
                      <w:rFonts w:hint="eastAsia" w:ascii="Times New Roman" w:hAnsi="Times New Roman" w:eastAsia="宋体" w:cs="Times New Roman"/>
                      <w:color w:val="auto"/>
                      <w:sz w:val="21"/>
                      <w:szCs w:val="21"/>
                      <w:lang w:val="en-US" w:eastAsia="zh-CN"/>
                    </w:rPr>
                    <w:t>科研单位</w:t>
                  </w:r>
                  <w:r>
                    <w:rPr>
                      <w:rFonts w:hint="eastAsia"/>
                      <w:color w:val="auto"/>
                      <w:sz w:val="21"/>
                      <w:szCs w:val="21"/>
                      <w:lang w:val="en-US" w:eastAsia="zh-CN"/>
                    </w:rPr>
                    <w:t>、</w:t>
                  </w:r>
                  <w:r>
                    <w:rPr>
                      <w:rFonts w:hint="eastAsia" w:ascii="Times New Roman" w:hAnsi="Times New Roman" w:eastAsia="宋体" w:cs="Times New Roman"/>
                      <w:color w:val="auto"/>
                      <w:sz w:val="21"/>
                      <w:szCs w:val="21"/>
                      <w:lang w:val="en-US" w:eastAsia="zh-CN"/>
                    </w:rPr>
                    <w:t>学校</w:t>
                  </w:r>
                  <w:r>
                    <w:rPr>
                      <w:rFonts w:hint="eastAsia"/>
                      <w:color w:val="auto"/>
                      <w:sz w:val="21"/>
                      <w:szCs w:val="21"/>
                      <w:lang w:val="en-US" w:eastAsia="zh-CN"/>
                    </w:rPr>
                    <w:t>等声环境保护目标</w:t>
                  </w:r>
                  <w:r>
                    <w:rPr>
                      <w:rFonts w:hint="eastAsia"/>
                      <w:sz w:val="21"/>
                      <w:szCs w:val="21"/>
                    </w:rPr>
                    <w:t>（桩号K0+4</w:t>
                  </w:r>
                  <w:r>
                    <w:rPr>
                      <w:rFonts w:hint="eastAsia"/>
                      <w:sz w:val="21"/>
                      <w:szCs w:val="21"/>
                      <w:lang w:val="en-US" w:eastAsia="zh-CN"/>
                    </w:rPr>
                    <w:t>4</w:t>
                  </w:r>
                  <w:r>
                    <w:rPr>
                      <w:rFonts w:hint="eastAsia"/>
                      <w:sz w:val="21"/>
                      <w:szCs w:val="21"/>
                    </w:rPr>
                    <w:t>0~K0+</w:t>
                  </w:r>
                  <w:r>
                    <w:rPr>
                      <w:rFonts w:hint="eastAsia"/>
                      <w:sz w:val="21"/>
                      <w:szCs w:val="21"/>
                      <w:lang w:val="en-US" w:eastAsia="zh-CN"/>
                    </w:rPr>
                    <w:t>78</w:t>
                  </w:r>
                  <w:r>
                    <w:rPr>
                      <w:rFonts w:hint="eastAsia"/>
                      <w:sz w:val="21"/>
                      <w:szCs w:val="21"/>
                    </w:rPr>
                    <w:t>0两侧）。</w:t>
                  </w:r>
                </w:p>
              </w:tc>
              <w:tc>
                <w:tcPr>
                  <w:tcW w:w="1426" w:type="pct"/>
                  <w:vAlign w:val="center"/>
                </w:tcPr>
                <w:p>
                  <w:pPr>
                    <w:pStyle w:val="53"/>
                    <w:spacing w:before="120" w:after="120"/>
                    <w:rPr>
                      <w:sz w:val="21"/>
                      <w:szCs w:val="21"/>
                    </w:rPr>
                  </w:pPr>
                  <w:r>
                    <w:rPr>
                      <w:rFonts w:hint="eastAsia" w:ascii="Times New Roman" w:hAnsi="Times New Roman" w:eastAsia="宋体" w:cs="Times New Roman"/>
                      <w:color w:val="auto"/>
                      <w:sz w:val="21"/>
                      <w:szCs w:val="21"/>
                      <w:lang w:val="en-US" w:eastAsia="zh-CN"/>
                    </w:rPr>
                    <w:t>新增敏感建筑物执行</w:t>
                  </w:r>
                  <w:r>
                    <w:rPr>
                      <w:rFonts w:ascii="Times New Roman" w:hAnsi="Times New Roman" w:eastAsia="宋体" w:cs="Times New Roman"/>
                      <w:color w:val="auto"/>
                      <w:sz w:val="21"/>
                      <w:szCs w:val="21"/>
                      <w:lang w:val="zh-CN"/>
                    </w:rPr>
                    <w:t>《声环境质量标准》（GB3096-2008）</w:t>
                  </w:r>
                  <w:r>
                    <w:rPr>
                      <w:rFonts w:hint="eastAsia" w:ascii="Times New Roman" w:hAnsi="Times New Roman" w:eastAsia="宋体" w:cs="Times New Roman"/>
                      <w:color w:val="auto"/>
                      <w:sz w:val="21"/>
                      <w:szCs w:val="21"/>
                      <w:lang w:val="en-US" w:eastAsia="zh-CN"/>
                    </w:rPr>
                    <w:t>2类</w:t>
                  </w:r>
                  <w:r>
                    <w:rPr>
                      <w:rFonts w:ascii="Times New Roman" w:hAnsi="Times New Roman" w:eastAsia="宋体" w:cs="Times New Roman"/>
                      <w:color w:val="auto"/>
                      <w:sz w:val="21"/>
                      <w:szCs w:val="21"/>
                      <w:lang w:val="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Align w:val="center"/>
                </w:tcPr>
                <w:p>
                  <w:pPr>
                    <w:pStyle w:val="53"/>
                    <w:spacing w:before="120" w:after="120"/>
                    <w:rPr>
                      <w:sz w:val="21"/>
                      <w:szCs w:val="21"/>
                    </w:rPr>
                  </w:pPr>
                  <w:r>
                    <w:rPr>
                      <w:sz w:val="21"/>
                      <w:szCs w:val="21"/>
                    </w:rPr>
                    <w:t>地下水环境</w:t>
                  </w:r>
                </w:p>
              </w:tc>
              <w:tc>
                <w:tcPr>
                  <w:tcW w:w="2781" w:type="pct"/>
                  <w:gridSpan w:val="4"/>
                  <w:vAlign w:val="center"/>
                </w:tcPr>
                <w:p>
                  <w:pPr>
                    <w:pStyle w:val="53"/>
                    <w:spacing w:before="120" w:after="120"/>
                    <w:rPr>
                      <w:sz w:val="21"/>
                      <w:szCs w:val="21"/>
                    </w:rPr>
                  </w:pPr>
                  <w:r>
                    <w:rPr>
                      <w:sz w:val="21"/>
                      <w:szCs w:val="21"/>
                    </w:rPr>
                    <w:t>500m范围内无地下水集中式饮用水水源和热水、矿泉水、泉水等特殊地下水资源</w:t>
                  </w:r>
                </w:p>
              </w:tc>
              <w:tc>
                <w:tcPr>
                  <w:tcW w:w="1426" w:type="pct"/>
                  <w:vAlign w:val="center"/>
                </w:tcPr>
                <w:p>
                  <w:pPr>
                    <w:pStyle w:val="53"/>
                    <w:spacing w:before="120" w:after="120"/>
                    <w:rPr>
                      <w:sz w:val="21"/>
                      <w:szCs w:val="21"/>
                    </w:rPr>
                  </w:pPr>
                  <w:r>
                    <w:rPr>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92" w:type="pct"/>
                  <w:vAlign w:val="center"/>
                </w:tcPr>
                <w:p>
                  <w:pPr>
                    <w:pStyle w:val="53"/>
                    <w:spacing w:before="120" w:after="120"/>
                    <w:rPr>
                      <w:sz w:val="21"/>
                      <w:szCs w:val="21"/>
                    </w:rPr>
                  </w:pPr>
                  <w:r>
                    <w:rPr>
                      <w:sz w:val="21"/>
                      <w:szCs w:val="21"/>
                    </w:rPr>
                    <w:t>生态环境</w:t>
                  </w:r>
                </w:p>
              </w:tc>
              <w:tc>
                <w:tcPr>
                  <w:tcW w:w="1" w:type="pct"/>
                  <w:gridSpan w:val="5"/>
                  <w:vAlign w:val="center"/>
                </w:tcPr>
                <w:p>
                  <w:pPr>
                    <w:pStyle w:val="53"/>
                    <w:spacing w:before="120" w:after="120"/>
                    <w:jc w:val="left"/>
                    <w:rPr>
                      <w:sz w:val="21"/>
                      <w:szCs w:val="21"/>
                    </w:rPr>
                  </w:pPr>
                  <w:r>
                    <w:rPr>
                      <w:rFonts w:hint="eastAsia"/>
                      <w:sz w:val="21"/>
                      <w:szCs w:val="21"/>
                    </w:rPr>
                    <w:t>通过实地调查及咨询相关部门，项目所在区域未发现珍稀濒危物种等需要特殊保护的生态敏感目标；无野生重点保护植物及古树名木分布。</w:t>
                  </w:r>
                </w:p>
              </w:tc>
            </w:tr>
          </w:tbl>
          <w:p>
            <w:pPr>
              <w:pStyle w:val="54"/>
              <w:ind w:left="0" w:leftChars="0" w:firstLine="0" w:firstLineChars="0"/>
              <w:rPr>
                <w:b/>
                <w:kern w:val="2"/>
                <w:sz w:val="21"/>
                <w:szCs w:val="2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817" w:type="dxa"/>
            <w:vAlign w:val="center"/>
          </w:tcPr>
          <w:p>
            <w:pPr>
              <w:adjustRightInd w:val="0"/>
              <w:snapToGrid w:val="0"/>
              <w:jc w:val="center"/>
              <w:outlineLvl w:val="1"/>
              <w:rPr>
                <w:rFonts w:hint="eastAsia" w:ascii="宋体" w:hAnsi="宋体" w:cs="宋体"/>
                <w:kern w:val="0"/>
                <w:szCs w:val="21"/>
              </w:rPr>
            </w:pPr>
            <w:r>
              <w:rPr>
                <w:rFonts w:hint="eastAsia" w:ascii="宋体" w:hAnsi="宋体" w:cs="宋体"/>
                <w:kern w:val="0"/>
                <w:szCs w:val="21"/>
              </w:rPr>
              <w:t>评价</w:t>
            </w:r>
          </w:p>
          <w:p>
            <w:pPr>
              <w:adjustRightInd w:val="0"/>
              <w:snapToGrid w:val="0"/>
              <w:jc w:val="center"/>
              <w:outlineLvl w:val="1"/>
              <w:rPr>
                <w:rFonts w:hint="eastAsia" w:ascii="宋体" w:hAnsi="宋体" w:cs="宋体"/>
                <w:kern w:val="0"/>
                <w:szCs w:val="21"/>
              </w:rPr>
            </w:pPr>
            <w:r>
              <w:rPr>
                <w:rFonts w:hint="eastAsia" w:ascii="宋体" w:hAnsi="宋体" w:cs="宋体"/>
                <w:kern w:val="0"/>
                <w:szCs w:val="21"/>
              </w:rPr>
              <w:t>标准</w:t>
            </w:r>
          </w:p>
        </w:tc>
        <w:tc>
          <w:tcPr>
            <w:tcW w:w="8471" w:type="dxa"/>
          </w:tcPr>
          <w:p>
            <w:pPr>
              <w:widowControl/>
              <w:spacing w:line="360" w:lineRule="auto"/>
              <w:jc w:val="left"/>
              <w:textAlignment w:val="center"/>
              <w:outlineLvl w:val="1"/>
              <w:rPr>
                <w:b/>
                <w:bCs/>
                <w:snapToGrid w:val="0"/>
                <w:kern w:val="0"/>
                <w:sz w:val="30"/>
                <w:szCs w:val="30"/>
              </w:rPr>
            </w:pPr>
            <w:r>
              <w:rPr>
                <w:b/>
                <w:bCs/>
                <w:kern w:val="0"/>
                <w:sz w:val="30"/>
                <w:szCs w:val="30"/>
              </w:rPr>
              <w:t>3.2</w:t>
            </w:r>
            <w:r>
              <w:rPr>
                <w:rFonts w:hint="eastAsia"/>
                <w:b/>
                <w:bCs/>
                <w:kern w:val="0"/>
                <w:sz w:val="30"/>
                <w:szCs w:val="30"/>
              </w:rPr>
              <w:t xml:space="preserve"> </w:t>
            </w:r>
            <w:r>
              <w:rPr>
                <w:b/>
                <w:bCs/>
                <w:snapToGrid w:val="0"/>
                <w:kern w:val="0"/>
                <w:sz w:val="30"/>
                <w:szCs w:val="30"/>
              </w:rPr>
              <w:t>环境质量标准</w:t>
            </w:r>
          </w:p>
          <w:p>
            <w:pPr>
              <w:widowControl/>
              <w:spacing w:line="360" w:lineRule="auto"/>
              <w:outlineLvl w:val="1"/>
              <w:rPr>
                <w:b/>
                <w:bCs/>
                <w:sz w:val="28"/>
                <w:szCs w:val="28"/>
              </w:rPr>
            </w:pPr>
            <w:r>
              <w:rPr>
                <w:rFonts w:hint="eastAsia"/>
                <w:b/>
                <w:bCs/>
                <w:sz w:val="28"/>
                <w:szCs w:val="28"/>
              </w:rPr>
              <w:t>3.2.1 地表</w:t>
            </w:r>
            <w:r>
              <w:rPr>
                <w:b/>
                <w:bCs/>
                <w:sz w:val="28"/>
                <w:szCs w:val="28"/>
              </w:rPr>
              <w:t>水环境</w:t>
            </w:r>
          </w:p>
          <w:p>
            <w:pPr>
              <w:pStyle w:val="12"/>
              <w:spacing w:before="0" w:after="0" w:line="360" w:lineRule="auto"/>
              <w:ind w:right="0" w:firstLine="480" w:firstLineChars="200"/>
              <w:rPr>
                <w:sz w:val="24"/>
                <w:szCs w:val="24"/>
              </w:rPr>
            </w:pPr>
            <w:r>
              <w:rPr>
                <w:rFonts w:hint="eastAsia"/>
                <w:snapToGrid w:val="0"/>
                <w:sz w:val="24"/>
                <w:szCs w:val="24"/>
              </w:rPr>
              <w:t>本项目位于福清市</w:t>
            </w:r>
            <w:r>
              <w:rPr>
                <w:rFonts w:hint="eastAsia" w:ascii="Times New Roman" w:hAnsi="Times New Roman" w:eastAsia="宋体" w:cs="Times New Roman"/>
                <w:sz w:val="24"/>
                <w:szCs w:val="21"/>
                <w:lang w:val="en-US" w:eastAsia="zh-CN"/>
              </w:rPr>
              <w:t>龙山街道、海口镇</w:t>
            </w:r>
            <w:r>
              <w:rPr>
                <w:rFonts w:hint="eastAsia"/>
                <w:snapToGrid w:val="0"/>
                <w:sz w:val="24"/>
                <w:szCs w:val="24"/>
              </w:rPr>
              <w:t>，项目新建桥梁横跨</w:t>
            </w:r>
            <w:r>
              <w:rPr>
                <w:rFonts w:hint="eastAsia"/>
                <w:sz w:val="24"/>
              </w:rPr>
              <w:t>里美溪，属于龙江支流，龙江流域</w:t>
            </w:r>
            <w:r>
              <w:rPr>
                <w:rFonts w:hint="eastAsia"/>
                <w:snapToGrid w:val="0"/>
                <w:sz w:val="24"/>
                <w:szCs w:val="24"/>
              </w:rPr>
              <w:t>“</w:t>
            </w:r>
            <w:r>
              <w:rPr>
                <w:rFonts w:hint="eastAsia"/>
                <w:sz w:val="24"/>
                <w:szCs w:val="18"/>
              </w:rPr>
              <w:t>东张水库坝址至大斜龙江桥断面”</w:t>
            </w:r>
            <w:r>
              <w:rPr>
                <w:rFonts w:hint="eastAsia"/>
                <w:snapToGrid w:val="0"/>
                <w:sz w:val="24"/>
                <w:szCs w:val="24"/>
              </w:rPr>
              <w:t>，根据《福建省人民政府关于福州市地表水环境功能区划定方案的批复》(闽政文[2006]133号)及《福州市水环境功能区划》，</w:t>
            </w:r>
            <w:r>
              <w:rPr>
                <w:sz w:val="24"/>
                <w:szCs w:val="24"/>
              </w:rPr>
              <w:t>该范围水域主要功能为</w:t>
            </w:r>
            <w:r>
              <w:rPr>
                <w:rFonts w:hint="eastAsia"/>
                <w:sz w:val="24"/>
              </w:rPr>
              <w:t>工业、农业用水</w:t>
            </w:r>
            <w:r>
              <w:rPr>
                <w:sz w:val="24"/>
                <w:szCs w:val="24"/>
              </w:rPr>
              <w:t>，环境功能类别为</w:t>
            </w:r>
            <w:r>
              <w:rPr>
                <w:rFonts w:hint="eastAsia"/>
                <w:sz w:val="24"/>
                <w:szCs w:val="22"/>
              </w:rPr>
              <w:t>Ⅲ</w:t>
            </w:r>
            <w:r>
              <w:rPr>
                <w:sz w:val="24"/>
                <w:szCs w:val="24"/>
              </w:rPr>
              <w:t>类，水质执行《地表水环境质量标准》（GB3838-2002）</w:t>
            </w:r>
            <w:r>
              <w:rPr>
                <w:rFonts w:hint="eastAsia"/>
                <w:sz w:val="24"/>
                <w:szCs w:val="22"/>
              </w:rPr>
              <w:t>Ⅲ</w:t>
            </w:r>
            <w:r>
              <w:rPr>
                <w:sz w:val="24"/>
                <w:szCs w:val="24"/>
              </w:rPr>
              <w:t>类标准，详见表3.</w:t>
            </w:r>
            <w:r>
              <w:rPr>
                <w:rFonts w:hint="eastAsia"/>
                <w:sz w:val="24"/>
                <w:szCs w:val="24"/>
              </w:rPr>
              <w:t>2</w:t>
            </w:r>
            <w:r>
              <w:rPr>
                <w:sz w:val="24"/>
                <w:szCs w:val="24"/>
              </w:rPr>
              <w:t>-1。</w:t>
            </w:r>
          </w:p>
          <w:p>
            <w:pPr>
              <w:widowControl/>
              <w:overflowPunct w:val="0"/>
              <w:autoSpaceDE w:val="0"/>
              <w:autoSpaceDN w:val="0"/>
              <w:spacing w:line="360" w:lineRule="auto"/>
              <w:jc w:val="center"/>
              <w:outlineLvl w:val="1"/>
              <w:rPr>
                <w:b/>
                <w:bCs/>
                <w:kern w:val="0"/>
                <w:sz w:val="24"/>
              </w:rPr>
            </w:pPr>
            <w:r>
              <w:rPr>
                <w:rFonts w:hAnsi="宋体"/>
                <w:b/>
                <w:bCs/>
                <w:kern w:val="0"/>
                <w:sz w:val="24"/>
              </w:rPr>
              <w:t>表</w:t>
            </w:r>
            <w:r>
              <w:rPr>
                <w:b/>
                <w:bCs/>
                <w:kern w:val="0"/>
                <w:sz w:val="24"/>
              </w:rPr>
              <w:t xml:space="preserve">3.2-1 </w:t>
            </w:r>
            <w:r>
              <w:rPr>
                <w:rFonts w:hAnsi="宋体"/>
                <w:b/>
                <w:bCs/>
                <w:kern w:val="0"/>
                <w:sz w:val="24"/>
              </w:rPr>
              <w:t>《地表水环境质量标准》（</w:t>
            </w:r>
            <w:r>
              <w:rPr>
                <w:b/>
                <w:bCs/>
                <w:kern w:val="0"/>
                <w:sz w:val="24"/>
              </w:rPr>
              <w:t>GB3838-2002</w:t>
            </w:r>
            <w:r>
              <w:rPr>
                <w:rFonts w:hAnsi="宋体"/>
                <w:b/>
                <w:bCs/>
                <w:kern w:val="0"/>
                <w:sz w:val="24"/>
              </w:rPr>
              <w:t>）</w:t>
            </w:r>
            <w:r>
              <w:rPr>
                <w:b/>
                <w:bCs/>
                <w:kern w:val="0"/>
                <w:sz w:val="24"/>
              </w:rPr>
              <w:t>(</w:t>
            </w:r>
            <w:r>
              <w:rPr>
                <w:rFonts w:hAnsi="宋体"/>
                <w:b/>
                <w:bCs/>
                <w:kern w:val="0"/>
                <w:sz w:val="24"/>
              </w:rPr>
              <w:t>摘录</w:t>
            </w:r>
            <w:r>
              <w:rPr>
                <w:b/>
                <w:bCs/>
                <w:kern w:val="0"/>
                <w:sz w:val="24"/>
              </w:rPr>
              <w:t xml:space="preserve">) </w:t>
            </w:r>
            <w:r>
              <w:rPr>
                <w:rFonts w:hAnsi="宋体"/>
                <w:b/>
                <w:bCs/>
                <w:kern w:val="0"/>
                <w:sz w:val="24"/>
              </w:rPr>
              <w:t>单位：</w:t>
            </w:r>
            <w:r>
              <w:rPr>
                <w:b/>
                <w:bCs/>
                <w:kern w:val="0"/>
                <w:sz w:val="24"/>
              </w:rPr>
              <w:t>mg/L</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517"/>
              <w:gridCol w:w="1479"/>
              <w:gridCol w:w="1344"/>
              <w:gridCol w:w="1343"/>
              <w:gridCol w:w="1344"/>
              <w:gridCol w:w="136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98" w:hRule="exact"/>
                <w:jc w:val="center"/>
              </w:trPr>
              <w:tc>
                <w:tcPr>
                  <w:tcW w:w="904" w:type="pct"/>
                  <w:noWrap/>
                  <w:vAlign w:val="center"/>
                </w:tcPr>
                <w:p>
                  <w:pPr>
                    <w:jc w:val="center"/>
                    <w:outlineLvl w:val="1"/>
                    <w:rPr>
                      <w:b/>
                      <w:bCs/>
                      <w:szCs w:val="21"/>
                    </w:rPr>
                  </w:pPr>
                  <w:r>
                    <w:rPr>
                      <w:b/>
                      <w:bCs/>
                      <w:szCs w:val="21"/>
                    </w:rPr>
                    <w:t>项目</w:t>
                  </w:r>
                </w:p>
              </w:tc>
              <w:tc>
                <w:tcPr>
                  <w:tcW w:w="881" w:type="pct"/>
                  <w:noWrap/>
                  <w:vAlign w:val="center"/>
                </w:tcPr>
                <w:p>
                  <w:pPr>
                    <w:jc w:val="center"/>
                    <w:outlineLvl w:val="1"/>
                    <w:rPr>
                      <w:b/>
                      <w:bCs/>
                      <w:szCs w:val="21"/>
                    </w:rPr>
                  </w:pPr>
                  <w:r>
                    <w:rPr>
                      <w:b/>
                      <w:bCs/>
                      <w:szCs w:val="21"/>
                    </w:rPr>
                    <w:t>pH（无量纲）</w:t>
                  </w:r>
                </w:p>
              </w:tc>
              <w:tc>
                <w:tcPr>
                  <w:tcW w:w="801" w:type="pct"/>
                  <w:noWrap/>
                  <w:vAlign w:val="center"/>
                </w:tcPr>
                <w:p>
                  <w:pPr>
                    <w:jc w:val="center"/>
                    <w:outlineLvl w:val="1"/>
                    <w:rPr>
                      <w:b/>
                      <w:bCs/>
                      <w:szCs w:val="21"/>
                    </w:rPr>
                  </w:pPr>
                  <w:r>
                    <w:rPr>
                      <w:b/>
                      <w:bCs/>
                      <w:szCs w:val="21"/>
                    </w:rPr>
                    <w:t>溶解氧</w:t>
                  </w:r>
                </w:p>
              </w:tc>
              <w:tc>
                <w:tcPr>
                  <w:tcW w:w="800" w:type="pct"/>
                  <w:noWrap/>
                  <w:vAlign w:val="center"/>
                </w:tcPr>
                <w:p>
                  <w:pPr>
                    <w:jc w:val="center"/>
                    <w:outlineLvl w:val="1"/>
                    <w:rPr>
                      <w:b/>
                      <w:bCs/>
                      <w:szCs w:val="21"/>
                    </w:rPr>
                  </w:pPr>
                  <w:r>
                    <w:rPr>
                      <w:b/>
                      <w:bCs/>
                      <w:szCs w:val="21"/>
                    </w:rPr>
                    <w:t>COD</w:t>
                  </w:r>
                </w:p>
              </w:tc>
              <w:tc>
                <w:tcPr>
                  <w:tcW w:w="801" w:type="pct"/>
                  <w:tcBorders>
                    <w:top w:val="single" w:color="auto" w:sz="12" w:space="0"/>
                    <w:bottom w:val="single" w:color="auto" w:sz="2" w:space="0"/>
                  </w:tcBorders>
                  <w:noWrap/>
                  <w:vAlign w:val="center"/>
                </w:tcPr>
                <w:p>
                  <w:pPr>
                    <w:jc w:val="center"/>
                    <w:outlineLvl w:val="1"/>
                    <w:rPr>
                      <w:b/>
                      <w:bCs/>
                      <w:szCs w:val="21"/>
                    </w:rPr>
                  </w:pPr>
                  <w:r>
                    <w:rPr>
                      <w:b/>
                      <w:bCs/>
                      <w:szCs w:val="21"/>
                    </w:rPr>
                    <w:t>NH</w:t>
                  </w:r>
                  <w:r>
                    <w:rPr>
                      <w:b/>
                      <w:bCs/>
                      <w:szCs w:val="21"/>
                      <w:vertAlign w:val="subscript"/>
                    </w:rPr>
                    <w:t>3</w:t>
                  </w:r>
                  <w:r>
                    <w:rPr>
                      <w:b/>
                      <w:bCs/>
                      <w:szCs w:val="21"/>
                    </w:rPr>
                    <w:t>-N</w:t>
                  </w:r>
                </w:p>
              </w:tc>
              <w:tc>
                <w:tcPr>
                  <w:tcW w:w="810" w:type="pct"/>
                  <w:tcBorders>
                    <w:top w:val="single" w:color="auto" w:sz="12" w:space="0"/>
                    <w:bottom w:val="single" w:color="auto" w:sz="2" w:space="0"/>
                  </w:tcBorders>
                  <w:noWrap/>
                  <w:vAlign w:val="center"/>
                </w:tcPr>
                <w:p>
                  <w:pPr>
                    <w:jc w:val="center"/>
                    <w:outlineLvl w:val="1"/>
                    <w:rPr>
                      <w:b/>
                      <w:bCs/>
                      <w:szCs w:val="21"/>
                    </w:rPr>
                  </w:pPr>
                  <w:r>
                    <w:rPr>
                      <w:b/>
                      <w:bCs/>
                      <w:szCs w:val="21"/>
                    </w:rPr>
                    <w:t>BOD</w:t>
                  </w:r>
                  <w:r>
                    <w:rPr>
                      <w:b/>
                      <w:bCs/>
                      <w:szCs w:val="21"/>
                      <w:vertAlign w:val="subscript"/>
                    </w:rPr>
                    <w:t>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422" w:hRule="exact"/>
                <w:jc w:val="center"/>
              </w:trPr>
              <w:tc>
                <w:tcPr>
                  <w:tcW w:w="1517" w:type="dxa"/>
                  <w:noWrap/>
                  <w:vAlign w:val="center"/>
                </w:tcPr>
                <w:p>
                  <w:pPr>
                    <w:pStyle w:val="85"/>
                    <w:rPr>
                      <w:szCs w:val="21"/>
                    </w:rPr>
                  </w:pPr>
                  <w:r>
                    <w:rPr>
                      <w:rFonts w:hint="eastAsia" w:ascii="宋体" w:hAnsi="宋体" w:cs="宋体"/>
                      <w:color w:val="auto"/>
                    </w:rPr>
                    <w:t>Ⅲ</w:t>
                  </w:r>
                  <w:r>
                    <w:rPr>
                      <w:color w:val="auto"/>
                    </w:rPr>
                    <w:t>类</w:t>
                  </w:r>
                </w:p>
              </w:tc>
              <w:tc>
                <w:tcPr>
                  <w:tcW w:w="1479" w:type="dxa"/>
                  <w:noWrap/>
                  <w:vAlign w:val="center"/>
                </w:tcPr>
                <w:p>
                  <w:pPr>
                    <w:pStyle w:val="85"/>
                    <w:rPr>
                      <w:szCs w:val="21"/>
                    </w:rPr>
                  </w:pPr>
                  <w:r>
                    <w:rPr>
                      <w:color w:val="auto"/>
                    </w:rPr>
                    <w:t>6-9</w:t>
                  </w:r>
                </w:p>
              </w:tc>
              <w:tc>
                <w:tcPr>
                  <w:tcW w:w="1344" w:type="dxa"/>
                  <w:noWrap/>
                  <w:vAlign w:val="center"/>
                </w:tcPr>
                <w:p>
                  <w:pPr>
                    <w:pStyle w:val="85"/>
                    <w:rPr>
                      <w:szCs w:val="21"/>
                    </w:rPr>
                  </w:pPr>
                  <w:r>
                    <w:rPr>
                      <w:color w:val="auto"/>
                    </w:rPr>
                    <w:t>≥5</w:t>
                  </w:r>
                </w:p>
              </w:tc>
              <w:tc>
                <w:tcPr>
                  <w:tcW w:w="800" w:type="pct"/>
                  <w:noWrap/>
                  <w:vAlign w:val="center"/>
                </w:tcPr>
                <w:p>
                  <w:pPr>
                    <w:jc w:val="center"/>
                    <w:outlineLvl w:val="1"/>
                    <w:rPr>
                      <w:szCs w:val="21"/>
                    </w:rPr>
                  </w:pPr>
                  <w:r>
                    <w:rPr>
                      <w:szCs w:val="21"/>
                    </w:rPr>
                    <w:t>≤</w:t>
                  </w:r>
                  <w:r>
                    <w:rPr>
                      <w:rFonts w:hint="eastAsia"/>
                      <w:szCs w:val="21"/>
                      <w:lang w:val="en-US" w:eastAsia="zh-CN"/>
                    </w:rPr>
                    <w:t>2</w:t>
                  </w:r>
                  <w:r>
                    <w:rPr>
                      <w:rFonts w:hint="eastAsia"/>
                      <w:szCs w:val="21"/>
                    </w:rPr>
                    <w:t>0</w:t>
                  </w:r>
                </w:p>
              </w:tc>
              <w:tc>
                <w:tcPr>
                  <w:tcW w:w="801" w:type="pct"/>
                  <w:tcBorders>
                    <w:top w:val="single" w:color="auto" w:sz="2" w:space="0"/>
                    <w:bottom w:val="single" w:color="auto" w:sz="12" w:space="0"/>
                  </w:tcBorders>
                  <w:noWrap/>
                  <w:vAlign w:val="center"/>
                </w:tcPr>
                <w:p>
                  <w:pPr>
                    <w:jc w:val="center"/>
                    <w:outlineLvl w:val="1"/>
                    <w:rPr>
                      <w:szCs w:val="21"/>
                    </w:rPr>
                  </w:pPr>
                  <w:r>
                    <w:rPr>
                      <w:szCs w:val="21"/>
                    </w:rPr>
                    <w:t>≤</w:t>
                  </w:r>
                  <w:r>
                    <w:rPr>
                      <w:color w:val="auto"/>
                    </w:rPr>
                    <w:t>1.0</w:t>
                  </w:r>
                </w:p>
              </w:tc>
              <w:tc>
                <w:tcPr>
                  <w:tcW w:w="810" w:type="pct"/>
                  <w:tcBorders>
                    <w:top w:val="single" w:color="auto" w:sz="2" w:space="0"/>
                    <w:bottom w:val="single" w:color="auto" w:sz="12" w:space="0"/>
                  </w:tcBorders>
                  <w:noWrap/>
                  <w:vAlign w:val="center"/>
                </w:tcPr>
                <w:p>
                  <w:pPr>
                    <w:jc w:val="center"/>
                    <w:outlineLvl w:val="1"/>
                    <w:rPr>
                      <w:rFonts w:hint="eastAsia" w:eastAsia="宋体"/>
                      <w:szCs w:val="21"/>
                      <w:lang w:eastAsia="zh-CN"/>
                    </w:rPr>
                  </w:pPr>
                  <w:r>
                    <w:rPr>
                      <w:szCs w:val="21"/>
                    </w:rPr>
                    <w:t>≤</w:t>
                  </w:r>
                  <w:r>
                    <w:rPr>
                      <w:rFonts w:hint="eastAsia"/>
                      <w:szCs w:val="21"/>
                      <w:lang w:val="en-US" w:eastAsia="zh-CN"/>
                    </w:rPr>
                    <w:t>4</w:t>
                  </w:r>
                </w:p>
              </w:tc>
            </w:tr>
          </w:tbl>
          <w:p>
            <w:pPr>
              <w:adjustRightInd w:val="0"/>
              <w:snapToGrid w:val="0"/>
              <w:spacing w:before="120" w:beforeLines="50" w:line="360" w:lineRule="auto"/>
              <w:outlineLvl w:val="1"/>
              <w:rPr>
                <w:b/>
                <w:bCs/>
                <w:snapToGrid w:val="0"/>
                <w:kern w:val="0"/>
                <w:sz w:val="28"/>
                <w:szCs w:val="28"/>
              </w:rPr>
            </w:pPr>
            <w:r>
              <w:rPr>
                <w:rFonts w:hint="eastAsia"/>
                <w:b/>
                <w:bCs/>
                <w:sz w:val="28"/>
                <w:szCs w:val="28"/>
              </w:rPr>
              <w:t>3.2.2 环境空气</w:t>
            </w:r>
          </w:p>
          <w:p>
            <w:pPr>
              <w:adjustRightInd w:val="0"/>
              <w:snapToGrid w:val="0"/>
              <w:spacing w:line="360" w:lineRule="auto"/>
              <w:ind w:firstLine="480" w:firstLineChars="200"/>
              <w:outlineLvl w:val="1"/>
              <w:rPr>
                <w:snapToGrid w:val="0"/>
                <w:kern w:val="0"/>
                <w:sz w:val="24"/>
                <w:szCs w:val="24"/>
              </w:rPr>
            </w:pPr>
            <w:r>
              <w:rPr>
                <w:snapToGrid w:val="0"/>
                <w:kern w:val="0"/>
                <w:sz w:val="24"/>
                <w:szCs w:val="24"/>
              </w:rPr>
              <w:t>本项目位于福清市，根据福州市人民政府（榕政综[2014]30号）正式批复实施的《福州市环境空气质量功能区划（报批稿）》的规定，项目所在区域环境空气功能区划为二类区，环境空气执行GB3095-2012《环境空气质量标准》及其修改单中的二级标准。详见表3</w:t>
            </w:r>
            <w:r>
              <w:rPr>
                <w:rFonts w:hint="eastAsia"/>
                <w:snapToGrid w:val="0"/>
                <w:kern w:val="0"/>
                <w:sz w:val="24"/>
                <w:szCs w:val="24"/>
              </w:rPr>
              <w:t>.2-2</w:t>
            </w:r>
            <w:r>
              <w:rPr>
                <w:snapToGrid w:val="0"/>
                <w:kern w:val="0"/>
                <w:sz w:val="24"/>
                <w:szCs w:val="24"/>
              </w:rPr>
              <w:t>。</w:t>
            </w:r>
          </w:p>
          <w:p>
            <w:pPr>
              <w:spacing w:line="360" w:lineRule="auto"/>
              <w:ind w:firstLine="480"/>
              <w:jc w:val="center"/>
              <w:outlineLvl w:val="1"/>
              <w:rPr>
                <w:b/>
                <w:bCs/>
                <w:sz w:val="24"/>
              </w:rPr>
            </w:pPr>
            <w:r>
              <w:rPr>
                <w:b/>
                <w:bCs/>
                <w:sz w:val="24"/>
              </w:rPr>
              <w:t>表3</w:t>
            </w:r>
            <w:r>
              <w:rPr>
                <w:rFonts w:hint="eastAsia"/>
                <w:b/>
                <w:bCs/>
                <w:sz w:val="24"/>
              </w:rPr>
              <w:t>.2-2</w:t>
            </w:r>
            <w:r>
              <w:rPr>
                <w:b/>
                <w:bCs/>
                <w:sz w:val="24"/>
              </w:rPr>
              <w:t xml:space="preserve"> 《环境空气质量标准》(GB3095-2012)</w:t>
            </w:r>
            <w:r>
              <w:rPr>
                <w:rFonts w:hint="eastAsia"/>
                <w:b/>
                <w:bCs/>
                <w:sz w:val="24"/>
              </w:rPr>
              <w:t>（摘录）</w:t>
            </w:r>
          </w:p>
          <w:tbl>
            <w:tblPr>
              <w:tblStyle w:val="27"/>
              <w:tblW w:w="8255" w:type="dxa"/>
              <w:tblInd w:w="0"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33"/>
              <w:gridCol w:w="1736"/>
              <w:gridCol w:w="1168"/>
              <w:gridCol w:w="842"/>
              <w:gridCol w:w="2776"/>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1050" w:type="pct"/>
                  <w:vAlign w:val="center"/>
                </w:tcPr>
                <w:p>
                  <w:pPr>
                    <w:pStyle w:val="7"/>
                    <w:ind w:firstLine="0"/>
                    <w:jc w:val="center"/>
                    <w:outlineLvl w:val="1"/>
                    <w:rPr>
                      <w:b/>
                      <w:bCs/>
                      <w:szCs w:val="21"/>
                    </w:rPr>
                  </w:pPr>
                  <w:r>
                    <w:rPr>
                      <w:b/>
                      <w:bCs/>
                      <w:szCs w:val="21"/>
                    </w:rPr>
                    <w:t>污染物项目</w:t>
                  </w:r>
                </w:p>
              </w:tc>
              <w:tc>
                <w:tcPr>
                  <w:tcW w:w="1051" w:type="pct"/>
                  <w:vAlign w:val="center"/>
                </w:tcPr>
                <w:p>
                  <w:pPr>
                    <w:pStyle w:val="7"/>
                    <w:ind w:firstLine="0"/>
                    <w:jc w:val="center"/>
                    <w:outlineLvl w:val="1"/>
                    <w:rPr>
                      <w:b/>
                      <w:bCs/>
                      <w:szCs w:val="21"/>
                    </w:rPr>
                  </w:pPr>
                  <w:r>
                    <w:rPr>
                      <w:b/>
                      <w:bCs/>
                      <w:szCs w:val="21"/>
                    </w:rPr>
                    <w:t>平均时间</w:t>
                  </w:r>
                </w:p>
              </w:tc>
              <w:tc>
                <w:tcPr>
                  <w:tcW w:w="707" w:type="pct"/>
                  <w:vAlign w:val="center"/>
                </w:tcPr>
                <w:p>
                  <w:pPr>
                    <w:pStyle w:val="7"/>
                    <w:ind w:firstLine="0"/>
                    <w:jc w:val="center"/>
                    <w:outlineLvl w:val="1"/>
                    <w:rPr>
                      <w:b/>
                      <w:bCs/>
                      <w:szCs w:val="21"/>
                    </w:rPr>
                  </w:pPr>
                  <w:r>
                    <w:rPr>
                      <w:b/>
                      <w:bCs/>
                      <w:szCs w:val="21"/>
                    </w:rPr>
                    <w:t>浓度限值</w:t>
                  </w:r>
                </w:p>
              </w:tc>
              <w:tc>
                <w:tcPr>
                  <w:tcW w:w="510" w:type="pct"/>
                  <w:vAlign w:val="center"/>
                </w:tcPr>
                <w:p>
                  <w:pPr>
                    <w:pStyle w:val="7"/>
                    <w:ind w:firstLine="0"/>
                    <w:jc w:val="center"/>
                    <w:outlineLvl w:val="1"/>
                    <w:rPr>
                      <w:b/>
                      <w:bCs/>
                      <w:szCs w:val="21"/>
                    </w:rPr>
                  </w:pPr>
                  <w:r>
                    <w:rPr>
                      <w:b/>
                      <w:bCs/>
                      <w:szCs w:val="21"/>
                    </w:rPr>
                    <w:t>单位</w:t>
                  </w:r>
                </w:p>
              </w:tc>
              <w:tc>
                <w:tcPr>
                  <w:tcW w:w="1681" w:type="pct"/>
                  <w:vAlign w:val="center"/>
                </w:tcPr>
                <w:p>
                  <w:pPr>
                    <w:pStyle w:val="57"/>
                    <w:outlineLvl w:val="1"/>
                    <w:rPr>
                      <w:rFonts w:hAnsi="Times New Roman"/>
                      <w:b/>
                      <w:bCs/>
                      <w:snapToGrid/>
                      <w:kern w:val="2"/>
                      <w:lang w:val="en-US"/>
                    </w:rPr>
                  </w:pPr>
                  <w:r>
                    <w:rPr>
                      <w:rFonts w:hAnsi="Times New Roman"/>
                      <w:b/>
                      <w:bCs/>
                      <w:snapToGrid/>
                      <w:kern w:val="2"/>
                      <w:lang w:val="en-US"/>
                    </w:rPr>
                    <w:t>标准来源</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restart"/>
                  <w:vAlign w:val="center"/>
                </w:tcPr>
                <w:p>
                  <w:pPr>
                    <w:pStyle w:val="7"/>
                    <w:ind w:firstLine="0"/>
                    <w:jc w:val="center"/>
                    <w:outlineLvl w:val="1"/>
                    <w:rPr>
                      <w:szCs w:val="21"/>
                    </w:rPr>
                  </w:pPr>
                  <w:r>
                    <w:rPr>
                      <w:szCs w:val="21"/>
                    </w:rPr>
                    <w:t>二氧化硫（SO</w:t>
                  </w:r>
                  <w:r>
                    <w:rPr>
                      <w:szCs w:val="21"/>
                      <w:vertAlign w:val="subscript"/>
                    </w:rPr>
                    <w:t>2</w:t>
                  </w:r>
                  <w:r>
                    <w:rPr>
                      <w:szCs w:val="21"/>
                    </w:rPr>
                    <w:t>）</w:t>
                  </w:r>
                </w:p>
              </w:tc>
              <w:tc>
                <w:tcPr>
                  <w:tcW w:w="1051" w:type="pct"/>
                  <w:vAlign w:val="center"/>
                </w:tcPr>
                <w:p>
                  <w:pPr>
                    <w:pStyle w:val="7"/>
                    <w:ind w:firstLine="0"/>
                    <w:jc w:val="center"/>
                    <w:outlineLvl w:val="1"/>
                    <w:rPr>
                      <w:szCs w:val="21"/>
                    </w:rPr>
                  </w:pPr>
                  <w:r>
                    <w:rPr>
                      <w:szCs w:val="21"/>
                    </w:rPr>
                    <w:t>年平均</w:t>
                  </w:r>
                </w:p>
              </w:tc>
              <w:tc>
                <w:tcPr>
                  <w:tcW w:w="707" w:type="pct"/>
                  <w:vAlign w:val="center"/>
                </w:tcPr>
                <w:p>
                  <w:pPr>
                    <w:pStyle w:val="7"/>
                    <w:ind w:firstLine="0"/>
                    <w:jc w:val="center"/>
                    <w:outlineLvl w:val="1"/>
                    <w:rPr>
                      <w:szCs w:val="21"/>
                    </w:rPr>
                  </w:pPr>
                  <w:r>
                    <w:rPr>
                      <w:szCs w:val="21"/>
                    </w:rPr>
                    <w:t>60</w:t>
                  </w:r>
                </w:p>
              </w:tc>
              <w:tc>
                <w:tcPr>
                  <w:tcW w:w="510" w:type="pct"/>
                  <w:vMerge w:val="restart"/>
                  <w:vAlign w:val="center"/>
                </w:tcPr>
                <w:p>
                  <w:pPr>
                    <w:pStyle w:val="7"/>
                    <w:ind w:firstLine="0"/>
                    <w:jc w:val="center"/>
                    <w:outlineLvl w:val="1"/>
                    <w:rPr>
                      <w:szCs w:val="21"/>
                    </w:rPr>
                  </w:pPr>
                  <w:r>
                    <w:rPr>
                      <w:szCs w:val="21"/>
                    </w:rPr>
                    <w:t>μg/m</w:t>
                  </w:r>
                  <w:r>
                    <w:rPr>
                      <w:szCs w:val="21"/>
                      <w:vertAlign w:val="superscript"/>
                    </w:rPr>
                    <w:t>3</w:t>
                  </w:r>
                </w:p>
              </w:tc>
              <w:tc>
                <w:tcPr>
                  <w:tcW w:w="1681" w:type="pct"/>
                  <w:vMerge w:val="restart"/>
                  <w:vAlign w:val="center"/>
                </w:tcPr>
                <w:p>
                  <w:pPr>
                    <w:pStyle w:val="57"/>
                    <w:outlineLvl w:val="1"/>
                    <w:rPr>
                      <w:rFonts w:hAnsi="Times New Roman"/>
                      <w:snapToGrid/>
                      <w:kern w:val="2"/>
                      <w:lang w:val="en-US"/>
                    </w:rPr>
                  </w:pPr>
                  <w:r>
                    <w:rPr>
                      <w:rFonts w:hAnsi="Times New Roman"/>
                      <w:snapToGrid/>
                      <w:kern w:val="2"/>
                      <w:lang w:val="en-US"/>
                    </w:rPr>
                    <w:t>《环境空气质量标准》（GB3095-2012）</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continue"/>
                  <w:vAlign w:val="center"/>
                </w:tcPr>
                <w:p>
                  <w:pPr>
                    <w:pStyle w:val="7"/>
                    <w:jc w:val="center"/>
                    <w:rPr>
                      <w:b/>
                      <w:szCs w:val="21"/>
                    </w:rPr>
                  </w:pPr>
                </w:p>
              </w:tc>
              <w:tc>
                <w:tcPr>
                  <w:tcW w:w="1051" w:type="pct"/>
                  <w:vAlign w:val="center"/>
                </w:tcPr>
                <w:p>
                  <w:pPr>
                    <w:pStyle w:val="7"/>
                    <w:ind w:firstLine="0"/>
                    <w:jc w:val="center"/>
                    <w:outlineLvl w:val="1"/>
                    <w:rPr>
                      <w:szCs w:val="21"/>
                    </w:rPr>
                  </w:pPr>
                  <w:r>
                    <w:rPr>
                      <w:szCs w:val="21"/>
                    </w:rPr>
                    <w:t>24小时平均</w:t>
                  </w:r>
                </w:p>
              </w:tc>
              <w:tc>
                <w:tcPr>
                  <w:tcW w:w="707" w:type="pct"/>
                  <w:vAlign w:val="center"/>
                </w:tcPr>
                <w:p>
                  <w:pPr>
                    <w:pStyle w:val="7"/>
                    <w:ind w:firstLine="0"/>
                    <w:jc w:val="center"/>
                    <w:outlineLvl w:val="1"/>
                    <w:rPr>
                      <w:szCs w:val="21"/>
                    </w:rPr>
                  </w:pPr>
                  <w:r>
                    <w:rPr>
                      <w:szCs w:val="21"/>
                    </w:rPr>
                    <w:t>150</w:t>
                  </w:r>
                </w:p>
              </w:tc>
              <w:tc>
                <w:tcPr>
                  <w:tcW w:w="510" w:type="pct"/>
                  <w:vMerge w:val="continue"/>
                  <w:vAlign w:val="center"/>
                </w:tcPr>
                <w:p>
                  <w:pPr>
                    <w:pStyle w:val="7"/>
                    <w:ind w:firstLine="0"/>
                    <w:jc w:val="center"/>
                    <w:rPr>
                      <w:szCs w:val="21"/>
                    </w:rPr>
                  </w:pPr>
                </w:p>
              </w:tc>
              <w:tc>
                <w:tcPr>
                  <w:tcW w:w="1681" w:type="pct"/>
                  <w:vMerge w:val="continue"/>
                  <w:vAlign w:val="center"/>
                </w:tcPr>
                <w:p>
                  <w:pPr>
                    <w:pStyle w:val="57"/>
                    <w:rPr>
                      <w:rFonts w:hAnsi="Times New Roman"/>
                      <w:snapToGrid/>
                      <w:kern w:val="2"/>
                      <w:lang w:val="en-US"/>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continue"/>
                  <w:vAlign w:val="center"/>
                </w:tcPr>
                <w:p>
                  <w:pPr>
                    <w:pStyle w:val="7"/>
                    <w:jc w:val="center"/>
                    <w:rPr>
                      <w:b/>
                      <w:szCs w:val="21"/>
                    </w:rPr>
                  </w:pPr>
                </w:p>
              </w:tc>
              <w:tc>
                <w:tcPr>
                  <w:tcW w:w="1051" w:type="pct"/>
                  <w:vAlign w:val="center"/>
                </w:tcPr>
                <w:p>
                  <w:pPr>
                    <w:pStyle w:val="7"/>
                    <w:ind w:firstLine="0"/>
                    <w:jc w:val="center"/>
                    <w:outlineLvl w:val="1"/>
                    <w:rPr>
                      <w:szCs w:val="21"/>
                    </w:rPr>
                  </w:pPr>
                  <w:r>
                    <w:rPr>
                      <w:szCs w:val="21"/>
                    </w:rPr>
                    <w:t>1小时平均</w:t>
                  </w:r>
                </w:p>
              </w:tc>
              <w:tc>
                <w:tcPr>
                  <w:tcW w:w="707" w:type="pct"/>
                  <w:vAlign w:val="center"/>
                </w:tcPr>
                <w:p>
                  <w:pPr>
                    <w:pStyle w:val="7"/>
                    <w:ind w:firstLine="0"/>
                    <w:jc w:val="center"/>
                    <w:outlineLvl w:val="1"/>
                    <w:rPr>
                      <w:szCs w:val="21"/>
                    </w:rPr>
                  </w:pPr>
                  <w:r>
                    <w:rPr>
                      <w:szCs w:val="21"/>
                    </w:rPr>
                    <w:t>500</w:t>
                  </w:r>
                </w:p>
              </w:tc>
              <w:tc>
                <w:tcPr>
                  <w:tcW w:w="510" w:type="pct"/>
                  <w:vMerge w:val="continue"/>
                  <w:vAlign w:val="center"/>
                </w:tcPr>
                <w:p>
                  <w:pPr>
                    <w:pStyle w:val="7"/>
                    <w:jc w:val="center"/>
                    <w:rPr>
                      <w:b/>
                      <w:szCs w:val="21"/>
                    </w:rPr>
                  </w:pP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restart"/>
                  <w:vAlign w:val="center"/>
                </w:tcPr>
                <w:p>
                  <w:pPr>
                    <w:pStyle w:val="7"/>
                    <w:ind w:firstLine="0"/>
                    <w:jc w:val="center"/>
                    <w:outlineLvl w:val="1"/>
                    <w:rPr>
                      <w:szCs w:val="21"/>
                    </w:rPr>
                  </w:pPr>
                  <w:r>
                    <w:rPr>
                      <w:szCs w:val="21"/>
                    </w:rPr>
                    <w:t>二氧化氮（NO</w:t>
                  </w:r>
                  <w:r>
                    <w:rPr>
                      <w:szCs w:val="21"/>
                      <w:vertAlign w:val="subscript"/>
                    </w:rPr>
                    <w:t>2</w:t>
                  </w:r>
                  <w:r>
                    <w:rPr>
                      <w:szCs w:val="21"/>
                    </w:rPr>
                    <w:t>）</w:t>
                  </w:r>
                </w:p>
              </w:tc>
              <w:tc>
                <w:tcPr>
                  <w:tcW w:w="1051" w:type="pct"/>
                  <w:vAlign w:val="center"/>
                </w:tcPr>
                <w:p>
                  <w:pPr>
                    <w:pStyle w:val="7"/>
                    <w:ind w:firstLine="0"/>
                    <w:jc w:val="center"/>
                    <w:outlineLvl w:val="1"/>
                    <w:rPr>
                      <w:szCs w:val="21"/>
                    </w:rPr>
                  </w:pPr>
                  <w:r>
                    <w:rPr>
                      <w:szCs w:val="21"/>
                    </w:rPr>
                    <w:t>年平均</w:t>
                  </w:r>
                </w:p>
              </w:tc>
              <w:tc>
                <w:tcPr>
                  <w:tcW w:w="707" w:type="pct"/>
                  <w:vAlign w:val="center"/>
                </w:tcPr>
                <w:p>
                  <w:pPr>
                    <w:pStyle w:val="7"/>
                    <w:ind w:firstLine="0"/>
                    <w:jc w:val="center"/>
                    <w:outlineLvl w:val="1"/>
                    <w:rPr>
                      <w:szCs w:val="21"/>
                    </w:rPr>
                  </w:pPr>
                  <w:r>
                    <w:rPr>
                      <w:szCs w:val="21"/>
                    </w:rPr>
                    <w:t>40</w:t>
                  </w:r>
                </w:p>
              </w:tc>
              <w:tc>
                <w:tcPr>
                  <w:tcW w:w="510" w:type="pct"/>
                  <w:vMerge w:val="continue"/>
                  <w:vAlign w:val="center"/>
                </w:tcPr>
                <w:p>
                  <w:pPr>
                    <w:pStyle w:val="7"/>
                    <w:jc w:val="center"/>
                    <w:rPr>
                      <w:b/>
                      <w:szCs w:val="21"/>
                    </w:rPr>
                  </w:pP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continue"/>
                  <w:vAlign w:val="center"/>
                </w:tcPr>
                <w:p>
                  <w:pPr>
                    <w:pStyle w:val="7"/>
                    <w:ind w:firstLine="0"/>
                    <w:jc w:val="center"/>
                    <w:rPr>
                      <w:szCs w:val="21"/>
                    </w:rPr>
                  </w:pPr>
                </w:p>
              </w:tc>
              <w:tc>
                <w:tcPr>
                  <w:tcW w:w="1051" w:type="pct"/>
                  <w:vAlign w:val="center"/>
                </w:tcPr>
                <w:p>
                  <w:pPr>
                    <w:pStyle w:val="7"/>
                    <w:ind w:firstLine="0"/>
                    <w:jc w:val="center"/>
                    <w:outlineLvl w:val="1"/>
                    <w:rPr>
                      <w:szCs w:val="21"/>
                    </w:rPr>
                  </w:pPr>
                  <w:r>
                    <w:rPr>
                      <w:szCs w:val="21"/>
                    </w:rPr>
                    <w:t>24小时平均</w:t>
                  </w:r>
                </w:p>
              </w:tc>
              <w:tc>
                <w:tcPr>
                  <w:tcW w:w="707" w:type="pct"/>
                  <w:vAlign w:val="center"/>
                </w:tcPr>
                <w:p>
                  <w:pPr>
                    <w:pStyle w:val="7"/>
                    <w:ind w:firstLine="0"/>
                    <w:jc w:val="center"/>
                    <w:outlineLvl w:val="1"/>
                    <w:rPr>
                      <w:szCs w:val="21"/>
                    </w:rPr>
                  </w:pPr>
                  <w:r>
                    <w:rPr>
                      <w:szCs w:val="21"/>
                    </w:rPr>
                    <w:t>80</w:t>
                  </w:r>
                </w:p>
              </w:tc>
              <w:tc>
                <w:tcPr>
                  <w:tcW w:w="510" w:type="pct"/>
                  <w:vMerge w:val="continue"/>
                  <w:vAlign w:val="center"/>
                </w:tcPr>
                <w:p>
                  <w:pPr>
                    <w:pStyle w:val="7"/>
                    <w:jc w:val="center"/>
                    <w:rPr>
                      <w:b/>
                      <w:szCs w:val="21"/>
                    </w:rPr>
                  </w:pP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continue"/>
                  <w:vAlign w:val="center"/>
                </w:tcPr>
                <w:p>
                  <w:pPr>
                    <w:pStyle w:val="7"/>
                    <w:ind w:firstLine="0"/>
                    <w:jc w:val="center"/>
                    <w:rPr>
                      <w:szCs w:val="21"/>
                    </w:rPr>
                  </w:pPr>
                </w:p>
              </w:tc>
              <w:tc>
                <w:tcPr>
                  <w:tcW w:w="1051" w:type="pct"/>
                  <w:vAlign w:val="center"/>
                </w:tcPr>
                <w:p>
                  <w:pPr>
                    <w:pStyle w:val="7"/>
                    <w:ind w:firstLine="0"/>
                    <w:jc w:val="center"/>
                    <w:outlineLvl w:val="1"/>
                    <w:rPr>
                      <w:szCs w:val="21"/>
                    </w:rPr>
                  </w:pPr>
                  <w:r>
                    <w:rPr>
                      <w:szCs w:val="21"/>
                    </w:rPr>
                    <w:t>1小时平均</w:t>
                  </w:r>
                </w:p>
              </w:tc>
              <w:tc>
                <w:tcPr>
                  <w:tcW w:w="707" w:type="pct"/>
                  <w:vAlign w:val="center"/>
                </w:tcPr>
                <w:p>
                  <w:pPr>
                    <w:pStyle w:val="7"/>
                    <w:ind w:firstLine="0"/>
                    <w:jc w:val="center"/>
                    <w:outlineLvl w:val="1"/>
                    <w:rPr>
                      <w:szCs w:val="21"/>
                    </w:rPr>
                  </w:pPr>
                  <w:r>
                    <w:rPr>
                      <w:szCs w:val="21"/>
                    </w:rPr>
                    <w:t>200</w:t>
                  </w:r>
                </w:p>
              </w:tc>
              <w:tc>
                <w:tcPr>
                  <w:tcW w:w="510" w:type="pct"/>
                  <w:vMerge w:val="continue"/>
                  <w:vAlign w:val="center"/>
                </w:tcPr>
                <w:p>
                  <w:pPr>
                    <w:pStyle w:val="7"/>
                    <w:jc w:val="center"/>
                    <w:rPr>
                      <w:b/>
                      <w:szCs w:val="21"/>
                    </w:rPr>
                  </w:pP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restart"/>
                  <w:vAlign w:val="center"/>
                </w:tcPr>
                <w:p>
                  <w:pPr>
                    <w:pStyle w:val="7"/>
                    <w:ind w:firstLine="0"/>
                    <w:jc w:val="center"/>
                    <w:outlineLvl w:val="1"/>
                    <w:rPr>
                      <w:szCs w:val="21"/>
                    </w:rPr>
                  </w:pPr>
                  <w:r>
                    <w:rPr>
                      <w:szCs w:val="21"/>
                    </w:rPr>
                    <w:t>一氧化碳（CO）</w:t>
                  </w:r>
                </w:p>
              </w:tc>
              <w:tc>
                <w:tcPr>
                  <w:tcW w:w="1051" w:type="pct"/>
                  <w:vAlign w:val="center"/>
                </w:tcPr>
                <w:p>
                  <w:pPr>
                    <w:pStyle w:val="7"/>
                    <w:ind w:firstLine="0"/>
                    <w:jc w:val="center"/>
                    <w:outlineLvl w:val="1"/>
                    <w:rPr>
                      <w:szCs w:val="21"/>
                    </w:rPr>
                  </w:pPr>
                  <w:r>
                    <w:rPr>
                      <w:szCs w:val="21"/>
                    </w:rPr>
                    <w:t>24小时平均</w:t>
                  </w:r>
                </w:p>
              </w:tc>
              <w:tc>
                <w:tcPr>
                  <w:tcW w:w="707" w:type="pct"/>
                  <w:vAlign w:val="center"/>
                </w:tcPr>
                <w:p>
                  <w:pPr>
                    <w:pStyle w:val="7"/>
                    <w:ind w:firstLine="0"/>
                    <w:jc w:val="center"/>
                    <w:outlineLvl w:val="1"/>
                    <w:rPr>
                      <w:szCs w:val="21"/>
                    </w:rPr>
                  </w:pPr>
                  <w:r>
                    <w:rPr>
                      <w:szCs w:val="21"/>
                    </w:rPr>
                    <w:t>4</w:t>
                  </w:r>
                </w:p>
              </w:tc>
              <w:tc>
                <w:tcPr>
                  <w:tcW w:w="510" w:type="pct"/>
                  <w:vMerge w:val="restart"/>
                  <w:vAlign w:val="center"/>
                </w:tcPr>
                <w:p>
                  <w:pPr>
                    <w:pStyle w:val="7"/>
                    <w:ind w:firstLine="0"/>
                    <w:jc w:val="center"/>
                    <w:outlineLvl w:val="1"/>
                    <w:rPr>
                      <w:szCs w:val="21"/>
                    </w:rPr>
                  </w:pPr>
                  <w:r>
                    <w:rPr>
                      <w:szCs w:val="21"/>
                    </w:rPr>
                    <w:t>mg/m</w:t>
                  </w:r>
                  <w:r>
                    <w:rPr>
                      <w:szCs w:val="21"/>
                      <w:vertAlign w:val="superscript"/>
                    </w:rPr>
                    <w:t>3</w:t>
                  </w: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continue"/>
                  <w:vAlign w:val="center"/>
                </w:tcPr>
                <w:p>
                  <w:pPr>
                    <w:pStyle w:val="7"/>
                    <w:ind w:firstLine="0"/>
                    <w:jc w:val="center"/>
                    <w:rPr>
                      <w:szCs w:val="21"/>
                    </w:rPr>
                  </w:pPr>
                </w:p>
              </w:tc>
              <w:tc>
                <w:tcPr>
                  <w:tcW w:w="1051" w:type="pct"/>
                  <w:vAlign w:val="center"/>
                </w:tcPr>
                <w:p>
                  <w:pPr>
                    <w:pStyle w:val="7"/>
                    <w:ind w:firstLine="0"/>
                    <w:jc w:val="center"/>
                    <w:outlineLvl w:val="1"/>
                    <w:rPr>
                      <w:szCs w:val="21"/>
                    </w:rPr>
                  </w:pPr>
                  <w:r>
                    <w:rPr>
                      <w:szCs w:val="21"/>
                    </w:rPr>
                    <w:t>1小时平均</w:t>
                  </w:r>
                </w:p>
              </w:tc>
              <w:tc>
                <w:tcPr>
                  <w:tcW w:w="707" w:type="pct"/>
                  <w:vAlign w:val="center"/>
                </w:tcPr>
                <w:p>
                  <w:pPr>
                    <w:pStyle w:val="7"/>
                    <w:ind w:firstLine="0"/>
                    <w:jc w:val="center"/>
                    <w:outlineLvl w:val="1"/>
                    <w:rPr>
                      <w:szCs w:val="21"/>
                    </w:rPr>
                  </w:pPr>
                  <w:r>
                    <w:rPr>
                      <w:szCs w:val="21"/>
                    </w:rPr>
                    <w:t>10</w:t>
                  </w:r>
                </w:p>
              </w:tc>
              <w:tc>
                <w:tcPr>
                  <w:tcW w:w="510" w:type="pct"/>
                  <w:vMerge w:val="continue"/>
                  <w:vAlign w:val="center"/>
                </w:tcPr>
                <w:p>
                  <w:pPr>
                    <w:pStyle w:val="7"/>
                    <w:ind w:firstLine="0"/>
                    <w:jc w:val="center"/>
                    <w:rPr>
                      <w:szCs w:val="21"/>
                    </w:rPr>
                  </w:pP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restart"/>
                  <w:vAlign w:val="center"/>
                </w:tcPr>
                <w:p>
                  <w:pPr>
                    <w:pStyle w:val="7"/>
                    <w:ind w:firstLine="0"/>
                    <w:jc w:val="center"/>
                    <w:outlineLvl w:val="1"/>
                    <w:rPr>
                      <w:szCs w:val="21"/>
                    </w:rPr>
                  </w:pPr>
                  <w:r>
                    <w:rPr>
                      <w:szCs w:val="21"/>
                    </w:rPr>
                    <w:t>TSP</w:t>
                  </w:r>
                </w:p>
              </w:tc>
              <w:tc>
                <w:tcPr>
                  <w:tcW w:w="1051" w:type="pct"/>
                  <w:vAlign w:val="center"/>
                </w:tcPr>
                <w:p>
                  <w:pPr>
                    <w:pStyle w:val="7"/>
                    <w:ind w:firstLine="0"/>
                    <w:jc w:val="center"/>
                    <w:outlineLvl w:val="1"/>
                    <w:rPr>
                      <w:szCs w:val="21"/>
                    </w:rPr>
                  </w:pPr>
                  <w:r>
                    <w:rPr>
                      <w:szCs w:val="21"/>
                    </w:rPr>
                    <w:t>年平均</w:t>
                  </w:r>
                </w:p>
              </w:tc>
              <w:tc>
                <w:tcPr>
                  <w:tcW w:w="707" w:type="pct"/>
                  <w:vAlign w:val="center"/>
                </w:tcPr>
                <w:p>
                  <w:pPr>
                    <w:pStyle w:val="7"/>
                    <w:ind w:firstLine="0"/>
                    <w:jc w:val="center"/>
                    <w:outlineLvl w:val="1"/>
                    <w:rPr>
                      <w:szCs w:val="21"/>
                    </w:rPr>
                  </w:pPr>
                  <w:r>
                    <w:rPr>
                      <w:szCs w:val="21"/>
                    </w:rPr>
                    <w:t>20</w:t>
                  </w:r>
                </w:p>
              </w:tc>
              <w:tc>
                <w:tcPr>
                  <w:tcW w:w="510" w:type="pct"/>
                  <w:vMerge w:val="restart"/>
                  <w:vAlign w:val="center"/>
                </w:tcPr>
                <w:p>
                  <w:pPr>
                    <w:pStyle w:val="7"/>
                    <w:ind w:firstLine="0"/>
                    <w:jc w:val="center"/>
                    <w:outlineLvl w:val="1"/>
                    <w:rPr>
                      <w:szCs w:val="21"/>
                    </w:rPr>
                  </w:pPr>
                  <w:r>
                    <w:rPr>
                      <w:szCs w:val="21"/>
                    </w:rPr>
                    <w:t>μg/m</w:t>
                  </w:r>
                  <w:r>
                    <w:rPr>
                      <w:szCs w:val="21"/>
                      <w:vertAlign w:val="superscript"/>
                    </w:rPr>
                    <w:t>3</w:t>
                  </w: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continue"/>
                  <w:vAlign w:val="center"/>
                </w:tcPr>
                <w:p>
                  <w:pPr>
                    <w:pStyle w:val="7"/>
                    <w:ind w:firstLine="0"/>
                    <w:jc w:val="center"/>
                    <w:rPr>
                      <w:szCs w:val="21"/>
                    </w:rPr>
                  </w:pPr>
                </w:p>
              </w:tc>
              <w:tc>
                <w:tcPr>
                  <w:tcW w:w="1051" w:type="pct"/>
                  <w:vAlign w:val="center"/>
                </w:tcPr>
                <w:p>
                  <w:pPr>
                    <w:pStyle w:val="7"/>
                    <w:ind w:firstLine="0"/>
                    <w:jc w:val="center"/>
                    <w:outlineLvl w:val="1"/>
                    <w:rPr>
                      <w:szCs w:val="21"/>
                    </w:rPr>
                  </w:pPr>
                  <w:r>
                    <w:rPr>
                      <w:szCs w:val="21"/>
                    </w:rPr>
                    <w:t>24小时平均</w:t>
                  </w:r>
                </w:p>
              </w:tc>
              <w:tc>
                <w:tcPr>
                  <w:tcW w:w="707" w:type="pct"/>
                  <w:vAlign w:val="center"/>
                </w:tcPr>
                <w:p>
                  <w:pPr>
                    <w:pStyle w:val="7"/>
                    <w:ind w:firstLine="0"/>
                    <w:jc w:val="center"/>
                    <w:outlineLvl w:val="1"/>
                    <w:rPr>
                      <w:szCs w:val="21"/>
                    </w:rPr>
                  </w:pPr>
                  <w:r>
                    <w:rPr>
                      <w:szCs w:val="21"/>
                    </w:rPr>
                    <w:t>30</w:t>
                  </w:r>
                </w:p>
              </w:tc>
              <w:tc>
                <w:tcPr>
                  <w:tcW w:w="510" w:type="pct"/>
                  <w:vMerge w:val="continue"/>
                  <w:vAlign w:val="center"/>
                </w:tcPr>
                <w:p>
                  <w:pPr>
                    <w:pStyle w:val="57"/>
                    <w:rPr>
                      <w:rFonts w:hAnsi="Times New Roman"/>
                    </w:rPr>
                  </w:pP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restart"/>
                  <w:vAlign w:val="center"/>
                </w:tcPr>
                <w:p>
                  <w:pPr>
                    <w:pStyle w:val="7"/>
                    <w:ind w:firstLine="0"/>
                    <w:jc w:val="center"/>
                    <w:outlineLvl w:val="1"/>
                    <w:rPr>
                      <w:szCs w:val="21"/>
                    </w:rPr>
                  </w:pPr>
                  <w:r>
                    <w:rPr>
                      <w:szCs w:val="21"/>
                    </w:rPr>
                    <w:t>PM</w:t>
                  </w:r>
                  <w:r>
                    <w:rPr>
                      <w:szCs w:val="21"/>
                      <w:vertAlign w:val="subscript"/>
                    </w:rPr>
                    <w:t>10</w:t>
                  </w:r>
                </w:p>
              </w:tc>
              <w:tc>
                <w:tcPr>
                  <w:tcW w:w="1051" w:type="pct"/>
                  <w:vAlign w:val="center"/>
                </w:tcPr>
                <w:p>
                  <w:pPr>
                    <w:pStyle w:val="7"/>
                    <w:ind w:firstLine="0"/>
                    <w:jc w:val="center"/>
                    <w:outlineLvl w:val="1"/>
                    <w:rPr>
                      <w:szCs w:val="21"/>
                    </w:rPr>
                  </w:pPr>
                  <w:r>
                    <w:rPr>
                      <w:szCs w:val="21"/>
                    </w:rPr>
                    <w:t>年平均</w:t>
                  </w:r>
                </w:p>
              </w:tc>
              <w:tc>
                <w:tcPr>
                  <w:tcW w:w="707" w:type="pct"/>
                  <w:vAlign w:val="center"/>
                </w:tcPr>
                <w:p>
                  <w:pPr>
                    <w:pStyle w:val="7"/>
                    <w:ind w:firstLine="0"/>
                    <w:jc w:val="center"/>
                    <w:outlineLvl w:val="1"/>
                    <w:rPr>
                      <w:szCs w:val="21"/>
                    </w:rPr>
                  </w:pPr>
                  <w:r>
                    <w:rPr>
                      <w:szCs w:val="21"/>
                    </w:rPr>
                    <w:t>70</w:t>
                  </w:r>
                </w:p>
              </w:tc>
              <w:tc>
                <w:tcPr>
                  <w:tcW w:w="510" w:type="pct"/>
                  <w:vMerge w:val="continue"/>
                  <w:vAlign w:val="center"/>
                </w:tcPr>
                <w:p>
                  <w:pPr>
                    <w:pStyle w:val="57"/>
                    <w:rPr>
                      <w:rFonts w:hAnsi="Times New Roman"/>
                    </w:rPr>
                  </w:pP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continue"/>
                  <w:vAlign w:val="center"/>
                </w:tcPr>
                <w:p>
                  <w:pPr>
                    <w:pStyle w:val="7"/>
                    <w:ind w:firstLine="0"/>
                    <w:jc w:val="center"/>
                    <w:rPr>
                      <w:szCs w:val="21"/>
                    </w:rPr>
                  </w:pPr>
                </w:p>
              </w:tc>
              <w:tc>
                <w:tcPr>
                  <w:tcW w:w="1051" w:type="pct"/>
                  <w:vAlign w:val="center"/>
                </w:tcPr>
                <w:p>
                  <w:pPr>
                    <w:pStyle w:val="7"/>
                    <w:ind w:firstLine="0"/>
                    <w:jc w:val="center"/>
                    <w:outlineLvl w:val="1"/>
                    <w:rPr>
                      <w:szCs w:val="21"/>
                    </w:rPr>
                  </w:pPr>
                  <w:r>
                    <w:rPr>
                      <w:szCs w:val="21"/>
                    </w:rPr>
                    <w:t>24小时平均</w:t>
                  </w:r>
                </w:p>
              </w:tc>
              <w:tc>
                <w:tcPr>
                  <w:tcW w:w="707" w:type="pct"/>
                  <w:vAlign w:val="center"/>
                </w:tcPr>
                <w:p>
                  <w:pPr>
                    <w:pStyle w:val="7"/>
                    <w:ind w:firstLine="0"/>
                    <w:jc w:val="center"/>
                    <w:outlineLvl w:val="1"/>
                    <w:rPr>
                      <w:szCs w:val="21"/>
                    </w:rPr>
                  </w:pPr>
                  <w:r>
                    <w:rPr>
                      <w:szCs w:val="21"/>
                    </w:rPr>
                    <w:t>150</w:t>
                  </w:r>
                </w:p>
              </w:tc>
              <w:tc>
                <w:tcPr>
                  <w:tcW w:w="510" w:type="pct"/>
                  <w:vMerge w:val="continue"/>
                  <w:vAlign w:val="center"/>
                </w:tcPr>
                <w:p>
                  <w:pPr>
                    <w:pStyle w:val="57"/>
                    <w:rPr>
                      <w:rFonts w:hAnsi="Times New Roman"/>
                    </w:rPr>
                  </w:pP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restart"/>
                  <w:vAlign w:val="center"/>
                </w:tcPr>
                <w:p>
                  <w:pPr>
                    <w:pStyle w:val="7"/>
                    <w:ind w:firstLine="0"/>
                    <w:jc w:val="center"/>
                    <w:outlineLvl w:val="1"/>
                    <w:rPr>
                      <w:szCs w:val="21"/>
                    </w:rPr>
                  </w:pPr>
                  <w:r>
                    <w:rPr>
                      <w:szCs w:val="21"/>
                    </w:rPr>
                    <w:t>PM</w:t>
                  </w:r>
                  <w:r>
                    <w:rPr>
                      <w:szCs w:val="21"/>
                      <w:vertAlign w:val="subscript"/>
                    </w:rPr>
                    <w:t>2.5</w:t>
                  </w:r>
                </w:p>
              </w:tc>
              <w:tc>
                <w:tcPr>
                  <w:tcW w:w="1051" w:type="pct"/>
                  <w:vAlign w:val="center"/>
                </w:tcPr>
                <w:p>
                  <w:pPr>
                    <w:pStyle w:val="7"/>
                    <w:ind w:firstLine="0"/>
                    <w:jc w:val="center"/>
                    <w:outlineLvl w:val="1"/>
                    <w:rPr>
                      <w:szCs w:val="21"/>
                    </w:rPr>
                  </w:pPr>
                  <w:r>
                    <w:rPr>
                      <w:szCs w:val="21"/>
                    </w:rPr>
                    <w:t>年平均</w:t>
                  </w:r>
                </w:p>
              </w:tc>
              <w:tc>
                <w:tcPr>
                  <w:tcW w:w="707" w:type="pct"/>
                  <w:vAlign w:val="center"/>
                </w:tcPr>
                <w:p>
                  <w:pPr>
                    <w:pStyle w:val="7"/>
                    <w:ind w:firstLine="0"/>
                    <w:jc w:val="center"/>
                    <w:outlineLvl w:val="1"/>
                    <w:rPr>
                      <w:szCs w:val="21"/>
                    </w:rPr>
                  </w:pPr>
                  <w:r>
                    <w:rPr>
                      <w:szCs w:val="21"/>
                    </w:rPr>
                    <w:t>35</w:t>
                  </w:r>
                </w:p>
              </w:tc>
              <w:tc>
                <w:tcPr>
                  <w:tcW w:w="510" w:type="pct"/>
                  <w:vMerge w:val="continue"/>
                  <w:vAlign w:val="center"/>
                </w:tcPr>
                <w:p>
                  <w:pPr>
                    <w:pStyle w:val="57"/>
                    <w:rPr>
                      <w:rFonts w:hAnsi="Times New Roman"/>
                    </w:rPr>
                  </w:pPr>
                </w:p>
              </w:tc>
              <w:tc>
                <w:tcPr>
                  <w:tcW w:w="1681" w:type="pct"/>
                  <w:vMerge w:val="continue"/>
                  <w:vAlign w:val="center"/>
                </w:tcPr>
                <w:p>
                  <w:pPr>
                    <w:pStyle w:val="57"/>
                    <w:rPr>
                      <w:rFonts w:hAnsi="Times New Roman"/>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50" w:type="pct"/>
                  <w:vMerge w:val="continue"/>
                  <w:vAlign w:val="center"/>
                </w:tcPr>
                <w:p>
                  <w:pPr>
                    <w:pStyle w:val="7"/>
                    <w:ind w:firstLine="0"/>
                    <w:jc w:val="center"/>
                    <w:rPr>
                      <w:szCs w:val="21"/>
                    </w:rPr>
                  </w:pPr>
                </w:p>
              </w:tc>
              <w:tc>
                <w:tcPr>
                  <w:tcW w:w="1051" w:type="pct"/>
                  <w:vAlign w:val="center"/>
                </w:tcPr>
                <w:p>
                  <w:pPr>
                    <w:pStyle w:val="7"/>
                    <w:ind w:firstLine="0"/>
                    <w:jc w:val="center"/>
                    <w:outlineLvl w:val="1"/>
                    <w:rPr>
                      <w:szCs w:val="21"/>
                    </w:rPr>
                  </w:pPr>
                  <w:r>
                    <w:rPr>
                      <w:szCs w:val="21"/>
                    </w:rPr>
                    <w:t>24小时平均</w:t>
                  </w:r>
                </w:p>
              </w:tc>
              <w:tc>
                <w:tcPr>
                  <w:tcW w:w="707" w:type="pct"/>
                  <w:vAlign w:val="center"/>
                </w:tcPr>
                <w:p>
                  <w:pPr>
                    <w:pStyle w:val="7"/>
                    <w:ind w:firstLine="0"/>
                    <w:jc w:val="center"/>
                    <w:outlineLvl w:val="1"/>
                    <w:rPr>
                      <w:szCs w:val="21"/>
                    </w:rPr>
                  </w:pPr>
                  <w:r>
                    <w:rPr>
                      <w:szCs w:val="21"/>
                    </w:rPr>
                    <w:t>75</w:t>
                  </w:r>
                </w:p>
              </w:tc>
              <w:tc>
                <w:tcPr>
                  <w:tcW w:w="510" w:type="pct"/>
                  <w:vMerge w:val="continue"/>
                  <w:vAlign w:val="center"/>
                </w:tcPr>
                <w:p>
                  <w:pPr>
                    <w:pStyle w:val="57"/>
                    <w:rPr>
                      <w:rFonts w:hAnsi="Times New Roman"/>
                    </w:rPr>
                  </w:pPr>
                </w:p>
              </w:tc>
              <w:tc>
                <w:tcPr>
                  <w:tcW w:w="1681" w:type="pct"/>
                  <w:vMerge w:val="continue"/>
                  <w:vAlign w:val="center"/>
                </w:tcPr>
                <w:p>
                  <w:pPr>
                    <w:pStyle w:val="57"/>
                    <w:rPr>
                      <w:rFonts w:hAnsi="Times New Roman"/>
                    </w:rPr>
                  </w:pPr>
                </w:p>
              </w:tc>
            </w:tr>
          </w:tbl>
          <w:p>
            <w:pPr>
              <w:pStyle w:val="3"/>
              <w:spacing w:before="120" w:after="0" w:line="360" w:lineRule="auto"/>
              <w:outlineLvl w:val="9"/>
              <w:rPr>
                <w:rFonts w:ascii="Times New Roman" w:hAnsi="Times New Roman"/>
                <w:sz w:val="28"/>
                <w:szCs w:val="28"/>
              </w:rPr>
            </w:pPr>
            <w:bookmarkStart w:id="72" w:name="_Toc481345665"/>
            <w:bookmarkStart w:id="73" w:name="_Toc16263"/>
            <w:bookmarkStart w:id="74" w:name="_Toc31307"/>
            <w:bookmarkStart w:id="75" w:name="_Toc6736"/>
            <w:bookmarkStart w:id="76" w:name="_Toc10693"/>
            <w:bookmarkStart w:id="77" w:name="_Toc22641"/>
            <w:bookmarkStart w:id="78" w:name="_Toc10553"/>
            <w:bookmarkStart w:id="79" w:name="_Toc23008"/>
            <w:bookmarkStart w:id="80" w:name="_Toc7764"/>
            <w:bookmarkStart w:id="81" w:name="_Toc11311"/>
            <w:bookmarkStart w:id="82" w:name="_Toc492658070"/>
            <w:bookmarkStart w:id="83" w:name="_Toc17069"/>
          </w:p>
          <w:p>
            <w:pPr>
              <w:pStyle w:val="3"/>
              <w:spacing w:before="120" w:after="0" w:line="360" w:lineRule="auto"/>
              <w:rPr>
                <w:sz w:val="28"/>
                <w:szCs w:val="28"/>
              </w:rPr>
            </w:pPr>
            <w:r>
              <w:rPr>
                <w:rFonts w:ascii="Times New Roman" w:hAnsi="Times New Roman"/>
                <w:sz w:val="28"/>
                <w:szCs w:val="28"/>
              </w:rPr>
              <w:t>3.2.3</w:t>
            </w:r>
            <w:r>
              <w:rPr>
                <w:rFonts w:hint="eastAsia" w:ascii="Times New Roman" w:hAnsi="Times New Roman"/>
                <w:sz w:val="28"/>
                <w:szCs w:val="28"/>
              </w:rPr>
              <w:t xml:space="preserve"> </w:t>
            </w:r>
            <w:r>
              <w:rPr>
                <w:sz w:val="28"/>
                <w:szCs w:val="28"/>
              </w:rPr>
              <w:t>声环境</w:t>
            </w:r>
            <w:bookmarkEnd w:id="72"/>
            <w:bookmarkEnd w:id="73"/>
            <w:bookmarkEnd w:id="74"/>
            <w:bookmarkEnd w:id="75"/>
            <w:bookmarkEnd w:id="76"/>
            <w:bookmarkEnd w:id="77"/>
            <w:bookmarkEnd w:id="78"/>
            <w:bookmarkEnd w:id="79"/>
            <w:bookmarkEnd w:id="80"/>
            <w:bookmarkEnd w:id="81"/>
            <w:bookmarkEnd w:id="82"/>
            <w:bookmarkEnd w:id="83"/>
          </w:p>
          <w:p>
            <w:pPr>
              <w:adjustRightInd w:val="0"/>
              <w:snapToGrid w:val="0"/>
              <w:spacing w:line="360" w:lineRule="auto"/>
              <w:ind w:firstLine="480" w:firstLineChars="200"/>
              <w:outlineLvl w:val="2"/>
              <w:rPr>
                <w:rFonts w:hint="eastAsia" w:ascii="Times New Roman" w:hAnsi="Times New Roman" w:eastAsia="宋体" w:cs="Times New Roman"/>
                <w:color w:val="auto"/>
                <w:sz w:val="24"/>
                <w:lang w:val="en-US" w:eastAsia="zh-CN"/>
              </w:rPr>
            </w:pPr>
            <w:r>
              <w:rPr>
                <w:rFonts w:hint="eastAsia" w:cs="Times New Roman"/>
                <w:sz w:val="24"/>
                <w:lang w:val="en-US" w:eastAsia="zh-CN"/>
              </w:rPr>
              <w:t>根据</w:t>
            </w:r>
            <w:r>
              <w:rPr>
                <w:rFonts w:hint="eastAsia" w:ascii="Times New Roman" w:hAnsi="Times New Roman" w:eastAsia="宋体" w:cs="Times New Roman"/>
                <w:color w:val="auto"/>
                <w:sz w:val="24"/>
                <w:lang w:val="en-US" w:eastAsia="zh-CN"/>
              </w:rPr>
              <w:t>福清市人民政府办公室于2022年08月09日印发《</w:t>
            </w:r>
            <w:r>
              <w:rPr>
                <w:rFonts w:hint="default" w:ascii="Times New Roman" w:hAnsi="Times New Roman" w:eastAsia="宋体" w:cs="Times New Roman"/>
                <w:color w:val="auto"/>
                <w:sz w:val="24"/>
                <w:lang w:val="en-US" w:eastAsia="zh-CN"/>
              </w:rPr>
              <w:t>福清市城市建成区声环境功能区划</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融政办〔2022〕48号</w:t>
            </w:r>
            <w:r>
              <w:rPr>
                <w:rFonts w:hint="eastAsia" w:ascii="Times New Roman" w:hAnsi="Times New Roman" w:eastAsia="宋体" w:cs="Times New Roman"/>
                <w:color w:val="auto"/>
                <w:sz w:val="24"/>
                <w:lang w:val="en-US" w:eastAsia="zh-CN"/>
              </w:rPr>
              <w:t>），</w:t>
            </w:r>
            <w:r>
              <w:rPr>
                <w:rFonts w:hint="eastAsia" w:cs="Times New Roman"/>
                <w:color w:val="auto"/>
                <w:sz w:val="24"/>
                <w:lang w:val="en-US" w:eastAsia="zh-CN"/>
              </w:rPr>
              <w:t>，本项目道路</w:t>
            </w:r>
            <w:r>
              <w:rPr>
                <w:rFonts w:hint="default" w:ascii="Times New Roman" w:hAnsi="Times New Roman" w:cs="Times New Roman"/>
                <w:sz w:val="24"/>
              </w:rPr>
              <w:t>福泽大道北延伸段为城市主干道，</w:t>
            </w:r>
            <w:r>
              <w:rPr>
                <w:rFonts w:hint="eastAsia" w:cs="Times New Roman"/>
                <w:sz w:val="24"/>
                <w:lang w:val="en-US" w:eastAsia="zh-CN"/>
              </w:rPr>
              <w:t>道路</w:t>
            </w:r>
            <w:r>
              <w:rPr>
                <w:rFonts w:hint="eastAsia" w:ascii="Times New Roman" w:hAnsi="Times New Roman" w:eastAsia="宋体" w:cs="Times New Roman"/>
                <w:color w:val="auto"/>
                <w:sz w:val="24"/>
                <w:lang w:val="en-US" w:eastAsia="zh-CN"/>
              </w:rPr>
              <w:t>红线外一定距离内区域划为4a类声环境功能区，</w:t>
            </w:r>
            <w:r>
              <w:rPr>
                <w:rFonts w:hint="eastAsia" w:cs="Times New Roman"/>
                <w:sz w:val="24"/>
                <w:lang w:val="en-US" w:eastAsia="zh-CN"/>
              </w:rPr>
              <w:t>道路两侧为商业、居住、教育科研混杂区，</w:t>
            </w:r>
            <w:r>
              <w:rPr>
                <w:rFonts w:hint="eastAsia" w:ascii="Times New Roman" w:hAnsi="Times New Roman" w:cs="Times New Roman"/>
                <w:sz w:val="24"/>
              </w:rPr>
              <w:t>为2类声环境功能区</w:t>
            </w:r>
            <w:r>
              <w:rPr>
                <w:rFonts w:hint="default" w:ascii="Times New Roman" w:hAnsi="Times New Roman" w:cs="Times New Roman"/>
                <w:sz w:val="24"/>
              </w:rPr>
              <w:t>，</w:t>
            </w:r>
            <w:r>
              <w:rPr>
                <w:rFonts w:hint="eastAsia" w:cs="Times New Roman"/>
                <w:sz w:val="24"/>
                <w:lang w:val="en-US" w:eastAsia="zh-CN"/>
              </w:rPr>
              <w:t>因此</w:t>
            </w:r>
            <w:r>
              <w:rPr>
                <w:rFonts w:hint="default" w:ascii="Times New Roman" w:hAnsi="Times New Roman" w:cs="Times New Roman"/>
                <w:sz w:val="24"/>
              </w:rPr>
              <w:t>道路</w:t>
            </w:r>
            <w:r>
              <w:rPr>
                <w:rFonts w:hint="eastAsia" w:cs="Times New Roman"/>
                <w:sz w:val="24"/>
                <w:lang w:val="en-US" w:eastAsia="zh-CN"/>
              </w:rPr>
              <w:t>两侧</w:t>
            </w:r>
            <w:r>
              <w:rPr>
                <w:rFonts w:hint="default" w:ascii="Times New Roman" w:hAnsi="Times New Roman" w:cs="Times New Roman"/>
                <w:sz w:val="24"/>
              </w:rPr>
              <w:t>临街建筑层数高于三层（含三层）时，第一排建筑物面向道路一侧的声环境执行《声环境质量标准》（GB3096-2008）中4a类标准，其他区域执行《声环境质量标准》（GB3096-2008）中2类标准；当建筑层数低于三层(含开阔地)时，道路红线3</w:t>
            </w:r>
            <w:r>
              <w:rPr>
                <w:rFonts w:hint="eastAsia" w:cs="Times New Roman"/>
                <w:sz w:val="24"/>
                <w:lang w:val="en-US" w:eastAsia="zh-CN"/>
              </w:rPr>
              <w:t>5</w:t>
            </w:r>
            <w:r>
              <w:rPr>
                <w:rFonts w:hint="default" w:ascii="Times New Roman" w:hAnsi="Times New Roman" w:cs="Times New Roman"/>
                <w:sz w:val="24"/>
              </w:rPr>
              <w:t>m范围内的区域执行《声环境质量标准》（GB3096-2008）中4a类标准，其他区域执行《声环境质量标准》（GB3096-2008）中2类标准。</w:t>
            </w:r>
          </w:p>
          <w:p>
            <w:pPr>
              <w:adjustRightInd w:val="0"/>
              <w:snapToGrid w:val="0"/>
              <w:spacing w:line="360" w:lineRule="auto"/>
              <w:ind w:firstLine="480" w:firstLineChars="200"/>
              <w:outlineLvl w:val="2"/>
              <w:rPr>
                <w:rFonts w:hint="eastAsia"/>
                <w:sz w:val="24"/>
              </w:rPr>
            </w:pPr>
            <w:r>
              <w:rPr>
                <w:rFonts w:hint="eastAsia"/>
                <w:sz w:val="24"/>
              </w:rPr>
              <w:t>具体详见声环境影响专项评价。</w:t>
            </w:r>
          </w:p>
          <w:p>
            <w:pPr>
              <w:pStyle w:val="3"/>
              <w:spacing w:before="120" w:after="0" w:line="360" w:lineRule="auto"/>
              <w:rPr>
                <w:rFonts w:ascii="Times New Roman" w:hAnsi="Times New Roman" w:eastAsia="宋体" w:cs="Times New Roman"/>
                <w:sz w:val="28"/>
                <w:szCs w:val="28"/>
              </w:rPr>
            </w:pPr>
            <w:bookmarkStart w:id="84" w:name="_Toc29860"/>
            <w:r>
              <w:rPr>
                <w:rFonts w:hint="eastAsia" w:ascii="Times New Roman" w:hAnsi="Times New Roman" w:eastAsia="宋体" w:cs="Times New Roman"/>
                <w:sz w:val="28"/>
                <w:szCs w:val="28"/>
                <w:lang w:val="en-US" w:eastAsia="zh-CN"/>
              </w:rPr>
              <w:t>3.2.4</w:t>
            </w:r>
            <w:r>
              <w:rPr>
                <w:rFonts w:ascii="Times New Roman" w:hAnsi="Times New Roman" w:eastAsia="宋体" w:cs="Times New Roman"/>
                <w:sz w:val="28"/>
                <w:szCs w:val="28"/>
              </w:rPr>
              <w:t>生态环境</w:t>
            </w:r>
            <w:bookmarkEnd w:id="84"/>
          </w:p>
          <w:p>
            <w:pPr>
              <w:adjustRightInd w:val="0"/>
              <w:snapToGrid w:val="0"/>
              <w:spacing w:line="360" w:lineRule="auto"/>
              <w:ind w:firstLine="480" w:firstLineChars="200"/>
              <w:outlineLvl w:val="2"/>
              <w:rPr>
                <w:rFonts w:hint="eastAsia" w:ascii="Times New Roman" w:hAnsi="Times New Roman" w:eastAsia="宋体" w:cs="Times New Roman"/>
                <w:sz w:val="24"/>
              </w:rPr>
            </w:pPr>
            <w:r>
              <w:rPr>
                <w:rFonts w:hint="eastAsia" w:ascii="Times New Roman" w:hAnsi="Times New Roman" w:eastAsia="宋体" w:cs="Times New Roman"/>
                <w:sz w:val="24"/>
              </w:rPr>
              <w:t>根据《福清市生态功能区划》，项目位于福清中心城镇与工业环境生态和污染物消纳生态功能小区（520118104），具体见附图</w:t>
            </w:r>
            <w:r>
              <w:rPr>
                <w:rFonts w:hint="eastAsia" w:ascii="Times New Roman" w:hAnsi="Times New Roman" w:eastAsia="宋体" w:cs="Times New Roman"/>
                <w:sz w:val="24"/>
                <w:lang w:val="en-US" w:eastAsia="zh-CN"/>
              </w:rPr>
              <w:t>15</w:t>
            </w:r>
            <w:r>
              <w:rPr>
                <w:rFonts w:hint="eastAsia" w:ascii="Times New Roman" w:hAnsi="Times New Roman" w:eastAsia="宋体" w:cs="Times New Roman"/>
                <w:sz w:val="24"/>
              </w:rPr>
              <w:t>。主导功能：城市生态环境。辅助功能：城镇交通干线视域景观、污染物消纳、农业生态环境、旅游生态环境。生态保育和建设方向：①重点：多源性水污染治理和监控；有规划、有步骤地建设生态城市和生态工业区；②其他相关任务：尽快建设污水处理厂和生活垃圾填埋场、沿江堤岸维护、弥勒岩景点保护、海口农场发展生态农业、福北线景观生态的保护。</w:t>
            </w:r>
          </w:p>
          <w:p>
            <w:pPr>
              <w:adjustRightInd w:val="0"/>
              <w:snapToGrid w:val="0"/>
              <w:spacing w:line="360" w:lineRule="auto"/>
              <w:ind w:firstLine="480" w:firstLineChars="200"/>
              <w:outlineLvl w:val="2"/>
              <w:rPr>
                <w:rFonts w:hint="eastAsia" w:ascii="Times New Roman" w:hAnsi="Times New Roman" w:eastAsia="宋体" w:cs="Times New Roman"/>
                <w:sz w:val="24"/>
              </w:rPr>
            </w:pPr>
            <w:r>
              <w:rPr>
                <w:rFonts w:hint="eastAsia" w:ascii="Times New Roman" w:hAnsi="Times New Roman" w:eastAsia="宋体" w:cs="Times New Roman"/>
                <w:sz w:val="24"/>
              </w:rPr>
              <w:t>本项目为</w:t>
            </w:r>
            <w:r>
              <w:rPr>
                <w:rFonts w:hint="eastAsia" w:ascii="Times New Roman" w:hAnsi="Times New Roman" w:eastAsia="宋体" w:cs="Times New Roman"/>
                <w:sz w:val="24"/>
                <w:lang w:val="en-US" w:eastAsia="zh-CN"/>
              </w:rPr>
              <w:t>道路工程，项目</w:t>
            </w:r>
            <w:r>
              <w:rPr>
                <w:rFonts w:hint="eastAsia" w:ascii="Times New Roman" w:hAnsi="Times New Roman" w:eastAsia="宋体" w:cs="Times New Roman"/>
                <w:sz w:val="24"/>
              </w:rPr>
              <w:t>建设不会对区域景观、环境造成不利影响。另外，项目区域不涉及重要生态功能区，也不涉及</w:t>
            </w:r>
            <w:r>
              <w:rPr>
                <w:rFonts w:hint="eastAsia" w:ascii="Times New Roman" w:hAnsi="Times New Roman" w:eastAsia="宋体" w:cs="Times New Roman"/>
                <w:sz w:val="24"/>
                <w:lang w:val="en-US" w:eastAsia="zh-CN"/>
              </w:rPr>
              <w:t>各级</w:t>
            </w:r>
            <w:r>
              <w:rPr>
                <w:rFonts w:hint="eastAsia" w:ascii="Times New Roman" w:hAnsi="Times New Roman" w:eastAsia="宋体" w:cs="Times New Roman"/>
                <w:sz w:val="24"/>
              </w:rPr>
              <w:t>自然保护区、风景名胜区、森林公园、湿地、世界自然与文化遗产地和地质公园、重要饮用水水源地一级保护区等禁止开发区域。</w:t>
            </w:r>
          </w:p>
          <w:p>
            <w:pPr>
              <w:adjustRightInd w:val="0"/>
              <w:snapToGrid w:val="0"/>
              <w:spacing w:before="120" w:beforeLines="50" w:line="360" w:lineRule="auto"/>
              <w:outlineLvl w:val="1"/>
              <w:rPr>
                <w:sz w:val="30"/>
                <w:szCs w:val="30"/>
              </w:rPr>
            </w:pPr>
            <w:r>
              <w:rPr>
                <w:rFonts w:hint="eastAsia"/>
                <w:b/>
                <w:bCs/>
                <w:sz w:val="30"/>
                <w:szCs w:val="30"/>
              </w:rPr>
              <w:t>3.3 污染物排放控制标准</w:t>
            </w:r>
          </w:p>
          <w:p>
            <w:pPr>
              <w:adjustRightInd w:val="0"/>
              <w:snapToGrid w:val="0"/>
              <w:spacing w:line="360" w:lineRule="auto"/>
              <w:ind w:firstLine="480" w:firstLineChars="200"/>
              <w:outlineLvl w:val="1"/>
              <w:rPr>
                <w:sz w:val="24"/>
              </w:rPr>
            </w:pPr>
            <w:r>
              <w:rPr>
                <w:rFonts w:hint="eastAsia"/>
                <w:sz w:val="24"/>
              </w:rPr>
              <w:t>（1）废水</w:t>
            </w:r>
          </w:p>
          <w:p>
            <w:pPr>
              <w:spacing w:line="360" w:lineRule="auto"/>
              <w:ind w:firstLine="480" w:firstLineChars="200"/>
              <w:outlineLvl w:val="1"/>
              <w:rPr>
                <w:sz w:val="24"/>
              </w:rPr>
            </w:pPr>
            <w:r>
              <w:rPr>
                <w:rFonts w:hint="eastAsia"/>
                <w:sz w:val="24"/>
              </w:rPr>
              <w:t>①</w:t>
            </w:r>
            <w:r>
              <w:rPr>
                <w:sz w:val="24"/>
              </w:rPr>
              <w:t>施工期</w:t>
            </w:r>
          </w:p>
          <w:p>
            <w:pPr>
              <w:spacing w:line="360" w:lineRule="auto"/>
              <w:ind w:firstLine="480" w:firstLineChars="200"/>
              <w:outlineLvl w:val="1"/>
              <w:rPr>
                <w:sz w:val="24"/>
              </w:rPr>
            </w:pPr>
            <w:r>
              <w:rPr>
                <w:sz w:val="24"/>
              </w:rPr>
              <w:t>施工人员生活租借附近民房，不另行设置生活区，生活污水排入租住地已有的排污系统和处理设施，不单独外排；少量施工生产废水经隔油沉淀池处理后，回用于施工场地洒水抑尘，不外排；不得未经处理直接排放至项目周边水体内。</w:t>
            </w:r>
          </w:p>
          <w:p>
            <w:pPr>
              <w:spacing w:line="360" w:lineRule="auto"/>
              <w:ind w:firstLine="480" w:firstLineChars="200"/>
              <w:outlineLvl w:val="1"/>
              <w:rPr>
                <w:sz w:val="24"/>
              </w:rPr>
            </w:pPr>
            <w:r>
              <w:rPr>
                <w:rFonts w:hint="eastAsia"/>
                <w:sz w:val="24"/>
              </w:rPr>
              <w:t>②</w:t>
            </w:r>
            <w:r>
              <w:rPr>
                <w:sz w:val="24"/>
              </w:rPr>
              <w:t>运营期</w:t>
            </w:r>
          </w:p>
          <w:p>
            <w:pPr>
              <w:spacing w:line="360" w:lineRule="auto"/>
              <w:ind w:firstLine="480" w:firstLineChars="200"/>
              <w:outlineLvl w:val="1"/>
              <w:rPr>
                <w:sz w:val="24"/>
              </w:rPr>
            </w:pPr>
            <w:r>
              <w:rPr>
                <w:sz w:val="24"/>
              </w:rPr>
              <w:t>项目运营期只有地表径流，无生活、生产污水排放。</w:t>
            </w:r>
          </w:p>
          <w:p>
            <w:pPr>
              <w:adjustRightInd w:val="0"/>
              <w:snapToGrid w:val="0"/>
              <w:spacing w:line="360" w:lineRule="auto"/>
              <w:ind w:firstLine="480" w:firstLineChars="200"/>
              <w:outlineLvl w:val="1"/>
              <w:rPr>
                <w:sz w:val="24"/>
              </w:rPr>
            </w:pPr>
            <w:r>
              <w:rPr>
                <w:rFonts w:hint="eastAsia"/>
                <w:sz w:val="24"/>
              </w:rPr>
              <w:t>（2）废气</w:t>
            </w:r>
          </w:p>
          <w:p>
            <w:pPr>
              <w:spacing w:line="360" w:lineRule="auto"/>
              <w:ind w:firstLine="480" w:firstLineChars="200"/>
              <w:outlineLvl w:val="1"/>
              <w:rPr>
                <w:sz w:val="24"/>
              </w:rPr>
            </w:pPr>
            <w:r>
              <w:rPr>
                <w:rFonts w:hint="eastAsia"/>
                <w:sz w:val="24"/>
              </w:rPr>
              <w:t>①</w:t>
            </w:r>
            <w:r>
              <w:rPr>
                <w:sz w:val="24"/>
              </w:rPr>
              <w:t>施工期</w:t>
            </w:r>
          </w:p>
          <w:p>
            <w:pPr>
              <w:spacing w:line="360" w:lineRule="auto"/>
              <w:ind w:firstLine="480" w:firstLineChars="200"/>
              <w:outlineLvl w:val="1"/>
              <w:rPr>
                <w:sz w:val="24"/>
              </w:rPr>
            </w:pPr>
            <w:r>
              <w:rPr>
                <w:sz w:val="24"/>
              </w:rPr>
              <w:t>项目施工期大气污染物排放执行《大气污染物综合排放标准》（GB16297-1996）表2中</w:t>
            </w:r>
            <w:r>
              <w:rPr>
                <w:rFonts w:hint="eastAsia" w:ascii="宋体" w:hAnsi="宋体" w:cs="宋体"/>
                <w:sz w:val="24"/>
              </w:rPr>
              <w:t>的“无组织排放监控浓度限值”</w:t>
            </w:r>
            <w:r>
              <w:rPr>
                <w:sz w:val="24"/>
              </w:rPr>
              <w:t>，详见表</w:t>
            </w:r>
            <w:r>
              <w:rPr>
                <w:rFonts w:hint="eastAsia"/>
                <w:sz w:val="24"/>
              </w:rPr>
              <w:t>3.3-1</w:t>
            </w:r>
            <w:r>
              <w:rPr>
                <w:sz w:val="24"/>
              </w:rPr>
              <w:t>。</w:t>
            </w:r>
          </w:p>
          <w:p>
            <w:pPr>
              <w:autoSpaceDN w:val="0"/>
              <w:spacing w:line="360" w:lineRule="auto"/>
              <w:jc w:val="center"/>
              <w:outlineLvl w:val="1"/>
              <w:rPr>
                <w:sz w:val="24"/>
              </w:rPr>
            </w:pPr>
            <w:r>
              <w:rPr>
                <w:b/>
                <w:sz w:val="24"/>
              </w:rPr>
              <w:br w:type="page"/>
            </w:r>
            <w:r>
              <w:rPr>
                <w:b/>
                <w:sz w:val="24"/>
              </w:rPr>
              <w:t>表</w:t>
            </w:r>
            <w:r>
              <w:rPr>
                <w:rFonts w:hint="eastAsia"/>
                <w:b/>
                <w:sz w:val="24"/>
              </w:rPr>
              <w:t>3.3-1</w:t>
            </w:r>
            <w:r>
              <w:rPr>
                <w:b/>
                <w:sz w:val="24"/>
              </w:rPr>
              <w:t xml:space="preserve"> 《大气污染物综合排放标准》（GB16297-1996）</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2658"/>
              <w:gridCol w:w="970"/>
              <w:gridCol w:w="2176"/>
              <w:gridCol w:w="1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restart"/>
                  <w:vAlign w:val="center"/>
                </w:tcPr>
                <w:p>
                  <w:pPr>
                    <w:jc w:val="center"/>
                    <w:outlineLvl w:val="1"/>
                    <w:rPr>
                      <w:b/>
                      <w:bCs/>
                      <w:kern w:val="0"/>
                      <w:szCs w:val="21"/>
                    </w:rPr>
                  </w:pPr>
                  <w:r>
                    <w:rPr>
                      <w:b/>
                      <w:bCs/>
                      <w:kern w:val="0"/>
                      <w:szCs w:val="21"/>
                    </w:rPr>
                    <w:t>序号</w:t>
                  </w:r>
                </w:p>
              </w:tc>
              <w:tc>
                <w:tcPr>
                  <w:tcW w:w="1584" w:type="pct"/>
                  <w:vMerge w:val="restart"/>
                  <w:vAlign w:val="center"/>
                </w:tcPr>
                <w:p>
                  <w:pPr>
                    <w:jc w:val="center"/>
                    <w:outlineLvl w:val="1"/>
                    <w:rPr>
                      <w:b/>
                      <w:bCs/>
                      <w:kern w:val="0"/>
                      <w:szCs w:val="21"/>
                    </w:rPr>
                  </w:pPr>
                  <w:r>
                    <w:rPr>
                      <w:b/>
                      <w:bCs/>
                      <w:kern w:val="0"/>
                      <w:szCs w:val="21"/>
                    </w:rPr>
                    <w:t>产生工艺</w:t>
                  </w:r>
                </w:p>
              </w:tc>
              <w:tc>
                <w:tcPr>
                  <w:tcW w:w="578" w:type="pct"/>
                  <w:vMerge w:val="restart"/>
                  <w:vAlign w:val="center"/>
                </w:tcPr>
                <w:p>
                  <w:pPr>
                    <w:jc w:val="center"/>
                    <w:outlineLvl w:val="1"/>
                    <w:rPr>
                      <w:b/>
                      <w:bCs/>
                      <w:kern w:val="0"/>
                      <w:szCs w:val="21"/>
                    </w:rPr>
                  </w:pPr>
                  <w:r>
                    <w:rPr>
                      <w:b/>
                      <w:bCs/>
                      <w:kern w:val="0"/>
                      <w:szCs w:val="21"/>
                    </w:rPr>
                    <w:t>污染物</w:t>
                  </w:r>
                </w:p>
              </w:tc>
              <w:tc>
                <w:tcPr>
                  <w:tcW w:w="2402" w:type="pct"/>
                  <w:gridSpan w:val="2"/>
                  <w:vAlign w:val="center"/>
                </w:tcPr>
                <w:p>
                  <w:pPr>
                    <w:jc w:val="center"/>
                    <w:outlineLvl w:val="1"/>
                    <w:rPr>
                      <w:b/>
                      <w:bCs/>
                      <w:kern w:val="0"/>
                      <w:szCs w:val="21"/>
                    </w:rPr>
                  </w:pPr>
                  <w:r>
                    <w:rPr>
                      <w:b/>
                      <w:bCs/>
                      <w:kern w:val="0"/>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Merge w:val="continue"/>
                  <w:vAlign w:val="center"/>
                </w:tcPr>
                <w:p>
                  <w:pPr>
                    <w:jc w:val="center"/>
                    <w:rPr>
                      <w:b/>
                      <w:bCs/>
                      <w:kern w:val="0"/>
                      <w:szCs w:val="21"/>
                    </w:rPr>
                  </w:pPr>
                </w:p>
              </w:tc>
              <w:tc>
                <w:tcPr>
                  <w:tcW w:w="1584" w:type="pct"/>
                  <w:vMerge w:val="continue"/>
                  <w:vAlign w:val="center"/>
                </w:tcPr>
                <w:p>
                  <w:pPr>
                    <w:jc w:val="center"/>
                    <w:rPr>
                      <w:b/>
                      <w:bCs/>
                      <w:kern w:val="0"/>
                      <w:szCs w:val="21"/>
                    </w:rPr>
                  </w:pPr>
                </w:p>
              </w:tc>
              <w:tc>
                <w:tcPr>
                  <w:tcW w:w="578" w:type="pct"/>
                  <w:vMerge w:val="continue"/>
                  <w:vAlign w:val="center"/>
                </w:tcPr>
                <w:p>
                  <w:pPr>
                    <w:jc w:val="center"/>
                    <w:rPr>
                      <w:b/>
                      <w:bCs/>
                      <w:kern w:val="0"/>
                      <w:szCs w:val="21"/>
                    </w:rPr>
                  </w:pPr>
                </w:p>
              </w:tc>
              <w:tc>
                <w:tcPr>
                  <w:tcW w:w="1297" w:type="pct"/>
                  <w:vAlign w:val="center"/>
                </w:tcPr>
                <w:p>
                  <w:pPr>
                    <w:jc w:val="center"/>
                    <w:outlineLvl w:val="1"/>
                    <w:rPr>
                      <w:b/>
                      <w:bCs/>
                      <w:kern w:val="0"/>
                      <w:szCs w:val="21"/>
                    </w:rPr>
                  </w:pPr>
                  <w:r>
                    <w:rPr>
                      <w:b/>
                      <w:bCs/>
                      <w:kern w:val="0"/>
                      <w:szCs w:val="21"/>
                    </w:rPr>
                    <w:t>监控点</w:t>
                  </w:r>
                </w:p>
              </w:tc>
              <w:tc>
                <w:tcPr>
                  <w:tcW w:w="1105" w:type="pct"/>
                  <w:vAlign w:val="center"/>
                </w:tcPr>
                <w:p>
                  <w:pPr>
                    <w:jc w:val="center"/>
                    <w:outlineLvl w:val="1"/>
                    <w:rPr>
                      <w:b/>
                      <w:bCs/>
                      <w:kern w:val="0"/>
                      <w:szCs w:val="21"/>
                    </w:rPr>
                  </w:pPr>
                  <w:r>
                    <w:rPr>
                      <w:b/>
                      <w:bCs/>
                      <w:kern w:val="0"/>
                      <w:szCs w:val="21"/>
                    </w:rPr>
                    <w:t>浓度（mg/m</w:t>
                  </w:r>
                  <w:r>
                    <w:rPr>
                      <w:b/>
                      <w:bCs/>
                      <w:kern w:val="0"/>
                      <w:szCs w:val="21"/>
                      <w:vertAlign w:val="superscript"/>
                    </w:rPr>
                    <w:t>3</w:t>
                  </w:r>
                  <w:r>
                    <w:rPr>
                      <w:b/>
                      <w:bCs/>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pct"/>
                  <w:vAlign w:val="center"/>
                </w:tcPr>
                <w:p>
                  <w:pPr>
                    <w:jc w:val="center"/>
                    <w:outlineLvl w:val="1"/>
                    <w:rPr>
                      <w:kern w:val="0"/>
                      <w:szCs w:val="21"/>
                    </w:rPr>
                  </w:pPr>
                  <w:r>
                    <w:rPr>
                      <w:kern w:val="0"/>
                      <w:szCs w:val="21"/>
                    </w:rPr>
                    <w:t>1</w:t>
                  </w:r>
                </w:p>
              </w:tc>
              <w:tc>
                <w:tcPr>
                  <w:tcW w:w="1584" w:type="pct"/>
                  <w:vAlign w:val="center"/>
                </w:tcPr>
                <w:p>
                  <w:pPr>
                    <w:jc w:val="center"/>
                    <w:outlineLvl w:val="1"/>
                    <w:rPr>
                      <w:kern w:val="0"/>
                      <w:szCs w:val="21"/>
                    </w:rPr>
                  </w:pPr>
                  <w:r>
                    <w:rPr>
                      <w:kern w:val="0"/>
                      <w:szCs w:val="21"/>
                    </w:rPr>
                    <w:t>路基填筑、车辆运输等</w:t>
                  </w:r>
                </w:p>
              </w:tc>
              <w:tc>
                <w:tcPr>
                  <w:tcW w:w="578" w:type="pct"/>
                  <w:vAlign w:val="center"/>
                </w:tcPr>
                <w:p>
                  <w:pPr>
                    <w:jc w:val="center"/>
                    <w:outlineLvl w:val="1"/>
                    <w:rPr>
                      <w:kern w:val="0"/>
                      <w:szCs w:val="21"/>
                    </w:rPr>
                  </w:pPr>
                  <w:r>
                    <w:rPr>
                      <w:kern w:val="0"/>
                      <w:szCs w:val="21"/>
                    </w:rPr>
                    <w:t>颗粒物</w:t>
                  </w:r>
                </w:p>
              </w:tc>
              <w:tc>
                <w:tcPr>
                  <w:tcW w:w="1297" w:type="pct"/>
                  <w:vAlign w:val="center"/>
                </w:tcPr>
                <w:p>
                  <w:pPr>
                    <w:jc w:val="center"/>
                    <w:outlineLvl w:val="1"/>
                    <w:rPr>
                      <w:kern w:val="0"/>
                      <w:szCs w:val="21"/>
                    </w:rPr>
                  </w:pPr>
                  <w:r>
                    <w:rPr>
                      <w:kern w:val="0"/>
                      <w:szCs w:val="21"/>
                    </w:rPr>
                    <w:t>周界外浓度最高点</w:t>
                  </w:r>
                </w:p>
              </w:tc>
              <w:tc>
                <w:tcPr>
                  <w:tcW w:w="1105" w:type="pct"/>
                  <w:vAlign w:val="center"/>
                </w:tcPr>
                <w:p>
                  <w:pPr>
                    <w:jc w:val="center"/>
                    <w:outlineLvl w:val="1"/>
                    <w:rPr>
                      <w:kern w:val="0"/>
                      <w:szCs w:val="21"/>
                    </w:rPr>
                  </w:pPr>
                  <w:r>
                    <w:rPr>
                      <w:kern w:val="0"/>
                      <w:szCs w:val="21"/>
                    </w:rPr>
                    <w:t>1.0</w:t>
                  </w:r>
                </w:p>
              </w:tc>
            </w:tr>
          </w:tbl>
          <w:p>
            <w:pPr>
              <w:spacing w:before="120" w:beforeLines="50" w:line="360" w:lineRule="auto"/>
              <w:ind w:firstLine="480" w:firstLineChars="200"/>
              <w:outlineLvl w:val="1"/>
              <w:rPr>
                <w:sz w:val="24"/>
              </w:rPr>
            </w:pPr>
            <w:r>
              <w:rPr>
                <w:rFonts w:hint="eastAsia"/>
                <w:sz w:val="24"/>
              </w:rPr>
              <w:t>②</w:t>
            </w:r>
            <w:r>
              <w:rPr>
                <w:sz w:val="24"/>
              </w:rPr>
              <w:t>运营期</w:t>
            </w:r>
          </w:p>
          <w:p>
            <w:pPr>
              <w:spacing w:line="360" w:lineRule="auto"/>
              <w:ind w:firstLine="480" w:firstLineChars="200"/>
              <w:rPr>
                <w:sz w:val="24"/>
              </w:rPr>
            </w:pPr>
            <w:r>
              <w:rPr>
                <w:sz w:val="24"/>
              </w:rPr>
              <w:t>项目营运期汽车尾气（CO、THC、NOx等）排放执行《轻型汽车污染物排放限值及测量方法（中国第</w:t>
            </w:r>
            <w:r>
              <w:rPr>
                <w:rFonts w:hint="eastAsia"/>
                <w:sz w:val="24"/>
              </w:rPr>
              <w:t>六</w:t>
            </w:r>
            <w:r>
              <w:rPr>
                <w:sz w:val="24"/>
              </w:rPr>
              <w:t>阶段）》（GB18352.5-2013）。</w:t>
            </w:r>
          </w:p>
          <w:p>
            <w:pPr>
              <w:adjustRightInd w:val="0"/>
              <w:snapToGrid w:val="0"/>
              <w:spacing w:line="360" w:lineRule="auto"/>
              <w:ind w:firstLine="480" w:firstLineChars="200"/>
              <w:rPr>
                <w:sz w:val="24"/>
              </w:rPr>
            </w:pPr>
            <w:r>
              <w:rPr>
                <w:rFonts w:hint="eastAsia"/>
                <w:sz w:val="24"/>
              </w:rPr>
              <w:t>（3）噪声</w:t>
            </w:r>
          </w:p>
          <w:p>
            <w:pPr>
              <w:adjustRightInd w:val="0"/>
              <w:snapToGrid w:val="0"/>
              <w:spacing w:line="360" w:lineRule="auto"/>
              <w:ind w:firstLine="480" w:firstLineChars="200"/>
              <w:outlineLvl w:val="1"/>
              <w:rPr>
                <w:color w:val="auto"/>
                <w:sz w:val="24"/>
              </w:rPr>
            </w:pPr>
            <w:bookmarkStart w:id="85" w:name="_Toc16588"/>
            <w:r>
              <w:rPr>
                <w:color w:val="auto"/>
                <w:sz w:val="24"/>
              </w:rPr>
              <w:t>①施工期</w:t>
            </w:r>
            <w:bookmarkEnd w:id="85"/>
          </w:p>
          <w:p>
            <w:pPr>
              <w:adjustRightInd w:val="0"/>
              <w:snapToGrid w:val="0"/>
              <w:spacing w:line="360" w:lineRule="auto"/>
              <w:ind w:firstLine="480" w:firstLineChars="200"/>
              <w:outlineLvl w:val="1"/>
              <w:rPr>
                <w:color w:val="auto"/>
                <w:sz w:val="24"/>
              </w:rPr>
            </w:pPr>
            <w:bookmarkStart w:id="86" w:name="_Toc23091"/>
            <w:r>
              <w:rPr>
                <w:color w:val="auto"/>
                <w:sz w:val="24"/>
              </w:rPr>
              <w:t>施工场地噪声执行《建筑施工场界环境噪声排放标准》（GB12523-2011），即昼间≤70dB(A)，夜间≤55dB(A)，夜间噪声最大声级超过限值的幅度不得高于15dB（A）。</w:t>
            </w:r>
            <w:bookmarkEnd w:id="86"/>
          </w:p>
          <w:p>
            <w:pPr>
              <w:spacing w:line="360" w:lineRule="auto"/>
              <w:ind w:firstLine="480" w:firstLineChars="200"/>
              <w:outlineLvl w:val="1"/>
              <w:rPr>
                <w:rFonts w:hint="eastAsia"/>
                <w:color w:val="auto"/>
                <w:sz w:val="24"/>
              </w:rPr>
            </w:pPr>
            <w:bookmarkStart w:id="87" w:name="_Toc6067"/>
            <w:r>
              <w:rPr>
                <w:rFonts w:hint="eastAsia"/>
                <w:color w:val="auto"/>
                <w:sz w:val="24"/>
              </w:rPr>
              <w:t>②运营期</w:t>
            </w:r>
            <w:bookmarkEnd w:id="87"/>
          </w:p>
          <w:p>
            <w:pPr>
              <w:adjustRightInd w:val="0"/>
              <w:snapToGrid w:val="0"/>
              <w:spacing w:line="360" w:lineRule="auto"/>
              <w:ind w:firstLine="480" w:firstLineChars="200"/>
              <w:outlineLvl w:val="2"/>
              <w:rPr>
                <w:sz w:val="24"/>
              </w:rPr>
            </w:pPr>
            <w:r>
              <w:rPr>
                <w:rFonts w:hint="eastAsia"/>
                <w:color w:val="auto"/>
                <w:sz w:val="24"/>
              </w:rPr>
              <w:t>运营期不执行噪声排放标准，仅对评价范围内沿线的声环境提出质量控制要求，</w:t>
            </w:r>
            <w:r>
              <w:rPr>
                <w:rFonts w:hint="eastAsia"/>
                <w:sz w:val="24"/>
              </w:rPr>
              <w:t>具体详见声环境影响专项评价。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1"/>
              <w:rPr>
                <w:color w:val="auto"/>
                <w:sz w:val="24"/>
              </w:rPr>
            </w:pPr>
            <w:bookmarkStart w:id="88" w:name="_Toc10951"/>
            <w:r>
              <w:rPr>
                <w:color w:val="auto"/>
                <w:sz w:val="24"/>
              </w:rPr>
              <w:t>（4）固体废物</w:t>
            </w:r>
            <w:bookmarkEnd w:id="88"/>
          </w:p>
          <w:p>
            <w:pPr>
              <w:pStyle w:val="12"/>
              <w:spacing w:before="0" w:after="0" w:line="360" w:lineRule="auto"/>
              <w:ind w:right="0" w:firstLine="480" w:firstLineChars="200"/>
              <w:rPr>
                <w:rFonts w:hint="eastAsia" w:ascii="宋体" w:hAnsi="宋体" w:cs="宋体"/>
                <w:szCs w:val="21"/>
              </w:rPr>
            </w:pPr>
            <w:bookmarkStart w:id="89" w:name="_Toc31940"/>
            <w:r>
              <w:rPr>
                <w:color w:val="auto"/>
                <w:sz w:val="24"/>
              </w:rPr>
              <w:t>施工期产生的建筑垃圾的处置执行（建设部2005号第139号令）《城市建筑垃圾管理规定》；生活垃圾的贮存处理按照《城市环境卫生设施规划规范》（GB50337-2003）中的要求进行综合利用和处置。</w:t>
            </w:r>
            <w:bookmarkEnd w:id="8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817" w:type="dxa"/>
            <w:vAlign w:val="center"/>
          </w:tcPr>
          <w:p>
            <w:pPr>
              <w:adjustRightInd w:val="0"/>
              <w:snapToGrid w:val="0"/>
              <w:jc w:val="center"/>
              <w:rPr>
                <w:rFonts w:hint="eastAsia" w:ascii="宋体" w:hAnsi="宋体" w:cs="宋体"/>
                <w:kern w:val="0"/>
                <w:szCs w:val="21"/>
              </w:rPr>
            </w:pPr>
            <w:r>
              <w:rPr>
                <w:rFonts w:hint="eastAsia" w:ascii="宋体" w:hAnsi="宋体" w:cs="宋体"/>
                <w:kern w:val="0"/>
                <w:szCs w:val="21"/>
              </w:rPr>
              <w:t>其他</w:t>
            </w:r>
          </w:p>
        </w:tc>
        <w:tc>
          <w:tcPr>
            <w:tcW w:w="8471" w:type="dxa"/>
            <w:vAlign w:val="center"/>
          </w:tcPr>
          <w:p>
            <w:pPr>
              <w:adjustRightInd w:val="0"/>
              <w:snapToGrid w:val="0"/>
              <w:spacing w:line="360" w:lineRule="auto"/>
              <w:jc w:val="center"/>
              <w:rPr>
                <w:rFonts w:hint="eastAsia" w:ascii="宋体" w:hAnsi="宋体" w:cs="宋体"/>
                <w:kern w:val="0"/>
                <w:szCs w:val="21"/>
              </w:rPr>
            </w:pPr>
            <w:r>
              <w:rPr>
                <w:rFonts w:hint="eastAsia" w:hAnsi="宋体"/>
                <w:sz w:val="24"/>
              </w:rPr>
              <w:t>无。</w:t>
            </w:r>
          </w:p>
        </w:tc>
      </w:tr>
    </w:tbl>
    <w:p>
      <w:pPr>
        <w:pStyle w:val="22"/>
        <w:adjustRightInd w:val="0"/>
        <w:snapToGrid w:val="0"/>
        <w:spacing w:before="0" w:beforeAutospacing="0" w:after="0" w:afterAutospacing="0" w:line="14" w:lineRule="auto"/>
        <w:jc w:val="center"/>
        <w:rPr>
          <w:rFonts w:hint="eastAsia" w:ascii="黑体" w:hAnsi="黑体" w:eastAsia="黑体"/>
          <w:snapToGrid w:val="0"/>
          <w:kern w:val="2"/>
          <w:sz w:val="36"/>
          <w:szCs w:val="36"/>
        </w:rPr>
      </w:pPr>
    </w:p>
    <w:p>
      <w:pPr>
        <w:pStyle w:val="22"/>
        <w:jc w:val="center"/>
        <w:outlineLvl w:val="0"/>
        <w:rPr>
          <w:rFonts w:hint="eastAsia" w:ascii="黑体" w:hAnsi="黑体" w:eastAsia="黑体"/>
          <w:snapToGrid w:val="0"/>
          <w:sz w:val="30"/>
          <w:szCs w:val="30"/>
        </w:rPr>
      </w:pPr>
      <w:r>
        <w:rPr>
          <w:rFonts w:ascii="黑体" w:hAnsi="黑体" w:eastAsia="黑体"/>
          <w:snapToGrid w:val="0"/>
          <w:kern w:val="2"/>
          <w:sz w:val="36"/>
          <w:szCs w:val="36"/>
        </w:rPr>
        <w:br w:type="page"/>
      </w:r>
      <w:bookmarkStart w:id="90" w:name="_Toc18735"/>
      <w:bookmarkStart w:id="91" w:name="_Toc15987"/>
      <w:bookmarkStart w:id="92" w:name="_Toc32209"/>
      <w:r>
        <w:rPr>
          <w:rFonts w:hint="eastAsia" w:ascii="黑体" w:hAnsi="黑体" w:eastAsia="黑体"/>
          <w:b/>
          <w:bCs/>
          <w:snapToGrid w:val="0"/>
          <w:sz w:val="32"/>
          <w:szCs w:val="32"/>
        </w:rPr>
        <w:t>四、生态环境影响分析</w:t>
      </w:r>
      <w:bookmarkEnd w:id="90"/>
      <w:bookmarkEnd w:id="91"/>
      <w:bookmarkEnd w:id="92"/>
    </w:p>
    <w:tbl>
      <w:tblPr>
        <w:tblStyle w:val="27"/>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6" w:hRule="atLeast"/>
          <w:jc w:val="center"/>
        </w:trPr>
        <w:tc>
          <w:tcPr>
            <w:tcW w:w="879" w:type="dxa"/>
            <w:tcMar>
              <w:left w:w="28" w:type="dxa"/>
              <w:right w:w="28" w:type="dxa"/>
            </w:tcMar>
            <w:vAlign w:val="center"/>
          </w:tcPr>
          <w:p>
            <w:pPr>
              <w:pStyle w:val="22"/>
              <w:adjustRightInd w:val="0"/>
              <w:snapToGrid w:val="0"/>
              <w:spacing w:before="0" w:beforeAutospacing="0" w:after="0" w:afterAutospacing="0"/>
              <w:jc w:val="center"/>
              <w:outlineLvl w:val="1"/>
              <w:rPr>
                <w:rFonts w:hint="eastAsia" w:cs="宋体"/>
                <w:bCs/>
                <w:kern w:val="2"/>
                <w:sz w:val="21"/>
                <w:szCs w:val="21"/>
              </w:rPr>
            </w:pPr>
            <w:bookmarkStart w:id="93" w:name="_Hlk49796138"/>
            <w:r>
              <w:rPr>
                <w:rFonts w:hint="eastAsia" w:cs="宋体"/>
                <w:bCs/>
                <w:spacing w:val="10"/>
                <w:kern w:val="2"/>
                <w:sz w:val="21"/>
                <w:szCs w:val="21"/>
              </w:rPr>
              <w:t>施工期生态环境影响分析</w:t>
            </w:r>
            <w:bookmarkEnd w:id="93"/>
          </w:p>
        </w:tc>
        <w:tc>
          <w:tcPr>
            <w:tcW w:w="8363" w:type="dxa"/>
          </w:tcPr>
          <w:p>
            <w:pPr>
              <w:adjustRightInd w:val="0"/>
              <w:snapToGrid w:val="0"/>
              <w:spacing w:line="360" w:lineRule="auto"/>
              <w:outlineLvl w:val="1"/>
              <w:rPr>
                <w:b/>
                <w:sz w:val="30"/>
                <w:szCs w:val="30"/>
              </w:rPr>
            </w:pPr>
            <w:bookmarkStart w:id="94" w:name="_Toc14970"/>
            <w:r>
              <w:rPr>
                <w:rFonts w:hint="eastAsia"/>
                <w:b/>
                <w:sz w:val="30"/>
                <w:szCs w:val="30"/>
              </w:rPr>
              <w:t>4.1.</w:t>
            </w:r>
            <w:r>
              <w:rPr>
                <w:b/>
                <w:sz w:val="30"/>
                <w:szCs w:val="30"/>
              </w:rPr>
              <w:t>水环境</w:t>
            </w:r>
            <w:bookmarkEnd w:id="94"/>
          </w:p>
          <w:p>
            <w:pPr>
              <w:adjustRightInd w:val="0"/>
              <w:snapToGrid w:val="0"/>
              <w:spacing w:line="360" w:lineRule="auto"/>
              <w:ind w:firstLine="480" w:firstLineChars="200"/>
              <w:outlineLvl w:val="1"/>
              <w:rPr>
                <w:bCs/>
                <w:sz w:val="24"/>
                <w:szCs w:val="32"/>
              </w:rPr>
            </w:pPr>
            <w:r>
              <w:rPr>
                <w:sz w:val="24"/>
                <w:szCs w:val="28"/>
              </w:rPr>
              <w:t>（</w:t>
            </w:r>
            <w:r>
              <w:rPr>
                <w:bCs/>
                <w:sz w:val="24"/>
                <w:szCs w:val="32"/>
              </w:rPr>
              <w:t>1）施工生产废水</w:t>
            </w:r>
          </w:p>
          <w:p>
            <w:pPr>
              <w:adjustRightInd w:val="0"/>
              <w:snapToGrid w:val="0"/>
              <w:spacing w:line="360" w:lineRule="auto"/>
              <w:ind w:firstLine="480" w:firstLineChars="200"/>
              <w:outlineLvl w:val="1"/>
              <w:rPr>
                <w:bCs/>
                <w:sz w:val="24"/>
                <w:szCs w:val="32"/>
              </w:rPr>
            </w:pPr>
            <w:r>
              <w:rPr>
                <w:bCs/>
                <w:sz w:val="24"/>
                <w:szCs w:val="32"/>
              </w:rPr>
              <w:t>本项目施工废水主要为车辆、机械设备冲洗含油废水及施工作业过程中泥浆水、雨水冲刷场地、水管泄露，其主要污染物为高浓度的泥沙和较高浓度的石油类物质，如随意排放将对周边水体水质造成污染影响。因此，施工现场设立隔油沉淀池，施工废水均经隔油、沉淀后上清液回用场地抑尘洒水用水、路面养护用水，不外排，对周边水体基本无影响。</w:t>
            </w:r>
          </w:p>
          <w:p>
            <w:pPr>
              <w:adjustRightInd w:val="0"/>
              <w:snapToGrid w:val="0"/>
              <w:spacing w:line="360" w:lineRule="auto"/>
              <w:ind w:firstLine="480" w:firstLineChars="200"/>
              <w:outlineLvl w:val="1"/>
              <w:rPr>
                <w:bCs/>
                <w:sz w:val="24"/>
                <w:szCs w:val="32"/>
              </w:rPr>
            </w:pPr>
            <w:r>
              <w:rPr>
                <w:bCs/>
                <w:sz w:val="24"/>
                <w:szCs w:val="32"/>
              </w:rPr>
              <w:t>（2）生活污水</w:t>
            </w:r>
          </w:p>
          <w:p>
            <w:pPr>
              <w:adjustRightInd w:val="0"/>
              <w:snapToGrid w:val="0"/>
              <w:spacing w:line="360" w:lineRule="auto"/>
              <w:ind w:firstLine="480" w:firstLineChars="200"/>
              <w:outlineLvl w:val="1"/>
              <w:rPr>
                <w:sz w:val="24"/>
              </w:rPr>
            </w:pPr>
            <w:r>
              <w:rPr>
                <w:bCs/>
                <w:sz w:val="24"/>
                <w:lang w:bidi="zh-CN"/>
              </w:rPr>
              <w:t>根据现场勘查</w:t>
            </w:r>
            <w:r>
              <w:rPr>
                <w:rFonts w:hint="eastAsia"/>
                <w:bCs/>
                <w:sz w:val="24"/>
                <w:lang w:bidi="zh-CN"/>
              </w:rPr>
              <w:t>，</w:t>
            </w:r>
            <w:r>
              <w:rPr>
                <w:bCs/>
                <w:sz w:val="24"/>
                <w:lang w:bidi="zh-CN"/>
              </w:rPr>
              <w:t>本项目</w:t>
            </w:r>
            <w:r>
              <w:rPr>
                <w:rFonts w:hint="eastAsia"/>
                <w:bCs/>
                <w:sz w:val="24"/>
                <w:lang w:bidi="zh-CN"/>
              </w:rPr>
              <w:t>未设</w:t>
            </w:r>
            <w:r>
              <w:rPr>
                <w:bCs/>
                <w:sz w:val="24"/>
                <w:lang w:bidi="zh-CN"/>
              </w:rPr>
              <w:t>施工营地，施工人员就近租住在附近村庄以及城区内的闲置民房内，产生的生活污水依托城镇现有的污水处理设施处理</w:t>
            </w:r>
            <w:r>
              <w:rPr>
                <w:rFonts w:hint="eastAsia"/>
                <w:bCs/>
                <w:sz w:val="24"/>
                <w:lang w:bidi="zh-CN"/>
              </w:rPr>
              <w:t>后</w:t>
            </w:r>
            <w:r>
              <w:rPr>
                <w:sz w:val="24"/>
              </w:rPr>
              <w:t>排出，不影响水环境达功能区标准。</w:t>
            </w:r>
          </w:p>
          <w:p>
            <w:pPr>
              <w:spacing w:line="360" w:lineRule="auto"/>
              <w:ind w:firstLine="480" w:firstLineChars="200"/>
              <w:outlineLvl w:val="1"/>
              <w:rPr>
                <w:bCs/>
                <w:sz w:val="24"/>
                <w:lang w:bidi="zh-CN"/>
              </w:rPr>
            </w:pPr>
            <w:r>
              <w:rPr>
                <w:bCs/>
                <w:sz w:val="24"/>
                <w:lang w:bidi="zh-CN"/>
              </w:rPr>
              <w:t>施工人员生活污水主要包括粪便污水、洗涤污水等，主要含有COD、BOD</w:t>
            </w:r>
            <w:r>
              <w:rPr>
                <w:bCs/>
                <w:sz w:val="24"/>
                <w:vertAlign w:val="subscript"/>
                <w:lang w:bidi="zh-CN"/>
              </w:rPr>
              <w:t>5</w:t>
            </w:r>
            <w:r>
              <w:rPr>
                <w:bCs/>
                <w:sz w:val="24"/>
                <w:lang w:bidi="zh-CN"/>
              </w:rPr>
              <w:t>、SS、NH</w:t>
            </w:r>
            <w:r>
              <w:rPr>
                <w:bCs/>
                <w:sz w:val="24"/>
                <w:vertAlign w:val="subscript"/>
                <w:lang w:bidi="zh-CN"/>
              </w:rPr>
              <w:t>3</w:t>
            </w:r>
            <w:r>
              <w:rPr>
                <w:bCs/>
                <w:sz w:val="24"/>
                <w:lang w:bidi="zh-CN"/>
              </w:rPr>
              <w:t>-N、动植物油以及粪大肠菌群等污染物。根据一般生活污水污染物产生浓度，施工人员生活污水处理前，COD浓度为400mg/L，BOD</w:t>
            </w:r>
            <w:r>
              <w:rPr>
                <w:bCs/>
                <w:sz w:val="24"/>
                <w:vertAlign w:val="subscript"/>
                <w:lang w:bidi="zh-CN"/>
              </w:rPr>
              <w:t>5</w:t>
            </w:r>
            <w:r>
              <w:rPr>
                <w:bCs/>
                <w:sz w:val="24"/>
                <w:lang w:bidi="zh-CN"/>
              </w:rPr>
              <w:t>浓度为200mg/L，SS浓度为220mg/L、氨氮浓度为40mg/L、动植物油类浓度为30mg/L。</w:t>
            </w:r>
          </w:p>
          <w:p>
            <w:pPr>
              <w:spacing w:line="360" w:lineRule="auto"/>
              <w:ind w:firstLine="480" w:firstLineChars="200"/>
              <w:outlineLvl w:val="1"/>
              <w:rPr>
                <w:bCs/>
                <w:sz w:val="24"/>
                <w:lang w:bidi="zh-CN"/>
              </w:rPr>
            </w:pPr>
            <w:r>
              <w:rPr>
                <w:bCs/>
                <w:sz w:val="24"/>
                <w:lang w:bidi="zh-CN"/>
              </w:rPr>
              <w:t>工程施工高峰期施工人员约</w:t>
            </w:r>
            <w:r>
              <w:rPr>
                <w:rFonts w:hint="eastAsia"/>
                <w:bCs/>
                <w:sz w:val="24"/>
                <w:lang w:bidi="zh-CN"/>
              </w:rPr>
              <w:t>10</w:t>
            </w:r>
            <w:r>
              <w:rPr>
                <w:bCs/>
                <w:sz w:val="24"/>
                <w:lang w:bidi="zh-CN"/>
              </w:rPr>
              <w:t>0人，用水量按每人每天120L计，排放系数取0.8，则施工高峰期用水量为</w:t>
            </w:r>
            <w:r>
              <w:rPr>
                <w:rFonts w:hint="eastAsia"/>
                <w:bCs/>
                <w:sz w:val="24"/>
                <w:lang w:bidi="zh-CN"/>
              </w:rPr>
              <w:t>12</w:t>
            </w:r>
            <w:r>
              <w:rPr>
                <w:bCs/>
                <w:sz w:val="24"/>
                <w:lang w:bidi="zh-CN"/>
              </w:rPr>
              <w:t>m</w:t>
            </w:r>
            <w:r>
              <w:rPr>
                <w:bCs/>
                <w:sz w:val="24"/>
                <w:vertAlign w:val="superscript"/>
                <w:lang w:bidi="zh-CN"/>
              </w:rPr>
              <w:t>3</w:t>
            </w:r>
            <w:r>
              <w:rPr>
                <w:bCs/>
                <w:sz w:val="24"/>
                <w:lang w:bidi="zh-CN"/>
              </w:rPr>
              <w:t>/d，生活污水产生量为</w:t>
            </w:r>
            <w:r>
              <w:rPr>
                <w:rFonts w:hint="eastAsia"/>
                <w:bCs/>
                <w:sz w:val="24"/>
                <w:lang w:bidi="zh-CN"/>
              </w:rPr>
              <w:t>9.6</w:t>
            </w:r>
            <w:r>
              <w:rPr>
                <w:bCs/>
                <w:sz w:val="24"/>
                <w:lang w:bidi="zh-CN"/>
              </w:rPr>
              <w:t>m</w:t>
            </w:r>
            <w:r>
              <w:rPr>
                <w:bCs/>
                <w:sz w:val="24"/>
                <w:vertAlign w:val="superscript"/>
                <w:lang w:bidi="zh-CN"/>
              </w:rPr>
              <w:t>3</w:t>
            </w:r>
            <w:r>
              <w:rPr>
                <w:bCs/>
                <w:sz w:val="24"/>
                <w:lang w:bidi="zh-CN"/>
              </w:rPr>
              <w:t>/d。</w:t>
            </w:r>
          </w:p>
          <w:p>
            <w:pPr>
              <w:spacing w:line="360" w:lineRule="auto"/>
              <w:ind w:firstLine="480" w:firstLineChars="200"/>
              <w:outlineLvl w:val="1"/>
              <w:rPr>
                <w:bCs/>
                <w:sz w:val="24"/>
                <w:lang w:bidi="zh-CN"/>
              </w:rPr>
            </w:pPr>
            <w:r>
              <w:rPr>
                <w:bCs/>
                <w:sz w:val="24"/>
                <w:lang w:bidi="zh-CN"/>
              </w:rPr>
              <w:t>本项目施工高峰期生活污水产生情况见表4.1-1。</w:t>
            </w:r>
          </w:p>
          <w:p>
            <w:pPr>
              <w:ind w:firstLine="361"/>
              <w:jc w:val="center"/>
              <w:outlineLvl w:val="1"/>
              <w:rPr>
                <w:b/>
                <w:bCs/>
                <w:sz w:val="24"/>
              </w:rPr>
            </w:pPr>
            <w:r>
              <w:rPr>
                <w:b/>
                <w:bCs/>
                <w:sz w:val="24"/>
              </w:rPr>
              <w:t>表4.1-1 项目施工高峰期生活污水产生情况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960"/>
              <w:gridCol w:w="2586"/>
              <w:gridCol w:w="25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pct"/>
                  <w:vAlign w:val="center"/>
                </w:tcPr>
                <w:p>
                  <w:pPr>
                    <w:jc w:val="center"/>
                    <w:outlineLvl w:val="1"/>
                    <w:rPr>
                      <w:b/>
                      <w:bCs/>
                      <w:szCs w:val="21"/>
                    </w:rPr>
                  </w:pPr>
                  <w:r>
                    <w:rPr>
                      <w:b/>
                      <w:bCs/>
                      <w:szCs w:val="21"/>
                    </w:rPr>
                    <w:t>序号</w:t>
                  </w:r>
                </w:p>
              </w:tc>
              <w:tc>
                <w:tcPr>
                  <w:tcW w:w="1203" w:type="pct"/>
                  <w:vAlign w:val="center"/>
                </w:tcPr>
                <w:p>
                  <w:pPr>
                    <w:ind w:firstLine="360"/>
                    <w:jc w:val="center"/>
                    <w:outlineLvl w:val="1"/>
                    <w:rPr>
                      <w:b/>
                      <w:bCs/>
                      <w:szCs w:val="21"/>
                    </w:rPr>
                  </w:pPr>
                  <w:r>
                    <w:rPr>
                      <w:b/>
                      <w:bCs/>
                      <w:szCs w:val="21"/>
                    </w:rPr>
                    <w:t>项目</w:t>
                  </w:r>
                </w:p>
              </w:tc>
              <w:tc>
                <w:tcPr>
                  <w:tcW w:w="1587" w:type="pct"/>
                  <w:vAlign w:val="center"/>
                </w:tcPr>
                <w:p>
                  <w:pPr>
                    <w:ind w:firstLine="360"/>
                    <w:jc w:val="center"/>
                    <w:outlineLvl w:val="1"/>
                    <w:rPr>
                      <w:b/>
                      <w:bCs/>
                      <w:szCs w:val="21"/>
                    </w:rPr>
                  </w:pPr>
                  <w:r>
                    <w:rPr>
                      <w:b/>
                      <w:bCs/>
                      <w:szCs w:val="21"/>
                    </w:rPr>
                    <w:t>污染物浓度（mg/L）</w:t>
                  </w:r>
                </w:p>
              </w:tc>
              <w:tc>
                <w:tcPr>
                  <w:tcW w:w="1561" w:type="pct"/>
                  <w:vAlign w:val="center"/>
                </w:tcPr>
                <w:p>
                  <w:pPr>
                    <w:ind w:firstLine="360"/>
                    <w:jc w:val="center"/>
                    <w:outlineLvl w:val="1"/>
                    <w:rPr>
                      <w:b/>
                      <w:bCs/>
                      <w:szCs w:val="21"/>
                    </w:rPr>
                  </w:pPr>
                  <w:r>
                    <w:rPr>
                      <w:b/>
                      <w:bCs/>
                      <w:szCs w:val="21"/>
                    </w:rPr>
                    <w:t>污染物数量（kg/d）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pct"/>
                  <w:vAlign w:val="center"/>
                </w:tcPr>
                <w:p>
                  <w:pPr>
                    <w:ind w:firstLine="360"/>
                    <w:jc w:val="left"/>
                    <w:outlineLvl w:val="1"/>
                    <w:rPr>
                      <w:szCs w:val="21"/>
                    </w:rPr>
                  </w:pPr>
                  <w:r>
                    <w:rPr>
                      <w:szCs w:val="21"/>
                    </w:rPr>
                    <w:t>1</w:t>
                  </w:r>
                </w:p>
              </w:tc>
              <w:tc>
                <w:tcPr>
                  <w:tcW w:w="1203" w:type="pct"/>
                  <w:vAlign w:val="center"/>
                </w:tcPr>
                <w:p>
                  <w:pPr>
                    <w:jc w:val="center"/>
                    <w:outlineLvl w:val="1"/>
                    <w:rPr>
                      <w:szCs w:val="21"/>
                    </w:rPr>
                  </w:pPr>
                  <w:r>
                    <w:rPr>
                      <w:szCs w:val="21"/>
                    </w:rPr>
                    <w:t>COD</w:t>
                  </w:r>
                </w:p>
              </w:tc>
              <w:tc>
                <w:tcPr>
                  <w:tcW w:w="1587" w:type="pct"/>
                  <w:vAlign w:val="center"/>
                </w:tcPr>
                <w:p>
                  <w:pPr>
                    <w:jc w:val="center"/>
                    <w:outlineLvl w:val="1"/>
                    <w:rPr>
                      <w:szCs w:val="21"/>
                    </w:rPr>
                  </w:pPr>
                  <w:r>
                    <w:rPr>
                      <w:szCs w:val="21"/>
                    </w:rPr>
                    <w:t>400</w:t>
                  </w:r>
                </w:p>
              </w:tc>
              <w:tc>
                <w:tcPr>
                  <w:tcW w:w="1561" w:type="pct"/>
                  <w:vAlign w:val="center"/>
                </w:tcPr>
                <w:p>
                  <w:pPr>
                    <w:jc w:val="center"/>
                    <w:outlineLvl w:val="1"/>
                    <w:rPr>
                      <w:szCs w:val="21"/>
                    </w:rPr>
                  </w:pPr>
                  <w:r>
                    <w:rPr>
                      <w:rFonts w:hint="eastAsia"/>
                      <w:szCs w:val="21"/>
                    </w:rPr>
                    <w:t>3.84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pct"/>
                  <w:vAlign w:val="center"/>
                </w:tcPr>
                <w:p>
                  <w:pPr>
                    <w:ind w:firstLine="360"/>
                    <w:jc w:val="left"/>
                    <w:outlineLvl w:val="1"/>
                    <w:rPr>
                      <w:szCs w:val="21"/>
                    </w:rPr>
                  </w:pPr>
                  <w:r>
                    <w:rPr>
                      <w:szCs w:val="21"/>
                    </w:rPr>
                    <w:t>2</w:t>
                  </w:r>
                </w:p>
              </w:tc>
              <w:tc>
                <w:tcPr>
                  <w:tcW w:w="1203" w:type="pct"/>
                  <w:vAlign w:val="center"/>
                </w:tcPr>
                <w:p>
                  <w:pPr>
                    <w:jc w:val="center"/>
                    <w:outlineLvl w:val="1"/>
                    <w:rPr>
                      <w:szCs w:val="21"/>
                    </w:rPr>
                  </w:pPr>
                  <w:r>
                    <w:rPr>
                      <w:szCs w:val="21"/>
                    </w:rPr>
                    <w:t>BOD</w:t>
                  </w:r>
                  <w:r>
                    <w:rPr>
                      <w:szCs w:val="21"/>
                      <w:vertAlign w:val="subscript"/>
                    </w:rPr>
                    <w:t>5</w:t>
                  </w:r>
                </w:p>
              </w:tc>
              <w:tc>
                <w:tcPr>
                  <w:tcW w:w="1587" w:type="pct"/>
                  <w:vAlign w:val="center"/>
                </w:tcPr>
                <w:p>
                  <w:pPr>
                    <w:jc w:val="center"/>
                    <w:outlineLvl w:val="1"/>
                    <w:rPr>
                      <w:szCs w:val="21"/>
                    </w:rPr>
                  </w:pPr>
                  <w:r>
                    <w:rPr>
                      <w:szCs w:val="21"/>
                    </w:rPr>
                    <w:t>200</w:t>
                  </w:r>
                </w:p>
              </w:tc>
              <w:tc>
                <w:tcPr>
                  <w:tcW w:w="1561" w:type="pct"/>
                  <w:vAlign w:val="center"/>
                </w:tcPr>
                <w:p>
                  <w:pPr>
                    <w:jc w:val="center"/>
                    <w:outlineLvl w:val="1"/>
                    <w:rPr>
                      <w:szCs w:val="21"/>
                    </w:rPr>
                  </w:pPr>
                  <w:r>
                    <w:rPr>
                      <w:rFonts w:hint="eastAsia"/>
                      <w:szCs w:val="21"/>
                    </w:rPr>
                    <w:t>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pct"/>
                  <w:vAlign w:val="center"/>
                </w:tcPr>
                <w:p>
                  <w:pPr>
                    <w:ind w:firstLine="360"/>
                    <w:jc w:val="left"/>
                    <w:outlineLvl w:val="1"/>
                    <w:rPr>
                      <w:szCs w:val="21"/>
                    </w:rPr>
                  </w:pPr>
                  <w:r>
                    <w:rPr>
                      <w:szCs w:val="21"/>
                    </w:rPr>
                    <w:t>3</w:t>
                  </w:r>
                </w:p>
              </w:tc>
              <w:tc>
                <w:tcPr>
                  <w:tcW w:w="1203" w:type="pct"/>
                  <w:vAlign w:val="center"/>
                </w:tcPr>
                <w:p>
                  <w:pPr>
                    <w:jc w:val="center"/>
                    <w:outlineLvl w:val="1"/>
                    <w:rPr>
                      <w:szCs w:val="21"/>
                    </w:rPr>
                  </w:pPr>
                  <w:r>
                    <w:rPr>
                      <w:szCs w:val="21"/>
                    </w:rPr>
                    <w:t>SS</w:t>
                  </w:r>
                </w:p>
              </w:tc>
              <w:tc>
                <w:tcPr>
                  <w:tcW w:w="1587" w:type="pct"/>
                  <w:vAlign w:val="center"/>
                </w:tcPr>
                <w:p>
                  <w:pPr>
                    <w:jc w:val="center"/>
                    <w:outlineLvl w:val="1"/>
                    <w:rPr>
                      <w:szCs w:val="21"/>
                    </w:rPr>
                  </w:pPr>
                  <w:r>
                    <w:rPr>
                      <w:szCs w:val="21"/>
                    </w:rPr>
                    <w:t>220</w:t>
                  </w:r>
                </w:p>
              </w:tc>
              <w:tc>
                <w:tcPr>
                  <w:tcW w:w="1561" w:type="pct"/>
                  <w:vAlign w:val="center"/>
                </w:tcPr>
                <w:p>
                  <w:pPr>
                    <w:jc w:val="center"/>
                    <w:outlineLvl w:val="1"/>
                    <w:rPr>
                      <w:szCs w:val="21"/>
                    </w:rPr>
                  </w:pPr>
                  <w:r>
                    <w:rPr>
                      <w:rFonts w:hint="eastAsia"/>
                      <w:szCs w:val="21"/>
                    </w:rPr>
                    <w:t>0.211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pct"/>
                  <w:vAlign w:val="center"/>
                </w:tcPr>
                <w:p>
                  <w:pPr>
                    <w:ind w:firstLine="360"/>
                    <w:jc w:val="left"/>
                    <w:outlineLvl w:val="1"/>
                    <w:rPr>
                      <w:szCs w:val="21"/>
                    </w:rPr>
                  </w:pPr>
                  <w:r>
                    <w:rPr>
                      <w:szCs w:val="21"/>
                    </w:rPr>
                    <w:t>4</w:t>
                  </w:r>
                </w:p>
              </w:tc>
              <w:tc>
                <w:tcPr>
                  <w:tcW w:w="1203" w:type="pct"/>
                  <w:vAlign w:val="center"/>
                </w:tcPr>
                <w:p>
                  <w:pPr>
                    <w:jc w:val="center"/>
                    <w:outlineLvl w:val="1"/>
                    <w:rPr>
                      <w:szCs w:val="21"/>
                    </w:rPr>
                  </w:pPr>
                  <w:r>
                    <w:rPr>
                      <w:szCs w:val="21"/>
                    </w:rPr>
                    <w:t>氨氮</w:t>
                  </w:r>
                </w:p>
              </w:tc>
              <w:tc>
                <w:tcPr>
                  <w:tcW w:w="1587" w:type="pct"/>
                  <w:vAlign w:val="center"/>
                </w:tcPr>
                <w:p>
                  <w:pPr>
                    <w:jc w:val="center"/>
                    <w:outlineLvl w:val="1"/>
                    <w:rPr>
                      <w:szCs w:val="21"/>
                    </w:rPr>
                  </w:pPr>
                  <w:r>
                    <w:rPr>
                      <w:szCs w:val="21"/>
                    </w:rPr>
                    <w:t>40</w:t>
                  </w:r>
                </w:p>
              </w:tc>
              <w:tc>
                <w:tcPr>
                  <w:tcW w:w="1561" w:type="pct"/>
                  <w:vAlign w:val="center"/>
                </w:tcPr>
                <w:p>
                  <w:pPr>
                    <w:jc w:val="center"/>
                    <w:outlineLvl w:val="1"/>
                    <w:rPr>
                      <w:szCs w:val="21"/>
                    </w:rPr>
                  </w:pPr>
                  <w:r>
                    <w:rPr>
                      <w:rFonts w:hint="eastAsia"/>
                      <w:szCs w:val="21"/>
                    </w:rPr>
                    <w:t>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pct"/>
                  <w:vAlign w:val="center"/>
                </w:tcPr>
                <w:p>
                  <w:pPr>
                    <w:ind w:firstLine="360"/>
                    <w:jc w:val="left"/>
                    <w:outlineLvl w:val="1"/>
                    <w:rPr>
                      <w:szCs w:val="21"/>
                    </w:rPr>
                  </w:pPr>
                  <w:r>
                    <w:rPr>
                      <w:szCs w:val="21"/>
                    </w:rPr>
                    <w:t>5</w:t>
                  </w:r>
                </w:p>
              </w:tc>
              <w:tc>
                <w:tcPr>
                  <w:tcW w:w="1203" w:type="pct"/>
                  <w:vAlign w:val="center"/>
                </w:tcPr>
                <w:p>
                  <w:pPr>
                    <w:jc w:val="center"/>
                    <w:outlineLvl w:val="1"/>
                    <w:rPr>
                      <w:szCs w:val="21"/>
                    </w:rPr>
                  </w:pPr>
                  <w:r>
                    <w:rPr>
                      <w:szCs w:val="21"/>
                    </w:rPr>
                    <w:t>动植物油</w:t>
                  </w:r>
                </w:p>
              </w:tc>
              <w:tc>
                <w:tcPr>
                  <w:tcW w:w="1587" w:type="pct"/>
                  <w:vAlign w:val="center"/>
                </w:tcPr>
                <w:p>
                  <w:pPr>
                    <w:jc w:val="center"/>
                    <w:outlineLvl w:val="1"/>
                    <w:rPr>
                      <w:szCs w:val="21"/>
                    </w:rPr>
                  </w:pPr>
                  <w:r>
                    <w:rPr>
                      <w:szCs w:val="21"/>
                    </w:rPr>
                    <w:t>30</w:t>
                  </w:r>
                </w:p>
              </w:tc>
              <w:tc>
                <w:tcPr>
                  <w:tcW w:w="1561" w:type="pct"/>
                  <w:vAlign w:val="center"/>
                </w:tcPr>
                <w:p>
                  <w:pPr>
                    <w:jc w:val="center"/>
                    <w:outlineLvl w:val="1"/>
                    <w:rPr>
                      <w:szCs w:val="21"/>
                    </w:rPr>
                  </w:pPr>
                  <w:r>
                    <w:rPr>
                      <w:rFonts w:hint="eastAsia"/>
                      <w:szCs w:val="21"/>
                    </w:rPr>
                    <w:t>0.29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7" w:type="pct"/>
                  <w:vAlign w:val="center"/>
                </w:tcPr>
                <w:p>
                  <w:pPr>
                    <w:ind w:firstLine="360"/>
                    <w:jc w:val="left"/>
                    <w:outlineLvl w:val="1"/>
                    <w:rPr>
                      <w:szCs w:val="21"/>
                    </w:rPr>
                  </w:pPr>
                  <w:r>
                    <w:rPr>
                      <w:szCs w:val="21"/>
                    </w:rPr>
                    <w:t>6</w:t>
                  </w:r>
                </w:p>
              </w:tc>
              <w:tc>
                <w:tcPr>
                  <w:tcW w:w="1203" w:type="pct"/>
                  <w:vAlign w:val="center"/>
                </w:tcPr>
                <w:p>
                  <w:pPr>
                    <w:jc w:val="center"/>
                    <w:outlineLvl w:val="1"/>
                    <w:rPr>
                      <w:szCs w:val="21"/>
                    </w:rPr>
                  </w:pPr>
                  <w:r>
                    <w:rPr>
                      <w:szCs w:val="21"/>
                    </w:rPr>
                    <w:t>污水量</w:t>
                  </w:r>
                </w:p>
              </w:tc>
              <w:tc>
                <w:tcPr>
                  <w:tcW w:w="3148" w:type="pct"/>
                  <w:gridSpan w:val="2"/>
                  <w:vAlign w:val="center"/>
                </w:tcPr>
                <w:p>
                  <w:pPr>
                    <w:ind w:firstLine="360"/>
                    <w:jc w:val="center"/>
                    <w:outlineLvl w:val="1"/>
                    <w:rPr>
                      <w:szCs w:val="21"/>
                    </w:rPr>
                  </w:pPr>
                  <w:r>
                    <w:rPr>
                      <w:rFonts w:hint="eastAsia"/>
                      <w:szCs w:val="21"/>
                    </w:rPr>
                    <w:t>9.6</w:t>
                  </w:r>
                  <w:r>
                    <w:rPr>
                      <w:szCs w:val="21"/>
                    </w:rPr>
                    <w:t>m</w:t>
                  </w:r>
                  <w:r>
                    <w:rPr>
                      <w:szCs w:val="21"/>
                      <w:vertAlign w:val="superscript"/>
                    </w:rPr>
                    <w:t>3</w:t>
                  </w:r>
                  <w:r>
                    <w:rPr>
                      <w:szCs w:val="21"/>
                    </w:rPr>
                    <w:t>/d</w:t>
                  </w:r>
                </w:p>
              </w:tc>
            </w:tr>
          </w:tbl>
          <w:p>
            <w:pPr>
              <w:adjustRightInd w:val="0"/>
              <w:snapToGrid w:val="0"/>
              <w:spacing w:before="120" w:beforeLines="50" w:line="360" w:lineRule="auto"/>
              <w:ind w:firstLine="480" w:firstLineChars="200"/>
              <w:outlineLvl w:val="9"/>
              <w:rPr>
                <w:sz w:val="24"/>
              </w:rPr>
            </w:pPr>
          </w:p>
          <w:p>
            <w:pPr>
              <w:pStyle w:val="26"/>
              <w:ind w:firstLine="480"/>
            </w:pPr>
          </w:p>
          <w:p>
            <w:pPr>
              <w:adjustRightInd w:val="0"/>
              <w:snapToGrid w:val="0"/>
              <w:spacing w:before="120" w:beforeLines="50" w:line="360" w:lineRule="auto"/>
              <w:ind w:firstLine="480" w:firstLineChars="200"/>
              <w:outlineLvl w:val="1"/>
              <w:rPr>
                <w:sz w:val="24"/>
              </w:rPr>
            </w:pPr>
            <w:r>
              <w:rPr>
                <w:sz w:val="24"/>
              </w:rPr>
              <w:t>（3）施工对</w:t>
            </w:r>
            <w:r>
              <w:rPr>
                <w:rFonts w:hint="eastAsia"/>
                <w:sz w:val="24"/>
              </w:rPr>
              <w:t>水体</w:t>
            </w:r>
            <w:r>
              <w:rPr>
                <w:sz w:val="24"/>
              </w:rPr>
              <w:t>的影响</w:t>
            </w:r>
          </w:p>
          <w:p>
            <w:pPr>
              <w:adjustRightInd w:val="0"/>
              <w:snapToGrid w:val="0"/>
              <w:spacing w:line="360" w:lineRule="auto"/>
              <w:ind w:firstLine="480" w:firstLineChars="200"/>
              <w:outlineLvl w:val="1"/>
              <w:rPr>
                <w:sz w:val="24"/>
              </w:rPr>
            </w:pPr>
            <w:r>
              <w:rPr>
                <w:sz w:val="24"/>
              </w:rPr>
              <w:t>①</w:t>
            </w:r>
            <w:r>
              <w:rPr>
                <w:rFonts w:hint="eastAsia"/>
                <w:sz w:val="24"/>
              </w:rPr>
              <w:t>桥梁</w:t>
            </w:r>
            <w:r>
              <w:rPr>
                <w:sz w:val="24"/>
              </w:rPr>
              <w:t>施工对水体的影响</w:t>
            </w:r>
          </w:p>
          <w:p>
            <w:pPr>
              <w:adjustRightInd w:val="0"/>
              <w:snapToGrid w:val="0"/>
              <w:spacing w:line="360" w:lineRule="auto"/>
              <w:ind w:firstLine="480" w:firstLineChars="200"/>
              <w:outlineLvl w:val="1"/>
              <w:rPr>
                <w:sz w:val="24"/>
              </w:rPr>
            </w:pPr>
            <w:r>
              <w:rPr>
                <w:rFonts w:hint="eastAsia"/>
                <w:sz w:val="24"/>
              </w:rPr>
              <w:t>项目沿线涉及地表水体为里美溪，属龙江支流。</w:t>
            </w:r>
            <w:r>
              <w:rPr>
                <w:sz w:val="24"/>
              </w:rPr>
              <w:t>本项目</w:t>
            </w:r>
            <w:r>
              <w:rPr>
                <w:rFonts w:hint="eastAsia"/>
                <w:sz w:val="24"/>
              </w:rPr>
              <w:t>全线共设置一座长度为25.68m的桥梁。本工程桥梁上部结构采用预制预应力砼空心板桥，下部结构重力式桥台，采用钻孔灌注桩基础。根据建设单位提供资料，桥梁桩基均位于陆域，不涉及水域施工。本项目施工方法以预制装配为主，采用双导梁架桥机架设法架设，施工期选在枯水期，施工过程基本对水体无影响，在可接受范围内。</w:t>
            </w:r>
          </w:p>
          <w:p>
            <w:pPr>
              <w:adjustRightInd w:val="0"/>
              <w:snapToGrid w:val="0"/>
              <w:spacing w:line="360" w:lineRule="auto"/>
              <w:ind w:firstLine="480" w:firstLineChars="200"/>
              <w:outlineLvl w:val="1"/>
              <w:rPr>
                <w:rStyle w:val="31"/>
                <w:kern w:val="0"/>
                <w:sz w:val="24"/>
                <w:szCs w:val="32"/>
              </w:rPr>
            </w:pPr>
            <w:r>
              <w:rPr>
                <w:rStyle w:val="31"/>
                <w:rFonts w:hint="eastAsia"/>
                <w:kern w:val="0"/>
                <w:sz w:val="24"/>
                <w:szCs w:val="32"/>
              </w:rPr>
              <w:t>桥梁桩基施工过程中产生钻渣和钻孔泥浆，因排出的钻渣和最终抽出的钻孔泥浆含水多，现场钻渣、泥浆临时存放过程中将产生渗滤和溢流泥浆废水即堆置泥浆废水，悬浮物浓度可达10000mg/L～20000mg/L。本项目在桥梁施工区设置移动式泥浆脱泥净水装置，钻渣和钻孔泥浆经处理后做到泥、水分离，分离出的渣土含水率在60%以下，可作为回填土使用，脱水滤液回用于场地洒水抑尘，不得外排。</w:t>
            </w:r>
          </w:p>
          <w:p>
            <w:pPr>
              <w:adjustRightInd w:val="0"/>
              <w:snapToGrid w:val="0"/>
              <w:spacing w:line="360" w:lineRule="auto"/>
              <w:ind w:firstLine="480" w:firstLineChars="200"/>
              <w:outlineLvl w:val="1"/>
              <w:rPr>
                <w:sz w:val="24"/>
              </w:rPr>
            </w:pPr>
            <w:r>
              <w:rPr>
                <w:sz w:val="24"/>
              </w:rPr>
              <w:t>②</w:t>
            </w:r>
            <w:r>
              <w:rPr>
                <w:rFonts w:hint="eastAsia"/>
                <w:sz w:val="24"/>
              </w:rPr>
              <w:t>道路施工</w:t>
            </w:r>
            <w:r>
              <w:rPr>
                <w:sz w:val="24"/>
              </w:rPr>
              <w:t>对</w:t>
            </w:r>
            <w:r>
              <w:rPr>
                <w:rFonts w:hint="eastAsia"/>
                <w:sz w:val="24"/>
              </w:rPr>
              <w:t>水体</w:t>
            </w:r>
            <w:r>
              <w:rPr>
                <w:sz w:val="24"/>
              </w:rPr>
              <w:t>的影响</w:t>
            </w:r>
          </w:p>
          <w:p>
            <w:pPr>
              <w:adjustRightInd w:val="0"/>
              <w:snapToGrid w:val="0"/>
              <w:spacing w:line="360" w:lineRule="auto"/>
              <w:ind w:firstLine="480" w:firstLineChars="200"/>
              <w:outlineLvl w:val="1"/>
              <w:rPr>
                <w:sz w:val="24"/>
              </w:rPr>
            </w:pPr>
            <w:r>
              <w:rPr>
                <w:rFonts w:hint="eastAsia"/>
                <w:sz w:val="24"/>
              </w:rPr>
              <w:t>项目施工期间，裸露的开挖及填筑边坡较多，若在强降雨条件下，大量的泥沙将随地表径流进入周围水体，对水环境造成较大的影响，甚至淤塞泄水通道及掩埋农田。所以在施工期间要注意对这些裸露开挖面的防护。</w:t>
            </w:r>
          </w:p>
          <w:p>
            <w:pPr>
              <w:adjustRightInd w:val="0"/>
              <w:snapToGrid w:val="0"/>
              <w:spacing w:line="360" w:lineRule="auto"/>
              <w:ind w:firstLine="480" w:firstLineChars="200"/>
              <w:outlineLvl w:val="1"/>
              <w:rPr>
                <w:sz w:val="24"/>
              </w:rPr>
            </w:pPr>
            <w:r>
              <w:rPr>
                <w:rFonts w:hint="eastAsia"/>
                <w:sz w:val="24"/>
              </w:rPr>
              <w:t>项目在施工时考虑用塑料薄膜对开挖和填筑的裸露边坡、建筑材料堆料场等进行覆盖，在堆料场周围设置沉淀池等措施。采取这些措施后将大大减少施工区水土流失，而且通过沉淀池的沉淀作用，即使在强降雨条件下所产生的面源流失量也较小，对周围水环境的影响也就很小。</w:t>
            </w:r>
          </w:p>
          <w:p>
            <w:pPr>
              <w:adjustRightInd w:val="0"/>
              <w:snapToGrid w:val="0"/>
              <w:spacing w:line="360" w:lineRule="auto"/>
              <w:ind w:firstLine="480" w:firstLineChars="200"/>
              <w:outlineLvl w:val="1"/>
              <w:rPr>
                <w:b/>
                <w:bCs/>
                <w:sz w:val="30"/>
                <w:szCs w:val="30"/>
              </w:rPr>
            </w:pPr>
            <w:r>
              <w:rPr>
                <w:sz w:val="24"/>
              </w:rPr>
              <w:t>综上所述，项目施工会对沿线水环境产生一定的影响，施工期主要可通过加强管理来减缓</w:t>
            </w:r>
            <w:r>
              <w:rPr>
                <w:rFonts w:hint="eastAsia"/>
                <w:sz w:val="24"/>
              </w:rPr>
              <w:t>道路</w:t>
            </w:r>
            <w:r>
              <w:rPr>
                <w:sz w:val="24"/>
              </w:rPr>
              <w:t>建设对地表水环境影响，尤其是施工场地</w:t>
            </w:r>
            <w:r>
              <w:rPr>
                <w:rFonts w:hint="eastAsia"/>
                <w:sz w:val="24"/>
              </w:rPr>
              <w:t>土石方挖填</w:t>
            </w:r>
            <w:r>
              <w:rPr>
                <w:sz w:val="24"/>
              </w:rPr>
              <w:t>和</w:t>
            </w:r>
            <w:r>
              <w:rPr>
                <w:rFonts w:hint="eastAsia"/>
                <w:sz w:val="24"/>
              </w:rPr>
              <w:t>建筑</w:t>
            </w:r>
            <w:r>
              <w:rPr>
                <w:sz w:val="24"/>
              </w:rPr>
              <w:t>材料运输的管理。在采取合理有效的各项措施后，项目施工对地表水环境影响较小</w:t>
            </w:r>
            <w:r>
              <w:rPr>
                <w:rFonts w:hint="eastAsia"/>
                <w:sz w:val="24"/>
              </w:rPr>
              <w:t>在可接受范围内。</w:t>
            </w:r>
          </w:p>
          <w:p>
            <w:pPr>
              <w:adjustRightInd w:val="0"/>
              <w:snapToGrid w:val="0"/>
              <w:spacing w:line="360" w:lineRule="auto"/>
              <w:outlineLvl w:val="1"/>
              <w:rPr>
                <w:b/>
                <w:bCs/>
                <w:sz w:val="30"/>
                <w:szCs w:val="30"/>
              </w:rPr>
            </w:pPr>
            <w:r>
              <w:rPr>
                <w:rFonts w:hint="eastAsia"/>
                <w:b/>
                <w:bCs/>
                <w:sz w:val="30"/>
                <w:szCs w:val="30"/>
              </w:rPr>
              <w:t xml:space="preserve">4.2 </w:t>
            </w:r>
            <w:r>
              <w:rPr>
                <w:b/>
                <w:bCs/>
                <w:sz w:val="30"/>
                <w:szCs w:val="30"/>
              </w:rPr>
              <w:t>大气环境</w:t>
            </w:r>
          </w:p>
          <w:p>
            <w:pPr>
              <w:spacing w:line="360" w:lineRule="auto"/>
              <w:ind w:firstLine="480" w:firstLineChars="200"/>
              <w:rPr>
                <w:sz w:val="24"/>
              </w:rPr>
            </w:pPr>
            <w:r>
              <w:rPr>
                <w:rFonts w:hint="eastAsia"/>
                <w:sz w:val="24"/>
              </w:rPr>
              <w:t>（1）道路施工扬尘</w:t>
            </w:r>
          </w:p>
          <w:p>
            <w:pPr>
              <w:spacing w:line="360" w:lineRule="auto"/>
              <w:ind w:firstLine="480" w:firstLineChars="200"/>
              <w:rPr>
                <w:rFonts w:hint="eastAsia"/>
                <w:sz w:val="24"/>
              </w:rPr>
            </w:pPr>
            <w:r>
              <w:rPr>
                <w:rFonts w:hint="eastAsia"/>
                <w:sz w:val="24"/>
              </w:rPr>
              <w:t>施工作业扬尘的产生量与气候条件和施工方法有关，因施工尘土的含水量比较低，颗粒较小，在风速大于3m/s时，施工过程中还会有风扬尘产生，这部分扬尘大部分在施工现场附近沉降。由于粉尘颗粒的重力沉降作用，扬尘的污染影响范围和程度随着距离的不同而有所差异，一般在扬尘点下风向0～50m为较重污染带，50～100m为污染带，100～200m为轻污染带，200m以外对空气影响甚微。</w:t>
            </w:r>
          </w:p>
          <w:p>
            <w:pPr>
              <w:pStyle w:val="7"/>
              <w:spacing w:line="360" w:lineRule="auto"/>
              <w:ind w:firstLine="480" w:firstLineChars="200"/>
              <w:rPr>
                <w:color w:val="auto"/>
                <w:sz w:val="24"/>
              </w:rPr>
            </w:pPr>
            <w:r>
              <w:rPr>
                <w:rFonts w:hint="eastAsia"/>
                <w:color w:val="auto"/>
                <w:sz w:val="24"/>
              </w:rPr>
              <w:t>根据相近工程实地监测资料，</w:t>
            </w:r>
            <w:r>
              <w:rPr>
                <w:color w:val="auto"/>
                <w:sz w:val="24"/>
              </w:rPr>
              <w:t>TSP</w:t>
            </w:r>
            <w:r>
              <w:rPr>
                <w:rFonts w:hint="eastAsia"/>
                <w:color w:val="auto"/>
                <w:sz w:val="24"/>
              </w:rPr>
              <w:t>浓度介于</w:t>
            </w:r>
            <w:r>
              <w:rPr>
                <w:color w:val="auto"/>
                <w:sz w:val="24"/>
              </w:rPr>
              <w:t>1.5</w:t>
            </w:r>
            <w:r>
              <w:rPr>
                <w:rFonts w:hint="eastAsia"/>
                <w:color w:val="auto"/>
                <w:sz w:val="24"/>
              </w:rPr>
              <w:t>～</w:t>
            </w:r>
            <w:r>
              <w:rPr>
                <w:color w:val="auto"/>
                <w:sz w:val="24"/>
              </w:rPr>
              <w:t>3.0mg/m</w:t>
            </w:r>
            <w:r>
              <w:rPr>
                <w:color w:val="auto"/>
                <w:sz w:val="24"/>
                <w:vertAlign w:val="superscript"/>
              </w:rPr>
              <w:t>3</w:t>
            </w:r>
            <w:r>
              <w:rPr>
                <w:rFonts w:hint="eastAsia"/>
                <w:color w:val="auto"/>
                <w:sz w:val="24"/>
              </w:rPr>
              <w:t>，在正常情况下，</w:t>
            </w:r>
            <w:r>
              <w:rPr>
                <w:color w:val="auto"/>
                <w:sz w:val="24"/>
              </w:rPr>
              <w:t>50m~100m</w:t>
            </w:r>
            <w:r>
              <w:rPr>
                <w:rFonts w:hint="eastAsia"/>
                <w:color w:val="auto"/>
                <w:sz w:val="24"/>
              </w:rPr>
              <w:t>范围外其贡献值可满足环境空气质量《环境空气质量标准》（</w:t>
            </w:r>
            <w:r>
              <w:rPr>
                <w:color w:val="auto"/>
                <w:sz w:val="24"/>
              </w:rPr>
              <w:t>GB3095-2012</w:t>
            </w:r>
            <w:r>
              <w:rPr>
                <w:rFonts w:hint="eastAsia"/>
                <w:color w:val="auto"/>
                <w:sz w:val="24"/>
              </w:rPr>
              <w:t>）二级标准；在大风（</w:t>
            </w:r>
            <w:r>
              <w:rPr>
                <w:color w:val="auto"/>
                <w:sz w:val="24"/>
              </w:rPr>
              <w:t>&gt;5</w:t>
            </w:r>
            <w:r>
              <w:rPr>
                <w:rFonts w:hint="eastAsia"/>
                <w:color w:val="auto"/>
                <w:sz w:val="24"/>
              </w:rPr>
              <w:t>级）情况下，</w:t>
            </w:r>
            <w:r>
              <w:rPr>
                <w:color w:val="auto"/>
                <w:sz w:val="24"/>
              </w:rPr>
              <w:t>100m~300m</w:t>
            </w:r>
            <w:r>
              <w:rPr>
                <w:rFonts w:hint="eastAsia"/>
                <w:color w:val="auto"/>
                <w:sz w:val="24"/>
              </w:rPr>
              <w:t>外可满足《环境空气质量标准》（</w:t>
            </w:r>
            <w:r>
              <w:rPr>
                <w:color w:val="auto"/>
                <w:sz w:val="24"/>
              </w:rPr>
              <w:t>GB3095-2012</w:t>
            </w:r>
            <w:r>
              <w:rPr>
                <w:rFonts w:hint="eastAsia"/>
                <w:color w:val="auto"/>
                <w:sz w:val="24"/>
              </w:rPr>
              <w:t>）二级标准要求。如果在施工期间对施工场地、车辆行驶的路面实施洒水抑尘，每天洒水</w:t>
            </w:r>
            <w:r>
              <w:rPr>
                <w:color w:val="auto"/>
                <w:sz w:val="24"/>
              </w:rPr>
              <w:t>4</w:t>
            </w:r>
            <w:r>
              <w:rPr>
                <w:rFonts w:hint="eastAsia"/>
                <w:color w:val="auto"/>
                <w:sz w:val="24"/>
              </w:rPr>
              <w:t>～</w:t>
            </w:r>
            <w:r>
              <w:rPr>
                <w:color w:val="auto"/>
                <w:sz w:val="24"/>
              </w:rPr>
              <w:t>5</w:t>
            </w:r>
            <w:r>
              <w:rPr>
                <w:rFonts w:hint="eastAsia"/>
                <w:color w:val="auto"/>
                <w:sz w:val="24"/>
              </w:rPr>
              <w:t>次，可使扬尘减少</w:t>
            </w:r>
            <w:r>
              <w:rPr>
                <w:color w:val="auto"/>
                <w:sz w:val="24"/>
              </w:rPr>
              <w:t>70%</w:t>
            </w:r>
            <w:r>
              <w:rPr>
                <w:rFonts w:hint="eastAsia"/>
                <w:color w:val="auto"/>
                <w:sz w:val="24"/>
              </w:rPr>
              <w:t>左右，施工场地洒水抑尘的试验结果见表4</w:t>
            </w:r>
            <w:r>
              <w:rPr>
                <w:rFonts w:hint="eastAsia"/>
                <w:color w:val="auto"/>
                <w:sz w:val="24"/>
                <w:lang w:val="en-US" w:eastAsia="zh-CN"/>
              </w:rPr>
              <w:t>.1</w:t>
            </w:r>
            <w:r>
              <w:rPr>
                <w:rFonts w:hint="eastAsia"/>
                <w:color w:val="auto"/>
                <w:sz w:val="24"/>
              </w:rPr>
              <w:t>-</w:t>
            </w:r>
            <w:r>
              <w:rPr>
                <w:rFonts w:hint="eastAsia"/>
                <w:color w:val="auto"/>
                <w:sz w:val="24"/>
                <w:lang w:val="en-US" w:eastAsia="zh-CN"/>
              </w:rPr>
              <w:t>2</w:t>
            </w:r>
            <w:r>
              <w:rPr>
                <w:rFonts w:hint="eastAsia"/>
                <w:color w:val="auto"/>
                <w:sz w:val="24"/>
              </w:rPr>
              <w:t>。</w:t>
            </w:r>
          </w:p>
          <w:p>
            <w:pPr>
              <w:widowControl/>
              <w:spacing w:line="360" w:lineRule="auto"/>
              <w:jc w:val="center"/>
              <w:rPr>
                <w:b/>
                <w:bCs/>
                <w:color w:val="auto"/>
                <w:kern w:val="0"/>
                <w:sz w:val="24"/>
                <w:lang w:bidi="ar"/>
              </w:rPr>
            </w:pPr>
            <w:r>
              <w:rPr>
                <w:b/>
                <w:bCs/>
                <w:color w:val="auto"/>
                <w:kern w:val="0"/>
                <w:sz w:val="24"/>
                <w:lang w:bidi="ar"/>
              </w:rPr>
              <w:t>表</w:t>
            </w:r>
            <w:r>
              <w:rPr>
                <w:rFonts w:hint="eastAsia"/>
                <w:b/>
                <w:bCs/>
                <w:color w:val="auto"/>
                <w:kern w:val="0"/>
                <w:sz w:val="24"/>
                <w:lang w:bidi="ar"/>
              </w:rPr>
              <w:t>4</w:t>
            </w:r>
            <w:r>
              <w:rPr>
                <w:rFonts w:hint="eastAsia"/>
                <w:b/>
                <w:bCs/>
                <w:color w:val="auto"/>
                <w:kern w:val="0"/>
                <w:sz w:val="24"/>
                <w:lang w:val="en-US" w:eastAsia="zh-CN" w:bidi="ar"/>
              </w:rPr>
              <w:t>.1</w:t>
            </w:r>
            <w:r>
              <w:rPr>
                <w:rFonts w:hint="eastAsia"/>
                <w:b/>
                <w:bCs/>
                <w:color w:val="auto"/>
                <w:kern w:val="0"/>
                <w:sz w:val="24"/>
                <w:lang w:bidi="ar"/>
              </w:rPr>
              <w:t>-</w:t>
            </w:r>
            <w:r>
              <w:rPr>
                <w:rFonts w:hint="eastAsia"/>
                <w:b/>
                <w:bCs/>
                <w:color w:val="auto"/>
                <w:kern w:val="0"/>
                <w:sz w:val="24"/>
                <w:lang w:val="en-US" w:eastAsia="zh-CN" w:bidi="ar"/>
              </w:rPr>
              <w:t>2</w:t>
            </w:r>
            <w:r>
              <w:rPr>
                <w:rFonts w:hint="eastAsia"/>
                <w:b/>
                <w:bCs/>
                <w:color w:val="auto"/>
                <w:kern w:val="0"/>
                <w:sz w:val="24"/>
                <w:lang w:bidi="ar"/>
              </w:rPr>
              <w:t xml:space="preserve"> </w:t>
            </w:r>
            <w:r>
              <w:rPr>
                <w:b/>
                <w:bCs/>
                <w:color w:val="auto"/>
                <w:kern w:val="0"/>
                <w:sz w:val="24"/>
                <w:lang w:bidi="ar"/>
              </w:rPr>
              <w:t>施工期洒水抑尘试验结果</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018"/>
              <w:gridCol w:w="904"/>
              <w:gridCol w:w="904"/>
              <w:gridCol w:w="904"/>
              <w:gridCol w:w="905"/>
              <w:gridCol w:w="905"/>
              <w:gridCol w:w="9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4" w:type="pct"/>
                  <w:gridSpan w:val="2"/>
                  <w:noWrap w:val="0"/>
                  <w:vAlign w:val="center"/>
                </w:tcPr>
                <w:p>
                  <w:pPr>
                    <w:pStyle w:val="49"/>
                    <w:rPr>
                      <w:rFonts w:ascii="Times New Roman" w:hAnsi="Times New Roman"/>
                      <w:color w:val="auto"/>
                    </w:rPr>
                  </w:pPr>
                  <w:r>
                    <w:rPr>
                      <w:rFonts w:ascii="Times New Roman" w:hAnsi="Times New Roman"/>
                      <w:color w:val="auto"/>
                    </w:rPr>
                    <w:t>距离（m）</w:t>
                  </w:r>
                </w:p>
              </w:tc>
              <w:tc>
                <w:tcPr>
                  <w:tcW w:w="500" w:type="pct"/>
                  <w:noWrap w:val="0"/>
                  <w:vAlign w:val="center"/>
                </w:tcPr>
                <w:p>
                  <w:pPr>
                    <w:pStyle w:val="49"/>
                    <w:rPr>
                      <w:rFonts w:ascii="Times New Roman" w:hAnsi="Times New Roman"/>
                      <w:color w:val="auto"/>
                    </w:rPr>
                  </w:pPr>
                  <w:r>
                    <w:rPr>
                      <w:rFonts w:ascii="Times New Roman" w:hAnsi="Times New Roman"/>
                      <w:color w:val="auto"/>
                    </w:rPr>
                    <w:t>10</w:t>
                  </w:r>
                </w:p>
              </w:tc>
              <w:tc>
                <w:tcPr>
                  <w:tcW w:w="500" w:type="pct"/>
                  <w:noWrap w:val="0"/>
                  <w:vAlign w:val="center"/>
                </w:tcPr>
                <w:p>
                  <w:pPr>
                    <w:pStyle w:val="49"/>
                    <w:rPr>
                      <w:rFonts w:ascii="Times New Roman" w:hAnsi="Times New Roman"/>
                      <w:color w:val="auto"/>
                    </w:rPr>
                  </w:pPr>
                  <w:r>
                    <w:rPr>
                      <w:rFonts w:ascii="Times New Roman" w:hAnsi="Times New Roman"/>
                      <w:color w:val="auto"/>
                    </w:rPr>
                    <w:t>20</w:t>
                  </w:r>
                </w:p>
              </w:tc>
              <w:tc>
                <w:tcPr>
                  <w:tcW w:w="500" w:type="pct"/>
                  <w:noWrap w:val="0"/>
                  <w:vAlign w:val="center"/>
                </w:tcPr>
                <w:p>
                  <w:pPr>
                    <w:pStyle w:val="49"/>
                    <w:rPr>
                      <w:rFonts w:ascii="Times New Roman" w:hAnsi="Times New Roman"/>
                      <w:color w:val="auto"/>
                    </w:rPr>
                  </w:pPr>
                  <w:r>
                    <w:rPr>
                      <w:rFonts w:ascii="Times New Roman" w:hAnsi="Times New Roman"/>
                      <w:color w:val="auto"/>
                    </w:rPr>
                    <w:t>30</w:t>
                  </w:r>
                </w:p>
              </w:tc>
              <w:tc>
                <w:tcPr>
                  <w:tcW w:w="500" w:type="pct"/>
                  <w:noWrap w:val="0"/>
                  <w:vAlign w:val="center"/>
                </w:tcPr>
                <w:p>
                  <w:pPr>
                    <w:pStyle w:val="49"/>
                    <w:rPr>
                      <w:rFonts w:ascii="Times New Roman" w:hAnsi="Times New Roman"/>
                      <w:color w:val="auto"/>
                    </w:rPr>
                  </w:pPr>
                  <w:r>
                    <w:rPr>
                      <w:rFonts w:ascii="Times New Roman" w:hAnsi="Times New Roman"/>
                      <w:color w:val="auto"/>
                    </w:rPr>
                    <w:t>40</w:t>
                  </w:r>
                </w:p>
              </w:tc>
              <w:tc>
                <w:tcPr>
                  <w:tcW w:w="500" w:type="pct"/>
                  <w:noWrap w:val="0"/>
                  <w:vAlign w:val="center"/>
                </w:tcPr>
                <w:p>
                  <w:pPr>
                    <w:pStyle w:val="49"/>
                    <w:rPr>
                      <w:rFonts w:ascii="Times New Roman" w:hAnsi="Times New Roman"/>
                      <w:color w:val="auto"/>
                    </w:rPr>
                  </w:pPr>
                  <w:r>
                    <w:rPr>
                      <w:rFonts w:ascii="Times New Roman" w:hAnsi="Times New Roman"/>
                      <w:color w:val="auto"/>
                    </w:rPr>
                    <w:t>50</w:t>
                  </w:r>
                </w:p>
              </w:tc>
              <w:tc>
                <w:tcPr>
                  <w:tcW w:w="500" w:type="pct"/>
                  <w:noWrap w:val="0"/>
                  <w:vAlign w:val="center"/>
                </w:tcPr>
                <w:p>
                  <w:pPr>
                    <w:pStyle w:val="49"/>
                    <w:rPr>
                      <w:rFonts w:ascii="Times New Roman" w:hAnsi="Times New Roman"/>
                      <w:color w:val="auto"/>
                    </w:rPr>
                  </w:pPr>
                  <w:r>
                    <w:rPr>
                      <w:rFonts w:ascii="Times New Roman" w:hAnsi="Times New Roman"/>
                      <w:color w:val="auto"/>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1" w:type="pct"/>
                  <w:vMerge w:val="restart"/>
                  <w:noWrap w:val="0"/>
                  <w:vAlign w:val="center"/>
                </w:tcPr>
                <w:p>
                  <w:pPr>
                    <w:pStyle w:val="49"/>
                    <w:rPr>
                      <w:rFonts w:ascii="Times New Roman" w:hAnsi="Times New Roman"/>
                      <w:color w:val="auto"/>
                    </w:rPr>
                  </w:pPr>
                  <w:r>
                    <w:rPr>
                      <w:rFonts w:ascii="Times New Roman" w:hAnsi="Times New Roman"/>
                      <w:color w:val="auto"/>
                    </w:rPr>
                    <w:t>TSP小时平均浓度（mg/m</w:t>
                  </w:r>
                  <w:r>
                    <w:rPr>
                      <w:rFonts w:ascii="Times New Roman" w:hAnsi="Times New Roman"/>
                      <w:color w:val="auto"/>
                      <w:vertAlign w:val="superscript"/>
                    </w:rPr>
                    <w:t>3</w:t>
                  </w:r>
                  <w:r>
                    <w:rPr>
                      <w:rFonts w:ascii="Times New Roman" w:hAnsi="Times New Roman"/>
                      <w:color w:val="auto"/>
                    </w:rPr>
                    <w:t>）</w:t>
                  </w:r>
                </w:p>
              </w:tc>
              <w:tc>
                <w:tcPr>
                  <w:tcW w:w="562" w:type="pct"/>
                  <w:noWrap w:val="0"/>
                  <w:vAlign w:val="center"/>
                </w:tcPr>
                <w:p>
                  <w:pPr>
                    <w:pStyle w:val="49"/>
                    <w:rPr>
                      <w:rFonts w:ascii="Times New Roman" w:hAnsi="Times New Roman"/>
                      <w:color w:val="auto"/>
                    </w:rPr>
                  </w:pPr>
                  <w:r>
                    <w:rPr>
                      <w:rFonts w:ascii="Times New Roman" w:hAnsi="Times New Roman"/>
                      <w:color w:val="auto"/>
                    </w:rPr>
                    <w:t>不洒水</w:t>
                  </w:r>
                </w:p>
              </w:tc>
              <w:tc>
                <w:tcPr>
                  <w:tcW w:w="500" w:type="pct"/>
                  <w:noWrap w:val="0"/>
                  <w:vAlign w:val="center"/>
                </w:tcPr>
                <w:p>
                  <w:pPr>
                    <w:pStyle w:val="49"/>
                    <w:rPr>
                      <w:rFonts w:ascii="Times New Roman" w:hAnsi="Times New Roman"/>
                      <w:color w:val="auto"/>
                    </w:rPr>
                  </w:pPr>
                  <w:r>
                    <w:rPr>
                      <w:rFonts w:ascii="Times New Roman" w:hAnsi="Times New Roman"/>
                      <w:color w:val="auto"/>
                    </w:rPr>
                    <w:t>1.75</w:t>
                  </w:r>
                </w:p>
              </w:tc>
              <w:tc>
                <w:tcPr>
                  <w:tcW w:w="500" w:type="pct"/>
                  <w:noWrap w:val="0"/>
                  <w:vAlign w:val="center"/>
                </w:tcPr>
                <w:p>
                  <w:pPr>
                    <w:pStyle w:val="49"/>
                    <w:rPr>
                      <w:rFonts w:ascii="Times New Roman" w:hAnsi="Times New Roman"/>
                      <w:color w:val="auto"/>
                    </w:rPr>
                  </w:pPr>
                  <w:r>
                    <w:rPr>
                      <w:rFonts w:ascii="Times New Roman" w:hAnsi="Times New Roman"/>
                      <w:color w:val="auto"/>
                    </w:rPr>
                    <w:t>1.30</w:t>
                  </w:r>
                </w:p>
              </w:tc>
              <w:tc>
                <w:tcPr>
                  <w:tcW w:w="500" w:type="pct"/>
                  <w:noWrap w:val="0"/>
                  <w:vAlign w:val="center"/>
                </w:tcPr>
                <w:p>
                  <w:pPr>
                    <w:pStyle w:val="49"/>
                    <w:rPr>
                      <w:rFonts w:ascii="Times New Roman" w:hAnsi="Times New Roman"/>
                      <w:color w:val="auto"/>
                    </w:rPr>
                  </w:pPr>
                  <w:r>
                    <w:rPr>
                      <w:rFonts w:ascii="Times New Roman" w:hAnsi="Times New Roman"/>
                      <w:color w:val="auto"/>
                    </w:rPr>
                    <w:t>0.780</w:t>
                  </w:r>
                </w:p>
              </w:tc>
              <w:tc>
                <w:tcPr>
                  <w:tcW w:w="500" w:type="pct"/>
                  <w:noWrap w:val="0"/>
                  <w:vAlign w:val="center"/>
                </w:tcPr>
                <w:p>
                  <w:pPr>
                    <w:pStyle w:val="49"/>
                    <w:rPr>
                      <w:rFonts w:ascii="Times New Roman" w:hAnsi="Times New Roman"/>
                      <w:color w:val="auto"/>
                    </w:rPr>
                  </w:pPr>
                  <w:r>
                    <w:rPr>
                      <w:rFonts w:ascii="Times New Roman" w:hAnsi="Times New Roman"/>
                      <w:color w:val="auto"/>
                    </w:rPr>
                    <w:t>0.365</w:t>
                  </w:r>
                </w:p>
              </w:tc>
              <w:tc>
                <w:tcPr>
                  <w:tcW w:w="500" w:type="pct"/>
                  <w:noWrap w:val="0"/>
                  <w:vAlign w:val="center"/>
                </w:tcPr>
                <w:p>
                  <w:pPr>
                    <w:pStyle w:val="49"/>
                    <w:rPr>
                      <w:rFonts w:ascii="Times New Roman" w:hAnsi="Times New Roman"/>
                      <w:color w:val="auto"/>
                    </w:rPr>
                  </w:pPr>
                  <w:r>
                    <w:rPr>
                      <w:rFonts w:ascii="Times New Roman" w:hAnsi="Times New Roman"/>
                      <w:color w:val="auto"/>
                    </w:rPr>
                    <w:t>0.345</w:t>
                  </w:r>
                </w:p>
              </w:tc>
              <w:tc>
                <w:tcPr>
                  <w:tcW w:w="500" w:type="pct"/>
                  <w:noWrap w:val="0"/>
                  <w:vAlign w:val="center"/>
                </w:tcPr>
                <w:p>
                  <w:pPr>
                    <w:pStyle w:val="49"/>
                    <w:rPr>
                      <w:rFonts w:ascii="Times New Roman" w:hAnsi="Times New Roman"/>
                      <w:color w:val="auto"/>
                    </w:rPr>
                  </w:pPr>
                  <w:r>
                    <w:rPr>
                      <w:rFonts w:ascii="Times New Roman" w:hAnsi="Times New Roman"/>
                      <w:color w:val="auto"/>
                    </w:rPr>
                    <w:t>0.330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41" w:type="pct"/>
                  <w:vMerge w:val="continue"/>
                  <w:noWrap w:val="0"/>
                  <w:vAlign w:val="center"/>
                </w:tcPr>
                <w:p>
                  <w:pPr>
                    <w:pStyle w:val="49"/>
                    <w:rPr>
                      <w:rFonts w:ascii="Times New Roman" w:hAnsi="Times New Roman"/>
                      <w:color w:val="auto"/>
                    </w:rPr>
                  </w:pPr>
                </w:p>
              </w:tc>
              <w:tc>
                <w:tcPr>
                  <w:tcW w:w="562" w:type="pct"/>
                  <w:noWrap w:val="0"/>
                  <w:vAlign w:val="center"/>
                </w:tcPr>
                <w:p>
                  <w:pPr>
                    <w:pStyle w:val="49"/>
                    <w:rPr>
                      <w:rFonts w:ascii="Times New Roman" w:hAnsi="Times New Roman"/>
                      <w:color w:val="auto"/>
                    </w:rPr>
                  </w:pPr>
                  <w:r>
                    <w:rPr>
                      <w:rFonts w:ascii="Times New Roman" w:hAnsi="Times New Roman"/>
                      <w:color w:val="auto"/>
                    </w:rPr>
                    <w:t>洒水</w:t>
                  </w:r>
                </w:p>
              </w:tc>
              <w:tc>
                <w:tcPr>
                  <w:tcW w:w="500" w:type="pct"/>
                  <w:noWrap w:val="0"/>
                  <w:vAlign w:val="center"/>
                </w:tcPr>
                <w:p>
                  <w:pPr>
                    <w:pStyle w:val="49"/>
                    <w:rPr>
                      <w:rFonts w:ascii="Times New Roman" w:hAnsi="Times New Roman"/>
                      <w:color w:val="auto"/>
                    </w:rPr>
                  </w:pPr>
                  <w:r>
                    <w:rPr>
                      <w:rFonts w:ascii="Times New Roman" w:hAnsi="Times New Roman"/>
                      <w:color w:val="auto"/>
                    </w:rPr>
                    <w:t>0.437</w:t>
                  </w:r>
                </w:p>
              </w:tc>
              <w:tc>
                <w:tcPr>
                  <w:tcW w:w="500" w:type="pct"/>
                  <w:noWrap w:val="0"/>
                  <w:vAlign w:val="center"/>
                </w:tcPr>
                <w:p>
                  <w:pPr>
                    <w:pStyle w:val="49"/>
                    <w:rPr>
                      <w:rFonts w:ascii="Times New Roman" w:hAnsi="Times New Roman"/>
                      <w:color w:val="auto"/>
                    </w:rPr>
                  </w:pPr>
                  <w:r>
                    <w:rPr>
                      <w:rFonts w:ascii="Times New Roman" w:hAnsi="Times New Roman"/>
                      <w:color w:val="auto"/>
                    </w:rPr>
                    <w:t>0.350</w:t>
                  </w:r>
                </w:p>
              </w:tc>
              <w:tc>
                <w:tcPr>
                  <w:tcW w:w="500" w:type="pct"/>
                  <w:noWrap w:val="0"/>
                  <w:vAlign w:val="center"/>
                </w:tcPr>
                <w:p>
                  <w:pPr>
                    <w:pStyle w:val="49"/>
                    <w:rPr>
                      <w:rFonts w:ascii="Times New Roman" w:hAnsi="Times New Roman"/>
                      <w:color w:val="auto"/>
                    </w:rPr>
                  </w:pPr>
                  <w:r>
                    <w:rPr>
                      <w:rFonts w:ascii="Times New Roman" w:hAnsi="Times New Roman"/>
                      <w:color w:val="auto"/>
                    </w:rPr>
                    <w:t>0.310</w:t>
                  </w:r>
                </w:p>
              </w:tc>
              <w:tc>
                <w:tcPr>
                  <w:tcW w:w="500" w:type="pct"/>
                  <w:noWrap w:val="0"/>
                  <w:vAlign w:val="center"/>
                </w:tcPr>
                <w:p>
                  <w:pPr>
                    <w:pStyle w:val="49"/>
                    <w:rPr>
                      <w:rFonts w:ascii="Times New Roman" w:hAnsi="Times New Roman"/>
                      <w:color w:val="auto"/>
                    </w:rPr>
                  </w:pPr>
                  <w:r>
                    <w:rPr>
                      <w:rFonts w:ascii="Times New Roman" w:hAnsi="Times New Roman"/>
                      <w:color w:val="auto"/>
                    </w:rPr>
                    <w:t>0.265</w:t>
                  </w:r>
                </w:p>
              </w:tc>
              <w:tc>
                <w:tcPr>
                  <w:tcW w:w="500" w:type="pct"/>
                  <w:noWrap w:val="0"/>
                  <w:vAlign w:val="center"/>
                </w:tcPr>
                <w:p>
                  <w:pPr>
                    <w:pStyle w:val="49"/>
                    <w:rPr>
                      <w:rFonts w:ascii="Times New Roman" w:hAnsi="Times New Roman"/>
                      <w:color w:val="auto"/>
                    </w:rPr>
                  </w:pPr>
                  <w:r>
                    <w:rPr>
                      <w:rFonts w:ascii="Times New Roman" w:hAnsi="Times New Roman"/>
                      <w:color w:val="auto"/>
                    </w:rPr>
                    <w:t>0.250</w:t>
                  </w:r>
                </w:p>
              </w:tc>
              <w:tc>
                <w:tcPr>
                  <w:tcW w:w="500" w:type="pct"/>
                  <w:noWrap w:val="0"/>
                  <w:vAlign w:val="center"/>
                </w:tcPr>
                <w:p>
                  <w:pPr>
                    <w:pStyle w:val="49"/>
                    <w:rPr>
                      <w:rFonts w:ascii="Times New Roman" w:hAnsi="Times New Roman"/>
                      <w:color w:val="auto"/>
                    </w:rPr>
                  </w:pPr>
                  <w:r>
                    <w:rPr>
                      <w:rFonts w:ascii="Times New Roman" w:hAnsi="Times New Roman"/>
                      <w:color w:val="auto"/>
                    </w:rPr>
                    <w:t>0.238</w:t>
                  </w:r>
                </w:p>
              </w:tc>
            </w:tr>
          </w:tbl>
          <w:p>
            <w:pPr>
              <w:tabs>
                <w:tab w:val="left" w:pos="709"/>
                <w:tab w:val="left" w:pos="993"/>
              </w:tabs>
              <w:adjustRightInd w:val="0"/>
              <w:snapToGrid w:val="0"/>
              <w:spacing w:before="120" w:beforeLines="50" w:line="360" w:lineRule="auto"/>
              <w:ind w:firstLine="480" w:firstLineChars="200"/>
              <w:outlineLvl w:val="1"/>
              <w:rPr>
                <w:rFonts w:hint="eastAsia" w:cs="宋体"/>
                <w:color w:val="auto"/>
                <w:sz w:val="24"/>
              </w:rPr>
            </w:pPr>
            <w:bookmarkStart w:id="95" w:name="_Toc24543"/>
            <w:r>
              <w:rPr>
                <w:rFonts w:hint="eastAsia" w:cs="宋体"/>
                <w:color w:val="auto"/>
                <w:sz w:val="24"/>
              </w:rPr>
              <w:t>由上表可知，在实施每天洒水4～5次进行抑尘，可有效地控制施工扬尘，可将TSP污染距离缩小到10～50m范围内，TSP浓度可以达到《大气污染物综合排放标准》（GB16297-1996）中TSP无组织排放限值1.0mg/m</w:t>
            </w:r>
            <w:r>
              <w:rPr>
                <w:rFonts w:hint="eastAsia" w:cs="宋体"/>
                <w:color w:val="auto"/>
                <w:sz w:val="24"/>
                <w:vertAlign w:val="superscript"/>
              </w:rPr>
              <w:t>3</w:t>
            </w:r>
            <w:r>
              <w:rPr>
                <w:rFonts w:hint="eastAsia" w:cs="宋体"/>
                <w:color w:val="auto"/>
                <w:sz w:val="24"/>
              </w:rPr>
              <w:t>。</w:t>
            </w:r>
            <w:bookmarkEnd w:id="9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rPr>
            </w:pPr>
            <w:r>
              <w:rPr>
                <w:rFonts w:hint="eastAsia"/>
                <w:sz w:val="24"/>
              </w:rPr>
              <w:t>项目沿线两侧现状无居民区，但建设单位仍需严格落实扬尘防治措施，诸如施工时同时进行洒水降尘等，以缓解工程施工对沿线环境空气质量的影响。采取一定的围挡、降尘措施后，本项目施工粉尘排放对周边环境影响不大。</w:t>
            </w:r>
          </w:p>
          <w:p>
            <w:pPr>
              <w:spacing w:line="360" w:lineRule="auto"/>
              <w:ind w:firstLine="480" w:firstLineChars="200"/>
              <w:rPr>
                <w:sz w:val="24"/>
              </w:rPr>
            </w:pPr>
            <w:r>
              <w:rPr>
                <w:rFonts w:hint="eastAsia"/>
                <w:sz w:val="24"/>
              </w:rPr>
              <w:t>（2）运输扬尘</w:t>
            </w:r>
          </w:p>
          <w:p>
            <w:pPr>
              <w:pStyle w:val="12"/>
              <w:spacing w:before="0" w:after="0" w:line="360" w:lineRule="auto"/>
              <w:ind w:right="0" w:firstLine="480" w:firstLineChars="200"/>
              <w:jc w:val="left"/>
              <w:rPr>
                <w:rFonts w:hint="eastAsia"/>
                <w:sz w:val="24"/>
              </w:rPr>
            </w:pPr>
            <w:r>
              <w:rPr>
                <w:rFonts w:hint="eastAsia"/>
                <w:sz w:val="24"/>
              </w:rPr>
              <w:t>项目土石方和材料运输易引起扬尘及土石方散落影响道路的整洁，从而影响外部运输道路沿线居民的生产生活。</w:t>
            </w:r>
          </w:p>
          <w:p>
            <w:pPr>
              <w:pStyle w:val="12"/>
              <w:spacing w:before="0" w:after="0" w:line="360" w:lineRule="auto"/>
              <w:ind w:right="0" w:firstLine="480" w:firstLineChars="200"/>
              <w:jc w:val="left"/>
              <w:rPr>
                <w:color w:val="auto"/>
                <w:sz w:val="24"/>
                <w:szCs w:val="24"/>
              </w:rPr>
            </w:pPr>
            <w:r>
              <w:rPr>
                <w:color w:val="auto"/>
                <w:sz w:val="24"/>
                <w:szCs w:val="24"/>
              </w:rPr>
              <w:t>在完全干燥的情况下，车辆行驶产生的扬尘可按下列经验公式估算：</w:t>
            </w:r>
          </w:p>
          <w:p>
            <w:pPr>
              <w:spacing w:line="360" w:lineRule="auto"/>
              <w:ind w:firstLine="480"/>
              <w:rPr>
                <w:color w:val="auto"/>
                <w:sz w:val="24"/>
              </w:rPr>
            </w:pPr>
            <w:r>
              <w:rPr>
                <w:color w:val="auto"/>
                <w:sz w:val="24"/>
              </w:rPr>
              <w:t>Q=0.123(V/5)(W/6.8)0.85(P/0.5)0.75</w:t>
            </w:r>
          </w:p>
          <w:p>
            <w:pPr>
              <w:pStyle w:val="12"/>
              <w:tabs>
                <w:tab w:val="left" w:leader="hyphen" w:pos="1807"/>
              </w:tabs>
              <w:spacing w:before="0" w:after="0" w:line="360" w:lineRule="auto"/>
              <w:ind w:right="0" w:firstLine="480"/>
              <w:rPr>
                <w:color w:val="auto"/>
                <w:sz w:val="24"/>
                <w:szCs w:val="24"/>
              </w:rPr>
            </w:pPr>
            <w:r>
              <w:rPr>
                <w:color w:val="auto"/>
                <w:sz w:val="24"/>
                <w:szCs w:val="24"/>
              </w:rPr>
              <w:t>式中：</w:t>
            </w:r>
            <w:r>
              <w:rPr>
                <w:rFonts w:eastAsia="Times New Roman"/>
                <w:color w:val="auto"/>
                <w:sz w:val="24"/>
                <w:szCs w:val="24"/>
              </w:rPr>
              <w:t>Q</w:t>
            </w:r>
            <w:r>
              <w:rPr>
                <w:rFonts w:hint="eastAsia"/>
                <w:color w:val="auto"/>
                <w:sz w:val="24"/>
                <w:szCs w:val="24"/>
              </w:rPr>
              <w:t>——</w:t>
            </w:r>
            <w:r>
              <w:rPr>
                <w:color w:val="auto"/>
                <w:sz w:val="24"/>
                <w:szCs w:val="24"/>
              </w:rPr>
              <w:t>汽车行驶的扬尘</w:t>
            </w:r>
            <w:r>
              <w:rPr>
                <w:rFonts w:eastAsia="Times New Roman"/>
                <w:color w:val="auto"/>
                <w:sz w:val="24"/>
                <w:szCs w:val="24"/>
              </w:rPr>
              <w:t>,kg/km·</w:t>
            </w:r>
            <w:r>
              <w:rPr>
                <w:color w:val="auto"/>
                <w:sz w:val="24"/>
                <w:szCs w:val="24"/>
              </w:rPr>
              <w:t>辆；</w:t>
            </w:r>
          </w:p>
          <w:p>
            <w:pPr>
              <w:pStyle w:val="12"/>
              <w:tabs>
                <w:tab w:val="left" w:leader="hyphen" w:pos="1781"/>
              </w:tabs>
              <w:spacing w:before="0" w:after="0" w:line="360" w:lineRule="auto"/>
              <w:ind w:left="630" w:leftChars="300" w:right="0" w:firstLine="482"/>
              <w:rPr>
                <w:color w:val="auto"/>
                <w:sz w:val="24"/>
                <w:szCs w:val="24"/>
              </w:rPr>
            </w:pPr>
            <w:r>
              <w:rPr>
                <w:rFonts w:eastAsia="Times New Roman"/>
                <w:color w:val="auto"/>
                <w:sz w:val="24"/>
                <w:szCs w:val="24"/>
              </w:rPr>
              <w:t>V</w:t>
            </w:r>
            <w:r>
              <w:rPr>
                <w:rFonts w:hint="eastAsia"/>
                <w:color w:val="auto"/>
                <w:sz w:val="24"/>
                <w:szCs w:val="24"/>
              </w:rPr>
              <w:t>——</w:t>
            </w:r>
            <w:r>
              <w:rPr>
                <w:color w:val="auto"/>
                <w:sz w:val="24"/>
                <w:szCs w:val="24"/>
              </w:rPr>
              <w:t>汽车速度，</w:t>
            </w:r>
            <w:r>
              <w:rPr>
                <w:rFonts w:eastAsia="Times New Roman"/>
                <w:color w:val="auto"/>
                <w:sz w:val="24"/>
                <w:szCs w:val="24"/>
              </w:rPr>
              <w:t>km/h</w:t>
            </w:r>
            <w:r>
              <w:rPr>
                <w:color w:val="auto"/>
                <w:sz w:val="24"/>
                <w:szCs w:val="24"/>
              </w:rPr>
              <w:t>；</w:t>
            </w:r>
          </w:p>
          <w:p>
            <w:pPr>
              <w:pStyle w:val="12"/>
              <w:tabs>
                <w:tab w:val="left" w:leader="hyphen" w:pos="1843"/>
              </w:tabs>
              <w:spacing w:before="0" w:after="0" w:line="360" w:lineRule="auto"/>
              <w:ind w:left="630" w:leftChars="300" w:right="0" w:firstLine="482"/>
              <w:rPr>
                <w:color w:val="auto"/>
                <w:sz w:val="24"/>
                <w:szCs w:val="24"/>
              </w:rPr>
            </w:pPr>
            <w:r>
              <w:rPr>
                <w:rFonts w:eastAsia="Times New Roman"/>
                <w:color w:val="auto"/>
                <w:sz w:val="24"/>
                <w:szCs w:val="24"/>
              </w:rPr>
              <w:t>W</w:t>
            </w:r>
            <w:r>
              <w:rPr>
                <w:rFonts w:hint="eastAsia"/>
                <w:color w:val="auto"/>
                <w:sz w:val="24"/>
                <w:szCs w:val="24"/>
              </w:rPr>
              <w:t>——</w:t>
            </w:r>
            <w:r>
              <w:rPr>
                <w:color w:val="auto"/>
                <w:sz w:val="24"/>
                <w:szCs w:val="24"/>
              </w:rPr>
              <w:t>汽车载重量，</w:t>
            </w:r>
            <w:r>
              <w:rPr>
                <w:rFonts w:eastAsia="Times New Roman"/>
                <w:color w:val="auto"/>
                <w:sz w:val="24"/>
                <w:szCs w:val="24"/>
              </w:rPr>
              <w:t>t</w:t>
            </w:r>
            <w:r>
              <w:rPr>
                <w:color w:val="auto"/>
                <w:sz w:val="24"/>
                <w:szCs w:val="24"/>
              </w:rPr>
              <w:t>；</w:t>
            </w:r>
          </w:p>
          <w:p>
            <w:pPr>
              <w:pStyle w:val="12"/>
              <w:tabs>
                <w:tab w:val="left" w:leader="hyphen" w:pos="1769"/>
              </w:tabs>
              <w:spacing w:before="0" w:after="0" w:line="360" w:lineRule="auto"/>
              <w:ind w:left="630" w:leftChars="300" w:right="0" w:firstLine="482"/>
              <w:rPr>
                <w:color w:val="auto"/>
                <w:sz w:val="24"/>
                <w:szCs w:val="24"/>
              </w:rPr>
            </w:pPr>
            <w:r>
              <w:rPr>
                <w:rFonts w:eastAsia="Times New Roman"/>
                <w:color w:val="auto"/>
                <w:sz w:val="24"/>
                <w:szCs w:val="24"/>
              </w:rPr>
              <w:t>P</w:t>
            </w:r>
            <w:r>
              <w:rPr>
                <w:rFonts w:hint="eastAsia"/>
                <w:color w:val="auto"/>
                <w:sz w:val="24"/>
                <w:szCs w:val="24"/>
              </w:rPr>
              <w:t>——</w:t>
            </w:r>
            <w:r>
              <w:rPr>
                <w:color w:val="auto"/>
                <w:sz w:val="24"/>
                <w:szCs w:val="24"/>
              </w:rPr>
              <w:t>道路表面粉尘量，</w:t>
            </w:r>
            <w:r>
              <w:rPr>
                <w:rFonts w:eastAsia="Times New Roman"/>
                <w:color w:val="auto"/>
                <w:sz w:val="24"/>
                <w:szCs w:val="24"/>
              </w:rPr>
              <w:t>kg/m</w:t>
            </w:r>
            <w:r>
              <w:rPr>
                <w:rFonts w:eastAsia="Times New Roman"/>
                <w:color w:val="auto"/>
                <w:sz w:val="24"/>
                <w:szCs w:val="24"/>
                <w:vertAlign w:val="superscript"/>
              </w:rPr>
              <w:t>2</w:t>
            </w:r>
            <w:r>
              <w:rPr>
                <w:color w:val="auto"/>
                <w:sz w:val="24"/>
                <w:szCs w:val="24"/>
              </w:rPr>
              <w:t>。</w:t>
            </w:r>
          </w:p>
          <w:p>
            <w:pPr>
              <w:pStyle w:val="12"/>
              <w:spacing w:before="0" w:after="0" w:line="360" w:lineRule="auto"/>
              <w:ind w:right="0" w:firstLine="352"/>
              <w:rPr>
                <w:color w:val="auto"/>
                <w:sz w:val="24"/>
                <w:szCs w:val="24"/>
              </w:rPr>
            </w:pPr>
            <w:r>
              <w:rPr>
                <w:color w:val="auto"/>
                <w:sz w:val="24"/>
                <w:szCs w:val="24"/>
              </w:rPr>
              <w:t>表</w:t>
            </w:r>
            <w:r>
              <w:rPr>
                <w:rFonts w:hint="eastAsia"/>
                <w:color w:val="auto"/>
                <w:sz w:val="24"/>
                <w:szCs w:val="24"/>
              </w:rPr>
              <w:t>4</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3</w:t>
            </w:r>
            <w:r>
              <w:rPr>
                <w:rFonts w:hint="eastAsia"/>
                <w:color w:val="auto"/>
                <w:sz w:val="24"/>
                <w:szCs w:val="24"/>
              </w:rPr>
              <w:t>为</w:t>
            </w:r>
            <w:r>
              <w:rPr>
                <w:color w:val="auto"/>
                <w:sz w:val="24"/>
                <w:szCs w:val="24"/>
              </w:rPr>
              <w:t>一辆</w:t>
            </w:r>
            <w:r>
              <w:rPr>
                <w:rFonts w:eastAsia="Times New Roman"/>
                <w:color w:val="auto"/>
                <w:sz w:val="24"/>
                <w:szCs w:val="24"/>
              </w:rPr>
              <w:t>8t</w:t>
            </w:r>
            <w:r>
              <w:rPr>
                <w:color w:val="auto"/>
                <w:sz w:val="24"/>
                <w:szCs w:val="24"/>
              </w:rPr>
              <w:t>卡车在通过一段长度为</w:t>
            </w:r>
            <w:r>
              <w:rPr>
                <w:rFonts w:eastAsia="Times New Roman"/>
                <w:color w:val="auto"/>
                <w:sz w:val="24"/>
                <w:szCs w:val="24"/>
              </w:rPr>
              <w:t>1km</w:t>
            </w:r>
            <w:r>
              <w:rPr>
                <w:color w:val="auto"/>
                <w:sz w:val="24"/>
                <w:szCs w:val="24"/>
              </w:rPr>
              <w:t>的路面时，不同路面清洁程度、不同行驶速度情况下的扬尘量。</w:t>
            </w:r>
          </w:p>
          <w:p>
            <w:pPr>
              <w:pStyle w:val="12"/>
              <w:tabs>
                <w:tab w:val="left" w:pos="1039"/>
              </w:tabs>
              <w:wordWrap w:val="0"/>
              <w:spacing w:before="0" w:after="0" w:line="360" w:lineRule="auto"/>
              <w:ind w:right="0"/>
              <w:jc w:val="right"/>
              <w:rPr>
                <w:rFonts w:eastAsia="黑体"/>
                <w:color w:val="auto"/>
              </w:rPr>
            </w:pPr>
            <w:r>
              <w:rPr>
                <w:rFonts w:eastAsia="黑体"/>
                <w:color w:val="auto"/>
                <w:sz w:val="24"/>
                <w:szCs w:val="24"/>
              </w:rPr>
              <w:t>表</w:t>
            </w:r>
            <w:r>
              <w:rPr>
                <w:rFonts w:hint="eastAsia"/>
                <w:color w:val="auto"/>
                <w:sz w:val="24"/>
                <w:szCs w:val="24"/>
              </w:rPr>
              <w:t>4</w:t>
            </w:r>
            <w:r>
              <w:rPr>
                <w:rFonts w:hint="eastAsia"/>
                <w:color w:val="auto"/>
                <w:sz w:val="24"/>
                <w:szCs w:val="24"/>
                <w:lang w:val="en-US" w:eastAsia="zh-CN"/>
              </w:rPr>
              <w:t>.1</w:t>
            </w:r>
            <w:r>
              <w:rPr>
                <w:rFonts w:hint="eastAsia"/>
                <w:color w:val="auto"/>
                <w:sz w:val="24"/>
                <w:szCs w:val="24"/>
              </w:rPr>
              <w:t>-</w:t>
            </w:r>
            <w:r>
              <w:rPr>
                <w:rFonts w:hint="eastAsia"/>
                <w:color w:val="auto"/>
                <w:sz w:val="24"/>
                <w:szCs w:val="24"/>
                <w:lang w:val="en-US" w:eastAsia="zh-CN"/>
              </w:rPr>
              <w:t>3</w:t>
            </w:r>
            <w:r>
              <w:rPr>
                <w:rFonts w:hint="eastAsia"/>
                <w:color w:val="auto"/>
                <w:sz w:val="24"/>
                <w:szCs w:val="24"/>
              </w:rPr>
              <w:t xml:space="preserve"> </w:t>
            </w:r>
            <w:r>
              <w:rPr>
                <w:rFonts w:eastAsia="Times New Roman"/>
                <w:color w:val="auto"/>
                <w:sz w:val="24"/>
                <w:szCs w:val="24"/>
              </w:rPr>
              <w:t>8t</w:t>
            </w:r>
            <w:r>
              <w:rPr>
                <w:rFonts w:eastAsia="黑体"/>
                <w:color w:val="auto"/>
                <w:sz w:val="24"/>
                <w:szCs w:val="24"/>
              </w:rPr>
              <w:t xml:space="preserve">车辆行驶 </w:t>
            </w:r>
            <w:r>
              <w:rPr>
                <w:rFonts w:eastAsia="Times New Roman"/>
                <w:color w:val="auto"/>
                <w:sz w:val="24"/>
                <w:szCs w:val="24"/>
              </w:rPr>
              <w:t xml:space="preserve">1km </w:t>
            </w:r>
            <w:r>
              <w:rPr>
                <w:rFonts w:eastAsia="黑体"/>
                <w:color w:val="auto"/>
                <w:sz w:val="24"/>
                <w:szCs w:val="24"/>
              </w:rPr>
              <w:t>时道路扬尘量</w:t>
            </w:r>
            <w:r>
              <w:rPr>
                <w:rFonts w:hint="eastAsia" w:eastAsia="黑体"/>
                <w:color w:val="auto"/>
                <w:sz w:val="24"/>
                <w:szCs w:val="24"/>
              </w:rPr>
              <w:t xml:space="preserve">      </w:t>
            </w:r>
            <w:r>
              <w:rPr>
                <w:rFonts w:eastAsia="黑体"/>
                <w:color w:val="auto"/>
                <w:sz w:val="24"/>
                <w:szCs w:val="24"/>
              </w:rPr>
              <w:t>单位：</w:t>
            </w:r>
            <w:r>
              <w:rPr>
                <w:rFonts w:eastAsia="Times New Roman"/>
                <w:color w:val="auto"/>
                <w:sz w:val="24"/>
                <w:szCs w:val="24"/>
              </w:rPr>
              <w:t>kg/km.</w:t>
            </w:r>
            <w:r>
              <w:rPr>
                <w:rFonts w:eastAsia="黑体"/>
                <w:color w:val="auto"/>
                <w:sz w:val="24"/>
                <w:szCs w:val="24"/>
              </w:rPr>
              <w:t>辆</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038"/>
              <w:gridCol w:w="1018"/>
              <w:gridCol w:w="1018"/>
              <w:gridCol w:w="1018"/>
              <w:gridCol w:w="1018"/>
              <w:gridCol w:w="1019"/>
              <w:gridCol w:w="10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1" w:type="pct"/>
                  <w:tcBorders>
                    <w:tl2br w:val="single" w:color="auto" w:sz="4" w:space="0"/>
                  </w:tcBorders>
                  <w:noWrap w:val="0"/>
                  <w:vAlign w:val="center"/>
                </w:tcPr>
                <w:p>
                  <w:pPr>
                    <w:pStyle w:val="84"/>
                    <w:jc w:val="right"/>
                    <w:rPr>
                      <w:rFonts w:ascii="Times New Roman" w:hAnsi="Times New Roman" w:cs="Times New Roman"/>
                      <w:b/>
                      <w:color w:val="auto"/>
                      <w:sz w:val="21"/>
                      <w:lang w:eastAsia="en-US"/>
                    </w:rPr>
                  </w:pPr>
                  <w:r>
                    <w:rPr>
                      <w:rFonts w:ascii="Times New Roman" w:hAnsi="Times New Roman" w:eastAsia="Times New Roman" w:cs="Times New Roman"/>
                      <w:b/>
                      <w:color w:val="auto"/>
                      <w:sz w:val="21"/>
                      <w:lang w:eastAsia="en-US"/>
                    </w:rPr>
                    <w:t>P</w:t>
                  </w:r>
                  <w:r>
                    <w:rPr>
                      <w:rFonts w:ascii="Times New Roman" w:hAnsi="Times New Roman" w:cs="Times New Roman"/>
                      <w:b/>
                      <w:color w:val="auto"/>
                      <w:sz w:val="21"/>
                      <w:lang w:eastAsia="en-US"/>
                    </w:rPr>
                    <w:t>（</w:t>
                  </w:r>
                  <w:r>
                    <w:rPr>
                      <w:rFonts w:ascii="Times New Roman" w:hAnsi="Times New Roman" w:eastAsia="Times New Roman" w:cs="Times New Roman"/>
                      <w:b/>
                      <w:color w:val="auto"/>
                      <w:sz w:val="21"/>
                      <w:lang w:eastAsia="en-US"/>
                    </w:rPr>
                    <w:t>kg/m</w:t>
                  </w:r>
                  <w:r>
                    <w:rPr>
                      <w:rFonts w:ascii="Times New Roman" w:hAnsi="Times New Roman" w:eastAsia="Times New Roman" w:cs="Times New Roman"/>
                      <w:b/>
                      <w:color w:val="auto"/>
                      <w:sz w:val="21"/>
                      <w:vertAlign w:val="superscript"/>
                      <w:lang w:eastAsia="en-US"/>
                    </w:rPr>
                    <w:t>2</w:t>
                  </w:r>
                  <w:r>
                    <w:rPr>
                      <w:rFonts w:ascii="Times New Roman" w:hAnsi="Times New Roman" w:cs="Times New Roman"/>
                      <w:b/>
                      <w:color w:val="auto"/>
                      <w:sz w:val="21"/>
                      <w:lang w:eastAsia="en-US"/>
                    </w:rPr>
                    <w:t>）</w:t>
                  </w:r>
                </w:p>
                <w:p>
                  <w:pPr>
                    <w:pStyle w:val="84"/>
                    <w:rPr>
                      <w:rFonts w:ascii="Times New Roman" w:hAnsi="Times New Roman" w:cs="Times New Roman"/>
                      <w:b/>
                      <w:color w:val="auto"/>
                      <w:sz w:val="21"/>
                      <w:lang w:eastAsia="en-US"/>
                    </w:rPr>
                  </w:pPr>
                  <w:r>
                    <w:rPr>
                      <w:rFonts w:ascii="Times New Roman" w:hAnsi="Times New Roman" w:eastAsia="Times New Roman" w:cs="Times New Roman"/>
                      <w:b/>
                      <w:color w:val="auto"/>
                      <w:sz w:val="21"/>
                      <w:lang w:eastAsia="en-US"/>
                    </w:rPr>
                    <w:t>V</w:t>
                  </w:r>
                  <w:r>
                    <w:rPr>
                      <w:rFonts w:ascii="Times New Roman" w:hAnsi="Times New Roman" w:cs="Times New Roman"/>
                      <w:b/>
                      <w:color w:val="auto"/>
                      <w:sz w:val="21"/>
                      <w:lang w:eastAsia="en-US"/>
                    </w:rPr>
                    <w:t>（</w:t>
                  </w:r>
                  <w:r>
                    <w:rPr>
                      <w:rFonts w:ascii="Times New Roman" w:hAnsi="Times New Roman" w:eastAsia="Times New Roman" w:cs="Times New Roman"/>
                      <w:b/>
                      <w:color w:val="auto"/>
                      <w:sz w:val="21"/>
                      <w:lang w:eastAsia="en-US"/>
                    </w:rPr>
                    <w:t>km/h</w:t>
                  </w:r>
                  <w:r>
                    <w:rPr>
                      <w:rFonts w:ascii="Times New Roman" w:hAnsi="Times New Roman" w:cs="Times New Roman"/>
                      <w:b/>
                      <w:color w:val="auto"/>
                      <w:sz w:val="21"/>
                      <w:lang w:eastAsia="en-US"/>
                    </w:rPr>
                    <w:t>）</w:t>
                  </w:r>
                </w:p>
              </w:tc>
              <w:tc>
                <w:tcPr>
                  <w:tcW w:w="625" w:type="pct"/>
                  <w:noWrap w:val="0"/>
                  <w:vAlign w:val="center"/>
                </w:tcPr>
                <w:p>
                  <w:pPr>
                    <w:pStyle w:val="84"/>
                    <w:jc w:val="center"/>
                    <w:rPr>
                      <w:rFonts w:ascii="Times New Roman" w:hAnsi="Times New Roman" w:cs="Times New Roman"/>
                      <w:b/>
                      <w:color w:val="auto"/>
                      <w:sz w:val="21"/>
                    </w:rPr>
                  </w:pPr>
                  <w:r>
                    <w:rPr>
                      <w:rFonts w:ascii="Times New Roman" w:hAnsi="Times New Roman" w:cs="Times New Roman"/>
                      <w:b/>
                      <w:color w:val="auto"/>
                      <w:sz w:val="21"/>
                    </w:rPr>
                    <w:t>0.1</w:t>
                  </w:r>
                </w:p>
              </w:tc>
              <w:tc>
                <w:tcPr>
                  <w:tcW w:w="625" w:type="pct"/>
                  <w:noWrap w:val="0"/>
                  <w:vAlign w:val="center"/>
                </w:tcPr>
                <w:p>
                  <w:pPr>
                    <w:pStyle w:val="84"/>
                    <w:jc w:val="center"/>
                    <w:rPr>
                      <w:rFonts w:ascii="Times New Roman" w:hAnsi="Times New Roman" w:cs="Times New Roman"/>
                      <w:b/>
                      <w:color w:val="auto"/>
                      <w:sz w:val="21"/>
                    </w:rPr>
                  </w:pPr>
                  <w:r>
                    <w:rPr>
                      <w:rFonts w:ascii="Times New Roman" w:hAnsi="Times New Roman" w:cs="Times New Roman"/>
                      <w:b/>
                      <w:color w:val="auto"/>
                      <w:sz w:val="21"/>
                    </w:rPr>
                    <w:t>0.2</w:t>
                  </w:r>
                </w:p>
              </w:tc>
              <w:tc>
                <w:tcPr>
                  <w:tcW w:w="625" w:type="pct"/>
                  <w:noWrap w:val="0"/>
                  <w:vAlign w:val="center"/>
                </w:tcPr>
                <w:p>
                  <w:pPr>
                    <w:pStyle w:val="84"/>
                    <w:jc w:val="center"/>
                    <w:rPr>
                      <w:rFonts w:ascii="Times New Roman" w:hAnsi="Times New Roman" w:cs="Times New Roman"/>
                      <w:b/>
                      <w:color w:val="auto"/>
                      <w:sz w:val="21"/>
                    </w:rPr>
                  </w:pPr>
                  <w:r>
                    <w:rPr>
                      <w:rFonts w:ascii="Times New Roman" w:hAnsi="Times New Roman" w:cs="Times New Roman"/>
                      <w:b/>
                      <w:color w:val="auto"/>
                      <w:sz w:val="21"/>
                    </w:rPr>
                    <w:t>0.3</w:t>
                  </w:r>
                </w:p>
              </w:tc>
              <w:tc>
                <w:tcPr>
                  <w:tcW w:w="625" w:type="pct"/>
                  <w:noWrap w:val="0"/>
                  <w:vAlign w:val="center"/>
                </w:tcPr>
                <w:p>
                  <w:pPr>
                    <w:pStyle w:val="84"/>
                    <w:jc w:val="center"/>
                    <w:rPr>
                      <w:rFonts w:ascii="Times New Roman" w:hAnsi="Times New Roman" w:cs="Times New Roman"/>
                      <w:b/>
                      <w:color w:val="auto"/>
                      <w:sz w:val="21"/>
                    </w:rPr>
                  </w:pPr>
                  <w:r>
                    <w:rPr>
                      <w:rFonts w:ascii="Times New Roman" w:hAnsi="Times New Roman" w:cs="Times New Roman"/>
                      <w:b/>
                      <w:color w:val="auto"/>
                      <w:sz w:val="21"/>
                    </w:rPr>
                    <w:t>0.4</w:t>
                  </w:r>
                </w:p>
              </w:tc>
              <w:tc>
                <w:tcPr>
                  <w:tcW w:w="625" w:type="pct"/>
                  <w:noWrap w:val="0"/>
                  <w:vAlign w:val="center"/>
                </w:tcPr>
                <w:p>
                  <w:pPr>
                    <w:pStyle w:val="84"/>
                    <w:jc w:val="center"/>
                    <w:rPr>
                      <w:rFonts w:ascii="Times New Roman" w:hAnsi="Times New Roman" w:cs="Times New Roman"/>
                      <w:b/>
                      <w:color w:val="auto"/>
                      <w:sz w:val="21"/>
                    </w:rPr>
                  </w:pPr>
                  <w:r>
                    <w:rPr>
                      <w:rFonts w:ascii="Times New Roman" w:hAnsi="Times New Roman" w:cs="Times New Roman"/>
                      <w:b/>
                      <w:color w:val="auto"/>
                      <w:sz w:val="21"/>
                    </w:rPr>
                    <w:t>0.5</w:t>
                  </w:r>
                </w:p>
              </w:tc>
              <w:tc>
                <w:tcPr>
                  <w:tcW w:w="625" w:type="pct"/>
                  <w:noWrap w:val="0"/>
                  <w:vAlign w:val="center"/>
                </w:tcPr>
                <w:p>
                  <w:pPr>
                    <w:pStyle w:val="84"/>
                    <w:jc w:val="center"/>
                    <w:rPr>
                      <w:rFonts w:ascii="Times New Roman" w:hAnsi="Times New Roman" w:cs="Times New Roman"/>
                      <w:b/>
                      <w:color w:val="auto"/>
                      <w:sz w:val="21"/>
                    </w:rPr>
                  </w:pPr>
                  <w:r>
                    <w:rPr>
                      <w:rFonts w:ascii="Times New Roman" w:hAnsi="Times New Roman" w:cs="Times New Roman"/>
                      <w:b/>
                      <w:color w:val="auto"/>
                      <w:sz w:val="21"/>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1"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5</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0.042</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0.072</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0.097</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0.119</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0.141</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0.237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1"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10</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0.085</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0.141</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0.192</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0.238</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0.282</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0.476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1"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15</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0.127</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0.213</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0.289</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0.358</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0.423</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0.713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251"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20</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0.168</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0.285</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0.385</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0.477</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0.565</w:t>
                  </w:r>
                </w:p>
              </w:tc>
              <w:tc>
                <w:tcPr>
                  <w:tcW w:w="625" w:type="pct"/>
                  <w:noWrap w:val="0"/>
                  <w:vAlign w:val="center"/>
                </w:tcPr>
                <w:p>
                  <w:pPr>
                    <w:pStyle w:val="84"/>
                    <w:jc w:val="center"/>
                    <w:rPr>
                      <w:rFonts w:ascii="Times New Roman" w:hAnsi="Times New Roman" w:cs="Times New Roman"/>
                      <w:color w:val="auto"/>
                      <w:sz w:val="21"/>
                    </w:rPr>
                  </w:pPr>
                  <w:r>
                    <w:rPr>
                      <w:rFonts w:ascii="Times New Roman" w:hAnsi="Times New Roman" w:cs="Times New Roman"/>
                      <w:color w:val="auto"/>
                      <w:sz w:val="21"/>
                    </w:rPr>
                    <w:t>0.950</w:t>
                  </w:r>
                </w:p>
              </w:tc>
            </w:tr>
          </w:tbl>
          <w:p>
            <w:pPr>
              <w:pStyle w:val="12"/>
              <w:spacing w:before="120" w:beforeLines="50" w:after="0" w:line="360" w:lineRule="auto"/>
              <w:ind w:right="0" w:firstLine="480" w:firstLineChars="200"/>
              <w:jc w:val="left"/>
              <w:rPr>
                <w:color w:val="auto"/>
                <w:sz w:val="24"/>
                <w:szCs w:val="24"/>
              </w:rPr>
            </w:pPr>
            <w:r>
              <w:rPr>
                <w:color w:val="auto"/>
                <w:sz w:val="24"/>
                <w:szCs w:val="24"/>
              </w:rPr>
              <w:t>由上表可见，在相同路面清洁程度条件下，车速越快，扬尘量越大；而在相同车速情况下，路面越脏，则扬尘量越大。因此，限制车辆行驶速度及保持路面清洁是减少汽车行驶扬尘的有效手段。</w:t>
            </w:r>
          </w:p>
          <w:p>
            <w:pPr>
              <w:pStyle w:val="12"/>
              <w:spacing w:before="0" w:after="0" w:line="360" w:lineRule="auto"/>
              <w:ind w:right="0" w:firstLine="480" w:firstLineChars="200"/>
              <w:jc w:val="left"/>
              <w:rPr>
                <w:color w:val="auto"/>
                <w:sz w:val="24"/>
                <w:szCs w:val="24"/>
              </w:rPr>
            </w:pPr>
            <w:r>
              <w:rPr>
                <w:color w:val="auto"/>
                <w:sz w:val="24"/>
                <w:szCs w:val="24"/>
              </w:rPr>
              <w:t>类比相关工程经验，在相同交通运输量情况下，车辆扬尘的影响范围为道路两侧约</w:t>
            </w:r>
            <w:r>
              <w:rPr>
                <w:rFonts w:eastAsia="Times New Roman"/>
                <w:color w:val="auto"/>
                <w:sz w:val="24"/>
                <w:szCs w:val="24"/>
              </w:rPr>
              <w:t>100m</w:t>
            </w:r>
            <w:r>
              <w:rPr>
                <w:color w:val="auto"/>
                <w:sz w:val="24"/>
                <w:szCs w:val="24"/>
              </w:rPr>
              <w:t>。工程施工期可以通过洒水、降低车速及加强运输车辆防护等措施有效减轻运输扬尘的影响。</w:t>
            </w:r>
          </w:p>
          <w:p>
            <w:pPr>
              <w:spacing w:line="360" w:lineRule="auto"/>
              <w:ind w:firstLine="480" w:firstLineChars="200"/>
              <w:rPr>
                <w:sz w:val="24"/>
              </w:rPr>
            </w:pPr>
            <w:r>
              <w:rPr>
                <w:rFonts w:hint="eastAsia"/>
                <w:sz w:val="24"/>
              </w:rPr>
              <w:t>建设单位在施工场地主出口设洗车平台，物料、渣土、垃圾运输出场车辆在此清洗轮胎及车身，防止将工地泥土带入道路；运送土方的车辆不过载，不超速行驶，有专用防泄漏的帆布苫盖。</w:t>
            </w:r>
          </w:p>
          <w:p>
            <w:pPr>
              <w:spacing w:line="360" w:lineRule="auto"/>
              <w:ind w:firstLine="480" w:firstLineChars="200"/>
              <w:rPr>
                <w:sz w:val="24"/>
              </w:rPr>
            </w:pPr>
            <w:r>
              <w:rPr>
                <w:rFonts w:hint="eastAsia"/>
                <w:sz w:val="24"/>
              </w:rPr>
              <w:t>通过上述措施能减缓道路扬尘对运输沿线居民的影响，随着施工期的结束，</w:t>
            </w:r>
            <w:r>
              <w:rPr>
                <w:color w:val="auto"/>
                <w:sz w:val="24"/>
                <w:szCs w:val="24"/>
              </w:rPr>
              <w:t>影响将逐渐消失</w:t>
            </w:r>
            <w:r>
              <w:rPr>
                <w:rFonts w:hint="eastAsia"/>
                <w:sz w:val="24"/>
              </w:rPr>
              <w:t>。</w:t>
            </w:r>
          </w:p>
          <w:p>
            <w:pPr>
              <w:tabs>
                <w:tab w:val="left" w:pos="709"/>
                <w:tab w:val="left" w:pos="993"/>
              </w:tabs>
              <w:adjustRightInd w:val="0"/>
              <w:snapToGrid w:val="0"/>
              <w:spacing w:line="360" w:lineRule="auto"/>
              <w:ind w:firstLine="480" w:firstLineChars="200"/>
              <w:outlineLvl w:val="1"/>
              <w:rPr>
                <w:sz w:val="24"/>
              </w:rPr>
            </w:pPr>
            <w:r>
              <w:rPr>
                <w:sz w:val="24"/>
              </w:rPr>
              <w:t>（</w:t>
            </w:r>
            <w:r>
              <w:rPr>
                <w:rFonts w:hint="eastAsia"/>
                <w:sz w:val="24"/>
              </w:rPr>
              <w:t>3</w:t>
            </w:r>
            <w:r>
              <w:rPr>
                <w:sz w:val="24"/>
              </w:rPr>
              <w:t>）汽车尾气、施工设备燃料废气</w:t>
            </w:r>
          </w:p>
          <w:p>
            <w:pPr>
              <w:pStyle w:val="58"/>
              <w:ind w:firstLine="480"/>
              <w:outlineLvl w:val="1"/>
            </w:pPr>
            <w:r>
              <w:rPr>
                <w:rFonts w:hint="eastAsia"/>
              </w:rPr>
              <w:t>施工车辆、施工机械等因燃油产生的CO、THC、NOx等污染物，施工车辆、施工机械在现场范围内活动，尾气呈面源污染形式，尾气扩散范围有限。车辆为非连续行驶状态，施工采用分段进行，且每段施工时间有限，污染物排放时间和排放量相对较少，所以不会对周围环境空气有明显影响，与营运期道路车辆尾气排放量相比，施工期尾气排放非常有限，对周边环境空气的影响在可接受范围内。</w:t>
            </w:r>
          </w:p>
          <w:p>
            <w:pPr>
              <w:tabs>
                <w:tab w:val="left" w:pos="709"/>
                <w:tab w:val="left" w:pos="993"/>
              </w:tabs>
              <w:adjustRightInd w:val="0"/>
              <w:snapToGrid w:val="0"/>
              <w:spacing w:line="360" w:lineRule="auto"/>
              <w:ind w:firstLine="480" w:firstLineChars="200"/>
              <w:outlineLvl w:val="1"/>
              <w:rPr>
                <w:rFonts w:hint="default" w:eastAsia="宋体"/>
                <w:sz w:val="24"/>
                <w:lang w:val="en-US" w:eastAsia="zh-CN"/>
              </w:rPr>
            </w:pPr>
            <w:bookmarkStart w:id="96" w:name="_Toc2643"/>
            <w:r>
              <w:rPr>
                <w:sz w:val="24"/>
              </w:rPr>
              <w:t>（</w:t>
            </w:r>
            <w:r>
              <w:rPr>
                <w:rFonts w:hint="eastAsia"/>
                <w:sz w:val="24"/>
                <w:lang w:val="en-US" w:eastAsia="zh-CN"/>
              </w:rPr>
              <w:t>4</w:t>
            </w:r>
            <w:r>
              <w:rPr>
                <w:sz w:val="24"/>
              </w:rPr>
              <w:t>）</w:t>
            </w:r>
            <w:r>
              <w:rPr>
                <w:rFonts w:hint="eastAsia"/>
                <w:sz w:val="24"/>
                <w:lang w:val="en-US" w:eastAsia="zh-CN"/>
              </w:rPr>
              <w:t>堆场扬尘</w:t>
            </w:r>
          </w:p>
          <w:p>
            <w:pPr>
              <w:pStyle w:val="58"/>
              <w:ind w:firstLine="480"/>
              <w:outlineLvl w:val="1"/>
              <w:rPr>
                <w:rFonts w:hint="eastAsia" w:ascii="Times New Roman" w:hAnsi="Times New Roman" w:eastAsia="宋体" w:cs="Times New Roman"/>
                <w:color w:val="auto"/>
                <w:szCs w:val="24"/>
                <w:lang w:val="en-US" w:eastAsia="zh-CN"/>
              </w:rPr>
            </w:pPr>
            <w:r>
              <w:rPr>
                <w:rFonts w:hint="eastAsia" w:ascii="Times New Roman" w:hAnsi="Times New Roman" w:eastAsia="宋体" w:cs="Times New Roman"/>
                <w:color w:val="auto"/>
                <w:szCs w:val="24"/>
                <w:lang w:val="en-US" w:eastAsia="zh-CN"/>
              </w:rPr>
              <w:t>项目拟设置临时施工场地，粉状材料堆放和装卸、运输过程中容易受扰动而起尘，包括料堆的风吹扬尘、装卸扬尘和过往车辆引起路面积尘二次扬尘，会对周围环境造成一定的影响，但通过洒水可以有效地抑制扬尘，使扬尘量减少</w:t>
            </w:r>
            <w:r>
              <w:rPr>
                <w:rFonts w:hint="default" w:ascii="Times New Roman" w:hAnsi="Times New Roman" w:eastAsia="宋体" w:cs="Times New Roman"/>
                <w:color w:val="auto"/>
                <w:szCs w:val="24"/>
                <w:lang w:val="en-US" w:eastAsia="zh-CN"/>
              </w:rPr>
              <w:t>70%</w:t>
            </w:r>
            <w:r>
              <w:rPr>
                <w:rFonts w:hint="eastAsia" w:ascii="Times New Roman" w:hAnsi="Times New Roman" w:eastAsia="宋体" w:cs="Times New Roman"/>
                <w:color w:val="auto"/>
                <w:szCs w:val="24"/>
                <w:lang w:val="en-US" w:eastAsia="zh-CN"/>
              </w:rPr>
              <w:t>。此外，通过对粉状物料和土方、表土采取遮盖防风措施也能有效减少扬尘污染。</w:t>
            </w:r>
            <w:bookmarkEnd w:id="96"/>
          </w:p>
          <w:p>
            <w:pPr>
              <w:spacing w:line="360" w:lineRule="auto"/>
              <w:ind w:firstLine="480" w:firstLineChars="200"/>
              <w:rPr>
                <w:sz w:val="24"/>
              </w:rPr>
            </w:pPr>
            <w:r>
              <w:rPr>
                <w:rFonts w:hint="eastAsia"/>
                <w:sz w:val="24"/>
              </w:rPr>
              <w:t>（</w:t>
            </w:r>
            <w:r>
              <w:rPr>
                <w:rFonts w:hint="eastAsia"/>
                <w:sz w:val="24"/>
                <w:lang w:val="en-US" w:eastAsia="zh-CN"/>
              </w:rPr>
              <w:t>5</w:t>
            </w:r>
            <w:r>
              <w:rPr>
                <w:rFonts w:hint="eastAsia"/>
                <w:sz w:val="24"/>
              </w:rPr>
              <w:t>）沥青烟</w:t>
            </w:r>
          </w:p>
          <w:p>
            <w:pPr>
              <w:spacing w:line="360" w:lineRule="auto"/>
              <w:ind w:firstLine="480" w:firstLineChars="200"/>
              <w:rPr>
                <w:sz w:val="24"/>
              </w:rPr>
            </w:pPr>
            <w:r>
              <w:rPr>
                <w:rFonts w:hint="eastAsia"/>
                <w:sz w:val="24"/>
              </w:rPr>
              <w:t>本项目购商品沥青，施工现场不设置沥青搅拌站，因此只有在沥青摊铺过程中会散发少量的沥青烟，呈无组织排放，主要污染物为THC、酚、苯并(a)芘以及异味气体，其影响范围一般在周边50m之内以及在下风向100m距离左右。</w:t>
            </w:r>
          </w:p>
          <w:p>
            <w:pPr>
              <w:spacing w:line="360" w:lineRule="auto"/>
              <w:ind w:firstLine="480" w:firstLineChars="200"/>
              <w:rPr>
                <w:sz w:val="24"/>
              </w:rPr>
            </w:pPr>
            <w:r>
              <w:rPr>
                <w:rFonts w:hint="eastAsia"/>
                <w:sz w:val="24"/>
              </w:rPr>
              <w:t>通常沥青摊铺是流动推进作业，对某一固定点的影响只是暂时或瞬时的，危害较小，只是路面摊铺完成后，一定时期还会有挥发性有机物排出，排出量与固化速度有关，其浓度值低于作业时的浓度值。因此，本项目沥青烟气产生量较小，对周围环境影响较小。</w:t>
            </w:r>
          </w:p>
          <w:p>
            <w:pPr>
              <w:pStyle w:val="58"/>
              <w:ind w:firstLine="0" w:firstLineChars="0"/>
              <w:outlineLvl w:val="1"/>
              <w:rPr>
                <w:b/>
                <w:bCs/>
                <w:sz w:val="30"/>
                <w:szCs w:val="30"/>
              </w:rPr>
            </w:pPr>
            <w:r>
              <w:rPr>
                <w:rFonts w:hint="eastAsia"/>
                <w:b/>
                <w:bCs/>
                <w:sz w:val="30"/>
                <w:szCs w:val="30"/>
              </w:rPr>
              <w:t xml:space="preserve">4.3 </w:t>
            </w:r>
            <w:r>
              <w:rPr>
                <w:b/>
                <w:bCs/>
                <w:sz w:val="30"/>
                <w:szCs w:val="30"/>
              </w:rPr>
              <w:t>声环境</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道路建设项目的施工作业噪声主要来自于施工的机械噪声</w:t>
            </w:r>
            <w:r>
              <w:rPr>
                <w:rFonts w:hint="eastAsia" w:ascii="Times New Roman" w:hAnsi="Times New Roman" w:cs="Times New Roman"/>
                <w:snapToGrid w:val="0"/>
                <w:kern w:val="0"/>
                <w:sz w:val="24"/>
                <w:lang w:eastAsia="zh-CN"/>
              </w:rPr>
              <w:t>，</w:t>
            </w:r>
            <w:r>
              <w:rPr>
                <w:rFonts w:hint="default" w:ascii="Times New Roman" w:hAnsi="Times New Roman" w:cs="Times New Roman"/>
                <w:snapToGrid w:val="0"/>
                <w:kern w:val="0"/>
                <w:sz w:val="24"/>
              </w:rPr>
              <w:t>施工过程中，伴有建筑材料的运输车辆所带来的辐射噪声，建材运输时，运输道路会不可避免的选择一些敏感点附近的现有道路，这些运输车辆发出的辐射噪声会对沿线的声环境敏感点产生一定影响。</w:t>
            </w:r>
          </w:p>
          <w:p>
            <w:pPr>
              <w:spacing w:line="360" w:lineRule="auto"/>
              <w:ind w:firstLine="480"/>
              <w:rPr>
                <w:rFonts w:hint="eastAsia"/>
                <w:color w:val="auto"/>
                <w:sz w:val="24"/>
                <w:lang w:val="en-US" w:eastAsia="zh-CN"/>
              </w:rPr>
            </w:pPr>
            <w:r>
              <w:rPr>
                <w:rFonts w:hint="eastAsia"/>
                <w:snapToGrid w:val="0"/>
                <w:color w:val="auto"/>
                <w:kern w:val="0"/>
                <w:sz w:val="24"/>
                <w:lang w:val="en-US" w:eastAsia="zh-CN"/>
              </w:rPr>
              <w:t>项目施工沿线现状无声环境保护目标，工程</w:t>
            </w:r>
            <w:r>
              <w:rPr>
                <w:rFonts w:hint="eastAsia"/>
                <w:color w:val="auto"/>
                <w:sz w:val="24"/>
                <w:lang w:val="en-US" w:eastAsia="zh-CN"/>
              </w:rPr>
              <w:t>施工噪声对环境的影响在可接受范围内。</w:t>
            </w:r>
          </w:p>
          <w:p>
            <w:pPr>
              <w:spacing w:line="360" w:lineRule="auto"/>
              <w:ind w:firstLine="480" w:firstLineChars="200"/>
              <w:outlineLvl w:val="1"/>
              <w:rPr>
                <w:sz w:val="24"/>
              </w:rPr>
            </w:pPr>
            <w:r>
              <w:rPr>
                <w:rFonts w:hint="eastAsia"/>
                <w:sz w:val="24"/>
              </w:rPr>
              <w:t>具体影响分析见声环境专项评价内容。</w:t>
            </w:r>
          </w:p>
          <w:p>
            <w:pPr>
              <w:adjustRightInd w:val="0"/>
              <w:snapToGrid w:val="0"/>
              <w:spacing w:line="360" w:lineRule="auto"/>
              <w:outlineLvl w:val="1"/>
              <w:rPr>
                <w:b/>
                <w:sz w:val="30"/>
                <w:szCs w:val="30"/>
              </w:rPr>
            </w:pPr>
            <w:r>
              <w:rPr>
                <w:rFonts w:hint="eastAsia"/>
                <w:b/>
                <w:sz w:val="30"/>
                <w:szCs w:val="30"/>
              </w:rPr>
              <w:t xml:space="preserve">4.4 </w:t>
            </w:r>
            <w:r>
              <w:rPr>
                <w:b/>
                <w:sz w:val="30"/>
                <w:szCs w:val="30"/>
              </w:rPr>
              <w:t>固体废物</w:t>
            </w:r>
          </w:p>
          <w:p>
            <w:pPr>
              <w:spacing w:line="360" w:lineRule="auto"/>
              <w:ind w:firstLine="480" w:firstLineChars="200"/>
              <w:outlineLvl w:val="1"/>
              <w:rPr>
                <w:sz w:val="24"/>
                <w:szCs w:val="28"/>
              </w:rPr>
            </w:pPr>
            <w:r>
              <w:rPr>
                <w:sz w:val="24"/>
                <w:szCs w:val="28"/>
              </w:rPr>
              <w:t>施工期固体废物主要为建筑垃圾</w:t>
            </w:r>
            <w:r>
              <w:rPr>
                <w:rFonts w:hint="eastAsia"/>
                <w:sz w:val="24"/>
                <w:szCs w:val="28"/>
              </w:rPr>
              <w:t>、</w:t>
            </w:r>
            <w:r>
              <w:rPr>
                <w:sz w:val="24"/>
                <w:szCs w:val="28"/>
              </w:rPr>
              <w:t>施工人员的生活垃圾</w:t>
            </w:r>
            <w:r>
              <w:rPr>
                <w:rFonts w:hint="eastAsia"/>
                <w:sz w:val="24"/>
                <w:szCs w:val="28"/>
              </w:rPr>
              <w:t>及弃方</w:t>
            </w:r>
            <w:r>
              <w:rPr>
                <w:sz w:val="24"/>
                <w:szCs w:val="28"/>
              </w:rPr>
              <w:t>。</w:t>
            </w:r>
          </w:p>
          <w:p>
            <w:pPr>
              <w:spacing w:line="360" w:lineRule="auto"/>
              <w:ind w:firstLine="480" w:firstLineChars="200"/>
              <w:outlineLvl w:val="1"/>
              <w:rPr>
                <w:sz w:val="24"/>
                <w:szCs w:val="28"/>
              </w:rPr>
            </w:pPr>
            <w:r>
              <w:rPr>
                <w:rFonts w:hint="eastAsia"/>
                <w:sz w:val="24"/>
                <w:szCs w:val="28"/>
              </w:rPr>
              <w:t>（1）余方</w:t>
            </w:r>
          </w:p>
          <w:p>
            <w:pPr>
              <w:spacing w:line="360" w:lineRule="auto"/>
              <w:ind w:firstLine="480" w:firstLineChars="200"/>
              <w:outlineLvl w:val="1"/>
              <w:rPr>
                <w:sz w:val="24"/>
                <w:szCs w:val="28"/>
              </w:rPr>
            </w:pPr>
            <w:r>
              <w:rPr>
                <w:rFonts w:hint="eastAsia"/>
                <w:sz w:val="24"/>
                <w:szCs w:val="28"/>
              </w:rPr>
              <w:t>本项目13.06万m³，填方7.41万m³（含外购绿化种植土1.4万m³），余方7.05万m³</w:t>
            </w:r>
            <w:r>
              <w:rPr>
                <w:sz w:val="24"/>
              </w:rPr>
              <w:t>，全部</w:t>
            </w:r>
            <w:r>
              <w:rPr>
                <w:rFonts w:hint="eastAsia"/>
                <w:sz w:val="24"/>
              </w:rPr>
              <w:t>由福清市建筑垃圾资源信息平台进行调配。项目余方可以得到妥善处置，对周围环境影响较小</w:t>
            </w:r>
            <w:r>
              <w:rPr>
                <w:rFonts w:hint="eastAsia"/>
                <w:sz w:val="24"/>
                <w:szCs w:val="28"/>
              </w:rPr>
              <w:t>。</w:t>
            </w:r>
          </w:p>
          <w:p>
            <w:pPr>
              <w:spacing w:line="360" w:lineRule="auto"/>
              <w:ind w:firstLine="480" w:firstLineChars="200"/>
              <w:outlineLvl w:val="1"/>
              <w:rPr>
                <w:sz w:val="24"/>
                <w:szCs w:val="28"/>
              </w:rPr>
            </w:pPr>
            <w:r>
              <w:rPr>
                <w:sz w:val="24"/>
                <w:szCs w:val="28"/>
              </w:rPr>
              <w:t>（</w:t>
            </w:r>
            <w:r>
              <w:rPr>
                <w:rFonts w:hint="eastAsia"/>
                <w:sz w:val="24"/>
                <w:szCs w:val="28"/>
              </w:rPr>
              <w:t>2</w:t>
            </w:r>
            <w:r>
              <w:rPr>
                <w:sz w:val="24"/>
                <w:szCs w:val="28"/>
              </w:rPr>
              <w:t>）建筑垃圾</w:t>
            </w:r>
          </w:p>
          <w:p>
            <w:pPr>
              <w:spacing w:line="360" w:lineRule="auto"/>
              <w:ind w:firstLine="480" w:firstLineChars="200"/>
              <w:outlineLvl w:val="1"/>
              <w:rPr>
                <w:sz w:val="24"/>
                <w:szCs w:val="28"/>
              </w:rPr>
            </w:pPr>
            <w:r>
              <w:rPr>
                <w:sz w:val="24"/>
                <w:szCs w:val="28"/>
              </w:rPr>
              <w:t>施工场地的建筑垃圾主要是指剩余的筑路材料，包括石料、砂、石灰、水泥、钢材、木料、预制构件等。上述筑路材料均是按施工进度有计划购置的，但</w:t>
            </w:r>
            <w:r>
              <w:rPr>
                <w:rFonts w:hint="eastAsia"/>
                <w:sz w:val="24"/>
                <w:szCs w:val="28"/>
              </w:rPr>
              <w:t>施工过程</w:t>
            </w:r>
            <w:r>
              <w:rPr>
                <w:sz w:val="24"/>
                <w:szCs w:val="28"/>
              </w:rPr>
              <w:t>难免有少量的筑路材料余下来，放置在</w:t>
            </w:r>
            <w:r>
              <w:rPr>
                <w:rFonts w:hint="eastAsia"/>
                <w:sz w:val="24"/>
                <w:szCs w:val="28"/>
              </w:rPr>
              <w:t>道路沿线，</w:t>
            </w:r>
            <w:r>
              <w:rPr>
                <w:sz w:val="24"/>
                <w:szCs w:val="28"/>
              </w:rPr>
              <w:t>或露天堆放、杂乱无序，从宏观上与周围环境很不协调，造成视觉污染。若石灰或水泥随水渗入地下，将使土壤板结、pH值升高，同时还会污染地下水，使该块土地失去生产能力，浪费了珍贵的土地资源。</w:t>
            </w:r>
          </w:p>
          <w:p>
            <w:pPr>
              <w:spacing w:line="360" w:lineRule="auto"/>
              <w:ind w:firstLine="480" w:firstLineChars="200"/>
              <w:outlineLvl w:val="1"/>
              <w:rPr>
                <w:rFonts w:hint="eastAsia"/>
              </w:rPr>
            </w:pPr>
            <w:r>
              <w:rPr>
                <w:sz w:val="24"/>
                <w:szCs w:val="28"/>
              </w:rPr>
              <w:t>为降低和消除上述固体废物对环境的影响，首先是按计划和按操作规程施工，严格控制，尽量减少余下的物料。一旦有余下的材料，将其有序地存放好，妥善保管，可供周边地区修补乡村道路或建筑使用，这样就可减轻建筑垃圾对环境的影响。</w:t>
            </w:r>
          </w:p>
          <w:p>
            <w:pPr>
              <w:spacing w:line="360" w:lineRule="auto"/>
              <w:ind w:firstLine="480" w:firstLineChars="200"/>
              <w:outlineLvl w:val="1"/>
              <w:rPr>
                <w:sz w:val="24"/>
                <w:szCs w:val="28"/>
              </w:rPr>
            </w:pPr>
            <w:r>
              <w:rPr>
                <w:sz w:val="24"/>
                <w:szCs w:val="28"/>
              </w:rPr>
              <w:t>（</w:t>
            </w:r>
            <w:r>
              <w:rPr>
                <w:rFonts w:hint="eastAsia"/>
                <w:sz w:val="24"/>
                <w:szCs w:val="28"/>
              </w:rPr>
              <w:t>3</w:t>
            </w:r>
            <w:r>
              <w:rPr>
                <w:sz w:val="24"/>
                <w:szCs w:val="28"/>
              </w:rPr>
              <w:t>）生活垃圾</w:t>
            </w:r>
          </w:p>
          <w:p>
            <w:pPr>
              <w:spacing w:line="360" w:lineRule="auto"/>
              <w:ind w:firstLine="480" w:firstLineChars="200"/>
              <w:outlineLvl w:val="1"/>
              <w:rPr>
                <w:sz w:val="24"/>
                <w:szCs w:val="28"/>
              </w:rPr>
            </w:pPr>
            <w:r>
              <w:rPr>
                <w:rFonts w:hint="eastAsia"/>
                <w:sz w:val="24"/>
                <w:szCs w:val="28"/>
              </w:rPr>
              <w:t>施工期平均人数为</w:t>
            </w:r>
            <w:r>
              <w:rPr>
                <w:rFonts w:hint="eastAsia"/>
                <w:sz w:val="24"/>
                <w:szCs w:val="28"/>
                <w:lang w:val="en-US" w:eastAsia="zh-CN"/>
              </w:rPr>
              <w:t>100</w:t>
            </w:r>
            <w:r>
              <w:rPr>
                <w:rFonts w:hint="eastAsia"/>
                <w:sz w:val="24"/>
                <w:szCs w:val="28"/>
              </w:rPr>
              <w:t>人。按施工人员人均生活垃圾产生量1.0kg/人·d计，施工期日均生活垃圾产生量为0.</w:t>
            </w:r>
            <w:r>
              <w:rPr>
                <w:rFonts w:hint="eastAsia"/>
                <w:sz w:val="24"/>
                <w:szCs w:val="28"/>
                <w:lang w:val="en-US" w:eastAsia="zh-CN"/>
              </w:rPr>
              <w:t>1</w:t>
            </w:r>
            <w:r>
              <w:rPr>
                <w:rFonts w:hint="eastAsia"/>
                <w:sz w:val="24"/>
                <w:szCs w:val="28"/>
              </w:rPr>
              <w:t>t/d。</w:t>
            </w:r>
            <w:r>
              <w:rPr>
                <w:sz w:val="24"/>
                <w:szCs w:val="28"/>
              </w:rPr>
              <w:t>施工人员产生的生活垃圾</w:t>
            </w:r>
            <w:r>
              <w:rPr>
                <w:rFonts w:hint="eastAsia"/>
                <w:sz w:val="24"/>
                <w:szCs w:val="28"/>
              </w:rPr>
              <w:t>若不及时处置，</w:t>
            </w:r>
            <w:r>
              <w:rPr>
                <w:sz w:val="24"/>
                <w:szCs w:val="28"/>
              </w:rPr>
              <w:t>易腐败变质，产生恶臭，孳生蚊蝇并传播疾病，对施工人员的健康和周围环境造成不利影响。</w:t>
            </w:r>
            <w:r>
              <w:rPr>
                <w:rFonts w:hint="eastAsia"/>
                <w:sz w:val="24"/>
                <w:szCs w:val="28"/>
              </w:rPr>
              <w:t>本项目施工人员生活垃圾统一由环卫部门收集无害化处理场，因此其不会对周围环境产生大的影响。</w:t>
            </w:r>
          </w:p>
          <w:p>
            <w:pPr>
              <w:spacing w:line="360" w:lineRule="auto"/>
              <w:ind w:firstLine="480" w:firstLineChars="200"/>
              <w:outlineLvl w:val="1"/>
              <w:rPr>
                <w:sz w:val="24"/>
                <w:szCs w:val="28"/>
              </w:rPr>
            </w:pPr>
            <w:r>
              <w:rPr>
                <w:rFonts w:hint="eastAsia"/>
                <w:sz w:val="24"/>
                <w:szCs w:val="28"/>
              </w:rPr>
              <w:t>综上所述</w:t>
            </w:r>
            <w:r>
              <w:rPr>
                <w:sz w:val="24"/>
                <w:szCs w:val="28"/>
              </w:rPr>
              <w:t>，项目</w:t>
            </w:r>
            <w:r>
              <w:rPr>
                <w:rFonts w:hint="eastAsia"/>
                <w:sz w:val="24"/>
                <w:szCs w:val="28"/>
              </w:rPr>
              <w:t>固体废物</w:t>
            </w:r>
            <w:r>
              <w:rPr>
                <w:sz w:val="24"/>
                <w:szCs w:val="28"/>
              </w:rPr>
              <w:t>在采取上述环保措施后都可以得到充分的处理，对</w:t>
            </w:r>
            <w:r>
              <w:rPr>
                <w:rFonts w:hint="eastAsia"/>
                <w:sz w:val="24"/>
                <w:szCs w:val="28"/>
              </w:rPr>
              <w:t>沿线</w:t>
            </w:r>
            <w:r>
              <w:rPr>
                <w:sz w:val="24"/>
                <w:szCs w:val="28"/>
              </w:rPr>
              <w:t>环境的影响</w:t>
            </w:r>
            <w:r>
              <w:rPr>
                <w:rFonts w:hint="eastAsia"/>
                <w:sz w:val="24"/>
                <w:szCs w:val="28"/>
              </w:rPr>
              <w:t>较小。</w:t>
            </w:r>
          </w:p>
          <w:p>
            <w:pPr>
              <w:adjustRightInd w:val="0"/>
              <w:snapToGrid w:val="0"/>
              <w:spacing w:line="360" w:lineRule="auto"/>
              <w:outlineLvl w:val="1"/>
              <w:rPr>
                <w:rStyle w:val="31"/>
                <w:kern w:val="0"/>
              </w:rPr>
            </w:pPr>
            <w:r>
              <w:rPr>
                <w:rFonts w:hint="eastAsia"/>
                <w:b/>
                <w:sz w:val="30"/>
                <w:szCs w:val="30"/>
              </w:rPr>
              <w:t xml:space="preserve">4.5 </w:t>
            </w:r>
            <w:r>
              <w:rPr>
                <w:b/>
                <w:sz w:val="30"/>
                <w:szCs w:val="30"/>
              </w:rPr>
              <w:t>水土流失</w:t>
            </w:r>
          </w:p>
          <w:p>
            <w:pPr>
              <w:adjustRightInd w:val="0"/>
              <w:snapToGrid w:val="0"/>
              <w:spacing w:line="360" w:lineRule="auto"/>
              <w:outlineLvl w:val="1"/>
              <w:rPr>
                <w:b/>
                <w:sz w:val="30"/>
                <w:szCs w:val="30"/>
              </w:rPr>
            </w:pPr>
            <w:r>
              <w:rPr>
                <w:rStyle w:val="31"/>
                <w:rFonts w:hint="eastAsia"/>
                <w:b/>
                <w:bCs/>
                <w:kern w:val="0"/>
                <w:sz w:val="28"/>
                <w:szCs w:val="36"/>
              </w:rPr>
              <w:t>4.5.1 水土流失情况</w:t>
            </w:r>
          </w:p>
          <w:p>
            <w:pPr>
              <w:pStyle w:val="6"/>
              <w:ind w:firstLine="480"/>
              <w:jc w:val="both"/>
              <w:rPr>
                <w:rFonts w:hint="eastAsia" w:ascii="Times New Roman" w:hAnsi="Times New Roman"/>
              </w:rPr>
            </w:pPr>
            <w:r>
              <w:rPr>
                <w:rFonts w:hint="eastAsia"/>
                <w:szCs w:val="28"/>
              </w:rPr>
              <w:t>道路工程建设过程中，一方面扰动了工程地形地貌，损坏了原来的植被，使其原来的水土保持设施功能降低或完全丧失；另一方面，在施工开挖过程中造成大量的土壤裸露和岩石松动，在雨水和重力的作用下可能引起水土流失危害。工程可能发生的水土流失类型和形式主要有：水力侵蚀（溅蚀、面蚀、沟蚀）和重力侵蚀（坍塌、滑坡等）。该工程的建设无疑将加剧该地区的水土流失。工程开挖、回填，施工场地平整，将会破坏地表植被，造成大面积的裸露，形成开挖边坡，同时对地质条件产生影响，引发水土流失。本工程建设过程中各单项工程的土地占用、工程开挖、回填等均可能造成水土流失。</w:t>
            </w:r>
            <w:r>
              <w:rPr>
                <w:rFonts w:hint="eastAsia" w:ascii="Times New Roman" w:hAnsi="Times New Roman"/>
              </w:rPr>
              <w:t>本工程水土流失因素可分为路基工程区、桥梁工程区、施工场地区等，详见表</w:t>
            </w:r>
            <w:r>
              <w:rPr>
                <w:rFonts w:hint="eastAsia" w:ascii="Times New Roman" w:hAnsi="Times New Roman"/>
                <w:lang w:val="en-US"/>
              </w:rPr>
              <w:t>4.5-1</w:t>
            </w:r>
            <w:r>
              <w:rPr>
                <w:rFonts w:hint="eastAsia" w:ascii="Times New Roman" w:hAnsi="Times New Roman"/>
              </w:rPr>
              <w:t>。</w:t>
            </w:r>
          </w:p>
          <w:p>
            <w:pPr>
              <w:rPr>
                <w:rFonts w:hint="eastAsia" w:ascii="Times New Roman" w:hAnsi="Times New Roman"/>
              </w:rPr>
            </w:pPr>
          </w:p>
          <w:p>
            <w:pPr>
              <w:rPr>
                <w:rFonts w:hint="eastAsia" w:ascii="Times New Roman" w:hAnsi="Times New Roman"/>
              </w:rPr>
            </w:pPr>
          </w:p>
          <w:p>
            <w:pPr>
              <w:rPr>
                <w:rFonts w:hint="eastAsia" w:ascii="Times New Roman" w:hAnsi="Times New Roman"/>
              </w:rPr>
            </w:pPr>
          </w:p>
          <w:p>
            <w:pPr>
              <w:spacing w:line="360" w:lineRule="auto"/>
              <w:jc w:val="center"/>
            </w:pPr>
            <w:r>
              <w:rPr>
                <w:rFonts w:hint="eastAsia"/>
                <w:b/>
                <w:bCs/>
                <w:sz w:val="24"/>
              </w:rPr>
              <w:t>表4.5-1 水土流失影响因素分析表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2"/>
              <w:gridCol w:w="61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17" w:type="pct"/>
                  <w:tcBorders>
                    <w:tl2br w:val="nil"/>
                    <w:tr2bl w:val="nil"/>
                  </w:tcBorders>
                  <w:vAlign w:val="center"/>
                </w:tcPr>
                <w:p>
                  <w:pPr>
                    <w:pStyle w:val="6"/>
                    <w:spacing w:line="240" w:lineRule="auto"/>
                    <w:ind w:firstLine="0" w:firstLineChars="0"/>
                    <w:rPr>
                      <w:b/>
                      <w:bCs w:val="0"/>
                      <w:sz w:val="21"/>
                      <w:szCs w:val="21"/>
                    </w:rPr>
                  </w:pPr>
                  <w:r>
                    <w:rPr>
                      <w:rFonts w:hint="eastAsia" w:ascii="Times New Roman" w:hAnsi="Times New Roman"/>
                      <w:b/>
                      <w:bCs w:val="0"/>
                      <w:sz w:val="21"/>
                      <w:szCs w:val="18"/>
                    </w:rPr>
                    <w:t>项目区</w:t>
                  </w:r>
                </w:p>
              </w:tc>
              <w:tc>
                <w:tcPr>
                  <w:tcW w:w="3783" w:type="pct"/>
                  <w:tcBorders>
                    <w:tl2br w:val="nil"/>
                    <w:tr2bl w:val="nil"/>
                  </w:tcBorders>
                  <w:vAlign w:val="center"/>
                </w:tcPr>
                <w:p>
                  <w:pPr>
                    <w:pStyle w:val="6"/>
                    <w:spacing w:line="240" w:lineRule="auto"/>
                    <w:ind w:firstLine="0" w:firstLineChars="0"/>
                    <w:rPr>
                      <w:b/>
                      <w:bCs w:val="0"/>
                      <w:sz w:val="21"/>
                      <w:szCs w:val="21"/>
                    </w:rPr>
                  </w:pPr>
                  <w:r>
                    <w:rPr>
                      <w:rFonts w:hint="eastAsia" w:ascii="Times New Roman" w:hAnsi="Times New Roman"/>
                      <w:b/>
                      <w:bCs w:val="0"/>
                      <w:sz w:val="21"/>
                      <w:szCs w:val="18"/>
                    </w:rPr>
                    <w:t>施工内容及水土流失影响分析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tcBorders>
                    <w:tl2br w:val="nil"/>
                    <w:tr2bl w:val="nil"/>
                  </w:tcBorders>
                  <w:vAlign w:val="center"/>
                </w:tcPr>
                <w:p>
                  <w:pPr>
                    <w:pStyle w:val="6"/>
                    <w:spacing w:line="240" w:lineRule="auto"/>
                    <w:ind w:firstLine="0" w:firstLineChars="0"/>
                    <w:rPr>
                      <w:sz w:val="21"/>
                      <w:szCs w:val="21"/>
                    </w:rPr>
                  </w:pPr>
                  <w:r>
                    <w:rPr>
                      <w:rFonts w:hint="eastAsia"/>
                      <w:sz w:val="21"/>
                      <w:szCs w:val="21"/>
                    </w:rPr>
                    <w:t>路基工程区</w:t>
                  </w:r>
                </w:p>
              </w:tc>
              <w:tc>
                <w:tcPr>
                  <w:tcW w:w="3783" w:type="pct"/>
                  <w:tcBorders>
                    <w:tl2br w:val="nil"/>
                    <w:tr2bl w:val="nil"/>
                  </w:tcBorders>
                  <w:vAlign w:val="center"/>
                </w:tcPr>
                <w:p>
                  <w:pPr>
                    <w:pStyle w:val="6"/>
                    <w:spacing w:line="240" w:lineRule="auto"/>
                    <w:ind w:firstLine="0" w:firstLineChars="0"/>
                    <w:rPr>
                      <w:sz w:val="21"/>
                      <w:szCs w:val="21"/>
                    </w:rPr>
                  </w:pPr>
                  <w:r>
                    <w:rPr>
                      <w:rFonts w:hint="eastAsia"/>
                      <w:sz w:val="21"/>
                      <w:szCs w:val="21"/>
                    </w:rPr>
                    <w:t>路基的开挖和回填，边坡防护，路面、路基边坡以及路面排水工程等，水土流失主要发生在路基回填过程中，结构松散，易产生水土流失。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tcBorders>
                    <w:tl2br w:val="nil"/>
                    <w:tr2bl w:val="nil"/>
                  </w:tcBorders>
                  <w:vAlign w:val="center"/>
                </w:tcPr>
                <w:p>
                  <w:pPr>
                    <w:pStyle w:val="6"/>
                    <w:spacing w:line="240" w:lineRule="auto"/>
                    <w:ind w:firstLine="0" w:firstLineChars="0"/>
                    <w:rPr>
                      <w:sz w:val="21"/>
                      <w:szCs w:val="21"/>
                    </w:rPr>
                  </w:pPr>
                  <w:r>
                    <w:rPr>
                      <w:rFonts w:hint="eastAsia"/>
                      <w:sz w:val="21"/>
                      <w:szCs w:val="21"/>
                    </w:rPr>
                    <w:t>桥梁工程区</w:t>
                  </w:r>
                </w:p>
              </w:tc>
              <w:tc>
                <w:tcPr>
                  <w:tcW w:w="3783" w:type="pct"/>
                  <w:tcBorders>
                    <w:tl2br w:val="nil"/>
                    <w:tr2bl w:val="nil"/>
                  </w:tcBorders>
                  <w:vAlign w:val="center"/>
                </w:tcPr>
                <w:p>
                  <w:pPr>
                    <w:pStyle w:val="6"/>
                    <w:spacing w:line="240" w:lineRule="auto"/>
                    <w:ind w:firstLine="0" w:firstLineChars="0"/>
                    <w:rPr>
                      <w:sz w:val="21"/>
                      <w:szCs w:val="21"/>
                    </w:rPr>
                  </w:pPr>
                  <w:r>
                    <w:rPr>
                      <w:rFonts w:hint="eastAsia"/>
                      <w:sz w:val="21"/>
                      <w:szCs w:val="21"/>
                    </w:rPr>
                    <w:t>主要以桥梁基础建设和桥身拼接浇筑为主，主要流失在于桥梁基础建设的过程中，且发生流失后水土直接流进河道，水土流失危害大。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tcBorders>
                    <w:tl2br w:val="nil"/>
                    <w:tr2bl w:val="nil"/>
                  </w:tcBorders>
                  <w:vAlign w:val="center"/>
                </w:tcPr>
                <w:p>
                  <w:pPr>
                    <w:pStyle w:val="6"/>
                    <w:spacing w:line="240" w:lineRule="auto"/>
                    <w:ind w:firstLine="0" w:firstLineChars="0"/>
                    <w:rPr>
                      <w:sz w:val="21"/>
                      <w:szCs w:val="21"/>
                    </w:rPr>
                  </w:pPr>
                  <w:r>
                    <w:rPr>
                      <w:rFonts w:hint="eastAsia"/>
                      <w:sz w:val="21"/>
                      <w:szCs w:val="21"/>
                    </w:rPr>
                    <w:t>施工场地区</w:t>
                  </w:r>
                </w:p>
              </w:tc>
              <w:tc>
                <w:tcPr>
                  <w:tcW w:w="3783" w:type="pct"/>
                  <w:tcBorders>
                    <w:tl2br w:val="nil"/>
                    <w:tr2bl w:val="nil"/>
                  </w:tcBorders>
                  <w:vAlign w:val="center"/>
                </w:tcPr>
                <w:p>
                  <w:pPr>
                    <w:pStyle w:val="6"/>
                    <w:spacing w:line="240" w:lineRule="auto"/>
                    <w:ind w:firstLine="0" w:firstLineChars="0"/>
                    <w:rPr>
                      <w:sz w:val="21"/>
                      <w:szCs w:val="21"/>
                    </w:rPr>
                  </w:pPr>
                  <w:r>
                    <w:rPr>
                      <w:rFonts w:hint="eastAsia"/>
                      <w:sz w:val="21"/>
                      <w:szCs w:val="21"/>
                    </w:rPr>
                    <w:t>施工车辆机械的停放，建筑材料临时堆放、搬运。施工场地区在施工过程中扰动频繁，若场地内排水沉沙设施不完善，则可能造成水土流失。</w:t>
                  </w:r>
                </w:p>
              </w:tc>
            </w:tr>
          </w:tbl>
          <w:p>
            <w:pPr>
              <w:spacing w:before="120" w:beforeLines="50" w:line="360" w:lineRule="auto"/>
              <w:ind w:firstLine="480" w:firstLineChars="200"/>
              <w:outlineLvl w:val="1"/>
            </w:pPr>
            <w:r>
              <w:rPr>
                <w:rFonts w:hint="eastAsia"/>
                <w:sz w:val="24"/>
              </w:rPr>
              <w:t>从上表分析可知，施工建设期的工程开挖、土地占用、施工场地布置等施工环节均存在损坏或压埋原有植被、地貌，将不同程度地对原有水土保持设施造成破坏，可能降低其水土保持功能。施工开挖、填方等工作主要集中在施工期，将使原地表植被、地面组成物质以及地形地貌受到扰动，地表裸露，失去原有植被的防冲、固土能力。也使其自然稳定状态受到破坏，可能发生冲刷、垮塌现象，增加新的水土流失。</w:t>
            </w:r>
          </w:p>
          <w:p>
            <w:pPr>
              <w:spacing w:line="360" w:lineRule="auto"/>
              <w:outlineLvl w:val="1"/>
            </w:pPr>
            <w:r>
              <w:rPr>
                <w:rFonts w:hint="eastAsia"/>
                <w:b/>
                <w:bCs/>
                <w:sz w:val="28"/>
                <w:szCs w:val="28"/>
              </w:rPr>
              <w:t>4.5.2 水土流失影响分析</w:t>
            </w:r>
          </w:p>
          <w:p>
            <w:pPr>
              <w:pStyle w:val="12"/>
              <w:spacing w:before="0" w:after="0" w:line="360" w:lineRule="auto"/>
              <w:ind w:firstLine="480" w:firstLineChars="200"/>
              <w:rPr>
                <w:sz w:val="24"/>
                <w:szCs w:val="24"/>
              </w:rPr>
            </w:pPr>
            <w:r>
              <w:rPr>
                <w:rFonts w:hint="eastAsia"/>
                <w:sz w:val="24"/>
                <w:szCs w:val="24"/>
              </w:rPr>
              <w:t>水土流失一方面造成资源土壤中的养份损失，加重土壤沙化和瘠化；裸露的施工点以及由流失的水土所形成的大型黄土斑块，将对周围环境造成负面影响。</w:t>
            </w:r>
          </w:p>
          <w:p>
            <w:pPr>
              <w:pStyle w:val="12"/>
              <w:spacing w:before="0" w:after="0" w:line="360" w:lineRule="auto"/>
              <w:ind w:firstLine="480" w:firstLineChars="200"/>
              <w:rPr>
                <w:sz w:val="24"/>
                <w:szCs w:val="24"/>
              </w:rPr>
            </w:pPr>
            <w:r>
              <w:rPr>
                <w:rFonts w:hint="eastAsia"/>
                <w:sz w:val="24"/>
                <w:szCs w:val="24"/>
              </w:rPr>
              <w:t>由于项目用地面积较小，一般情况下，土石方施工采取边挖、边运、边填、边压的方式，地面没有大量松散土长久存在，加上整地后地面较为平缓，周边又开挖排水沟，随即又进行建筑、绿化等施工而覆盖土面，因而不会产生持久的明显土壤侵蚀流失，水土流失相对较轻，工程建设中采取必要的防护措施，可将水土流失量降到最小。</w:t>
            </w:r>
          </w:p>
          <w:p>
            <w:pPr>
              <w:spacing w:line="360" w:lineRule="auto"/>
              <w:outlineLvl w:val="1"/>
              <w:rPr>
                <w:b/>
                <w:bCs/>
                <w:sz w:val="30"/>
                <w:szCs w:val="30"/>
              </w:rPr>
            </w:pPr>
            <w:r>
              <w:rPr>
                <w:rFonts w:hint="eastAsia"/>
                <w:b/>
                <w:bCs/>
                <w:sz w:val="30"/>
                <w:szCs w:val="30"/>
              </w:rPr>
              <w:t>4.6 施工期</w:t>
            </w:r>
            <w:r>
              <w:rPr>
                <w:b/>
                <w:bCs/>
                <w:sz w:val="30"/>
                <w:szCs w:val="30"/>
              </w:rPr>
              <w:t>生态环境</w:t>
            </w:r>
            <w:r>
              <w:rPr>
                <w:rFonts w:hint="eastAsia"/>
                <w:b/>
                <w:bCs/>
                <w:sz w:val="30"/>
                <w:szCs w:val="30"/>
              </w:rPr>
              <w:t>影响分析</w:t>
            </w:r>
          </w:p>
          <w:p>
            <w:pPr>
              <w:adjustRightInd w:val="0"/>
              <w:snapToGrid w:val="0"/>
              <w:spacing w:line="360" w:lineRule="auto"/>
              <w:ind w:firstLine="480" w:firstLineChars="200"/>
              <w:rPr>
                <w:rFonts w:hint="eastAsia"/>
                <w:sz w:val="24"/>
              </w:rPr>
            </w:pPr>
            <w:r>
              <w:rPr>
                <w:rFonts w:hint="eastAsia"/>
                <w:sz w:val="24"/>
              </w:rPr>
              <w:t>本项目建设对生态影响大部分发生在施工期，施工期对生态环境影响和破坏的途径主要是主体工程占用和分割土地，改变土地利用性质，使沿线耕地减少，植被覆盖率降低；路基挖填，破坏地形、地貌和植被，并破坏土壤结构和肥力；工程活动扰动了自然的生态平衡，对沿线生物的生存将产生一定的不利影响。</w:t>
            </w:r>
          </w:p>
          <w:p>
            <w:pPr>
              <w:adjustRightInd w:val="0"/>
              <w:snapToGrid w:val="0"/>
              <w:spacing w:line="360" w:lineRule="auto"/>
              <w:ind w:firstLine="480" w:firstLineChars="200"/>
              <w:rPr>
                <w:rFonts w:hint="eastAsia"/>
                <w:sz w:val="24"/>
              </w:rPr>
            </w:pPr>
          </w:p>
          <w:p>
            <w:pPr>
              <w:widowControl/>
              <w:spacing w:line="360" w:lineRule="auto"/>
              <w:rPr>
                <w:rFonts w:cs="宋体"/>
                <w:b/>
                <w:sz w:val="24"/>
                <w:szCs w:val="20"/>
              </w:rPr>
            </w:pPr>
            <w:r>
              <w:rPr>
                <w:rFonts w:hint="eastAsia" w:cs="宋体"/>
                <w:b/>
                <w:sz w:val="24"/>
                <w:szCs w:val="20"/>
              </w:rPr>
              <w:t xml:space="preserve">4.6.1工程占地的影响分析 </w:t>
            </w:r>
          </w:p>
          <w:p>
            <w:pPr>
              <w:adjustRightInd w:val="0"/>
              <w:snapToGrid w:val="0"/>
              <w:spacing w:line="360" w:lineRule="auto"/>
              <w:ind w:firstLine="480" w:firstLineChars="200"/>
              <w:rPr>
                <w:sz w:val="24"/>
              </w:rPr>
            </w:pPr>
            <w:r>
              <w:rPr>
                <w:rFonts w:hint="eastAsia"/>
                <w:sz w:val="24"/>
              </w:rPr>
              <w:t>本工程永久用</w:t>
            </w:r>
            <w:r>
              <w:rPr>
                <w:rFonts w:hint="eastAsia"/>
                <w:color w:val="auto"/>
                <w:sz w:val="24"/>
              </w:rPr>
              <w:t>地面积为40976m</w:t>
            </w:r>
            <w:r>
              <w:rPr>
                <w:color w:val="auto"/>
                <w:sz w:val="24"/>
                <w:vertAlign w:val="superscript"/>
              </w:rPr>
              <w:t>2</w:t>
            </w:r>
            <w:r>
              <w:rPr>
                <w:rFonts w:hint="eastAsia"/>
                <w:color w:val="auto"/>
                <w:sz w:val="24"/>
              </w:rPr>
              <w:t>，项目的建设将</w:t>
            </w:r>
            <w:r>
              <w:rPr>
                <w:rFonts w:hint="eastAsia"/>
                <w:sz w:val="24"/>
              </w:rPr>
              <w:t>减少既有的土地资源，但所占面积不大，影响较小。项目区内土地利用现状以农业用地及建设用地为主，总体上为人工生态系统，项目的建设几乎不会改变原有的生态系统。当项目建设后，所占用的农业用地将消失，取而代之的是人工栽培的花草树木。</w:t>
            </w:r>
          </w:p>
          <w:p>
            <w:pPr>
              <w:adjustRightInd w:val="0"/>
              <w:snapToGrid w:val="0"/>
              <w:spacing w:line="360" w:lineRule="auto"/>
              <w:ind w:firstLine="480" w:firstLineChars="200"/>
              <w:rPr>
                <w:sz w:val="24"/>
              </w:rPr>
            </w:pPr>
            <w:r>
              <w:rPr>
                <w:sz w:val="24"/>
              </w:rPr>
              <w:t>本项目施工过程还将临时占用土地作为施工场地</w:t>
            </w:r>
            <w:r>
              <w:rPr>
                <w:rFonts w:hint="eastAsia"/>
                <w:sz w:val="24"/>
              </w:rPr>
              <w:t>（0</w:t>
            </w:r>
            <w:r>
              <w:rPr>
                <w:sz w:val="24"/>
              </w:rPr>
              <w:t>.</w:t>
            </w:r>
            <w:r>
              <w:rPr>
                <w:rFonts w:hint="eastAsia"/>
                <w:sz w:val="24"/>
              </w:rPr>
              <w:t>3hm</w:t>
            </w:r>
            <w:r>
              <w:rPr>
                <w:sz w:val="24"/>
                <w:vertAlign w:val="superscript"/>
              </w:rPr>
              <w:t>2</w:t>
            </w:r>
            <w:r>
              <w:rPr>
                <w:rFonts w:hint="eastAsia"/>
                <w:sz w:val="24"/>
              </w:rPr>
              <w:t>，道路红线外）。</w:t>
            </w:r>
            <w:r>
              <w:rPr>
                <w:sz w:val="24"/>
              </w:rPr>
              <w:t>施工结束后</w:t>
            </w:r>
            <w:r>
              <w:rPr>
                <w:rFonts w:hint="eastAsia"/>
                <w:sz w:val="24"/>
              </w:rPr>
              <w:t>回复原地貌</w:t>
            </w:r>
            <w:r>
              <w:rPr>
                <w:sz w:val="24"/>
              </w:rPr>
              <w:t>，这种影响不会改变土地的利用价值，属于临时性、可恢复的影响。因此临时占地对沿线区域土地利用的不利影响较小。</w:t>
            </w:r>
          </w:p>
          <w:p>
            <w:pPr>
              <w:widowControl/>
              <w:spacing w:line="360" w:lineRule="auto"/>
              <w:rPr>
                <w:rFonts w:cs="宋体"/>
                <w:b/>
                <w:sz w:val="24"/>
                <w:szCs w:val="20"/>
              </w:rPr>
            </w:pPr>
            <w:r>
              <w:rPr>
                <w:rFonts w:hint="eastAsia" w:cs="宋体"/>
                <w:b/>
                <w:sz w:val="24"/>
                <w:szCs w:val="20"/>
              </w:rPr>
              <w:t>4.</w:t>
            </w:r>
            <w:r>
              <w:rPr>
                <w:rFonts w:hint="eastAsia" w:cs="宋体"/>
                <w:b/>
                <w:sz w:val="24"/>
                <w:szCs w:val="20"/>
                <w:lang w:val="en-US" w:eastAsia="zh-CN"/>
              </w:rPr>
              <w:t>6</w:t>
            </w:r>
            <w:r>
              <w:rPr>
                <w:rFonts w:hint="eastAsia" w:cs="宋体"/>
                <w:b/>
                <w:sz w:val="24"/>
                <w:szCs w:val="20"/>
              </w:rPr>
              <w:t>.2对植被的影响</w:t>
            </w:r>
          </w:p>
          <w:p>
            <w:pPr>
              <w:adjustRightInd w:val="0"/>
              <w:snapToGrid w:val="0"/>
              <w:spacing w:line="360" w:lineRule="auto"/>
              <w:ind w:firstLine="480" w:firstLineChars="200"/>
              <w:rPr>
                <w:sz w:val="24"/>
              </w:rPr>
            </w:pPr>
            <w:r>
              <w:rPr>
                <w:rFonts w:hint="eastAsia"/>
                <w:sz w:val="24"/>
              </w:rPr>
              <w:t>根据现场勘查，随</w:t>
            </w:r>
            <w:r>
              <w:rPr>
                <w:rFonts w:hint="eastAsia"/>
                <w:color w:val="auto"/>
                <w:sz w:val="24"/>
              </w:rPr>
              <w:t>着福泽片区的开发建设，该片区开发程度将逐步提高，本项目作为区域路网的一段，项目建设后道路两侧区域将进行同步开发。拟建项目的建设首先造成永久占地范围用地性质的改变，部分植被将永久性消失。本项目拟永久征地40976m</w:t>
            </w:r>
            <w:r>
              <w:rPr>
                <w:color w:val="auto"/>
                <w:sz w:val="24"/>
                <w:vertAlign w:val="superscript"/>
              </w:rPr>
              <w:t>2</w:t>
            </w:r>
            <w:r>
              <w:rPr>
                <w:rFonts w:hint="eastAsia"/>
                <w:color w:val="auto"/>
                <w:sz w:val="24"/>
              </w:rPr>
              <w:t>。根据现场调查，项目占地将被</w:t>
            </w:r>
            <w:r>
              <w:rPr>
                <w:rFonts w:hint="eastAsia"/>
                <w:sz w:val="24"/>
              </w:rPr>
              <w:t>破坏的植被为人工种植植被等。</w:t>
            </w:r>
          </w:p>
          <w:p>
            <w:pPr>
              <w:adjustRightInd w:val="0"/>
              <w:snapToGrid w:val="0"/>
              <w:spacing w:line="360" w:lineRule="auto"/>
              <w:ind w:firstLine="480" w:firstLineChars="200"/>
              <w:rPr>
                <w:sz w:val="24"/>
              </w:rPr>
            </w:pPr>
            <w:r>
              <w:rPr>
                <w:rFonts w:hint="eastAsia"/>
                <w:sz w:val="24"/>
              </w:rPr>
              <w:t>工程永久占地将对这些地方的植被产生永久性的不可恢复破坏，植被失去生存环境，破坏不可逆，但工程涉及植物均为常见、广布植被或人工植被，在道路周边地区尚有分布，工程破坏不会造成区域物种灭绝或植被类型丧失，对区域总体的植物资源物种多样性和群落多样性影响不大。随着工程结束，通过对道路两边进行一定的绿化建设，适当地恢复植被覆盖度。对于临时施工场地等在施工结束后恢复原地貌。</w:t>
            </w:r>
          </w:p>
          <w:p>
            <w:pPr>
              <w:adjustRightInd w:val="0"/>
              <w:snapToGrid w:val="0"/>
              <w:spacing w:line="360" w:lineRule="auto"/>
              <w:ind w:firstLine="480" w:firstLineChars="200"/>
              <w:rPr>
                <w:sz w:val="24"/>
              </w:rPr>
            </w:pPr>
            <w:r>
              <w:rPr>
                <w:rFonts w:hint="eastAsia"/>
                <w:sz w:val="24"/>
              </w:rPr>
              <w:t>因此，</w:t>
            </w:r>
            <w:r>
              <w:rPr>
                <w:sz w:val="24"/>
              </w:rPr>
              <w:t>本工程对当地所造成的植被破坏、生态防护效能损失的侵占效应很小，项目的建设不会改变整个评价区生态系统的结构和稳定性及生物多样性。</w:t>
            </w:r>
          </w:p>
          <w:p>
            <w:pPr>
              <w:adjustRightInd w:val="0"/>
              <w:snapToGrid w:val="0"/>
              <w:spacing w:line="360" w:lineRule="auto"/>
              <w:ind w:firstLine="480" w:firstLineChars="200"/>
              <w:rPr>
                <w:sz w:val="24"/>
              </w:rPr>
            </w:pPr>
            <w:r>
              <w:rPr>
                <w:sz w:val="24"/>
              </w:rPr>
              <w:t>除直接破坏外，施工过程大量的人流和车流</w:t>
            </w:r>
            <w:r>
              <w:rPr>
                <w:rFonts w:hint="eastAsia"/>
                <w:sz w:val="24"/>
              </w:rPr>
              <w:t>活动</w:t>
            </w:r>
            <w:r>
              <w:rPr>
                <w:sz w:val="24"/>
              </w:rPr>
              <w:t>，如果施工管理不善，造成施工范围超出红线范围</w:t>
            </w:r>
            <w:r>
              <w:rPr>
                <w:rFonts w:hint="eastAsia"/>
                <w:sz w:val="24"/>
              </w:rPr>
              <w:t>，</w:t>
            </w:r>
            <w:r>
              <w:rPr>
                <w:sz w:val="24"/>
              </w:rPr>
              <w:t>将对周围的</w:t>
            </w:r>
            <w:r>
              <w:rPr>
                <w:rFonts w:hint="eastAsia"/>
                <w:sz w:val="24"/>
              </w:rPr>
              <w:t>植被</w:t>
            </w:r>
            <w:r>
              <w:rPr>
                <w:sz w:val="24"/>
              </w:rPr>
              <w:t>破坏较大，甚至导致其消失，造成</w:t>
            </w:r>
            <w:r>
              <w:rPr>
                <w:rFonts w:hint="eastAsia"/>
                <w:sz w:val="24"/>
              </w:rPr>
              <w:t>植物</w:t>
            </w:r>
            <w:r>
              <w:rPr>
                <w:sz w:val="24"/>
              </w:rPr>
              <w:t>群落的层次缺失，使</w:t>
            </w:r>
            <w:r>
              <w:rPr>
                <w:rFonts w:hint="eastAsia"/>
                <w:sz w:val="24"/>
              </w:rPr>
              <w:t>植物</w:t>
            </w:r>
            <w:r>
              <w:rPr>
                <w:sz w:val="24"/>
              </w:rPr>
              <w:t>群落的垂直结构发生较大改变，群落的稳定性下降</w:t>
            </w:r>
            <w:r>
              <w:rPr>
                <w:rFonts w:hint="eastAsia"/>
                <w:sz w:val="24"/>
              </w:rPr>
              <w:t>。</w:t>
            </w:r>
            <w:r>
              <w:rPr>
                <w:sz w:val="24"/>
              </w:rPr>
              <w:t>所以必须严格控制施工范围及临时占地范围，且规范施工人员和施工车辆的路线，避免干扰、破坏用地范围外的植被。</w:t>
            </w:r>
          </w:p>
          <w:p>
            <w:pPr>
              <w:adjustRightInd w:val="0"/>
              <w:snapToGrid w:val="0"/>
              <w:spacing w:line="360" w:lineRule="auto"/>
              <w:ind w:firstLine="480" w:firstLineChars="200"/>
              <w:rPr>
                <w:sz w:val="24"/>
              </w:rPr>
            </w:pPr>
            <w:r>
              <w:rPr>
                <w:sz w:val="24"/>
              </w:rPr>
              <w:t>综上，施工期间，将不可避免对沿线植被造成一定的影响，但是暂时的、短暂的；施工结束后，随着道路绿化的实施，沿线生态环境将得到逐步改善，评价区的植被和生态环境将会朝着良性循环方向发展。</w:t>
            </w:r>
          </w:p>
          <w:p>
            <w:pPr>
              <w:widowControl/>
              <w:spacing w:line="360" w:lineRule="auto"/>
              <w:rPr>
                <w:rFonts w:cs="宋体"/>
                <w:b/>
                <w:sz w:val="24"/>
                <w:szCs w:val="20"/>
              </w:rPr>
            </w:pPr>
            <w:r>
              <w:rPr>
                <w:rFonts w:hint="eastAsia" w:cs="宋体"/>
                <w:b/>
                <w:sz w:val="24"/>
                <w:szCs w:val="20"/>
              </w:rPr>
              <w:t>4.</w:t>
            </w:r>
            <w:r>
              <w:rPr>
                <w:rFonts w:hint="eastAsia" w:cs="宋体"/>
                <w:b/>
                <w:sz w:val="24"/>
                <w:szCs w:val="20"/>
                <w:lang w:val="en-US" w:eastAsia="zh-CN"/>
              </w:rPr>
              <w:t>6</w:t>
            </w:r>
            <w:r>
              <w:rPr>
                <w:rFonts w:hint="eastAsia" w:cs="宋体"/>
                <w:b/>
                <w:sz w:val="24"/>
                <w:szCs w:val="20"/>
              </w:rPr>
              <w:t>.3对陆栖动物的影响分析</w:t>
            </w:r>
          </w:p>
          <w:p>
            <w:pPr>
              <w:adjustRightInd w:val="0"/>
              <w:snapToGrid w:val="0"/>
              <w:spacing w:line="360" w:lineRule="auto"/>
              <w:ind w:firstLine="480" w:firstLineChars="200"/>
              <w:rPr>
                <w:sz w:val="24"/>
              </w:rPr>
            </w:pPr>
            <w:r>
              <w:rPr>
                <w:sz w:val="24"/>
              </w:rPr>
              <w:t>随着评价区土地开发，该区域人类活动频繁，工程建设区域没有发现珍惜野生动物及其栖息地，区域野生动物数量较少，而且</w:t>
            </w:r>
            <w:r>
              <w:rPr>
                <w:rFonts w:hint="eastAsia"/>
                <w:sz w:val="24"/>
              </w:rPr>
              <w:t>适应水塘、农田、灌草丛生活的种类为主，如</w:t>
            </w:r>
            <w:r>
              <w:rPr>
                <w:sz w:val="24"/>
              </w:rPr>
              <w:t>田鼠</w:t>
            </w:r>
            <w:r>
              <w:rPr>
                <w:rFonts w:hint="eastAsia"/>
                <w:sz w:val="24"/>
              </w:rPr>
              <w:t>、蛙类</w:t>
            </w:r>
            <w:r>
              <w:rPr>
                <w:sz w:val="24"/>
              </w:rPr>
              <w:t>等普通兽类和一般的鸟类、昆虫类；一般对人类活动较为适应，可以根据环境随时更换栖息地，对环境的适应能力较强，因此工程建设对陆栖动物影响不大。</w:t>
            </w:r>
          </w:p>
          <w:p>
            <w:pPr>
              <w:widowControl/>
              <w:spacing w:line="360" w:lineRule="auto"/>
              <w:rPr>
                <w:rFonts w:cs="宋体"/>
                <w:b/>
                <w:sz w:val="24"/>
                <w:szCs w:val="20"/>
              </w:rPr>
            </w:pPr>
            <w:r>
              <w:rPr>
                <w:rFonts w:hint="eastAsia" w:cs="宋体"/>
                <w:b/>
                <w:sz w:val="24"/>
                <w:szCs w:val="20"/>
              </w:rPr>
              <w:t>4.</w:t>
            </w:r>
            <w:r>
              <w:rPr>
                <w:rFonts w:hint="eastAsia" w:cs="宋体"/>
                <w:b/>
                <w:sz w:val="24"/>
                <w:szCs w:val="20"/>
                <w:lang w:val="en-US" w:eastAsia="zh-CN"/>
              </w:rPr>
              <w:t>6</w:t>
            </w:r>
            <w:r>
              <w:rPr>
                <w:rFonts w:hint="eastAsia" w:cs="宋体"/>
                <w:b/>
                <w:sz w:val="24"/>
                <w:szCs w:val="20"/>
              </w:rPr>
              <w:t>.4</w:t>
            </w:r>
            <w:r>
              <w:rPr>
                <w:rFonts w:cs="宋体"/>
                <w:b/>
                <w:sz w:val="24"/>
                <w:szCs w:val="20"/>
              </w:rPr>
              <w:t>对沿线水生生物的影响</w:t>
            </w:r>
          </w:p>
          <w:p>
            <w:pPr>
              <w:adjustRightInd w:val="0"/>
              <w:snapToGrid w:val="0"/>
              <w:spacing w:line="360" w:lineRule="auto"/>
              <w:ind w:firstLine="480" w:firstLineChars="200"/>
              <w:rPr>
                <w:sz w:val="24"/>
              </w:rPr>
            </w:pPr>
            <w:r>
              <w:rPr>
                <w:rFonts w:hint="eastAsia"/>
                <w:sz w:val="24"/>
              </w:rPr>
              <w:t>本项目全线共设置桥梁</w:t>
            </w:r>
            <w:r>
              <w:rPr>
                <w:sz w:val="24"/>
              </w:rPr>
              <w:t>1</w:t>
            </w:r>
            <w:r>
              <w:rPr>
                <w:rFonts w:hint="eastAsia"/>
                <w:sz w:val="24"/>
              </w:rPr>
              <w:t>处，施工期桥梁下部基础拟安排在枯水季节进行施工，桥梁基础建设不涉及水域施工，桥梁施工区设置移动式泥浆脱泥净水装置，钻渣和钻孔泥浆经处理后做到泥、水分离，分离出的渣土含水率在60%以下，可作为回填土使用，脱水滤液回用于场地洒水抑尘，不得外排，则桥梁施工对沿线水体的影响较小。</w:t>
            </w:r>
          </w:p>
          <w:p>
            <w:pPr>
              <w:widowControl/>
              <w:spacing w:line="360" w:lineRule="auto"/>
              <w:rPr>
                <w:rFonts w:cs="宋体"/>
                <w:b/>
                <w:sz w:val="24"/>
                <w:szCs w:val="20"/>
              </w:rPr>
            </w:pPr>
            <w:r>
              <w:rPr>
                <w:rFonts w:hint="eastAsia" w:cs="宋体"/>
                <w:b/>
                <w:sz w:val="24"/>
                <w:szCs w:val="20"/>
              </w:rPr>
              <w:t>4.</w:t>
            </w:r>
            <w:r>
              <w:rPr>
                <w:rFonts w:hint="eastAsia" w:cs="宋体"/>
                <w:b/>
                <w:sz w:val="24"/>
                <w:szCs w:val="20"/>
                <w:lang w:val="en-US" w:eastAsia="zh-CN"/>
              </w:rPr>
              <w:t>6</w:t>
            </w:r>
            <w:r>
              <w:rPr>
                <w:rFonts w:hint="eastAsia" w:cs="宋体"/>
                <w:b/>
                <w:sz w:val="24"/>
                <w:szCs w:val="20"/>
              </w:rPr>
              <w:t>.5</w:t>
            </w:r>
            <w:r>
              <w:rPr>
                <w:rFonts w:cs="宋体"/>
                <w:b/>
                <w:sz w:val="24"/>
                <w:szCs w:val="20"/>
              </w:rPr>
              <w:t>对</w:t>
            </w:r>
            <w:r>
              <w:rPr>
                <w:rFonts w:hint="eastAsia" w:cs="宋体"/>
                <w:b/>
                <w:sz w:val="24"/>
                <w:szCs w:val="20"/>
              </w:rPr>
              <w:t>农业生产</w:t>
            </w:r>
            <w:r>
              <w:rPr>
                <w:rFonts w:cs="宋体"/>
                <w:b/>
                <w:sz w:val="24"/>
                <w:szCs w:val="20"/>
              </w:rPr>
              <w:t>的影响</w:t>
            </w:r>
          </w:p>
          <w:p>
            <w:pPr>
              <w:adjustRightInd w:val="0"/>
              <w:snapToGrid w:val="0"/>
              <w:spacing w:line="360" w:lineRule="auto"/>
              <w:ind w:firstLine="480" w:firstLineChars="200"/>
              <w:rPr>
                <w:sz w:val="24"/>
              </w:rPr>
            </w:pPr>
            <w:r>
              <w:rPr>
                <w:rFonts w:hint="eastAsia"/>
                <w:sz w:val="24"/>
              </w:rPr>
              <w:t>本项目不涉及占用永久基本农田，对区域农业生态影响有限。为了减少因项目占地对农业生产和农民生活质量短期内的不利影响，可通过当地政府进行调整或利用土地占地补偿，开发新产业来缓解由此造成的不利影响。</w:t>
            </w:r>
          </w:p>
          <w:p>
            <w:pPr>
              <w:adjustRightInd w:val="0"/>
              <w:snapToGrid w:val="0"/>
              <w:spacing w:line="360" w:lineRule="auto"/>
              <w:ind w:firstLine="480" w:firstLineChars="200"/>
              <w:rPr>
                <w:sz w:val="24"/>
              </w:rPr>
            </w:pPr>
            <w:r>
              <w:rPr>
                <w:rFonts w:hint="eastAsia"/>
                <w:sz w:val="24"/>
              </w:rPr>
              <w:t>项目建成后可促进当地的土地利用和开发，间接加速引进先进的农业技术，进一步改善农田生态环境，优化产业种植结构，提高作物单产和农业收益，实现土地资源价值在形式上的转化。</w:t>
            </w:r>
          </w:p>
          <w:p>
            <w:pPr>
              <w:pStyle w:val="7"/>
              <w:spacing w:line="360" w:lineRule="auto"/>
              <w:ind w:firstLine="420" w:firstLineChars="200"/>
              <w:outlineLvl w:val="9"/>
              <w:rPr>
                <w:rFonts w:hint="eastAsia" w:ascii="宋体" w:hAnsi="宋体" w:cs="宋体"/>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2" w:hRule="atLeast"/>
          <w:jc w:val="center"/>
        </w:trPr>
        <w:tc>
          <w:tcPr>
            <w:tcW w:w="879" w:type="dxa"/>
            <w:tcMar>
              <w:left w:w="28" w:type="dxa"/>
              <w:right w:w="28" w:type="dxa"/>
            </w:tcMar>
            <w:vAlign w:val="center"/>
          </w:tcPr>
          <w:p>
            <w:pPr>
              <w:pStyle w:val="22"/>
              <w:adjustRightInd w:val="0"/>
              <w:snapToGrid w:val="0"/>
              <w:spacing w:before="0" w:beforeAutospacing="0" w:after="0" w:afterAutospacing="0"/>
              <w:jc w:val="center"/>
              <w:outlineLvl w:val="2"/>
              <w:rPr>
                <w:rFonts w:hint="eastAsia" w:cs="宋体"/>
                <w:bCs/>
                <w:kern w:val="2"/>
                <w:sz w:val="21"/>
                <w:szCs w:val="21"/>
              </w:rPr>
            </w:pPr>
            <w:r>
              <w:rPr>
                <w:rFonts w:hint="eastAsia" w:cs="宋体"/>
                <w:bCs/>
                <w:spacing w:val="10"/>
                <w:kern w:val="2"/>
                <w:sz w:val="21"/>
                <w:szCs w:val="21"/>
              </w:rPr>
              <w:t>运营期生态环境影响分析</w:t>
            </w:r>
          </w:p>
        </w:tc>
        <w:tc>
          <w:tcPr>
            <w:tcW w:w="8363" w:type="dxa"/>
            <w:shd w:val="clear" w:color="auto" w:fill="auto"/>
            <w:vAlign w:val="top"/>
          </w:tcPr>
          <w:p>
            <w:pPr>
              <w:adjustRightInd w:val="0"/>
              <w:snapToGrid w:val="0"/>
              <w:spacing w:before="120" w:beforeLines="50" w:line="360" w:lineRule="auto"/>
              <w:outlineLvl w:val="2"/>
              <w:rPr>
                <w:b/>
                <w:sz w:val="30"/>
                <w:szCs w:val="30"/>
              </w:rPr>
            </w:pPr>
            <w:r>
              <w:rPr>
                <w:rFonts w:hint="eastAsia"/>
                <w:b/>
                <w:sz w:val="30"/>
                <w:szCs w:val="30"/>
              </w:rPr>
              <w:t>4.7 运营期环境影响</w:t>
            </w:r>
          </w:p>
          <w:p>
            <w:pPr>
              <w:adjustRightInd w:val="0"/>
              <w:snapToGrid w:val="0"/>
              <w:spacing w:before="120" w:beforeLines="50" w:line="360" w:lineRule="auto"/>
              <w:outlineLvl w:val="2"/>
              <w:rPr>
                <w:bCs/>
                <w:sz w:val="28"/>
                <w:szCs w:val="36"/>
              </w:rPr>
            </w:pPr>
            <w:r>
              <w:rPr>
                <w:rFonts w:hint="eastAsia"/>
                <w:b/>
                <w:sz w:val="28"/>
                <w:szCs w:val="36"/>
              </w:rPr>
              <w:t>4.7.1 运营期废水影响分析</w:t>
            </w:r>
          </w:p>
          <w:p>
            <w:pPr>
              <w:spacing w:line="360" w:lineRule="auto"/>
              <w:ind w:firstLine="480"/>
              <w:outlineLvl w:val="2"/>
              <w:rPr>
                <w:sz w:val="24"/>
              </w:rPr>
            </w:pPr>
            <w:r>
              <w:rPr>
                <w:sz w:val="24"/>
              </w:rPr>
              <w:t>本项目运营期对水环境的污染主要来自于路面、桥面沉积物被雨水径流冲刷进入沿线水域对水体造成的污染。此外道路上装载有毒有害物质的车辆发生泄漏则会导致的突发性水污染，对附近水体造成严重的影响。</w:t>
            </w:r>
          </w:p>
          <w:p>
            <w:pPr>
              <w:spacing w:line="360" w:lineRule="auto"/>
              <w:ind w:firstLine="480"/>
              <w:outlineLvl w:val="2"/>
              <w:rPr>
                <w:sz w:val="24"/>
              </w:rPr>
            </w:pPr>
            <w:r>
              <w:rPr>
                <w:sz w:val="24"/>
              </w:rPr>
              <w:t>道路投入运行后，各种类型车辆排放尾气中所携带的污染物在路面、桥面沉积、汽车轮胎磨损的微粒、车架上粘带的泥土、车辆制动时散落的污染物及车辆运行工况不佳时泄漏的油料等，都会随降雨产生的路面、桥面径流进入道路的排水系统并最终进入地表水体，其主要的污染物有：石油类、有机物和悬浮物等，这些污染物可能对沿线水体产生影响。</w:t>
            </w:r>
          </w:p>
          <w:p>
            <w:pPr>
              <w:spacing w:line="360" w:lineRule="auto"/>
              <w:ind w:firstLine="480"/>
              <w:outlineLvl w:val="2"/>
              <w:rPr>
                <w:sz w:val="24"/>
              </w:rPr>
            </w:pPr>
            <w:r>
              <w:rPr>
                <w:sz w:val="24"/>
              </w:rPr>
              <w:t>根据目前国内对路面径流污染物浓度测试的结果，通常降雨初期到形成地面径流的30分钟内，雨水中的悬浮物和油类物质的浓度比较高，其浓度随着降雨历时的延长下降较快，降雨历时40～60分钟之后，路面基本被冲洗干净，路面径流污染物的浓度相对稳定在较低水平</w:t>
            </w:r>
            <w:r>
              <w:rPr>
                <w:rFonts w:hint="eastAsia"/>
                <w:sz w:val="24"/>
              </w:rPr>
              <w:t>。根据道路路面径流类比调查资料，道路路面径流1h后达到《污水综合排放标准》（GB8978-96）表4二级标准，对受纳水体里美溪的环境影响较小。</w:t>
            </w:r>
          </w:p>
          <w:p>
            <w:pPr>
              <w:spacing w:line="360" w:lineRule="auto"/>
              <w:ind w:firstLine="480"/>
              <w:outlineLvl w:val="2"/>
            </w:pPr>
            <w:r>
              <w:rPr>
                <w:sz w:val="24"/>
              </w:rPr>
              <w:t>由于本项目道路路面与其穿过的地面相比，仅占很小部分，且随着降雨历时增加，道路表面径流污染物浓度迅速下降，加之道路表面径流是短期和暂时的，因而对水环境影响不大。为了做好防护，可采取车辆运输散落控制、路面清扫等非工程措施和绿化植被过滤带、植草渠道、干式滞留池等工程措施，对本项目道路表面径流污染物进行控制。桥面两侧设置导流槽，经桥面排水导流设施排入道路边沟。对地表水环境影响较小。</w:t>
            </w:r>
          </w:p>
          <w:p>
            <w:pPr>
              <w:spacing w:line="360" w:lineRule="auto"/>
              <w:outlineLvl w:val="2"/>
              <w:rPr>
                <w:b/>
                <w:bCs/>
                <w:sz w:val="28"/>
                <w:szCs w:val="28"/>
              </w:rPr>
            </w:pPr>
            <w:r>
              <w:rPr>
                <w:b/>
                <w:bCs/>
                <w:sz w:val="28"/>
                <w:szCs w:val="28"/>
              </w:rPr>
              <w:t>4.</w:t>
            </w:r>
            <w:r>
              <w:rPr>
                <w:rFonts w:hint="eastAsia"/>
                <w:b/>
                <w:bCs/>
                <w:sz w:val="28"/>
                <w:szCs w:val="28"/>
              </w:rPr>
              <w:t>7</w:t>
            </w:r>
            <w:r>
              <w:rPr>
                <w:b/>
                <w:bCs/>
                <w:sz w:val="28"/>
                <w:szCs w:val="28"/>
              </w:rPr>
              <w:t>.2</w:t>
            </w:r>
            <w:r>
              <w:rPr>
                <w:rFonts w:hint="eastAsia"/>
                <w:b/>
                <w:bCs/>
                <w:sz w:val="28"/>
                <w:szCs w:val="28"/>
              </w:rPr>
              <w:t xml:space="preserve"> </w:t>
            </w:r>
            <w:r>
              <w:rPr>
                <w:b/>
                <w:bCs/>
                <w:sz w:val="28"/>
                <w:szCs w:val="28"/>
              </w:rPr>
              <w:t>大气环境</w:t>
            </w:r>
          </w:p>
          <w:p>
            <w:pPr>
              <w:spacing w:line="360" w:lineRule="auto"/>
              <w:ind w:firstLine="480" w:firstLineChars="200"/>
              <w:outlineLvl w:val="2"/>
              <w:rPr>
                <w:snapToGrid w:val="0"/>
                <w:kern w:val="0"/>
                <w:sz w:val="24"/>
              </w:rPr>
            </w:pPr>
            <w:r>
              <w:rPr>
                <w:snapToGrid w:val="0"/>
                <w:kern w:val="0"/>
                <w:sz w:val="24"/>
              </w:rPr>
              <w:t>本项目运营期产生的大气污染物为路面行驶的车辆排放的尾气及车辆轮胎接触路面使路面积尘扬起产生的二次扬尘污染。道路运营期车辆排放污染物的扩散与道路沿线地形和气象条件有关，扩散后所覆盖的地域为道路两侧与线形平行的带状区域。</w:t>
            </w:r>
          </w:p>
          <w:p>
            <w:pPr>
              <w:spacing w:line="360" w:lineRule="auto"/>
              <w:ind w:firstLine="480" w:firstLineChars="200"/>
              <w:outlineLvl w:val="2"/>
              <w:rPr>
                <w:snapToGrid w:val="0"/>
                <w:kern w:val="0"/>
                <w:sz w:val="24"/>
              </w:rPr>
            </w:pPr>
            <w:r>
              <w:rPr>
                <w:snapToGrid w:val="0"/>
                <w:kern w:val="0"/>
                <w:sz w:val="24"/>
              </w:rPr>
              <w:t>本工程所处区域地势</w:t>
            </w:r>
            <w:r>
              <w:rPr>
                <w:sz w:val="24"/>
              </w:rPr>
              <w:t>相对</w:t>
            </w:r>
            <w:r>
              <w:rPr>
                <w:snapToGrid w:val="0"/>
                <w:kern w:val="0"/>
                <w:sz w:val="24"/>
              </w:rPr>
              <w:t>平缓开阔，扩散能力较好，结合地形地貌、气候条件等因素，运营期汽车尾气对沿线区域环境空气质量影响较小，不会造成评价区环境空气质量超标。另外，道路两侧绿化工程的实施在很大程度上可以降低道路汽车尾气对道路两侧区域环境空气质量的影响，根据同类项目类比调查可知，道路沿线环境空气质量能够满足《环境空气质量标准》(GB3095-2012)中的</w:t>
            </w:r>
            <w:r>
              <w:rPr>
                <w:sz w:val="24"/>
                <w:szCs w:val="32"/>
              </w:rPr>
              <w:t>二级标准</w:t>
            </w:r>
            <w:r>
              <w:rPr>
                <w:snapToGrid w:val="0"/>
                <w:kern w:val="0"/>
                <w:sz w:val="24"/>
              </w:rPr>
              <w:t>要求。</w:t>
            </w:r>
          </w:p>
          <w:p>
            <w:pPr>
              <w:spacing w:line="360" w:lineRule="auto"/>
              <w:ind w:firstLine="480" w:firstLineChars="200"/>
              <w:outlineLvl w:val="2"/>
              <w:rPr>
                <w:b/>
                <w:bCs/>
                <w:sz w:val="24"/>
              </w:rPr>
            </w:pPr>
            <w:r>
              <w:rPr>
                <w:snapToGrid w:val="0"/>
                <w:kern w:val="0"/>
                <w:sz w:val="24"/>
              </w:rPr>
              <w:t>随着我国科技水平的不断提高，机动车尾气净化系统将得到进一步改进，车型构成比例将更为优化，逐步减少高能耗、高排污的车种比例。同时，燃料油和燃料气的产品质量也将随着我国科技进步不断提高。随着机动车尾气排放控制的加强，机动车尾气污染物排放将大大降低</w:t>
            </w:r>
            <w:r>
              <w:rPr>
                <w:rFonts w:hint="eastAsia"/>
                <w:snapToGrid w:val="0"/>
                <w:kern w:val="0"/>
                <w:sz w:val="24"/>
              </w:rPr>
              <w:t>，</w:t>
            </w:r>
            <w:r>
              <w:rPr>
                <w:snapToGrid w:val="0"/>
                <w:kern w:val="0"/>
                <w:sz w:val="24"/>
              </w:rPr>
              <w:t>对周围环境空气不会产生不良影响，对周边环境的影响在可接受范围内。</w:t>
            </w:r>
          </w:p>
          <w:p>
            <w:pPr>
              <w:pStyle w:val="26"/>
              <w:spacing w:after="0" w:line="360" w:lineRule="auto"/>
              <w:ind w:left="0" w:leftChars="0" w:firstLine="0" w:firstLineChars="0"/>
              <w:outlineLvl w:val="2"/>
              <w:rPr>
                <w:b/>
                <w:bCs/>
                <w:kern w:val="2"/>
                <w:sz w:val="28"/>
                <w:szCs w:val="28"/>
              </w:rPr>
            </w:pPr>
            <w:r>
              <w:rPr>
                <w:b/>
                <w:bCs/>
                <w:kern w:val="2"/>
                <w:sz w:val="28"/>
                <w:szCs w:val="28"/>
              </w:rPr>
              <w:t>4.</w:t>
            </w:r>
            <w:r>
              <w:rPr>
                <w:rFonts w:hint="eastAsia"/>
                <w:b/>
                <w:bCs/>
                <w:kern w:val="2"/>
                <w:sz w:val="28"/>
                <w:szCs w:val="28"/>
              </w:rPr>
              <w:t>7</w:t>
            </w:r>
            <w:r>
              <w:rPr>
                <w:b/>
                <w:bCs/>
                <w:kern w:val="2"/>
                <w:sz w:val="28"/>
                <w:szCs w:val="28"/>
              </w:rPr>
              <w:t>.3</w:t>
            </w:r>
            <w:r>
              <w:rPr>
                <w:rFonts w:hint="eastAsia"/>
                <w:b/>
                <w:bCs/>
                <w:kern w:val="2"/>
                <w:sz w:val="28"/>
                <w:szCs w:val="28"/>
              </w:rPr>
              <w:t xml:space="preserve"> </w:t>
            </w:r>
            <w:r>
              <w:rPr>
                <w:b/>
                <w:bCs/>
                <w:kern w:val="2"/>
                <w:sz w:val="28"/>
                <w:szCs w:val="28"/>
              </w:rPr>
              <w:t>声环境</w:t>
            </w:r>
          </w:p>
          <w:p>
            <w:pPr>
              <w:keepNext w:val="0"/>
              <w:keepLines w:val="0"/>
              <w:pageBreakBefore w:val="0"/>
              <w:widowControl w:val="0"/>
              <w:kinsoku/>
              <w:wordWrap/>
              <w:overflowPunct/>
              <w:topLinePunct w:val="0"/>
              <w:autoSpaceDE/>
              <w:autoSpaceDN/>
              <w:bidi w:val="0"/>
              <w:spacing w:line="360" w:lineRule="auto"/>
              <w:ind w:firstLine="482"/>
              <w:textAlignment w:val="auto"/>
              <w:outlineLvl w:val="1"/>
              <w:rPr>
                <w:rFonts w:hint="default" w:ascii="Times New Roman" w:hAnsi="Times New Roman" w:cs="Times New Roman"/>
                <w:kern w:val="0"/>
                <w:sz w:val="24"/>
                <w:lang w:val="zh-CN"/>
              </w:rPr>
            </w:pPr>
            <w:bookmarkStart w:id="97" w:name="_Toc27650"/>
            <w:r>
              <w:rPr>
                <w:rFonts w:hint="default" w:ascii="Times New Roman" w:hAnsi="Times New Roman" w:cs="Times New Roman"/>
                <w:kern w:val="0"/>
                <w:sz w:val="24"/>
                <w:lang w:val="zh-CN"/>
              </w:rPr>
              <w:t>道路两侧水平向交通噪声预测结果：</w:t>
            </w:r>
            <w:bookmarkEnd w:id="97"/>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kern w:val="0"/>
                <w:sz w:val="24"/>
              </w:rPr>
            </w:pPr>
            <w:bookmarkStart w:id="98" w:name="_Toc25417"/>
            <w:bookmarkStart w:id="99" w:name="_Toc28408"/>
            <w:r>
              <w:rPr>
                <w:rFonts w:hint="default" w:ascii="Times New Roman" w:hAnsi="Times New Roman" w:cs="Times New Roman"/>
                <w:kern w:val="0"/>
                <w:sz w:val="24"/>
              </w:rPr>
              <w:t>4a类标准区域：运营期近、中、远期昼间噪声在红线处均能满足《声环境质量标准》GB3096-2008中4a类标准限值</w:t>
            </w:r>
            <w:r>
              <w:rPr>
                <w:rFonts w:hint="eastAsia" w:cs="Times New Roman"/>
                <w:kern w:val="0"/>
                <w:sz w:val="24"/>
                <w:lang w:eastAsia="zh-CN"/>
              </w:rPr>
              <w:t>，</w:t>
            </w:r>
            <w:r>
              <w:rPr>
                <w:rFonts w:hint="eastAsia" w:cs="Times New Roman"/>
                <w:kern w:val="0"/>
                <w:sz w:val="24"/>
                <w:lang w:val="en-US" w:eastAsia="zh-CN"/>
              </w:rPr>
              <w:t>夜间</w:t>
            </w:r>
            <w:r>
              <w:rPr>
                <w:rFonts w:hint="default" w:ascii="Times New Roman" w:hAnsi="Times New Roman" w:cs="Times New Roman"/>
                <w:kern w:val="0"/>
                <w:sz w:val="24"/>
                <w:lang w:val="zh-CN"/>
              </w:rPr>
              <w:t>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ascii="Times New Roman" w:hAnsi="Times New Roman" w:cs="Times New Roman"/>
                <w:kern w:val="0"/>
                <w:sz w:val="24"/>
                <w:lang w:val="en-US" w:eastAsia="zh-CN"/>
              </w:rPr>
              <w:t>27m、35m、43m达到</w:t>
            </w:r>
            <w:r>
              <w:rPr>
                <w:rFonts w:hint="default" w:ascii="Times New Roman" w:hAnsi="Times New Roman" w:cs="Times New Roman"/>
                <w:kern w:val="0"/>
                <w:sz w:val="24"/>
              </w:rPr>
              <w:t>《声环境质量标准》GB3096-2008中4a类标准限值。</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kern w:val="0"/>
                <w:sz w:val="24"/>
              </w:rPr>
            </w:pPr>
            <w:r>
              <w:rPr>
                <w:rFonts w:hint="default" w:ascii="Times New Roman" w:hAnsi="Times New Roman" w:cs="Times New Roman"/>
                <w:kern w:val="0"/>
                <w:sz w:val="24"/>
              </w:rPr>
              <w:t>2类标准区域：运营期近、中、远期昼间噪声在道路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default" w:ascii="Times New Roman" w:hAnsi="Times New Roman" w:cs="Times New Roman"/>
                <w:kern w:val="0"/>
                <w:sz w:val="24"/>
              </w:rPr>
              <w:t>外</w:t>
            </w:r>
            <w:r>
              <w:rPr>
                <w:rFonts w:hint="eastAsia" w:ascii="Times New Roman" w:hAnsi="Times New Roman" w:cs="Times New Roman"/>
                <w:kern w:val="0"/>
                <w:sz w:val="24"/>
                <w:lang w:val="en-US" w:eastAsia="zh-CN"/>
              </w:rPr>
              <w:t>23m、31m、39m</w:t>
            </w:r>
            <w:r>
              <w:rPr>
                <w:rFonts w:hint="default" w:ascii="Times New Roman" w:hAnsi="Times New Roman" w:cs="Times New Roman"/>
                <w:kern w:val="0"/>
                <w:sz w:val="24"/>
              </w:rPr>
              <w:t>能满足《声环境质量标准》GB3096-2008中的2类标准限值</w:t>
            </w:r>
            <w:r>
              <w:rPr>
                <w:rFonts w:hint="eastAsia" w:cs="Times New Roman"/>
                <w:kern w:val="0"/>
                <w:sz w:val="24"/>
                <w:lang w:eastAsia="zh-CN"/>
              </w:rPr>
              <w:t>，</w:t>
            </w:r>
            <w:r>
              <w:rPr>
                <w:rFonts w:hint="eastAsia" w:cs="Times New Roman"/>
                <w:kern w:val="0"/>
                <w:sz w:val="24"/>
                <w:lang w:val="en-US" w:eastAsia="zh-CN"/>
              </w:rPr>
              <w:t>夜间</w:t>
            </w:r>
            <w:r>
              <w:rPr>
                <w:rFonts w:hint="default" w:ascii="Times New Roman" w:hAnsi="Times New Roman" w:cs="Times New Roman"/>
                <w:kern w:val="0"/>
                <w:sz w:val="24"/>
                <w:lang w:val="zh-CN"/>
              </w:rPr>
              <w:t>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ascii="Times New Roman" w:hAnsi="Times New Roman" w:cs="Times New Roman"/>
                <w:kern w:val="0"/>
                <w:sz w:val="24"/>
                <w:lang w:val="en-US" w:eastAsia="zh-CN"/>
              </w:rPr>
              <w:t>78m、96m、111m才能达到</w:t>
            </w:r>
            <w:r>
              <w:rPr>
                <w:rFonts w:hint="default" w:ascii="Times New Roman" w:hAnsi="Times New Roman" w:cs="Times New Roman"/>
                <w:kern w:val="0"/>
                <w:sz w:val="24"/>
              </w:rPr>
              <w:t>《声环境质量标准》GB3096-2008中</w:t>
            </w:r>
            <w:r>
              <w:rPr>
                <w:rFonts w:hint="eastAsia" w:ascii="Times New Roman" w:hAnsi="Times New Roman" w:cs="Times New Roman"/>
                <w:kern w:val="0"/>
                <w:sz w:val="24"/>
                <w:lang w:val="en-US" w:eastAsia="zh-CN"/>
              </w:rPr>
              <w:t>2</w:t>
            </w:r>
            <w:r>
              <w:rPr>
                <w:rFonts w:hint="default" w:ascii="Times New Roman" w:hAnsi="Times New Roman" w:cs="Times New Roman"/>
                <w:kern w:val="0"/>
                <w:sz w:val="24"/>
              </w:rPr>
              <w:t>类标准限值。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kern w:val="0"/>
                <w:sz w:val="24"/>
                <w:lang w:val="zh-CN"/>
              </w:rPr>
            </w:pPr>
            <w:r>
              <w:rPr>
                <w:rFonts w:hint="default" w:ascii="Times New Roman" w:hAnsi="Times New Roman" w:cs="Times New Roman"/>
                <w:kern w:val="0"/>
                <w:sz w:val="24"/>
                <w:lang w:val="zh-CN"/>
              </w:rPr>
              <w:t>若营运期存在新建敏感点建筑，则这些敏感点建筑应采取相应的隔声处理措施，例如强化墙体隔声量、加装通风隔声窗和设置退让距离等噪声防治措施。</w:t>
            </w:r>
          </w:p>
          <w:bookmarkEnd w:id="98"/>
          <w:bookmarkEnd w:id="99"/>
          <w:p>
            <w:pPr>
              <w:pStyle w:val="12"/>
              <w:spacing w:before="0" w:after="0" w:line="360" w:lineRule="auto"/>
              <w:ind w:firstLine="480"/>
              <w:outlineLvl w:val="2"/>
              <w:rPr>
                <w:b/>
                <w:bCs/>
                <w:sz w:val="24"/>
                <w:szCs w:val="24"/>
              </w:rPr>
            </w:pPr>
            <w:r>
              <w:rPr>
                <w:sz w:val="24"/>
                <w:szCs w:val="24"/>
              </w:rPr>
              <w:t>具体</w:t>
            </w:r>
            <w:r>
              <w:rPr>
                <w:sz w:val="24"/>
                <w:szCs w:val="24"/>
                <w:lang w:val="zh-CN"/>
              </w:rPr>
              <w:t>详见声环境影响专项评价</w:t>
            </w:r>
            <w:r>
              <w:rPr>
                <w:sz w:val="24"/>
                <w:szCs w:val="24"/>
              </w:rPr>
              <w:t>章节</w:t>
            </w:r>
            <w:r>
              <w:rPr>
                <w:sz w:val="24"/>
                <w:szCs w:val="24"/>
                <w:lang w:val="zh-CN"/>
              </w:rPr>
              <w:t>。</w:t>
            </w:r>
          </w:p>
          <w:p>
            <w:pPr>
              <w:pStyle w:val="26"/>
              <w:spacing w:after="0" w:line="360" w:lineRule="auto"/>
              <w:ind w:left="0" w:leftChars="0" w:firstLine="0" w:firstLineChars="0"/>
              <w:outlineLvl w:val="2"/>
              <w:rPr>
                <w:b/>
                <w:bCs/>
                <w:kern w:val="2"/>
                <w:sz w:val="28"/>
                <w:szCs w:val="28"/>
              </w:rPr>
            </w:pPr>
            <w:r>
              <w:rPr>
                <w:b/>
                <w:bCs/>
                <w:kern w:val="2"/>
                <w:sz w:val="28"/>
                <w:szCs w:val="28"/>
              </w:rPr>
              <w:t>4.</w:t>
            </w:r>
            <w:r>
              <w:rPr>
                <w:rFonts w:hint="eastAsia"/>
                <w:b/>
                <w:bCs/>
                <w:kern w:val="2"/>
                <w:sz w:val="28"/>
                <w:szCs w:val="28"/>
              </w:rPr>
              <w:t>7</w:t>
            </w:r>
            <w:r>
              <w:rPr>
                <w:b/>
                <w:bCs/>
                <w:kern w:val="2"/>
                <w:sz w:val="28"/>
                <w:szCs w:val="28"/>
              </w:rPr>
              <w:t>.4</w:t>
            </w:r>
            <w:r>
              <w:rPr>
                <w:rFonts w:hint="eastAsia"/>
                <w:b/>
                <w:bCs/>
                <w:kern w:val="2"/>
                <w:sz w:val="28"/>
                <w:szCs w:val="28"/>
              </w:rPr>
              <w:t xml:space="preserve"> </w:t>
            </w:r>
            <w:r>
              <w:rPr>
                <w:b/>
                <w:bCs/>
                <w:kern w:val="2"/>
                <w:sz w:val="28"/>
                <w:szCs w:val="28"/>
              </w:rPr>
              <w:t>固体废物</w:t>
            </w:r>
          </w:p>
          <w:p>
            <w:pPr>
              <w:tabs>
                <w:tab w:val="left" w:pos="2695"/>
              </w:tabs>
              <w:spacing w:line="360" w:lineRule="auto"/>
              <w:ind w:firstLine="480"/>
              <w:jc w:val="left"/>
              <w:outlineLvl w:val="2"/>
              <w:rPr>
                <w:sz w:val="24"/>
              </w:rPr>
            </w:pPr>
            <w:r>
              <w:rPr>
                <w:sz w:val="24"/>
              </w:rPr>
              <w:t>本项目</w:t>
            </w:r>
            <w:r>
              <w:rPr>
                <w:rFonts w:hint="eastAsia"/>
                <w:sz w:val="24"/>
              </w:rPr>
              <w:t>运营</w:t>
            </w:r>
            <w:r>
              <w:rPr>
                <w:sz w:val="24"/>
              </w:rPr>
              <w:t>期的固体废物主要为汽车装载货物的撒落物、汽车轮胎挟带的泥沙、过往车辆丢弃的饮料瓶及废纸盒等生活垃圾，其产生随机分散，产生量小。经市政环卫部门负责定期清除、收集、外运，保证日产日清、路面清洁，不会对道路沿线环境造成大的影响。</w:t>
            </w:r>
          </w:p>
          <w:p>
            <w:pPr>
              <w:pStyle w:val="26"/>
              <w:ind w:firstLine="480"/>
            </w:pPr>
          </w:p>
          <w:p/>
          <w:p>
            <w:pPr>
              <w:pStyle w:val="26"/>
              <w:ind w:firstLine="480"/>
              <w:rPr>
                <w:rFonts w:hint="eastAsia"/>
              </w:rPr>
            </w:pPr>
          </w:p>
          <w:p>
            <w:pPr>
              <w:pStyle w:val="26"/>
              <w:spacing w:after="0" w:line="360" w:lineRule="auto"/>
              <w:ind w:left="0" w:leftChars="0" w:firstLine="0" w:firstLineChars="0"/>
              <w:outlineLvl w:val="2"/>
              <w:rPr>
                <w:b/>
                <w:bCs/>
                <w:kern w:val="2"/>
                <w:sz w:val="30"/>
                <w:szCs w:val="30"/>
              </w:rPr>
            </w:pPr>
            <w:r>
              <w:rPr>
                <w:b/>
                <w:bCs/>
                <w:kern w:val="2"/>
                <w:sz w:val="30"/>
                <w:szCs w:val="30"/>
              </w:rPr>
              <w:t>4.</w:t>
            </w:r>
            <w:r>
              <w:rPr>
                <w:rFonts w:hint="eastAsia"/>
                <w:b/>
                <w:bCs/>
                <w:kern w:val="2"/>
                <w:sz w:val="30"/>
                <w:szCs w:val="30"/>
              </w:rPr>
              <w:t xml:space="preserve">8 </w:t>
            </w:r>
            <w:r>
              <w:rPr>
                <w:b/>
                <w:bCs/>
                <w:kern w:val="2"/>
                <w:sz w:val="30"/>
                <w:szCs w:val="30"/>
              </w:rPr>
              <w:t>环境风险分析</w:t>
            </w:r>
          </w:p>
          <w:p>
            <w:pPr>
              <w:spacing w:line="360" w:lineRule="auto"/>
              <w:outlineLvl w:val="2"/>
              <w:rPr>
                <w:b/>
                <w:sz w:val="28"/>
                <w:szCs w:val="28"/>
              </w:rPr>
            </w:pPr>
            <w:r>
              <w:rPr>
                <w:rFonts w:hint="eastAsia"/>
                <w:b/>
                <w:sz w:val="28"/>
                <w:szCs w:val="28"/>
              </w:rPr>
              <w:t xml:space="preserve">4.8.1 </w:t>
            </w:r>
            <w:r>
              <w:rPr>
                <w:b/>
                <w:sz w:val="28"/>
                <w:szCs w:val="28"/>
              </w:rPr>
              <w:t>环境风险识别</w:t>
            </w:r>
          </w:p>
          <w:p>
            <w:pPr>
              <w:spacing w:line="360" w:lineRule="auto"/>
              <w:ind w:firstLine="480"/>
              <w:outlineLvl w:val="2"/>
              <w:rPr>
                <w:sz w:val="24"/>
              </w:rPr>
            </w:pPr>
            <w:r>
              <w:rPr>
                <w:sz w:val="24"/>
              </w:rPr>
              <w:t>（1）环境因素</w:t>
            </w:r>
          </w:p>
          <w:p>
            <w:pPr>
              <w:spacing w:line="360" w:lineRule="auto"/>
              <w:ind w:firstLine="480"/>
              <w:outlineLvl w:val="2"/>
              <w:rPr>
                <w:sz w:val="24"/>
              </w:rPr>
            </w:pPr>
            <w:r>
              <w:rPr>
                <w:sz w:val="24"/>
              </w:rPr>
              <w:t>项目建成后，周边水体主要为</w:t>
            </w:r>
            <w:r>
              <w:rPr>
                <w:rFonts w:hint="eastAsia"/>
                <w:sz w:val="24"/>
              </w:rPr>
              <w:t>里美溪</w:t>
            </w:r>
            <w:r>
              <w:rPr>
                <w:sz w:val="24"/>
              </w:rPr>
              <w:t>，道路运营通车后若发生危险化学品运输交通事故时，产生的有毒物质有可能进入水体或逸散到大气环境，将造成水体污染和大气污染。</w:t>
            </w:r>
          </w:p>
          <w:p>
            <w:pPr>
              <w:spacing w:line="360" w:lineRule="auto"/>
              <w:ind w:firstLine="480"/>
              <w:outlineLvl w:val="2"/>
              <w:rPr>
                <w:sz w:val="24"/>
              </w:rPr>
            </w:pPr>
            <w:r>
              <w:rPr>
                <w:sz w:val="24"/>
              </w:rPr>
              <w:t>（2）人为因素</w:t>
            </w:r>
          </w:p>
          <w:p>
            <w:pPr>
              <w:spacing w:line="360" w:lineRule="auto"/>
              <w:ind w:firstLine="480"/>
              <w:outlineLvl w:val="2"/>
              <w:rPr>
                <w:sz w:val="24"/>
              </w:rPr>
            </w:pPr>
            <w:r>
              <w:rPr>
                <w:sz w:val="24"/>
              </w:rPr>
              <w:t>主要体现在：</w:t>
            </w:r>
          </w:p>
          <w:p>
            <w:pPr>
              <w:spacing w:line="360" w:lineRule="auto"/>
              <w:ind w:firstLine="480"/>
              <w:outlineLvl w:val="2"/>
              <w:rPr>
                <w:sz w:val="24"/>
              </w:rPr>
            </w:pPr>
            <w:r>
              <w:rPr>
                <w:sz w:val="24"/>
              </w:rPr>
              <w:t>①管理人员和驾驶人员没有遵守相关规章制度</w:t>
            </w:r>
          </w:p>
          <w:p>
            <w:pPr>
              <w:spacing w:line="360" w:lineRule="auto"/>
              <w:ind w:firstLine="480"/>
              <w:outlineLvl w:val="2"/>
              <w:rPr>
                <w:sz w:val="24"/>
              </w:rPr>
            </w:pPr>
            <w:r>
              <w:rPr>
                <w:sz w:val="24"/>
              </w:rPr>
              <w:t>a对运输危险品车辆没有实行申报管理；</w:t>
            </w:r>
          </w:p>
          <w:p>
            <w:pPr>
              <w:spacing w:line="360" w:lineRule="auto"/>
              <w:ind w:firstLine="480"/>
              <w:outlineLvl w:val="2"/>
              <w:rPr>
                <w:sz w:val="24"/>
              </w:rPr>
            </w:pPr>
            <w:r>
              <w:rPr>
                <w:sz w:val="24"/>
              </w:rPr>
              <w:t>b运输危险品车辆没有经车道疏导员对证、单验并经安全检查后放行；</w:t>
            </w:r>
          </w:p>
          <w:p>
            <w:pPr>
              <w:spacing w:line="360" w:lineRule="auto"/>
              <w:ind w:firstLine="480"/>
              <w:outlineLvl w:val="2"/>
              <w:rPr>
                <w:sz w:val="24"/>
              </w:rPr>
            </w:pPr>
            <w:r>
              <w:rPr>
                <w:sz w:val="24"/>
              </w:rPr>
              <w:t>c装有雷管，炸药等烈性危险品车辆驶入本区域内道路时，无路政部门派专人护送运输车；</w:t>
            </w:r>
          </w:p>
          <w:p>
            <w:pPr>
              <w:spacing w:line="360" w:lineRule="auto"/>
              <w:ind w:firstLine="480"/>
              <w:outlineLvl w:val="2"/>
              <w:rPr>
                <w:sz w:val="24"/>
              </w:rPr>
            </w:pPr>
            <w:r>
              <w:rPr>
                <w:sz w:val="24"/>
              </w:rPr>
              <w:t>②驾驶人员不按规章制度操作</w:t>
            </w:r>
          </w:p>
          <w:p>
            <w:pPr>
              <w:spacing w:line="360" w:lineRule="auto"/>
              <w:ind w:firstLine="480"/>
              <w:outlineLvl w:val="2"/>
              <w:rPr>
                <w:sz w:val="24"/>
              </w:rPr>
            </w:pPr>
            <w:r>
              <w:rPr>
                <w:sz w:val="24"/>
              </w:rPr>
              <w:t>a疲劳驾驶</w:t>
            </w:r>
          </w:p>
          <w:p>
            <w:pPr>
              <w:spacing w:line="360" w:lineRule="auto"/>
              <w:ind w:firstLine="480"/>
              <w:outlineLvl w:val="2"/>
              <w:rPr>
                <w:sz w:val="24"/>
              </w:rPr>
            </w:pPr>
            <w:r>
              <w:rPr>
                <w:sz w:val="24"/>
              </w:rPr>
              <w:t>运输危险品的驾驶员应当按时休息。一般危险品运输多为长途运输，需要长时间保持注意力集中，很容易导致精神疲劳，很多交通事故都是由于驾驶员疲劳驾驶在行驶途中出现瞌睡导致发生交通事故。</w:t>
            </w:r>
          </w:p>
          <w:p>
            <w:pPr>
              <w:spacing w:line="360" w:lineRule="auto"/>
              <w:ind w:firstLine="480"/>
              <w:outlineLvl w:val="2"/>
              <w:rPr>
                <w:sz w:val="24"/>
              </w:rPr>
            </w:pPr>
            <w:r>
              <w:rPr>
                <w:sz w:val="24"/>
              </w:rPr>
              <w:t>b超载</w:t>
            </w:r>
          </w:p>
          <w:p>
            <w:pPr>
              <w:spacing w:line="360" w:lineRule="auto"/>
              <w:ind w:firstLine="480"/>
              <w:outlineLvl w:val="2"/>
              <w:rPr>
                <w:sz w:val="24"/>
              </w:rPr>
            </w:pPr>
            <w:r>
              <w:rPr>
                <w:sz w:val="24"/>
              </w:rPr>
              <w:t>超载是产生交通事故的重要原因之一，尤其是运输危险品车辆，多为重型车，在超载情况下，车速较高或下坡滑行时容易导则刹车失灵，使车辆失去控制，从而导致追尾或冲出公路的交通事故发生。</w:t>
            </w:r>
          </w:p>
          <w:p>
            <w:pPr>
              <w:spacing w:line="360" w:lineRule="auto"/>
              <w:ind w:firstLine="480"/>
              <w:outlineLvl w:val="2"/>
              <w:rPr>
                <w:sz w:val="24"/>
              </w:rPr>
            </w:pPr>
            <w:r>
              <w:rPr>
                <w:sz w:val="24"/>
              </w:rPr>
              <w:t>c酒后驾车</w:t>
            </w:r>
          </w:p>
          <w:p>
            <w:pPr>
              <w:spacing w:line="360" w:lineRule="auto"/>
              <w:ind w:firstLine="480"/>
              <w:outlineLvl w:val="2"/>
              <w:rPr>
                <w:sz w:val="24"/>
              </w:rPr>
            </w:pPr>
            <w:r>
              <w:rPr>
                <w:sz w:val="24"/>
              </w:rPr>
              <w:t>运输危险品需驾驶员注意力高度集中，始终保持高度警觉，酒后则无法使驾驶员注意力集中，而且在紧急情况下反应迟钝，是发生交通事故的人为因素。</w:t>
            </w:r>
          </w:p>
          <w:p>
            <w:pPr>
              <w:spacing w:line="360" w:lineRule="auto"/>
              <w:ind w:firstLine="480"/>
              <w:outlineLvl w:val="2"/>
              <w:rPr>
                <w:sz w:val="24"/>
              </w:rPr>
            </w:pPr>
            <w:r>
              <w:rPr>
                <w:sz w:val="24"/>
              </w:rPr>
              <w:t>d超速</w:t>
            </w:r>
          </w:p>
          <w:p>
            <w:pPr>
              <w:spacing w:line="360" w:lineRule="auto"/>
              <w:ind w:firstLine="480"/>
              <w:outlineLvl w:val="2"/>
              <w:rPr>
                <w:sz w:val="24"/>
              </w:rPr>
            </w:pPr>
            <w:r>
              <w:rPr>
                <w:sz w:val="24"/>
              </w:rPr>
              <w:t>车辆超速行驶也是发生事故的一个重要因素。在不良气象条件下超速驾驶，驾驶员视线不佳，如遇违章停车或慢速行驶车辆时无法及时反应，从而导致事故发生，致使危险品泄漏、爆炸等事故发生。</w:t>
            </w:r>
          </w:p>
          <w:p>
            <w:pPr>
              <w:spacing w:line="360" w:lineRule="auto"/>
              <w:ind w:firstLine="480"/>
              <w:outlineLvl w:val="2"/>
              <w:rPr>
                <w:sz w:val="24"/>
              </w:rPr>
            </w:pPr>
            <w:r>
              <w:rPr>
                <w:sz w:val="24"/>
              </w:rPr>
              <w:t>③潜在人为因素</w:t>
            </w:r>
          </w:p>
          <w:p>
            <w:pPr>
              <w:spacing w:line="360" w:lineRule="auto"/>
              <w:ind w:firstLine="480"/>
              <w:outlineLvl w:val="2"/>
              <w:rPr>
                <w:sz w:val="24"/>
              </w:rPr>
            </w:pPr>
            <w:r>
              <w:rPr>
                <w:sz w:val="24"/>
              </w:rPr>
              <w:t>除上述因素外，还存在如行驶途中遇到违章车辆肇事、躲避突然穿越道路的行人等紧急情况，这些都是诱发风险事故的因素。</w:t>
            </w:r>
          </w:p>
          <w:p>
            <w:pPr>
              <w:spacing w:line="360" w:lineRule="auto"/>
              <w:ind w:firstLine="480"/>
              <w:outlineLvl w:val="2"/>
              <w:rPr>
                <w:sz w:val="24"/>
              </w:rPr>
            </w:pPr>
            <w:r>
              <w:rPr>
                <w:sz w:val="24"/>
              </w:rPr>
              <w:t>（3）运输车辆缺陷</w:t>
            </w:r>
          </w:p>
          <w:p>
            <w:pPr>
              <w:spacing w:line="360" w:lineRule="auto"/>
              <w:ind w:firstLine="480"/>
              <w:outlineLvl w:val="2"/>
              <w:rPr>
                <w:sz w:val="24"/>
              </w:rPr>
            </w:pPr>
            <w:r>
              <w:rPr>
                <w:sz w:val="24"/>
              </w:rPr>
              <w:t>①运输车辆本身设计上存在问题，行使过程中易导致刹车失灵等问题。</w:t>
            </w:r>
          </w:p>
          <w:p>
            <w:pPr>
              <w:spacing w:line="360" w:lineRule="auto"/>
              <w:ind w:firstLine="480"/>
              <w:outlineLvl w:val="2"/>
              <w:rPr>
                <w:sz w:val="24"/>
              </w:rPr>
            </w:pPr>
            <w:r>
              <w:rPr>
                <w:sz w:val="24"/>
              </w:rPr>
              <w:t>②运输车辆的年代过久，部门零件老化。</w:t>
            </w:r>
          </w:p>
          <w:p>
            <w:pPr>
              <w:spacing w:line="360" w:lineRule="auto"/>
              <w:ind w:firstLine="480"/>
              <w:outlineLvl w:val="2"/>
              <w:rPr>
                <w:sz w:val="24"/>
              </w:rPr>
            </w:pPr>
            <w:r>
              <w:rPr>
                <w:sz w:val="24"/>
              </w:rPr>
              <w:t>③对运输车辆没有进行充分的检查。</w:t>
            </w:r>
          </w:p>
          <w:p>
            <w:pPr>
              <w:spacing w:line="360" w:lineRule="auto"/>
              <w:ind w:firstLine="480"/>
              <w:outlineLvl w:val="2"/>
              <w:rPr>
                <w:sz w:val="24"/>
              </w:rPr>
            </w:pPr>
            <w:r>
              <w:rPr>
                <w:sz w:val="24"/>
              </w:rPr>
              <w:t>④运输危险品车辆无运输危险品资质。</w:t>
            </w:r>
          </w:p>
          <w:p>
            <w:pPr>
              <w:spacing w:line="360" w:lineRule="auto"/>
              <w:ind w:firstLine="480" w:firstLineChars="200"/>
              <w:outlineLvl w:val="2"/>
              <w:rPr>
                <w:bCs/>
                <w:sz w:val="24"/>
              </w:rPr>
            </w:pPr>
            <w:r>
              <w:rPr>
                <w:rFonts w:hint="eastAsia"/>
                <w:bCs/>
                <w:sz w:val="24"/>
              </w:rPr>
              <w:t>（4）</w:t>
            </w:r>
            <w:r>
              <w:rPr>
                <w:bCs/>
                <w:sz w:val="24"/>
              </w:rPr>
              <w:t>危险化学品运输车辆</w:t>
            </w:r>
          </w:p>
          <w:p>
            <w:pPr>
              <w:spacing w:line="360" w:lineRule="auto"/>
              <w:ind w:firstLine="480" w:firstLineChars="200"/>
              <w:outlineLvl w:val="2"/>
              <w:rPr>
                <w:sz w:val="24"/>
              </w:rPr>
            </w:pPr>
            <w:r>
              <w:rPr>
                <w:rFonts w:hint="eastAsia"/>
                <w:sz w:val="24"/>
              </w:rPr>
              <w:t>根据类比同类项目及收集相关材料，</w:t>
            </w:r>
            <w:r>
              <w:rPr>
                <w:sz w:val="24"/>
              </w:rPr>
              <w:t>拟建道路建成通车后，</w:t>
            </w:r>
            <w:r>
              <w:rPr>
                <w:rFonts w:hint="eastAsia"/>
                <w:sz w:val="24"/>
              </w:rPr>
              <w:t>本项目危险品运输风险概率数量级为10</w:t>
            </w:r>
            <w:r>
              <w:rPr>
                <w:rFonts w:hint="eastAsia"/>
                <w:sz w:val="24"/>
                <w:vertAlign w:val="superscript"/>
              </w:rPr>
              <w:t>-3</w:t>
            </w:r>
            <w:r>
              <w:rPr>
                <w:rFonts w:hint="eastAsia"/>
                <w:sz w:val="24"/>
              </w:rPr>
              <w:t>~10</w:t>
            </w:r>
            <w:r>
              <w:rPr>
                <w:rFonts w:hint="eastAsia"/>
                <w:sz w:val="24"/>
                <w:vertAlign w:val="superscript"/>
              </w:rPr>
              <w:t>-6</w:t>
            </w:r>
            <w:r>
              <w:rPr>
                <w:rFonts w:hint="eastAsia"/>
                <w:sz w:val="24"/>
              </w:rPr>
              <w:t>，最大风险概率发生在远期，属于可接受范围内。</w:t>
            </w:r>
            <w:r>
              <w:rPr>
                <w:sz w:val="24"/>
              </w:rPr>
              <w:t>项目道路的危险化学品运输一旦发生重大交通事故导致危险化学品泄漏进入沿线水体，将可能对周围水体及生态环境造成严重危害。</w:t>
            </w:r>
            <w:r>
              <w:rPr>
                <w:rFonts w:hint="eastAsia"/>
                <w:sz w:val="24"/>
              </w:rPr>
              <w:t>道路管理部门应加强危险品运输管理，严格执行交通部部颁标准JT3130-88《汽车危险货物运输规范》有关危险品运输的规定。同时相关部门应制订有毒有害物质外泄的应急处理措施及应急处理方案，一旦发生有毒有害物质外泄，及时处理、清除，避免有毒有害物质进入地面水体而造成污染事件。</w:t>
            </w:r>
          </w:p>
          <w:p>
            <w:pPr>
              <w:spacing w:line="360" w:lineRule="auto"/>
              <w:ind w:firstLine="480" w:firstLineChars="200"/>
              <w:outlineLvl w:val="2"/>
              <w:rPr>
                <w:sz w:val="24"/>
              </w:rPr>
            </w:pPr>
            <w:r>
              <w:rPr>
                <w:rFonts w:hint="eastAsia"/>
                <w:sz w:val="24"/>
              </w:rPr>
              <w:t>为了避免该类风险事故的发生和降低风险影响，建议化学危险货物运输实行“准运证”、“驾驶员证”、“押送员”制度。所有从事化学危险货物的车辆须使用专业标记的统一行车路单。各公安交通管理检查站负责监督检查;由公安交通管理部门、公安消防部门对化学危险货物运输车辆指定行驶区域路线;凡从事长途危险货物运输的车辆须使用专业标记的统一行车路单。各公安、交通管理检查站负责监督检查;采取以上措施后，可以将本项目危险品运输风险率降至最低程度。但为确保发生突发事故逸漏可以得到及时处置，本项目管理部门应在项目营运期加强管理，同时在发生危险品逸漏后应立即报告有关部门，获得地方消防部门、公安和环保等部门的支持，及时妥善处理好事故。</w:t>
            </w:r>
          </w:p>
          <w:p>
            <w:pPr>
              <w:spacing w:line="360" w:lineRule="auto"/>
              <w:ind w:firstLine="480" w:firstLineChars="200"/>
              <w:outlineLvl w:val="2"/>
              <w:rPr>
                <w:sz w:val="24"/>
              </w:rPr>
            </w:pPr>
            <w:r>
              <w:rPr>
                <w:rFonts w:hint="eastAsia"/>
                <w:sz w:val="24"/>
              </w:rPr>
              <w:t>（5）风险小结</w:t>
            </w:r>
          </w:p>
          <w:p>
            <w:pPr>
              <w:spacing w:line="360" w:lineRule="auto"/>
              <w:ind w:firstLine="480" w:firstLineChars="200"/>
              <w:outlineLvl w:val="2"/>
              <w:rPr>
                <w:rFonts w:hint="eastAsia" w:ascii="宋体" w:hAnsi="宋体" w:eastAsia="宋体" w:cs="宋体"/>
                <w:bCs/>
                <w:kern w:val="2"/>
                <w:sz w:val="21"/>
                <w:szCs w:val="21"/>
                <w:lang w:val="en-US" w:eastAsia="zh-CN" w:bidi="ar-SA"/>
              </w:rPr>
            </w:pPr>
            <w:r>
              <w:rPr>
                <w:rFonts w:hint="eastAsia"/>
                <w:sz w:val="24"/>
              </w:rPr>
              <w:t>在认真落实工程拟采取的安全措施及评价所提出的安全措施及安全对策后，工程的事故对周围的影响是可以接受的。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879" w:type="dxa"/>
            <w:vAlign w:val="center"/>
          </w:tcPr>
          <w:p>
            <w:pPr>
              <w:pStyle w:val="22"/>
              <w:adjustRightInd w:val="0"/>
              <w:snapToGrid w:val="0"/>
              <w:spacing w:before="0" w:beforeAutospacing="0" w:after="0" w:afterAutospacing="0"/>
              <w:jc w:val="center"/>
              <w:rPr>
                <w:rFonts w:hint="eastAsia" w:cs="宋体"/>
                <w:bCs/>
                <w:kern w:val="2"/>
                <w:sz w:val="21"/>
                <w:szCs w:val="21"/>
              </w:rPr>
            </w:pPr>
            <w:r>
              <w:rPr>
                <w:rFonts w:hint="eastAsia" w:cs="宋体"/>
                <w:bCs/>
                <w:kern w:val="2"/>
                <w:sz w:val="21"/>
                <w:szCs w:val="21"/>
              </w:rPr>
              <w:t>选址选线环境合理性分析</w:t>
            </w:r>
          </w:p>
        </w:tc>
        <w:tc>
          <w:tcPr>
            <w:tcW w:w="8363" w:type="dxa"/>
            <w:shd w:val="clear" w:color="auto" w:fill="auto"/>
            <w:vAlign w:val="top"/>
          </w:tcPr>
          <w:p>
            <w:pPr>
              <w:adjustRightInd w:val="0"/>
              <w:snapToGrid w:val="0"/>
              <w:spacing w:line="360" w:lineRule="auto"/>
              <w:ind w:firstLine="480" w:firstLineChars="200"/>
              <w:outlineLvl w:val="2"/>
              <w:rPr>
                <w:sz w:val="24"/>
              </w:rPr>
            </w:pPr>
            <w:r>
              <w:rPr>
                <w:rFonts w:hint="eastAsia"/>
                <w:sz w:val="24"/>
              </w:rPr>
              <w:t>（1）用地选线符合性分析</w:t>
            </w:r>
          </w:p>
          <w:p>
            <w:pPr>
              <w:adjustRightInd w:val="0"/>
              <w:snapToGrid w:val="0"/>
              <w:spacing w:line="360" w:lineRule="auto"/>
              <w:ind w:firstLine="480" w:firstLineChars="200"/>
              <w:outlineLvl w:val="2"/>
              <w:rPr>
                <w:sz w:val="24"/>
              </w:rPr>
            </w:pPr>
            <w:r>
              <w:rPr>
                <w:rFonts w:hint="eastAsia"/>
                <w:sz w:val="24"/>
              </w:rPr>
              <w:t>根据《限制用地项目目录（2012年本）》，本工程为城市主干路，不属于《限制用地项目目录（2012年本）》和《禁止用地项目目录（2012年本）》中所列的限制类和禁止类用地项目，因此本项目符合用地要求。</w:t>
            </w:r>
          </w:p>
          <w:p>
            <w:pPr>
              <w:adjustRightInd w:val="0"/>
              <w:snapToGrid w:val="0"/>
              <w:spacing w:line="360" w:lineRule="auto"/>
              <w:ind w:firstLine="480" w:firstLineChars="200"/>
              <w:outlineLvl w:val="2"/>
              <w:rPr>
                <w:sz w:val="24"/>
              </w:rPr>
            </w:pPr>
            <w:r>
              <w:rPr>
                <w:rFonts w:hint="eastAsia"/>
                <w:sz w:val="24"/>
              </w:rPr>
              <w:t>根据福清市自然资源和规划局审批通过的本项目《建设项目选址意见书》(用字第</w:t>
            </w:r>
            <w:r>
              <w:rPr>
                <w:sz w:val="24"/>
              </w:rPr>
              <w:t>350181202300111</w:t>
            </w:r>
            <w:r>
              <w:rPr>
                <w:rFonts w:hint="eastAsia"/>
                <w:sz w:val="24"/>
              </w:rPr>
              <w:t>号)，本项目用地性质为G10交通运输用地、G1004城镇村道用地。道路选线不涉及基本农田、生态林、自然保护区、风景名胜区的核心景区、饮用水源保护区等需要重点加以保护的区域。因此，拟建道路符合城市总体规划，与当地环境功能区划没有矛盾，产生的环境影响经采取措施后能为环境所接受，项目选线基本合理。</w:t>
            </w:r>
          </w:p>
          <w:p>
            <w:pPr>
              <w:adjustRightInd w:val="0"/>
              <w:snapToGrid w:val="0"/>
              <w:spacing w:line="360" w:lineRule="auto"/>
              <w:ind w:firstLine="480" w:firstLineChars="200"/>
              <w:outlineLvl w:val="2"/>
              <w:rPr>
                <w:sz w:val="24"/>
              </w:rPr>
            </w:pPr>
            <w:r>
              <w:rPr>
                <w:rFonts w:hint="eastAsia"/>
                <w:sz w:val="24"/>
              </w:rPr>
              <w:t>（2）选址可行性</w:t>
            </w:r>
          </w:p>
          <w:p>
            <w:pPr>
              <w:adjustRightInd w:val="0"/>
              <w:snapToGrid w:val="0"/>
              <w:spacing w:line="360" w:lineRule="auto"/>
              <w:ind w:firstLine="480" w:firstLineChars="200"/>
              <w:rPr>
                <w:sz w:val="24"/>
              </w:rPr>
            </w:pPr>
            <w:r>
              <w:rPr>
                <w:rFonts w:hint="eastAsia"/>
                <w:sz w:val="24"/>
              </w:rPr>
              <w:t>道路的建设将有效完善片区的路网结构，方便居民出入。本道路的线路综合考虑土地占用和市政管网布设等衔接问题，符合规划，并与路网规划的走向、布置符合。因此，项目选线符合规划要求。</w:t>
            </w:r>
          </w:p>
          <w:p>
            <w:pPr>
              <w:adjustRightInd w:val="0"/>
              <w:snapToGrid w:val="0"/>
              <w:spacing w:line="360" w:lineRule="auto"/>
              <w:ind w:firstLine="480" w:firstLineChars="200"/>
              <w:rPr>
                <w:sz w:val="24"/>
              </w:rPr>
            </w:pPr>
            <w:r>
              <w:rPr>
                <w:rFonts w:hint="eastAsia"/>
                <w:sz w:val="24"/>
              </w:rPr>
              <w:t>（3）临时用地设置的合理性分析</w:t>
            </w:r>
          </w:p>
          <w:p>
            <w:pPr>
              <w:topLinePunct/>
              <w:spacing w:line="360" w:lineRule="auto"/>
              <w:ind w:firstLine="482"/>
              <w:rPr>
                <w:sz w:val="24"/>
              </w:rPr>
            </w:pPr>
            <w:r>
              <w:rPr>
                <w:bCs/>
                <w:sz w:val="24"/>
              </w:rPr>
              <w:t>项目</w:t>
            </w:r>
            <w:r>
              <w:rPr>
                <w:bCs/>
                <w:sz w:val="24"/>
                <w:lang w:val="en-GB"/>
              </w:rPr>
              <w:t>施工场地</w:t>
            </w:r>
            <w:r>
              <w:rPr>
                <w:bCs/>
                <w:sz w:val="24"/>
              </w:rPr>
              <w:t>选址位</w:t>
            </w:r>
            <w:r>
              <w:rPr>
                <w:bCs/>
                <w:sz w:val="24"/>
                <w:szCs w:val="24"/>
              </w:rPr>
              <w:t>于</w:t>
            </w:r>
            <w:r>
              <w:rPr>
                <w:rFonts w:hint="eastAsia"/>
                <w:bCs/>
                <w:sz w:val="24"/>
                <w:szCs w:val="24"/>
              </w:rPr>
              <w:t>红线</w:t>
            </w:r>
            <w:r>
              <w:rPr>
                <w:bCs/>
                <w:sz w:val="24"/>
                <w:szCs w:val="24"/>
              </w:rPr>
              <w:t>外</w:t>
            </w:r>
            <w:r>
              <w:rPr>
                <w:rFonts w:hint="eastAsia"/>
                <w:bCs/>
                <w:sz w:val="24"/>
                <w:szCs w:val="24"/>
                <w:lang w:eastAsia="zh-CN"/>
              </w:rPr>
              <w:t>（</w:t>
            </w:r>
            <w:r>
              <w:rPr>
                <w:spacing w:val="-2"/>
                <w:sz w:val="24"/>
                <w:szCs w:val="24"/>
              </w:rPr>
              <w:fldChar w:fldCharType="begin"/>
            </w:r>
            <w:r>
              <w:rPr>
                <w:sz w:val="24"/>
                <w:szCs w:val="24"/>
              </w:rPr>
              <w:instrText xml:space="preserve"> REF 施工场地位置 \h </w:instrText>
            </w:r>
            <w:r>
              <w:rPr>
                <w:spacing w:val="-2"/>
                <w:sz w:val="24"/>
                <w:szCs w:val="24"/>
              </w:rPr>
              <w:instrText xml:space="preserve"> \* MERGEFORMAT </w:instrText>
            </w:r>
            <w:r>
              <w:rPr>
                <w:spacing w:val="-2"/>
                <w:sz w:val="24"/>
                <w:szCs w:val="24"/>
              </w:rPr>
              <w:fldChar w:fldCharType="separate"/>
            </w:r>
            <w:r>
              <w:rPr>
                <w:rFonts w:hint="eastAsia"/>
                <w:spacing w:val="-2"/>
                <w:sz w:val="24"/>
                <w:szCs w:val="24"/>
              </w:rPr>
              <w:t>清繁大道</w:t>
            </w:r>
            <w:r>
              <w:rPr>
                <w:rFonts w:hint="eastAsia"/>
                <w:spacing w:val="-2"/>
                <w:sz w:val="24"/>
                <w:szCs w:val="24"/>
                <w:lang w:val="en-US" w:eastAsia="zh-CN"/>
              </w:rPr>
              <w:t>红线</w:t>
            </w:r>
            <w:r>
              <w:rPr>
                <w:spacing w:val="-2"/>
                <w:sz w:val="24"/>
                <w:szCs w:val="24"/>
              </w:rPr>
              <w:fldChar w:fldCharType="end"/>
            </w:r>
            <w:r>
              <w:rPr>
                <w:rFonts w:hint="eastAsia"/>
                <w:spacing w:val="-2"/>
                <w:sz w:val="24"/>
                <w:szCs w:val="24"/>
                <w:lang w:val="en-US" w:eastAsia="zh-CN"/>
              </w:rPr>
              <w:t>内</w:t>
            </w:r>
            <w:r>
              <w:rPr>
                <w:rFonts w:hint="eastAsia"/>
                <w:bCs/>
                <w:sz w:val="24"/>
                <w:szCs w:val="24"/>
                <w:lang w:eastAsia="zh-CN"/>
              </w:rPr>
              <w:t>）</w:t>
            </w:r>
            <w:r>
              <w:rPr>
                <w:bCs/>
                <w:sz w:val="24"/>
                <w:szCs w:val="24"/>
              </w:rPr>
              <w:t>，占地类</w:t>
            </w:r>
            <w:r>
              <w:rPr>
                <w:bCs/>
                <w:sz w:val="24"/>
              </w:rPr>
              <w:t>型为建设用地</w:t>
            </w:r>
            <w:r>
              <w:rPr>
                <w:rFonts w:hint="eastAsia"/>
                <w:bCs/>
                <w:sz w:val="24"/>
              </w:rPr>
              <w:t>，施工场地周边200m范围无居民区。项目施工场地选址优先选址在远离居民区的地方，</w:t>
            </w:r>
            <w:r>
              <w:rPr>
                <w:bCs/>
                <w:sz w:val="24"/>
                <w:lang w:val="en-GB"/>
              </w:rPr>
              <w:t>在</w:t>
            </w:r>
            <w:r>
              <w:rPr>
                <w:bCs/>
                <w:sz w:val="24"/>
              </w:rPr>
              <w:t>施工期间采取</w:t>
            </w:r>
            <w:r>
              <w:rPr>
                <w:rFonts w:hint="eastAsia"/>
                <w:bCs/>
                <w:sz w:val="24"/>
              </w:rPr>
              <w:t>相应</w:t>
            </w:r>
            <w:r>
              <w:rPr>
                <w:bCs/>
                <w:sz w:val="24"/>
              </w:rPr>
              <w:t>的环保措施，施工结束后及时拆除硬化地面并清理垃圾，恢复原地貌</w:t>
            </w:r>
            <w:r>
              <w:rPr>
                <w:rFonts w:hint="eastAsia"/>
                <w:bCs/>
                <w:sz w:val="24"/>
              </w:rPr>
              <w:t>，</w:t>
            </w:r>
            <w:r>
              <w:rPr>
                <w:bCs/>
                <w:sz w:val="24"/>
                <w:lang w:val="en-GB"/>
              </w:rPr>
              <w:t>对</w:t>
            </w:r>
            <w:r>
              <w:rPr>
                <w:bCs/>
                <w:sz w:val="24"/>
              </w:rPr>
              <w:t>区域</w:t>
            </w:r>
            <w:r>
              <w:rPr>
                <w:bCs/>
                <w:sz w:val="24"/>
                <w:lang w:val="en-GB"/>
              </w:rPr>
              <w:t>环境影响</w:t>
            </w:r>
            <w:r>
              <w:rPr>
                <w:bCs/>
                <w:sz w:val="24"/>
              </w:rPr>
              <w:t>均</w:t>
            </w:r>
            <w:r>
              <w:rPr>
                <w:bCs/>
                <w:sz w:val="24"/>
                <w:lang w:val="en-GB"/>
              </w:rPr>
              <w:t>较小</w:t>
            </w:r>
            <w:r>
              <w:rPr>
                <w:rFonts w:hint="eastAsia"/>
                <w:bCs/>
                <w:sz w:val="24"/>
                <w:lang w:val="en-GB"/>
              </w:rPr>
              <w:t>，</w:t>
            </w:r>
            <w:r>
              <w:rPr>
                <w:rFonts w:hint="eastAsia"/>
                <w:sz w:val="24"/>
              </w:rPr>
              <w:t>临时场地的设置是合理的。</w:t>
            </w:r>
          </w:p>
          <w:p>
            <w:pPr>
              <w:adjustRightInd w:val="0"/>
              <w:snapToGrid w:val="0"/>
              <w:spacing w:line="360" w:lineRule="auto"/>
              <w:ind w:firstLine="420" w:firstLineChars="200"/>
              <w:rPr>
                <w:rFonts w:hint="eastAsia" w:ascii="宋体" w:hAnsi="宋体" w:eastAsia="宋体" w:cs="宋体"/>
                <w:bCs/>
                <w:kern w:val="2"/>
                <w:sz w:val="21"/>
                <w:szCs w:val="21"/>
                <w:lang w:val="en-US" w:eastAsia="zh-CN" w:bidi="ar-SA"/>
              </w:rPr>
            </w:pPr>
          </w:p>
        </w:tc>
      </w:tr>
    </w:tbl>
    <w:p>
      <w:pPr>
        <w:pStyle w:val="22"/>
        <w:jc w:val="center"/>
        <w:rPr>
          <w:rFonts w:hint="eastAsia" w:ascii="黑体" w:hAnsi="黑体" w:eastAsia="黑体"/>
          <w:snapToGrid w:val="0"/>
          <w:sz w:val="36"/>
          <w:szCs w:val="36"/>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pPr>
        <w:pStyle w:val="22"/>
        <w:jc w:val="center"/>
        <w:outlineLvl w:val="0"/>
        <w:rPr>
          <w:rFonts w:hint="eastAsia" w:ascii="黑体" w:hAnsi="黑体" w:eastAsia="黑体"/>
          <w:b/>
          <w:bCs/>
          <w:snapToGrid w:val="0"/>
          <w:sz w:val="30"/>
          <w:szCs w:val="30"/>
        </w:rPr>
      </w:pPr>
      <w:bookmarkStart w:id="100" w:name="_Toc1976"/>
      <w:r>
        <w:rPr>
          <w:rFonts w:hint="eastAsia" w:ascii="黑体" w:hAnsi="黑体" w:eastAsia="黑体"/>
          <w:b/>
          <w:bCs/>
          <w:snapToGrid w:val="0"/>
          <w:sz w:val="32"/>
          <w:szCs w:val="32"/>
        </w:rPr>
        <w:t>五、主要生态环境保护措施</w:t>
      </w:r>
      <w:bookmarkEnd w:id="100"/>
    </w:p>
    <w:p>
      <w:pPr>
        <w:pStyle w:val="22"/>
        <w:adjustRightInd w:val="0"/>
        <w:snapToGrid w:val="0"/>
        <w:spacing w:before="0" w:beforeAutospacing="0" w:after="0" w:afterAutospacing="0" w:line="14" w:lineRule="auto"/>
        <w:jc w:val="center"/>
        <w:rPr>
          <w:rFonts w:hint="eastAsia" w:ascii="黑体" w:hAnsi="黑体" w:eastAsia="黑体"/>
          <w:snapToGrid w:val="0"/>
          <w:sz w:val="30"/>
          <w:szCs w:val="30"/>
        </w:rPr>
      </w:pPr>
    </w:p>
    <w:tbl>
      <w:tblPr>
        <w:tblStyle w:val="27"/>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74" w:hRule="atLeast"/>
          <w:jc w:val="center"/>
        </w:trPr>
        <w:tc>
          <w:tcPr>
            <w:tcW w:w="753" w:type="dxa"/>
            <w:tcMar>
              <w:left w:w="28" w:type="dxa"/>
              <w:right w:w="28" w:type="dxa"/>
            </w:tcMar>
            <w:vAlign w:val="center"/>
          </w:tcPr>
          <w:p>
            <w:pPr>
              <w:adjustRightInd w:val="0"/>
              <w:snapToGrid w:val="0"/>
              <w:jc w:val="center"/>
              <w:rPr>
                <w:rFonts w:hint="eastAsia" w:ascii="宋体" w:hAnsi="宋体"/>
                <w:bCs/>
                <w:szCs w:val="21"/>
              </w:rPr>
            </w:pPr>
            <w:bookmarkStart w:id="101" w:name="_Toc10890"/>
            <w:bookmarkStart w:id="102" w:name="_Toc17077"/>
            <w:r>
              <w:rPr>
                <w:rFonts w:hint="eastAsia" w:ascii="宋体" w:hAnsi="宋体" w:cs="宋体"/>
                <w:bCs/>
                <w:spacing w:val="10"/>
                <w:szCs w:val="21"/>
              </w:rPr>
              <w:t>施工期生态环境保护措施</w:t>
            </w:r>
          </w:p>
        </w:tc>
        <w:tc>
          <w:tcPr>
            <w:tcW w:w="8457" w:type="dxa"/>
          </w:tcPr>
          <w:p>
            <w:pPr>
              <w:adjustRightInd w:val="0"/>
              <w:snapToGrid w:val="0"/>
              <w:spacing w:before="120" w:beforeLines="50" w:after="120" w:afterLines="50" w:line="360" w:lineRule="auto"/>
              <w:outlineLvl w:val="1"/>
              <w:rPr>
                <w:b/>
                <w:bCs/>
                <w:sz w:val="30"/>
                <w:szCs w:val="30"/>
              </w:rPr>
            </w:pPr>
            <w:r>
              <w:rPr>
                <w:b/>
                <w:bCs/>
                <w:sz w:val="30"/>
                <w:szCs w:val="30"/>
              </w:rPr>
              <w:t>5.1 施工期生态环境保护措施</w:t>
            </w:r>
          </w:p>
          <w:p>
            <w:pPr>
              <w:adjustRightInd w:val="0"/>
              <w:snapToGrid w:val="0"/>
              <w:spacing w:line="360" w:lineRule="auto"/>
              <w:outlineLvl w:val="2"/>
              <w:rPr>
                <w:sz w:val="28"/>
                <w:szCs w:val="28"/>
              </w:rPr>
            </w:pPr>
            <w:r>
              <w:rPr>
                <w:b/>
                <w:bCs/>
                <w:sz w:val="28"/>
                <w:szCs w:val="28"/>
              </w:rPr>
              <w:t>5.1.1 水环境</w:t>
            </w:r>
          </w:p>
          <w:p>
            <w:pPr>
              <w:pStyle w:val="77"/>
              <w:ind w:firstLine="480"/>
              <w:rPr>
                <w:sz w:val="24"/>
              </w:rPr>
            </w:pPr>
            <w:r>
              <w:rPr>
                <w:sz w:val="24"/>
              </w:rPr>
              <w:t>（1）施工废水</w:t>
            </w:r>
          </w:p>
          <w:p>
            <w:pPr>
              <w:pStyle w:val="77"/>
              <w:ind w:firstLine="480"/>
              <w:rPr>
                <w:sz w:val="24"/>
                <w:lang w:val="en-US"/>
              </w:rPr>
            </w:pPr>
            <w:r>
              <w:rPr>
                <w:rFonts w:hint="eastAsia"/>
                <w:sz w:val="24"/>
                <w:lang w:val="en-US"/>
              </w:rPr>
              <w:t>①</w:t>
            </w:r>
            <w:r>
              <w:rPr>
                <w:sz w:val="24"/>
              </w:rPr>
              <w:t>项目</w:t>
            </w:r>
            <w:r>
              <w:rPr>
                <w:sz w:val="24"/>
                <w:lang w:val="en-US"/>
              </w:rPr>
              <w:t>施工</w:t>
            </w:r>
            <w:r>
              <w:rPr>
                <w:rFonts w:hint="eastAsia"/>
                <w:sz w:val="24"/>
                <w:lang w:val="en-US"/>
              </w:rPr>
              <w:t>区临近里美溪</w:t>
            </w:r>
            <w:r>
              <w:rPr>
                <w:sz w:val="24"/>
                <w:lang w:val="en-US"/>
              </w:rPr>
              <w:t>，要求施工产生的废弃物严禁倾倒或抛入水体，不得随意堆放在水体旁，应及时清运至指定地点。妥善管理施工材料，做好遮盖，避免雨季或暴雨期受雨水冲刷进入附近等水体。</w:t>
            </w:r>
          </w:p>
          <w:p>
            <w:pPr>
              <w:pStyle w:val="77"/>
              <w:ind w:firstLine="480"/>
              <w:rPr>
                <w:sz w:val="24"/>
                <w:lang w:val="en-US"/>
              </w:rPr>
            </w:pPr>
            <w:r>
              <w:rPr>
                <w:rFonts w:hint="eastAsia"/>
                <w:sz w:val="24"/>
                <w:lang w:val="en-US"/>
              </w:rPr>
              <w:t>②</w:t>
            </w:r>
            <w:r>
              <w:rPr>
                <w:sz w:val="24"/>
                <w:lang w:val="en-US"/>
              </w:rPr>
              <w:t>在路基开挖时，应设置临时截水沉淀池，在沉淀池出水的一侧设土工布围栏，拦截泥沙，当路基铺设完毕后，</w:t>
            </w:r>
            <w:r>
              <w:rPr>
                <w:rFonts w:hint="eastAsia"/>
                <w:sz w:val="24"/>
                <w:lang w:val="en-US"/>
              </w:rPr>
              <w:t>对</w:t>
            </w:r>
            <w:r>
              <w:rPr>
                <w:sz w:val="24"/>
                <w:lang w:val="en-US"/>
              </w:rPr>
              <w:t>沉淀池</w:t>
            </w:r>
            <w:r>
              <w:rPr>
                <w:rFonts w:hint="eastAsia"/>
                <w:sz w:val="24"/>
                <w:lang w:val="en-US"/>
              </w:rPr>
              <w:t>进行回填平整</w:t>
            </w:r>
            <w:r>
              <w:rPr>
                <w:sz w:val="24"/>
                <w:lang w:val="en-US"/>
              </w:rPr>
              <w:t>。</w:t>
            </w:r>
          </w:p>
          <w:p>
            <w:pPr>
              <w:pStyle w:val="77"/>
              <w:ind w:firstLine="480"/>
              <w:rPr>
                <w:sz w:val="24"/>
                <w:lang w:val="en-US"/>
              </w:rPr>
            </w:pPr>
            <w:r>
              <w:rPr>
                <w:rFonts w:hint="eastAsia"/>
                <w:sz w:val="24"/>
                <w:lang w:val="en-US"/>
              </w:rPr>
              <w:t>③</w:t>
            </w:r>
            <w:r>
              <w:rPr>
                <w:sz w:val="24"/>
                <w:lang w:val="en-US"/>
              </w:rPr>
              <w:t>施工过程产生的施工废水需集中收集，设置隔油池、沉淀处理后作为施工场地降尘及运输车辆和机械设备冲洗用水回用不外排。</w:t>
            </w:r>
          </w:p>
          <w:p>
            <w:pPr>
              <w:pStyle w:val="77"/>
              <w:ind w:firstLine="480"/>
              <w:rPr>
                <w:sz w:val="24"/>
                <w:lang w:val="en-US"/>
              </w:rPr>
            </w:pPr>
            <w:r>
              <w:rPr>
                <w:rFonts w:hint="eastAsia"/>
                <w:sz w:val="24"/>
                <w:lang w:val="en-US"/>
              </w:rPr>
              <w:t>④</w:t>
            </w:r>
            <w:r>
              <w:rPr>
                <w:sz w:val="24"/>
                <w:lang w:val="en-US"/>
              </w:rPr>
              <w:t>施工结束后，应及时对施工场地进行土地整治，避免继续造成水污染。</w:t>
            </w:r>
          </w:p>
          <w:p>
            <w:pPr>
              <w:pStyle w:val="77"/>
              <w:ind w:firstLine="480"/>
              <w:rPr>
                <w:sz w:val="24"/>
              </w:rPr>
            </w:pPr>
            <w:r>
              <w:rPr>
                <w:rFonts w:hint="eastAsia" w:ascii="宋体" w:hAnsi="宋体" w:cs="宋体"/>
                <w:sz w:val="24"/>
              </w:rPr>
              <w:t>⑤</w:t>
            </w:r>
            <w:r>
              <w:rPr>
                <w:sz w:val="24"/>
              </w:rPr>
              <w:t>加强雨季截流沟、排水沟的建设，避免雨季施工废水到处溢留或雨水四周漫流等。</w:t>
            </w:r>
          </w:p>
          <w:p>
            <w:pPr>
              <w:pStyle w:val="77"/>
              <w:ind w:firstLine="480"/>
              <w:rPr>
                <w:sz w:val="24"/>
              </w:rPr>
            </w:pPr>
            <w:r>
              <w:rPr>
                <w:rFonts w:hint="eastAsia" w:ascii="宋体" w:hAnsi="宋体" w:cs="宋体"/>
                <w:sz w:val="24"/>
              </w:rPr>
              <w:t>⑥</w:t>
            </w:r>
            <w:r>
              <w:rPr>
                <w:sz w:val="24"/>
              </w:rPr>
              <w:t>在施工机械和运输车辆冲洗场所四周设置排水沟及隔油池，对冲洗废水进行隔油、沉淀处理。各类污水经沉淀、澄清后尽量循环使用于工地晒水、冲洗等，</w:t>
            </w:r>
            <w:r>
              <w:rPr>
                <w:rFonts w:hint="eastAsia"/>
                <w:sz w:val="24"/>
              </w:rPr>
              <w:t>不外排</w:t>
            </w:r>
            <w:r>
              <w:rPr>
                <w:sz w:val="24"/>
              </w:rPr>
              <w:t>。</w:t>
            </w:r>
          </w:p>
          <w:p>
            <w:pPr>
              <w:pStyle w:val="77"/>
              <w:ind w:firstLine="480"/>
              <w:rPr>
                <w:sz w:val="24"/>
              </w:rPr>
            </w:pPr>
            <w:r>
              <w:rPr>
                <w:sz w:val="24"/>
              </w:rPr>
              <w:t>（2）施工人员生活污水</w:t>
            </w:r>
          </w:p>
          <w:p>
            <w:pPr>
              <w:pStyle w:val="77"/>
              <w:ind w:firstLine="480"/>
              <w:rPr>
                <w:sz w:val="24"/>
              </w:rPr>
            </w:pPr>
            <w:r>
              <w:rPr>
                <w:sz w:val="24"/>
              </w:rPr>
              <w:t>项目施工人员均租住周边民房，生活污水纳入到村庄排水系统中。</w:t>
            </w:r>
          </w:p>
          <w:p>
            <w:pPr>
              <w:pStyle w:val="77"/>
              <w:ind w:firstLine="480"/>
              <w:rPr>
                <w:sz w:val="24"/>
              </w:rPr>
            </w:pPr>
            <w:r>
              <w:rPr>
                <w:sz w:val="24"/>
              </w:rPr>
              <w:t>（3）其他建议</w:t>
            </w:r>
          </w:p>
          <w:p>
            <w:pPr>
              <w:adjustRightInd w:val="0"/>
              <w:snapToGrid w:val="0"/>
              <w:spacing w:line="360" w:lineRule="auto"/>
              <w:ind w:firstLine="420"/>
              <w:rPr>
                <w:sz w:val="24"/>
              </w:rPr>
            </w:pPr>
            <w:r>
              <w:rPr>
                <w:sz w:val="24"/>
              </w:rPr>
              <w:t>严格施工管理、文明施工，加强对机器设备的维护和保养，防止发生漏油现象。土石方开挖尽量避开雨天，开挖的泥沙应及时回填压实，避免沙土因雨水冲刷造成水土流失。</w:t>
            </w:r>
          </w:p>
          <w:p>
            <w:pPr>
              <w:adjustRightInd w:val="0"/>
              <w:snapToGrid w:val="0"/>
              <w:spacing w:line="360" w:lineRule="auto"/>
              <w:ind w:firstLine="420"/>
              <w:rPr>
                <w:kern w:val="0"/>
                <w:sz w:val="24"/>
                <w:szCs w:val="32"/>
                <w:lang w:val="zh-CN"/>
              </w:rPr>
            </w:pPr>
            <w:r>
              <w:rPr>
                <w:kern w:val="0"/>
                <w:sz w:val="24"/>
                <w:szCs w:val="32"/>
                <w:lang w:val="zh-CN"/>
              </w:rPr>
              <w:t>（</w:t>
            </w:r>
            <w:r>
              <w:rPr>
                <w:rFonts w:hint="eastAsia"/>
                <w:kern w:val="0"/>
                <w:sz w:val="24"/>
                <w:szCs w:val="32"/>
              </w:rPr>
              <w:t>4</w:t>
            </w:r>
            <w:r>
              <w:rPr>
                <w:kern w:val="0"/>
                <w:sz w:val="24"/>
                <w:szCs w:val="32"/>
                <w:lang w:val="zh-CN"/>
              </w:rPr>
              <w:t>）桥</w:t>
            </w:r>
            <w:r>
              <w:rPr>
                <w:rFonts w:hint="eastAsia"/>
                <w:kern w:val="0"/>
                <w:sz w:val="24"/>
                <w:szCs w:val="32"/>
                <w:lang w:val="zh-CN"/>
              </w:rPr>
              <w:t>梁</w:t>
            </w:r>
            <w:r>
              <w:rPr>
                <w:kern w:val="0"/>
                <w:sz w:val="24"/>
                <w:szCs w:val="32"/>
                <w:lang w:val="zh-CN"/>
              </w:rPr>
              <w:t>施工水污染控制措施</w:t>
            </w:r>
          </w:p>
          <w:p>
            <w:pPr>
              <w:adjustRightInd w:val="0"/>
              <w:snapToGrid w:val="0"/>
              <w:spacing w:line="360" w:lineRule="auto"/>
              <w:ind w:firstLine="420"/>
              <w:rPr>
                <w:kern w:val="0"/>
                <w:sz w:val="24"/>
                <w:szCs w:val="32"/>
                <w:lang w:val="zh-CN"/>
              </w:rPr>
            </w:pPr>
            <w:r>
              <w:rPr>
                <w:kern w:val="0"/>
                <w:sz w:val="24"/>
                <w:szCs w:val="32"/>
                <w:lang w:val="zh-CN"/>
              </w:rPr>
              <w:t>①施工尽量选择在枯水季节施工。</w:t>
            </w:r>
          </w:p>
          <w:p>
            <w:pPr>
              <w:adjustRightInd w:val="0"/>
              <w:snapToGrid w:val="0"/>
              <w:spacing w:line="360" w:lineRule="auto"/>
              <w:ind w:firstLine="420"/>
              <w:rPr>
                <w:kern w:val="0"/>
                <w:sz w:val="24"/>
                <w:szCs w:val="32"/>
                <w:lang w:val="zh-CN"/>
              </w:rPr>
            </w:pPr>
            <w:r>
              <w:rPr>
                <w:kern w:val="0"/>
                <w:sz w:val="24"/>
                <w:szCs w:val="32"/>
                <w:lang w:val="zh-CN"/>
              </w:rPr>
              <w:t>②采用循环钻孔灌注桩施工方式，使泥浆循环使用。</w:t>
            </w:r>
          </w:p>
          <w:p>
            <w:pPr>
              <w:adjustRightInd w:val="0"/>
              <w:snapToGrid w:val="0"/>
              <w:spacing w:line="360" w:lineRule="auto"/>
              <w:ind w:firstLine="420"/>
              <w:rPr>
                <w:kern w:val="0"/>
                <w:sz w:val="24"/>
                <w:szCs w:val="32"/>
                <w:lang w:val="zh-CN"/>
              </w:rPr>
            </w:pPr>
            <w:r>
              <w:rPr>
                <w:kern w:val="0"/>
                <w:sz w:val="24"/>
                <w:szCs w:val="32"/>
                <w:lang w:val="zh-CN"/>
              </w:rPr>
              <w:t>③尽量采用先进的设备、机械施工，在不可避免产生滴漏废油时，施工机械在桥梁施工场地附近放置密闭型废弃油桶，施工机械产生的滴漏废油经收集后存储于油桶中，收集满后由专人送废油回收机构集中处置，禁止任何形式的废油进入水体。</w:t>
            </w:r>
          </w:p>
          <w:p>
            <w:pPr>
              <w:adjustRightInd w:val="0"/>
              <w:snapToGrid w:val="0"/>
              <w:spacing w:line="360" w:lineRule="auto"/>
              <w:outlineLvl w:val="2"/>
              <w:rPr>
                <w:b/>
                <w:bCs/>
                <w:sz w:val="28"/>
                <w:szCs w:val="28"/>
              </w:rPr>
            </w:pPr>
            <w:r>
              <w:rPr>
                <w:b/>
                <w:bCs/>
                <w:sz w:val="28"/>
                <w:szCs w:val="28"/>
              </w:rPr>
              <w:t>5.1.2 大气环境</w:t>
            </w:r>
          </w:p>
          <w:p>
            <w:pPr>
              <w:autoSpaceDE w:val="0"/>
              <w:autoSpaceDN w:val="0"/>
              <w:spacing w:line="360" w:lineRule="auto"/>
              <w:ind w:firstLine="470" w:firstLineChars="196"/>
              <w:jc w:val="left"/>
              <w:rPr>
                <w:sz w:val="24"/>
              </w:rPr>
            </w:pPr>
            <w:r>
              <w:rPr>
                <w:sz w:val="24"/>
              </w:rPr>
              <w:t>（</w:t>
            </w:r>
            <w:r>
              <w:rPr>
                <w:rFonts w:hint="eastAsia"/>
                <w:sz w:val="24"/>
              </w:rPr>
              <w:t>1</w:t>
            </w:r>
            <w:r>
              <w:rPr>
                <w:sz w:val="24"/>
              </w:rPr>
              <w:t>）</w:t>
            </w:r>
            <w:r>
              <w:rPr>
                <w:sz w:val="24"/>
                <w:lang w:val="zh-CN"/>
              </w:rPr>
              <w:t>施工扬尘防治措施</w:t>
            </w:r>
          </w:p>
          <w:p>
            <w:pPr>
              <w:autoSpaceDE w:val="0"/>
              <w:autoSpaceDN w:val="0"/>
              <w:spacing w:line="360" w:lineRule="auto"/>
              <w:ind w:firstLine="470" w:firstLineChars="196"/>
              <w:jc w:val="left"/>
              <w:rPr>
                <w:sz w:val="24"/>
              </w:rPr>
            </w:pPr>
            <w:r>
              <w:rPr>
                <w:sz w:val="24"/>
              </w:rPr>
              <w:t>①建设单位在施工期间，应设置施工标志牌。施工标志牌应当标明工程项目名称、建设单位、设计单位、施工单位、监理单位名称，项目经理姓名、联系电话，开工和计划竣工日期，施工许可证批准文号以及监督电话、当地环境保护主管部门的污染举报电话等。</w:t>
            </w:r>
          </w:p>
          <w:p>
            <w:pPr>
              <w:autoSpaceDE w:val="0"/>
              <w:autoSpaceDN w:val="0"/>
              <w:spacing w:line="360" w:lineRule="auto"/>
              <w:ind w:firstLine="470" w:firstLineChars="196"/>
              <w:jc w:val="left"/>
              <w:rPr>
                <w:sz w:val="24"/>
              </w:rPr>
            </w:pPr>
            <w:r>
              <w:rPr>
                <w:sz w:val="24"/>
              </w:rPr>
              <w:t>②对于裸露施工区地表压实处理并洒水。</w:t>
            </w:r>
          </w:p>
          <w:p>
            <w:pPr>
              <w:autoSpaceDE w:val="0"/>
              <w:autoSpaceDN w:val="0"/>
              <w:spacing w:line="360" w:lineRule="auto"/>
              <w:ind w:firstLine="470" w:firstLineChars="196"/>
              <w:jc w:val="left"/>
              <w:rPr>
                <w:sz w:val="24"/>
              </w:rPr>
            </w:pPr>
            <w:r>
              <w:rPr>
                <w:sz w:val="24"/>
              </w:rPr>
              <w:t>③天气预报4级风以上天气应停止产生扬尘的施工作业，例如土方工程。</w:t>
            </w:r>
          </w:p>
          <w:p>
            <w:pPr>
              <w:autoSpaceDE w:val="0"/>
              <w:autoSpaceDN w:val="0"/>
              <w:spacing w:line="360" w:lineRule="auto"/>
              <w:ind w:firstLine="470" w:firstLineChars="196"/>
              <w:jc w:val="left"/>
              <w:rPr>
                <w:sz w:val="24"/>
              </w:rPr>
            </w:pPr>
            <w:r>
              <w:rPr>
                <w:sz w:val="24"/>
              </w:rPr>
              <w:t>④项目施工场地应设置硬质围挡，以抑制扬尘飞散，围挡高度不低于2.5m。</w:t>
            </w:r>
          </w:p>
          <w:p>
            <w:pPr>
              <w:autoSpaceDE w:val="0"/>
              <w:autoSpaceDN w:val="0"/>
              <w:spacing w:line="360" w:lineRule="auto"/>
              <w:ind w:firstLine="470" w:firstLineChars="196"/>
              <w:jc w:val="left"/>
              <w:rPr>
                <w:color w:val="auto"/>
                <w:sz w:val="24"/>
              </w:rPr>
            </w:pPr>
            <w:r>
              <w:rPr>
                <w:color w:val="auto"/>
                <w:sz w:val="24"/>
              </w:rPr>
              <w:t>（2）</w:t>
            </w:r>
            <w:r>
              <w:rPr>
                <w:rFonts w:hint="eastAsia"/>
                <w:color w:val="auto"/>
                <w:sz w:val="24"/>
              </w:rPr>
              <w:t>物料堆放</w:t>
            </w:r>
            <w:r>
              <w:rPr>
                <w:color w:val="auto"/>
                <w:sz w:val="24"/>
              </w:rPr>
              <w:t>扬尘防治措施</w:t>
            </w:r>
          </w:p>
          <w:p>
            <w:pPr>
              <w:autoSpaceDE w:val="0"/>
              <w:autoSpaceDN w:val="0"/>
              <w:spacing w:line="360" w:lineRule="auto"/>
              <w:ind w:firstLine="470" w:firstLineChars="196"/>
              <w:jc w:val="left"/>
              <w:rPr>
                <w:color w:val="auto"/>
                <w:sz w:val="24"/>
              </w:rPr>
            </w:pPr>
            <w:r>
              <w:rPr>
                <w:color w:val="auto"/>
                <w:sz w:val="24"/>
              </w:rPr>
              <w:t>①本项目不设混凝土搅拌站，施工期采用外购商品混凝土，不设施工材料堆场，施工材料根据工程情况当日调运至现场。</w:t>
            </w:r>
            <w:r>
              <w:rPr>
                <w:rFonts w:hint="eastAsia"/>
                <w:color w:val="auto"/>
                <w:sz w:val="24"/>
              </w:rPr>
              <w:t>物料临时堆放</w:t>
            </w:r>
            <w:r>
              <w:rPr>
                <w:color w:val="auto"/>
                <w:sz w:val="24"/>
              </w:rPr>
              <w:t>要设置高于</w:t>
            </w:r>
            <w:r>
              <w:rPr>
                <w:rFonts w:hint="eastAsia"/>
                <w:color w:val="auto"/>
                <w:sz w:val="24"/>
              </w:rPr>
              <w:t>堆垛</w:t>
            </w:r>
            <w:r>
              <w:rPr>
                <w:color w:val="auto"/>
                <w:sz w:val="24"/>
              </w:rPr>
              <w:t>围挡，必要时进行喷淋，防止风蚀起尘。</w:t>
            </w:r>
          </w:p>
          <w:p>
            <w:pPr>
              <w:autoSpaceDE w:val="0"/>
              <w:autoSpaceDN w:val="0"/>
              <w:spacing w:line="360" w:lineRule="auto"/>
              <w:ind w:firstLine="470" w:firstLineChars="196"/>
              <w:jc w:val="left"/>
              <w:rPr>
                <w:color w:val="auto"/>
                <w:sz w:val="24"/>
              </w:rPr>
            </w:pPr>
            <w:r>
              <w:rPr>
                <w:color w:val="auto"/>
                <w:sz w:val="24"/>
              </w:rPr>
              <w:t>②</w:t>
            </w:r>
            <w:r>
              <w:rPr>
                <w:rFonts w:hint="eastAsia"/>
                <w:color w:val="auto"/>
                <w:sz w:val="24"/>
              </w:rPr>
              <w:t>产生的土石方随挖随填、</w:t>
            </w:r>
            <w:r>
              <w:rPr>
                <w:rFonts w:hint="eastAsia" w:ascii="Times New Roman" w:hAnsi="Times New Roman" w:eastAsia="宋体" w:cs="Times New Roman"/>
                <w:color w:val="auto"/>
                <w:sz w:val="24"/>
              </w:rPr>
              <w:t>随运，</w:t>
            </w:r>
            <w:r>
              <w:rPr>
                <w:rFonts w:hint="eastAsia" w:ascii="Times New Roman" w:hAnsi="Times New Roman" w:eastAsia="宋体" w:cs="Times New Roman"/>
                <w:color w:val="auto"/>
                <w:sz w:val="24"/>
                <w:lang w:val="en-US" w:eastAsia="zh-CN"/>
              </w:rPr>
              <w:t>减少场内堆放量</w:t>
            </w:r>
            <w:r>
              <w:rPr>
                <w:rFonts w:ascii="Times New Roman" w:hAnsi="Times New Roman" w:eastAsia="宋体" w:cs="Times New Roman"/>
                <w:color w:val="auto"/>
                <w:sz w:val="24"/>
              </w:rPr>
              <w:t>。</w:t>
            </w:r>
          </w:p>
          <w:p>
            <w:pPr>
              <w:autoSpaceDE w:val="0"/>
              <w:autoSpaceDN w:val="0"/>
              <w:spacing w:line="360" w:lineRule="auto"/>
              <w:ind w:firstLine="470" w:firstLineChars="196"/>
              <w:jc w:val="left"/>
              <w:rPr>
                <w:rFonts w:hint="eastAsia"/>
                <w:color w:val="auto"/>
                <w:sz w:val="24"/>
              </w:rPr>
            </w:pPr>
            <w:r>
              <w:rPr>
                <w:color w:val="auto"/>
                <w:sz w:val="24"/>
              </w:rPr>
              <w:t>③</w:t>
            </w:r>
            <w:r>
              <w:rPr>
                <w:bCs/>
                <w:color w:val="auto"/>
                <w:sz w:val="24"/>
              </w:rPr>
              <w:t>晴天干燥季节对存土、铲土运输，</w:t>
            </w:r>
            <w:r>
              <w:rPr>
                <w:color w:val="auto"/>
                <w:sz w:val="24"/>
              </w:rPr>
              <w:t>要采取洒水措施，以保持表面湿润，减少扬尘产生量</w:t>
            </w:r>
            <w:r>
              <w:rPr>
                <w:rFonts w:hint="eastAsia"/>
                <w:color w:val="auto"/>
                <w:sz w:val="24"/>
              </w:rPr>
              <w:t>。</w:t>
            </w:r>
          </w:p>
          <w:p>
            <w:pPr>
              <w:autoSpaceDE w:val="0"/>
              <w:autoSpaceDN w:val="0"/>
              <w:spacing w:line="360" w:lineRule="auto"/>
              <w:ind w:firstLine="470" w:firstLineChars="196"/>
              <w:jc w:val="left"/>
              <w:rPr>
                <w:color w:val="auto"/>
              </w:rPr>
            </w:pPr>
            <w:r>
              <w:rPr>
                <w:rFonts w:hint="eastAsia"/>
                <w:bCs/>
                <w:color w:val="auto"/>
                <w:sz w:val="24"/>
              </w:rPr>
              <w:t>④</w:t>
            </w:r>
            <w:r>
              <w:rPr>
                <w:bCs/>
                <w:color w:val="auto"/>
                <w:sz w:val="24"/>
              </w:rPr>
              <w:t>加强施工管理，</w:t>
            </w:r>
            <w:r>
              <w:rPr>
                <w:color w:val="auto"/>
                <w:sz w:val="24"/>
              </w:rPr>
              <w:t>建筑材料轻装轻卸，装卸工程可采取必要的喷淋压尘等措施。</w:t>
            </w:r>
          </w:p>
          <w:p>
            <w:pPr>
              <w:autoSpaceDE w:val="0"/>
              <w:autoSpaceDN w:val="0"/>
              <w:spacing w:line="360" w:lineRule="auto"/>
              <w:ind w:firstLine="470" w:firstLineChars="196"/>
              <w:jc w:val="left"/>
              <w:rPr>
                <w:sz w:val="24"/>
              </w:rPr>
            </w:pPr>
            <w:r>
              <w:rPr>
                <w:sz w:val="24"/>
              </w:rPr>
              <w:t>（</w:t>
            </w:r>
            <w:r>
              <w:rPr>
                <w:rFonts w:hint="eastAsia"/>
                <w:sz w:val="24"/>
                <w:lang w:val="en-US" w:eastAsia="zh-CN"/>
              </w:rPr>
              <w:t>3</w:t>
            </w:r>
            <w:r>
              <w:rPr>
                <w:sz w:val="24"/>
              </w:rPr>
              <w:t>）道路运输扬尘防治措施</w:t>
            </w:r>
          </w:p>
          <w:p>
            <w:pPr>
              <w:autoSpaceDE w:val="0"/>
              <w:autoSpaceDN w:val="0"/>
              <w:spacing w:line="360" w:lineRule="auto"/>
              <w:ind w:firstLine="470" w:firstLineChars="196"/>
              <w:jc w:val="left"/>
              <w:rPr>
                <w:sz w:val="24"/>
              </w:rPr>
            </w:pPr>
            <w:r>
              <w:rPr>
                <w:sz w:val="24"/>
              </w:rPr>
              <w:t>①运送土方和建筑原料的车辆应实行密闭运输，装载的物料、渣土高度不得超过车辆槽帮上沿，车斗用苫布遮盖或者采用密闭车斗，若车斗用苫布遮盖，应当严实密闭，苫布边缘至少要遮住槽帮上沿以下15cm，避免在运输过程中发生遗撒或泄漏。</w:t>
            </w:r>
          </w:p>
          <w:p>
            <w:pPr>
              <w:autoSpaceDE w:val="0"/>
              <w:autoSpaceDN w:val="0"/>
              <w:spacing w:line="360" w:lineRule="auto"/>
              <w:ind w:firstLine="470" w:firstLineChars="196"/>
              <w:jc w:val="left"/>
              <w:rPr>
                <w:sz w:val="24"/>
              </w:rPr>
            </w:pPr>
            <w:r>
              <w:rPr>
                <w:sz w:val="24"/>
              </w:rPr>
              <w:t>②运输车辆的载重等应符合《城市道路管理条例》有关规定，防止超载，防止路面破损引起运输过程颠簸遗撒。</w:t>
            </w:r>
          </w:p>
          <w:p>
            <w:pPr>
              <w:autoSpaceDE w:val="0"/>
              <w:autoSpaceDN w:val="0"/>
              <w:spacing w:line="360" w:lineRule="auto"/>
              <w:ind w:firstLine="470" w:firstLineChars="196"/>
              <w:jc w:val="left"/>
              <w:rPr>
                <w:sz w:val="24"/>
              </w:rPr>
            </w:pPr>
            <w:r>
              <w:rPr>
                <w:sz w:val="24"/>
              </w:rPr>
              <w:t>③运输车辆在施工场地的出入口内侧设置洗车平台，设施应符合下列要求：洗车平台四周应设置防溢座或其它防治设施，防止洗车废水溢出工地；设置废水收集坑及沉砂池。车辆驶离工地前，应在洗车平台冲洗轮胎及车身，其表面不得附着污泥。</w:t>
            </w:r>
          </w:p>
          <w:p>
            <w:pPr>
              <w:autoSpaceDE w:val="0"/>
              <w:autoSpaceDN w:val="0"/>
              <w:spacing w:line="360" w:lineRule="auto"/>
              <w:ind w:firstLine="470" w:firstLineChars="196"/>
              <w:jc w:val="left"/>
              <w:rPr>
                <w:sz w:val="24"/>
              </w:rPr>
            </w:pPr>
            <w:r>
              <w:rPr>
                <w:sz w:val="24"/>
              </w:rPr>
              <w:t>④运输车辆途经敏感点路段时，应减速行驶以降低扬尘量。</w:t>
            </w:r>
          </w:p>
          <w:p>
            <w:pPr>
              <w:autoSpaceDE w:val="0"/>
              <w:autoSpaceDN w:val="0"/>
              <w:spacing w:line="360" w:lineRule="auto"/>
              <w:ind w:firstLine="470" w:firstLineChars="196"/>
              <w:jc w:val="left"/>
              <w:rPr>
                <w:sz w:val="24"/>
              </w:rPr>
            </w:pPr>
            <w:r>
              <w:rPr>
                <w:rFonts w:hint="eastAsia"/>
                <w:sz w:val="24"/>
              </w:rPr>
              <w:t>⑤</w:t>
            </w:r>
            <w:r>
              <w:rPr>
                <w:sz w:val="24"/>
              </w:rPr>
              <w:t>对运输道路勤洒水（每天4～5次），可使扬尘影响和污染程度明显减轻。</w:t>
            </w:r>
          </w:p>
          <w:p>
            <w:pPr>
              <w:autoSpaceDE w:val="0"/>
              <w:autoSpaceDN w:val="0"/>
              <w:spacing w:line="360" w:lineRule="auto"/>
              <w:ind w:firstLine="480" w:firstLineChars="200"/>
              <w:jc w:val="left"/>
              <w:rPr>
                <w:sz w:val="24"/>
              </w:rPr>
            </w:pPr>
            <w:r>
              <w:rPr>
                <w:rFonts w:hint="eastAsia"/>
                <w:sz w:val="24"/>
              </w:rPr>
              <w:t>⑥</w:t>
            </w:r>
            <w:r>
              <w:rPr>
                <w:sz w:val="24"/>
              </w:rPr>
              <w:t>所有施工车辆、机械的尾气应达到国家规定的尾气排放标准。</w:t>
            </w:r>
          </w:p>
          <w:p>
            <w:pPr>
              <w:adjustRightInd w:val="0"/>
              <w:snapToGrid w:val="0"/>
              <w:spacing w:line="360" w:lineRule="auto"/>
              <w:ind w:firstLine="480" w:firstLineChars="200"/>
              <w:rPr>
                <w:sz w:val="24"/>
              </w:rPr>
            </w:pPr>
            <w:r>
              <w:rPr>
                <w:rFonts w:hint="eastAsia"/>
                <w:sz w:val="24"/>
              </w:rPr>
              <w:t>（</w:t>
            </w:r>
            <w:r>
              <w:rPr>
                <w:rFonts w:hint="eastAsia"/>
                <w:sz w:val="24"/>
                <w:lang w:val="en-US" w:eastAsia="zh-CN"/>
              </w:rPr>
              <w:t>4</w:t>
            </w:r>
            <w:r>
              <w:rPr>
                <w:rFonts w:hint="eastAsia"/>
                <w:sz w:val="24"/>
              </w:rPr>
              <w:t>）所有施工车辆、机械的尾气应达到国家规定的尾气排放标准。</w:t>
            </w:r>
          </w:p>
          <w:p>
            <w:pPr>
              <w:adjustRightInd w:val="0"/>
              <w:snapToGrid w:val="0"/>
              <w:spacing w:line="360" w:lineRule="auto"/>
              <w:ind w:firstLine="480" w:firstLineChars="200"/>
              <w:rPr>
                <w:sz w:val="24"/>
              </w:rPr>
            </w:pPr>
            <w:r>
              <w:rPr>
                <w:rFonts w:hint="eastAsia"/>
                <w:sz w:val="24"/>
              </w:rPr>
              <w:t>（</w:t>
            </w:r>
            <w:r>
              <w:rPr>
                <w:rFonts w:hint="eastAsia"/>
                <w:sz w:val="24"/>
                <w:lang w:val="en-US" w:eastAsia="zh-CN"/>
              </w:rPr>
              <w:t>5</w:t>
            </w:r>
            <w:r>
              <w:rPr>
                <w:rFonts w:hint="eastAsia"/>
                <w:sz w:val="24"/>
              </w:rPr>
              <w:t>）选用质量较好的改性沥青混凝土，沥青摊铺过程应合理安排作业时间，应尽可能的缩短工作时间。</w:t>
            </w:r>
          </w:p>
          <w:p>
            <w:pPr>
              <w:adjustRightInd w:val="0"/>
              <w:snapToGrid w:val="0"/>
              <w:spacing w:line="360" w:lineRule="auto"/>
              <w:outlineLvl w:val="2"/>
              <w:rPr>
                <w:b/>
                <w:bCs/>
                <w:sz w:val="28"/>
                <w:szCs w:val="28"/>
              </w:rPr>
            </w:pPr>
            <w:r>
              <w:rPr>
                <w:b/>
                <w:bCs/>
                <w:sz w:val="28"/>
                <w:szCs w:val="28"/>
              </w:rPr>
              <w:t>5.1.3 声环境</w:t>
            </w:r>
          </w:p>
          <w:p>
            <w:pPr>
              <w:spacing w:line="360" w:lineRule="auto"/>
              <w:ind w:firstLine="480"/>
              <w:rPr>
                <w:kern w:val="0"/>
                <w:sz w:val="24"/>
                <w:szCs w:val="24"/>
                <w:lang w:val="zh-CN"/>
              </w:rPr>
            </w:pPr>
            <w:r>
              <w:rPr>
                <w:rFonts w:hint="eastAsia"/>
                <w:kern w:val="0"/>
                <w:sz w:val="24"/>
                <w:szCs w:val="24"/>
              </w:rPr>
              <w:t>（1）</w:t>
            </w:r>
            <w:r>
              <w:rPr>
                <w:kern w:val="0"/>
                <w:sz w:val="24"/>
                <w:szCs w:val="24"/>
                <w:lang w:val="zh-CN"/>
              </w:rPr>
              <w:t>施工</w:t>
            </w:r>
            <w:r>
              <w:rPr>
                <w:rFonts w:hint="eastAsia"/>
                <w:kern w:val="0"/>
                <w:sz w:val="24"/>
                <w:szCs w:val="24"/>
                <w:lang w:val="zh-CN"/>
              </w:rPr>
              <w:t>单位</w:t>
            </w:r>
            <w:r>
              <w:rPr>
                <w:kern w:val="0"/>
                <w:sz w:val="24"/>
                <w:szCs w:val="24"/>
                <w:lang w:val="zh-CN"/>
              </w:rPr>
              <w:t>必须选用符合国家有关标准的施工机械和运输车辆，尽量选用低噪声的施工机械和工艺，振动较大的固定机械设备应加装减振机座，同时加强各类施工设备的维护和保养，保持其良好的运转，以便从根本上降低噪声源强。</w:t>
            </w:r>
          </w:p>
          <w:p>
            <w:pPr>
              <w:adjustRightInd w:val="0"/>
              <w:snapToGrid w:val="0"/>
              <w:spacing w:line="360" w:lineRule="auto"/>
              <w:ind w:firstLine="480" w:firstLineChars="200"/>
              <w:rPr>
                <w:kern w:val="0"/>
                <w:sz w:val="24"/>
                <w:szCs w:val="24"/>
                <w:lang w:val="zh-CN"/>
              </w:rPr>
            </w:pPr>
            <w:r>
              <w:rPr>
                <w:rFonts w:hint="eastAsia"/>
                <w:kern w:val="0"/>
                <w:sz w:val="24"/>
                <w:szCs w:val="24"/>
              </w:rPr>
              <w:t>（2）</w:t>
            </w:r>
            <w:r>
              <w:rPr>
                <w:kern w:val="0"/>
                <w:sz w:val="24"/>
                <w:szCs w:val="24"/>
                <w:lang w:val="zh-CN"/>
              </w:rPr>
              <w:t>道路机械施工的噪声具有突发、无规则、不连续、高强度等特点。据调查，</w:t>
            </w:r>
            <w:r>
              <w:rPr>
                <w:rFonts w:hint="eastAsia"/>
                <w:kern w:val="0"/>
                <w:sz w:val="24"/>
                <w:szCs w:val="24"/>
                <w:lang w:val="zh-CN"/>
              </w:rPr>
              <w:t>一般</w:t>
            </w:r>
            <w:r>
              <w:rPr>
                <w:kern w:val="0"/>
                <w:sz w:val="24"/>
                <w:szCs w:val="24"/>
                <w:lang w:val="zh-CN"/>
              </w:rPr>
              <w:t>施工现场噪声有时高达85dB（</w:t>
            </w:r>
            <w:r>
              <w:rPr>
                <w:kern w:val="0"/>
                <w:sz w:val="24"/>
                <w:szCs w:val="24"/>
              </w:rPr>
              <w:t>A</w:t>
            </w:r>
            <w:r>
              <w:rPr>
                <w:kern w:val="0"/>
                <w:sz w:val="24"/>
                <w:szCs w:val="24"/>
                <w:lang w:val="zh-CN"/>
              </w:rPr>
              <w:t>）以上，其他施工阶段的一般施工噪声的达标距离约为200m，所以施工选用低噪声振动的施工工艺。如噪声源强大的作业可放在昼间（06:00～22:00）进行或对各种施工机械操作时间作适当调整</w:t>
            </w:r>
            <w:r>
              <w:rPr>
                <w:rFonts w:hint="eastAsia"/>
                <w:sz w:val="24"/>
                <w:szCs w:val="24"/>
              </w:rPr>
              <w:t>。</w:t>
            </w:r>
            <w:r>
              <w:rPr>
                <w:kern w:val="0"/>
                <w:sz w:val="24"/>
                <w:szCs w:val="24"/>
                <w:lang w:val="zh-CN"/>
              </w:rPr>
              <w:t>为减少施工期间的材料运输、敲击、人的喊叫等施工活动声源，要求承包商通过文明施工、加强有效管理加以缓解。</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olor w:val="000000"/>
              </w:rPr>
            </w:pPr>
            <w:r>
              <w:rPr>
                <w:color w:val="000000"/>
                <w:sz w:val="24"/>
                <w:szCs w:val="24"/>
              </w:rPr>
              <w:t>（3）</w:t>
            </w:r>
            <w:r>
              <w:rPr>
                <w:color w:val="000000"/>
              </w:rPr>
              <w:t>在利用现有道路运输施工物资时，应合理选择运输路线，并尽量在昼间进行运输。此外，在途经村庄</w:t>
            </w:r>
            <w:r>
              <w:rPr>
                <w:rFonts w:hint="eastAsia"/>
                <w:color w:val="000000"/>
                <w:lang w:eastAsia="zh-CN"/>
              </w:rPr>
              <w:t>、</w:t>
            </w:r>
            <w:r>
              <w:rPr>
                <w:rFonts w:hint="eastAsia"/>
                <w:color w:val="000000"/>
                <w:lang w:val="en-US" w:eastAsia="zh-CN"/>
              </w:rPr>
              <w:t>居民区</w:t>
            </w:r>
            <w:r>
              <w:rPr>
                <w:color w:val="000000"/>
              </w:rPr>
              <w:t>时，应减速慢行禁止鸣笛</w:t>
            </w:r>
            <w:r>
              <w:rPr>
                <w:rFonts w:hint="eastAsia"/>
                <w:color w:val="000000"/>
              </w:rPr>
              <w:t>。</w:t>
            </w:r>
          </w:p>
          <w:p>
            <w:pPr>
              <w:spacing w:line="360" w:lineRule="auto"/>
              <w:ind w:firstLine="480" w:firstLineChars="200"/>
              <w:rPr>
                <w:color w:val="000000"/>
                <w:sz w:val="24"/>
                <w:szCs w:val="24"/>
              </w:rPr>
            </w:pPr>
            <w:r>
              <w:rPr>
                <w:rFonts w:hint="eastAsia"/>
                <w:color w:val="000000"/>
                <w:sz w:val="24"/>
                <w:szCs w:val="24"/>
              </w:rPr>
              <w:t>（</w:t>
            </w:r>
            <w:r>
              <w:rPr>
                <w:rFonts w:hint="eastAsia"/>
                <w:color w:val="000000"/>
                <w:sz w:val="24"/>
                <w:szCs w:val="24"/>
                <w:lang w:val="en-US" w:eastAsia="zh-CN"/>
              </w:rPr>
              <w:t>4</w:t>
            </w:r>
            <w:r>
              <w:rPr>
                <w:rFonts w:hint="eastAsia"/>
                <w:color w:val="000000"/>
                <w:sz w:val="24"/>
                <w:szCs w:val="24"/>
              </w:rPr>
              <w:t>）</w:t>
            </w:r>
            <w:r>
              <w:rPr>
                <w:color w:val="000000"/>
                <w:sz w:val="24"/>
                <w:szCs w:val="24"/>
              </w:rPr>
              <w:t>建设</w:t>
            </w:r>
            <w:r>
              <w:rPr>
                <w:rFonts w:hint="eastAsia"/>
                <w:color w:val="000000"/>
                <w:sz w:val="24"/>
                <w:szCs w:val="24"/>
              </w:rPr>
              <w:t>单位</w:t>
            </w:r>
            <w:r>
              <w:rPr>
                <w:color w:val="000000"/>
                <w:sz w:val="24"/>
                <w:szCs w:val="24"/>
              </w:rPr>
              <w:t>应对施工承包商的运输路线提出要求，要求承包商必须提供建材运输路线，并请环保监理或环保专业人员确认施工路线在减缓噪声影响方面的合理性。建设</w:t>
            </w:r>
            <w:r>
              <w:rPr>
                <w:rFonts w:hint="eastAsia"/>
                <w:color w:val="000000"/>
                <w:sz w:val="24"/>
                <w:szCs w:val="24"/>
              </w:rPr>
              <w:t>单位</w:t>
            </w:r>
            <w:r>
              <w:rPr>
                <w:color w:val="000000"/>
                <w:sz w:val="24"/>
                <w:szCs w:val="24"/>
              </w:rPr>
              <w:t>根据确定后的运输路线进行监督，并可联合地方环保部门加强监督力度。</w:t>
            </w:r>
          </w:p>
          <w:p>
            <w:pPr>
              <w:adjustRightInd w:val="0"/>
              <w:snapToGrid w:val="0"/>
              <w:spacing w:line="360" w:lineRule="auto"/>
              <w:ind w:firstLine="480"/>
              <w:rPr>
                <w:rFonts w:hint="eastAsia"/>
                <w:sz w:val="24"/>
                <w:szCs w:val="24"/>
              </w:rPr>
            </w:pPr>
            <w:r>
              <w:rPr>
                <w:rFonts w:hint="eastAsia"/>
                <w:color w:val="000000"/>
                <w:sz w:val="24"/>
                <w:szCs w:val="24"/>
              </w:rPr>
              <w:t>（6）</w:t>
            </w:r>
            <w:r>
              <w:rPr>
                <w:color w:val="000000"/>
                <w:sz w:val="24"/>
                <w:szCs w:val="24"/>
              </w:rPr>
              <w:t>合理安排施工活动，尽量缩短工期，减少施工噪声影响时间。避免强噪声施工机械在同一区域内同时使用。</w:t>
            </w:r>
            <w:r>
              <w:rPr>
                <w:rFonts w:hint="eastAsia"/>
                <w:sz w:val="24"/>
                <w:szCs w:val="24"/>
              </w:rPr>
              <w:t>夜间（22：00～6：00）和午间（12:00～14:00）禁止施工</w:t>
            </w:r>
            <w:r>
              <w:rPr>
                <w:kern w:val="0"/>
                <w:sz w:val="24"/>
                <w:szCs w:val="24"/>
                <w:lang w:val="zh-CN"/>
              </w:rPr>
              <w:t>。</w:t>
            </w:r>
          </w:p>
          <w:p>
            <w:pPr>
              <w:adjustRightInd w:val="0"/>
              <w:snapToGrid w:val="0"/>
              <w:spacing w:line="360" w:lineRule="auto"/>
              <w:ind w:firstLine="480"/>
              <w:rPr>
                <w:color w:val="000000"/>
                <w:sz w:val="24"/>
                <w:szCs w:val="24"/>
              </w:rPr>
            </w:pPr>
            <w:r>
              <w:rPr>
                <w:rFonts w:hint="eastAsia"/>
                <w:color w:val="000000"/>
                <w:sz w:val="24"/>
                <w:szCs w:val="24"/>
              </w:rPr>
              <w:t>（7）</w:t>
            </w:r>
            <w:r>
              <w:rPr>
                <w:color w:val="000000"/>
                <w:sz w:val="24"/>
                <w:szCs w:val="24"/>
              </w:rPr>
              <w:t>按劳动卫生标准，保护施工人员的身心健康，施工</w:t>
            </w:r>
            <w:r>
              <w:rPr>
                <w:rFonts w:hint="eastAsia"/>
                <w:color w:val="000000"/>
                <w:sz w:val="24"/>
                <w:szCs w:val="24"/>
              </w:rPr>
              <w:t>单位</w:t>
            </w:r>
            <w:r>
              <w:rPr>
                <w:color w:val="000000"/>
                <w:sz w:val="24"/>
                <w:szCs w:val="24"/>
              </w:rPr>
              <w:t>应合理安排工作人员，做到轮换操作筑路机械，或穿插安排高噪声和低噪声的工作，给工人以恢复听力的时间。同时，要注意保护机械，合理操作，尽量使筑路机械维持低声量级水平。操作时，工人应戴耳罩和头盔。</w:t>
            </w:r>
          </w:p>
          <w:p>
            <w:pPr>
              <w:adjustRightInd w:val="0"/>
              <w:snapToGrid w:val="0"/>
              <w:spacing w:line="360" w:lineRule="auto"/>
              <w:ind w:firstLine="480"/>
              <w:outlineLvl w:val="1"/>
              <w:rPr>
                <w:color w:val="000000"/>
                <w:sz w:val="24"/>
                <w:szCs w:val="24"/>
              </w:rPr>
            </w:pPr>
            <w:bookmarkStart w:id="103" w:name="_Toc29669"/>
            <w:r>
              <w:rPr>
                <w:rFonts w:hint="eastAsia"/>
                <w:color w:val="000000"/>
                <w:sz w:val="24"/>
                <w:szCs w:val="24"/>
              </w:rPr>
              <w:t>（8）</w:t>
            </w:r>
            <w:r>
              <w:rPr>
                <w:color w:val="000000"/>
                <w:sz w:val="24"/>
                <w:szCs w:val="24"/>
              </w:rPr>
              <w:t>加强环境管理，接受环保部门环境监督。</w:t>
            </w:r>
            <w:bookmarkEnd w:id="103"/>
          </w:p>
          <w:p>
            <w:pPr>
              <w:adjustRightInd w:val="0"/>
              <w:snapToGrid w:val="0"/>
              <w:spacing w:line="360" w:lineRule="auto"/>
              <w:ind w:firstLine="480" w:firstLineChars="200"/>
              <w:outlineLvl w:val="2"/>
              <w:rPr>
                <w:sz w:val="24"/>
              </w:rPr>
            </w:pPr>
            <w:r>
              <w:rPr>
                <w:rFonts w:hint="eastAsia"/>
                <w:sz w:val="24"/>
              </w:rPr>
              <w:t>具体详见声环境影响专项评价。</w:t>
            </w:r>
          </w:p>
          <w:p>
            <w:pPr>
              <w:adjustRightInd w:val="0"/>
              <w:snapToGrid w:val="0"/>
              <w:spacing w:line="360" w:lineRule="auto"/>
              <w:outlineLvl w:val="2"/>
              <w:rPr>
                <w:b/>
                <w:bCs/>
                <w:sz w:val="28"/>
                <w:szCs w:val="28"/>
              </w:rPr>
            </w:pPr>
            <w:r>
              <w:rPr>
                <w:b/>
                <w:bCs/>
                <w:sz w:val="28"/>
                <w:szCs w:val="28"/>
              </w:rPr>
              <w:t>5.1.4 固体废物</w:t>
            </w:r>
          </w:p>
          <w:p>
            <w:pPr>
              <w:adjustRightInd w:val="0"/>
              <w:snapToGrid w:val="0"/>
              <w:spacing w:line="360" w:lineRule="auto"/>
              <w:ind w:firstLine="480"/>
              <w:rPr>
                <w:rFonts w:hint="eastAsia"/>
                <w:sz w:val="24"/>
              </w:rPr>
            </w:pPr>
            <w:r>
              <w:rPr>
                <w:sz w:val="24"/>
              </w:rPr>
              <w:t>（1）严格按照法规</w:t>
            </w:r>
            <w:r>
              <w:rPr>
                <w:rFonts w:hint="eastAsia"/>
                <w:sz w:val="24"/>
              </w:rPr>
              <w:t>要求处置余方</w:t>
            </w:r>
          </w:p>
          <w:p>
            <w:pPr>
              <w:adjustRightInd w:val="0"/>
              <w:snapToGrid w:val="0"/>
              <w:spacing w:line="360" w:lineRule="auto"/>
              <w:ind w:firstLine="480"/>
              <w:rPr>
                <w:sz w:val="24"/>
              </w:rPr>
            </w:pPr>
            <w:r>
              <w:rPr>
                <w:sz w:val="24"/>
              </w:rPr>
              <w:t>施工单位应根据市政和环保等法规要求，对建筑垃圾进行处置、管理。</w:t>
            </w:r>
          </w:p>
          <w:p>
            <w:pPr>
              <w:adjustRightInd w:val="0"/>
              <w:snapToGrid w:val="0"/>
              <w:spacing w:line="360" w:lineRule="auto"/>
              <w:ind w:firstLine="480"/>
              <w:rPr>
                <w:sz w:val="24"/>
              </w:rPr>
            </w:pPr>
            <w:r>
              <w:rPr>
                <w:sz w:val="24"/>
              </w:rPr>
              <w:t>如果建设单位或施工单位自行安排建筑垃圾的消纳场地应在申报排放处置计划时，提交受纳场地管理单位的上级行政管理部门同意受纳的证明。</w:t>
            </w:r>
          </w:p>
          <w:p>
            <w:pPr>
              <w:adjustRightInd w:val="0"/>
              <w:snapToGrid w:val="0"/>
              <w:spacing w:line="360" w:lineRule="auto"/>
              <w:ind w:firstLine="480"/>
              <w:rPr>
                <w:sz w:val="24"/>
              </w:rPr>
            </w:pPr>
            <w:r>
              <w:rPr>
                <w:sz w:val="24"/>
              </w:rPr>
              <w:t>（2）制定建筑垃圾处置计划</w:t>
            </w:r>
          </w:p>
          <w:p>
            <w:pPr>
              <w:adjustRightInd w:val="0"/>
              <w:snapToGrid w:val="0"/>
              <w:spacing w:line="360" w:lineRule="auto"/>
              <w:ind w:firstLine="480"/>
              <w:rPr>
                <w:sz w:val="24"/>
              </w:rPr>
            </w:pPr>
            <w:r>
              <w:rPr>
                <w:sz w:val="24"/>
              </w:rPr>
              <w:t>建筑垃圾由建设单位会同环卫主管部门制定处置方案，堆置在规定的地点，不得倒入沿线的河道或混入居民生活垃圾。</w:t>
            </w:r>
          </w:p>
          <w:p>
            <w:pPr>
              <w:adjustRightInd w:val="0"/>
              <w:snapToGrid w:val="0"/>
              <w:spacing w:line="360" w:lineRule="auto"/>
              <w:ind w:firstLine="480"/>
              <w:rPr>
                <w:sz w:val="24"/>
              </w:rPr>
            </w:pPr>
            <w:r>
              <w:rPr>
                <w:sz w:val="24"/>
              </w:rPr>
              <w:t>车辆运输渣土时，必须做到装载适量，加盖遮布，出工地前做好外部清洗，沿途不漏泥土、不飞扬，对有扬尘的废弃物，采用围隔的堆放方法处置；本工程产生的建筑垃圾要进行分类处理和集中回收，及时清运。</w:t>
            </w:r>
          </w:p>
          <w:p>
            <w:pPr>
              <w:adjustRightInd w:val="0"/>
              <w:snapToGrid w:val="0"/>
              <w:spacing w:line="360" w:lineRule="auto"/>
              <w:ind w:firstLine="480"/>
              <w:rPr>
                <w:sz w:val="24"/>
              </w:rPr>
            </w:pPr>
            <w:r>
              <w:rPr>
                <w:sz w:val="24"/>
              </w:rPr>
              <w:t>（3）施工人员生活垃圾处理</w:t>
            </w:r>
          </w:p>
          <w:p>
            <w:pPr>
              <w:adjustRightInd w:val="0"/>
              <w:snapToGrid w:val="0"/>
              <w:spacing w:line="360" w:lineRule="auto"/>
              <w:ind w:firstLine="480"/>
              <w:rPr>
                <w:sz w:val="24"/>
              </w:rPr>
            </w:pPr>
            <w:r>
              <w:rPr>
                <w:sz w:val="24"/>
              </w:rPr>
              <w:t>施工场地应设置垃圾桶或垃圾坑等垃圾临时堆放点，在施工场地对生活垃圾采取分类化管理，聘请专人定期清除垃圾或由区环卫部门组织，定期运送至附近的垃圾转运站处理，运送途中要避免垃圾的散漏，同时对堆放点定期喷杀菌、杀虫药水、减少蚊虫和病菌的滋生。</w:t>
            </w:r>
          </w:p>
          <w:p>
            <w:pPr>
              <w:adjustRightInd w:val="0"/>
              <w:snapToGrid w:val="0"/>
              <w:spacing w:line="360" w:lineRule="auto"/>
              <w:ind w:firstLine="480"/>
              <w:rPr>
                <w:sz w:val="24"/>
              </w:rPr>
            </w:pPr>
            <w:r>
              <w:rPr>
                <w:sz w:val="24"/>
              </w:rPr>
              <w:t>（4）按计划和施工的操作规程，严格控制并尽量减少余下的物料。一旦有余下的材料，将其有序地存放好，妥善保管，可供周边地区修补乡村道路或建筑使用。</w:t>
            </w:r>
          </w:p>
          <w:p>
            <w:pPr>
              <w:adjustRightInd w:val="0"/>
              <w:snapToGrid w:val="0"/>
              <w:spacing w:line="360" w:lineRule="auto"/>
              <w:ind w:firstLine="480"/>
              <w:rPr>
                <w:sz w:val="24"/>
              </w:rPr>
            </w:pPr>
            <w:r>
              <w:rPr>
                <w:sz w:val="24"/>
              </w:rPr>
              <w:t>（5）对收集、贮存、运输、处置固体废物的设施、设备和场所，应当加强管理和维护，保证其正常运行和使用。</w:t>
            </w:r>
          </w:p>
          <w:p>
            <w:pPr>
              <w:pStyle w:val="26"/>
              <w:spacing w:line="360" w:lineRule="auto"/>
              <w:ind w:left="0" w:leftChars="0" w:firstLine="0" w:firstLineChars="0"/>
              <w:rPr>
                <w:kern w:val="2"/>
                <w:sz w:val="28"/>
                <w:szCs w:val="28"/>
              </w:rPr>
            </w:pPr>
            <w:r>
              <w:rPr>
                <w:b/>
                <w:bCs/>
                <w:kern w:val="2"/>
                <w:sz w:val="28"/>
                <w:szCs w:val="28"/>
              </w:rPr>
              <w:t>5.1.5 生态保护措施</w:t>
            </w:r>
          </w:p>
          <w:p>
            <w:pPr>
              <w:adjustRightInd w:val="0"/>
              <w:snapToGrid w:val="0"/>
              <w:spacing w:line="360" w:lineRule="auto"/>
              <w:ind w:firstLine="480" w:firstLineChars="200"/>
              <w:rPr>
                <w:sz w:val="24"/>
              </w:rPr>
            </w:pPr>
            <w:r>
              <w:rPr>
                <w:rFonts w:hint="eastAsia"/>
                <w:sz w:val="24"/>
              </w:rPr>
              <w:t>（1）</w:t>
            </w:r>
            <w:r>
              <w:rPr>
                <w:rFonts w:hAnsi="宋体"/>
                <w:sz w:val="24"/>
              </w:rPr>
              <w:t>工程占地保护措施</w:t>
            </w:r>
          </w:p>
          <w:p>
            <w:pPr>
              <w:spacing w:line="360" w:lineRule="auto"/>
              <w:ind w:firstLine="480"/>
              <w:rPr>
                <w:rFonts w:hint="eastAsia" w:hAnsi="宋体"/>
                <w:sz w:val="24"/>
              </w:rPr>
            </w:pPr>
            <w:r>
              <w:rPr>
                <w:rFonts w:hAnsi="宋体"/>
                <w:sz w:val="24"/>
              </w:rPr>
              <w:t>①对永久占地合理规划，严格控制工程占地面积。</w:t>
            </w:r>
          </w:p>
          <w:p>
            <w:pPr>
              <w:spacing w:line="360" w:lineRule="auto"/>
              <w:ind w:firstLine="480"/>
              <w:rPr>
                <w:rFonts w:hint="eastAsia" w:hAnsi="宋体"/>
                <w:sz w:val="24"/>
              </w:rPr>
            </w:pPr>
            <w:r>
              <w:rPr>
                <w:rFonts w:hAnsi="宋体"/>
                <w:sz w:val="24"/>
              </w:rPr>
              <w:t>②对施工中占用的</w:t>
            </w:r>
            <w:r>
              <w:rPr>
                <w:rFonts w:hint="eastAsia" w:hAnsi="宋体"/>
                <w:sz w:val="24"/>
              </w:rPr>
              <w:t>农用地</w:t>
            </w:r>
            <w:r>
              <w:rPr>
                <w:rFonts w:hAnsi="宋体"/>
                <w:sz w:val="24"/>
              </w:rPr>
              <w:t>，按土地法规定的程序</w:t>
            </w:r>
            <w:r>
              <w:rPr>
                <w:rFonts w:hint="eastAsia" w:hAnsi="宋体"/>
                <w:sz w:val="24"/>
              </w:rPr>
              <w:t>，</w:t>
            </w:r>
            <w:r>
              <w:rPr>
                <w:rFonts w:hAnsi="宋体"/>
                <w:sz w:val="24"/>
              </w:rPr>
              <w:t>正向有关行政部门办理相关手续，并将按当地政府的规定予以经济上补偿。</w:t>
            </w:r>
          </w:p>
          <w:p>
            <w:pPr>
              <w:spacing w:line="360" w:lineRule="auto"/>
              <w:ind w:firstLine="480"/>
              <w:rPr>
                <w:rFonts w:hint="eastAsia" w:hAnsi="宋体"/>
                <w:sz w:val="24"/>
              </w:rPr>
            </w:pPr>
            <w:r>
              <w:rPr>
                <w:rFonts w:hAnsi="宋体"/>
                <w:sz w:val="24"/>
              </w:rPr>
              <w:t>③施工建筑材料堆放场等临时用地尽量考虑在施工作业带内设置，如不可避免需在施工作业带以外地段设置，在不增加工程总体投资的前提下，尽可能考虑利用附近现有堆放场地。</w:t>
            </w:r>
          </w:p>
          <w:p>
            <w:pPr>
              <w:spacing w:line="360" w:lineRule="auto"/>
              <w:ind w:firstLine="480"/>
              <w:rPr>
                <w:rFonts w:hint="eastAsia" w:hAnsi="宋体"/>
                <w:sz w:val="24"/>
              </w:rPr>
            </w:pPr>
            <w:r>
              <w:rPr>
                <w:rFonts w:hint="eastAsia" w:hAnsi="宋体"/>
                <w:sz w:val="24"/>
              </w:rPr>
              <w:t>④</w:t>
            </w:r>
            <w:r>
              <w:rPr>
                <w:rFonts w:hAnsi="宋体"/>
                <w:sz w:val="24"/>
              </w:rPr>
              <w:t>对必须要毁坏的乔灌木，予以经济补偿或者易地种植。</w:t>
            </w:r>
          </w:p>
          <w:p>
            <w:pPr>
              <w:spacing w:line="360" w:lineRule="auto"/>
              <w:ind w:firstLine="480"/>
              <w:rPr>
                <w:rFonts w:hint="eastAsia" w:hAnsi="宋体"/>
                <w:sz w:val="24"/>
              </w:rPr>
            </w:pPr>
            <w:r>
              <w:rPr>
                <w:rFonts w:hAnsi="宋体"/>
                <w:sz w:val="24"/>
              </w:rPr>
              <w:t>（</w:t>
            </w:r>
            <w:r>
              <w:rPr>
                <w:rFonts w:hint="eastAsia" w:hAnsi="宋体"/>
                <w:sz w:val="24"/>
              </w:rPr>
              <w:t>2</w:t>
            </w:r>
            <w:r>
              <w:rPr>
                <w:rFonts w:hAnsi="宋体"/>
                <w:sz w:val="24"/>
              </w:rPr>
              <w:t>）植被保护和恢复措施</w:t>
            </w:r>
          </w:p>
          <w:p>
            <w:pPr>
              <w:spacing w:line="360" w:lineRule="auto"/>
              <w:ind w:firstLine="480"/>
              <w:rPr>
                <w:rFonts w:hint="eastAsia" w:hAnsi="宋体"/>
                <w:sz w:val="24"/>
              </w:rPr>
            </w:pPr>
            <w:r>
              <w:rPr>
                <w:rFonts w:hAnsi="宋体"/>
                <w:sz w:val="24"/>
              </w:rPr>
              <w:t>①施工区的临时建筑尽可能采用成品或简易拼装方式，尽量减轻对土壤及植被的破坏。尽量减少施工人员及施工机械对作业场外的林地的破坏；严格规定施工车辆的行驶范围，防止施工车辆在有植被的地段任意行驶。</w:t>
            </w:r>
          </w:p>
          <w:p>
            <w:pPr>
              <w:spacing w:line="360" w:lineRule="auto"/>
              <w:ind w:firstLine="480"/>
              <w:rPr>
                <w:rFonts w:hint="eastAsia" w:hAnsi="宋体"/>
                <w:sz w:val="24"/>
              </w:rPr>
            </w:pPr>
            <w:r>
              <w:rPr>
                <w:rFonts w:hAnsi="宋体"/>
                <w:sz w:val="24"/>
              </w:rPr>
              <w:t>②</w:t>
            </w:r>
            <w:r>
              <w:rPr>
                <w:rFonts w:hint="eastAsia" w:hAnsi="宋体"/>
                <w:sz w:val="24"/>
              </w:rPr>
              <w:t>严格</w:t>
            </w:r>
            <w:r>
              <w:rPr>
                <w:rFonts w:hAnsi="宋体"/>
                <w:sz w:val="24"/>
              </w:rPr>
              <w:t>控制临时占地范围</w:t>
            </w:r>
            <w:r>
              <w:rPr>
                <w:rFonts w:hint="eastAsia" w:hAnsi="宋体"/>
                <w:sz w:val="24"/>
              </w:rPr>
              <w:t>，</w:t>
            </w:r>
            <w:r>
              <w:rPr>
                <w:rFonts w:hAnsi="宋体"/>
                <w:sz w:val="24"/>
              </w:rPr>
              <w:t>一般能满足施工要求即可，尽量减少对地表植被的破坏。</w:t>
            </w:r>
          </w:p>
          <w:p>
            <w:pPr>
              <w:spacing w:line="360" w:lineRule="auto"/>
              <w:ind w:firstLine="480"/>
              <w:rPr>
                <w:rFonts w:hint="eastAsia" w:hAnsi="宋体"/>
                <w:sz w:val="24"/>
              </w:rPr>
            </w:pPr>
            <w:r>
              <w:rPr>
                <w:rFonts w:hAnsi="宋体"/>
                <w:sz w:val="24"/>
              </w:rPr>
              <w:t>③严格控制施工作业带范围，不得随意扩大范围和破坏周围地表植被。</w:t>
            </w:r>
          </w:p>
          <w:p>
            <w:pPr>
              <w:spacing w:line="360" w:lineRule="auto"/>
              <w:ind w:firstLine="480"/>
              <w:rPr>
                <w:rFonts w:hint="eastAsia" w:hAnsi="宋体"/>
                <w:sz w:val="24"/>
              </w:rPr>
            </w:pPr>
            <w:r>
              <w:rPr>
                <w:rFonts w:hAnsi="宋体"/>
                <w:sz w:val="24"/>
              </w:rPr>
              <w:t>④合理优化施工场地的布置，尽量减少施工活动范围，采取科学施工方式，尽量减少工程实施对植被的破坏程度。</w:t>
            </w:r>
          </w:p>
          <w:p>
            <w:pPr>
              <w:spacing w:line="360" w:lineRule="auto"/>
              <w:ind w:firstLine="480"/>
              <w:rPr>
                <w:rFonts w:hint="eastAsia" w:hAnsi="宋体"/>
                <w:sz w:val="24"/>
              </w:rPr>
            </w:pPr>
            <w:r>
              <w:rPr>
                <w:rFonts w:hint="eastAsia" w:hAnsi="宋体"/>
                <w:sz w:val="24"/>
              </w:rPr>
              <w:t>（3）</w:t>
            </w:r>
            <w:r>
              <w:rPr>
                <w:rFonts w:hAnsi="宋体"/>
                <w:sz w:val="24"/>
              </w:rPr>
              <w:t>野生动物保护措施</w:t>
            </w:r>
          </w:p>
          <w:p>
            <w:pPr>
              <w:spacing w:line="360" w:lineRule="auto"/>
              <w:ind w:firstLine="480"/>
              <w:rPr>
                <w:rFonts w:hint="eastAsia" w:hAnsi="宋体"/>
                <w:sz w:val="24"/>
              </w:rPr>
            </w:pPr>
            <w:r>
              <w:rPr>
                <w:rFonts w:hAnsi="宋体"/>
                <w:sz w:val="24"/>
              </w:rPr>
              <w:t>施工单位应对施工人员开展增强野生动物保护意识的宣传工作，杜绝施工人员猎捕施工作业区附近的蛙类、蛇类、鸟类等现象。建议在主要施工场地设置警示牌，提醒施工人员保护野生动物。</w:t>
            </w:r>
          </w:p>
          <w:p>
            <w:pPr>
              <w:spacing w:line="360" w:lineRule="auto"/>
              <w:ind w:firstLine="480"/>
              <w:rPr>
                <w:rFonts w:hint="eastAsia" w:hAnsi="宋体"/>
                <w:sz w:val="24"/>
              </w:rPr>
            </w:pPr>
            <w:r>
              <w:rPr>
                <w:rFonts w:hint="eastAsia" w:hAnsi="宋体"/>
                <w:sz w:val="24"/>
              </w:rPr>
              <w:t>（4）</w:t>
            </w:r>
            <w:r>
              <w:rPr>
                <w:rFonts w:hAnsi="宋体"/>
                <w:sz w:val="24"/>
              </w:rPr>
              <w:t>水生生态保护措施</w:t>
            </w:r>
          </w:p>
          <w:p>
            <w:pPr>
              <w:spacing w:line="360" w:lineRule="auto"/>
              <w:ind w:firstLine="480"/>
              <w:rPr>
                <w:rFonts w:hint="eastAsia" w:hAnsi="宋体"/>
                <w:sz w:val="24"/>
              </w:rPr>
            </w:pPr>
            <w:r>
              <w:rPr>
                <w:rFonts w:hAnsi="宋体"/>
                <w:sz w:val="24"/>
              </w:rPr>
              <w:t>①施工期应做好施工导流措施，避免施工废水、受污染地表水排入</w:t>
            </w:r>
            <w:r>
              <w:rPr>
                <w:rFonts w:hint="eastAsia" w:hAnsi="宋体"/>
                <w:sz w:val="24"/>
              </w:rPr>
              <w:t>周边河流</w:t>
            </w:r>
            <w:r>
              <w:rPr>
                <w:rFonts w:hAnsi="宋体"/>
                <w:sz w:val="24"/>
              </w:rPr>
              <w:t>；</w:t>
            </w:r>
          </w:p>
          <w:p>
            <w:pPr>
              <w:spacing w:line="360" w:lineRule="auto"/>
              <w:ind w:firstLine="480"/>
              <w:rPr>
                <w:rFonts w:hint="eastAsia" w:hAnsi="宋体"/>
                <w:sz w:val="24"/>
              </w:rPr>
            </w:pPr>
            <w:r>
              <w:rPr>
                <w:rFonts w:hAnsi="宋体"/>
                <w:sz w:val="24"/>
              </w:rPr>
              <w:t>②施工期间，严禁施工人员随意将各类废弃物，如生活垃圾等，直接抛入水体之中，尤其禁止抛弃有毒有害物质。施工过程产生的废料和生活垃圾等固体废弃物，严禁堆放于</w:t>
            </w:r>
            <w:r>
              <w:rPr>
                <w:rFonts w:hint="eastAsia" w:hAnsi="宋体"/>
                <w:sz w:val="24"/>
              </w:rPr>
              <w:t>河道</w:t>
            </w:r>
            <w:r>
              <w:rPr>
                <w:rFonts w:hAnsi="宋体"/>
                <w:sz w:val="24"/>
              </w:rPr>
              <w:t>岸边，避免雨期造成水土流失和因淋渗污染河流水质。在</w:t>
            </w:r>
            <w:r>
              <w:rPr>
                <w:rFonts w:hint="eastAsia" w:hAnsi="宋体"/>
                <w:sz w:val="24"/>
              </w:rPr>
              <w:t>河流岸边</w:t>
            </w:r>
            <w:r>
              <w:rPr>
                <w:rFonts w:hAnsi="宋体"/>
                <w:sz w:val="24"/>
              </w:rPr>
              <w:t>附近施工过程中，应严格要求施工人员杜绝随地吐痰、便溺、丢弃废物的陋习。</w:t>
            </w:r>
          </w:p>
          <w:p>
            <w:pPr>
              <w:adjustRightInd w:val="0"/>
              <w:snapToGrid w:val="0"/>
              <w:spacing w:line="360" w:lineRule="auto"/>
              <w:ind w:firstLine="480" w:firstLineChars="200"/>
              <w:rPr>
                <w:sz w:val="24"/>
              </w:rPr>
            </w:pPr>
            <w:r>
              <w:rPr>
                <w:rFonts w:hint="eastAsia"/>
                <w:sz w:val="24"/>
              </w:rPr>
              <w:t>（5）沿线农田保护措施</w:t>
            </w:r>
          </w:p>
          <w:p>
            <w:pPr>
              <w:adjustRightInd w:val="0"/>
              <w:snapToGrid w:val="0"/>
              <w:spacing w:line="360" w:lineRule="auto"/>
              <w:ind w:firstLine="480" w:firstLineChars="200"/>
              <w:rPr>
                <w:sz w:val="24"/>
              </w:rPr>
            </w:pPr>
            <w:r>
              <w:rPr>
                <w:rFonts w:hint="eastAsia"/>
                <w:sz w:val="24"/>
              </w:rPr>
              <w:t>为减少本项目建设对沿线农业生产的影响，必须做好相应的保护措施：</w:t>
            </w:r>
          </w:p>
          <w:p>
            <w:pPr>
              <w:adjustRightInd w:val="0"/>
              <w:snapToGrid w:val="0"/>
              <w:spacing w:line="360" w:lineRule="auto"/>
              <w:ind w:firstLine="480" w:firstLineChars="200"/>
              <w:rPr>
                <w:sz w:val="24"/>
              </w:rPr>
            </w:pPr>
            <w:r>
              <w:rPr>
                <w:rFonts w:hint="eastAsia"/>
                <w:sz w:val="24"/>
              </w:rPr>
              <w:t>①经过现有的农田耕作区的路段应尽量收缩路基边坡，以减少占用耕地；对于坡面工程及时采取工程或植物防护措施加以防护，以减少水土流失现象发生，影响周边农业生产。</w:t>
            </w:r>
          </w:p>
          <w:p>
            <w:pPr>
              <w:adjustRightInd w:val="0"/>
              <w:snapToGrid w:val="0"/>
              <w:spacing w:line="360" w:lineRule="auto"/>
              <w:ind w:firstLine="480" w:firstLineChars="200"/>
              <w:rPr>
                <w:sz w:val="24"/>
              </w:rPr>
            </w:pPr>
            <w:r>
              <w:rPr>
                <w:rFonts w:hint="eastAsia"/>
                <w:sz w:val="24"/>
              </w:rPr>
              <w:t>②项目建设过程中的各类施工材料要按规定堆放在施工场地内，不得占用沿线的耕地，同时应做好水土保持防范措施，避免因水土流失给周边农田区域造成不利影响。</w:t>
            </w:r>
          </w:p>
          <w:p>
            <w:pPr>
              <w:pStyle w:val="60"/>
              <w:rPr>
                <w:sz w:val="28"/>
                <w:szCs w:val="28"/>
              </w:rPr>
            </w:pPr>
            <w:r>
              <w:rPr>
                <w:rFonts w:hint="eastAsia"/>
                <w:sz w:val="28"/>
                <w:szCs w:val="28"/>
              </w:rPr>
              <w:t>5.1.6 水土流失防治措施</w:t>
            </w:r>
          </w:p>
          <w:p>
            <w:pPr>
              <w:pStyle w:val="77"/>
              <w:ind w:firstLine="480"/>
              <w:rPr>
                <w:sz w:val="24"/>
                <w:lang w:val="en-US"/>
              </w:rPr>
            </w:pPr>
            <w:r>
              <w:rPr>
                <w:rFonts w:hint="eastAsia"/>
                <w:sz w:val="24"/>
                <w:lang w:val="en-US"/>
              </w:rPr>
              <w:t>（1）合理安排施工时段，尽可能避开雨季施工，以降低雨水对土壤产生的水力侵蚀。如无法避开雨季施工，则应和气象部门保持联系，降雨前即对施工区加以覆盖，减轻水土流失。</w:t>
            </w:r>
          </w:p>
          <w:p>
            <w:pPr>
              <w:pStyle w:val="77"/>
              <w:ind w:firstLine="480"/>
              <w:rPr>
                <w:sz w:val="24"/>
                <w:lang w:val="en-US"/>
              </w:rPr>
            </w:pPr>
            <w:r>
              <w:rPr>
                <w:rFonts w:hint="eastAsia"/>
                <w:sz w:val="24"/>
                <w:lang w:val="en-US"/>
              </w:rPr>
              <w:t>（2）应在作业区做好排水系统设计，保持排水畅通。</w:t>
            </w:r>
          </w:p>
          <w:p>
            <w:pPr>
              <w:pStyle w:val="77"/>
              <w:ind w:firstLine="480"/>
              <w:rPr>
                <w:sz w:val="24"/>
                <w:lang w:val="en-US"/>
              </w:rPr>
            </w:pPr>
            <w:r>
              <w:rPr>
                <w:rFonts w:hint="eastAsia"/>
                <w:sz w:val="24"/>
                <w:lang w:val="en-US"/>
              </w:rPr>
              <w:t>（3）应在作业区下方的不同标高处设置挡土墙或等高拦沙沟。</w:t>
            </w:r>
          </w:p>
          <w:p>
            <w:pPr>
              <w:pStyle w:val="77"/>
              <w:ind w:firstLine="480"/>
              <w:rPr>
                <w:sz w:val="24"/>
                <w:lang w:val="en-US"/>
              </w:rPr>
            </w:pPr>
            <w:r>
              <w:rPr>
                <w:rFonts w:hint="eastAsia"/>
                <w:sz w:val="24"/>
                <w:lang w:val="en-US"/>
              </w:rPr>
              <w:t>（4）土料挖填和输运应做到随挖、随运并尽量同步压实，减少松散土的存在。应准备一定数量的雨天覆盖物，在雨季时可随时将裸露的开挖地面覆盖起来，以降低水土流失的影响。</w:t>
            </w:r>
          </w:p>
          <w:p>
            <w:pPr>
              <w:pStyle w:val="77"/>
              <w:ind w:firstLine="480"/>
              <w:rPr>
                <w:sz w:val="24"/>
                <w:lang w:val="en-US"/>
              </w:rPr>
            </w:pPr>
            <w:r>
              <w:rPr>
                <w:rFonts w:hint="eastAsia"/>
                <w:sz w:val="24"/>
                <w:lang w:val="en-US"/>
              </w:rPr>
              <w:t>（5）对原有的和规划的绿化地段，应尽快采取植树种草恢复植被等生态防护措施，以减少对生态环境的不利影响。</w:t>
            </w:r>
          </w:p>
          <w:p>
            <w:pPr>
              <w:pStyle w:val="61"/>
              <w:ind w:firstLine="480"/>
              <w:rPr>
                <w:rFonts w:hint="eastAsia" w:ascii="宋体" w:hAnsi="宋体" w:cs="宋体"/>
                <w:bCs/>
                <w:color w:val="auto"/>
                <w:spacing w:val="10"/>
                <w:szCs w:val="21"/>
              </w:rPr>
            </w:pPr>
            <w:r>
              <w:rPr>
                <w:rFonts w:hint="eastAsia"/>
                <w:color w:val="auto"/>
              </w:rPr>
              <w:t>（6）开工前，对施工范围内临时设施的规划用地要进行严格的审查，既少占农田、林地，又方便施工；严格按照设计文件确定征占土地范围，进行地表植被的清理工作。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pPr>
              <w:adjustRightInd w:val="0"/>
              <w:snapToGrid w:val="0"/>
              <w:jc w:val="center"/>
              <w:rPr>
                <w:rFonts w:hint="eastAsia" w:ascii="宋体" w:hAnsi="宋体" w:cs="宋体"/>
                <w:bCs/>
                <w:spacing w:val="10"/>
                <w:szCs w:val="21"/>
              </w:rPr>
            </w:pPr>
            <w:r>
              <w:rPr>
                <w:rFonts w:hint="eastAsia" w:ascii="宋体" w:hAnsi="宋体" w:cs="宋体"/>
                <w:bCs/>
                <w:spacing w:val="10"/>
                <w:szCs w:val="21"/>
              </w:rPr>
              <w:t>运营期生态环境保护措施</w:t>
            </w:r>
          </w:p>
        </w:tc>
        <w:tc>
          <w:tcPr>
            <w:tcW w:w="8457" w:type="dxa"/>
          </w:tcPr>
          <w:p>
            <w:pPr>
              <w:adjustRightInd w:val="0"/>
              <w:snapToGrid w:val="0"/>
              <w:spacing w:before="120" w:beforeLines="50" w:after="120" w:afterLines="50" w:line="360" w:lineRule="auto"/>
              <w:outlineLvl w:val="1"/>
              <w:rPr>
                <w:b/>
                <w:bCs/>
                <w:snapToGrid w:val="0"/>
                <w:kern w:val="0"/>
                <w:sz w:val="30"/>
                <w:szCs w:val="30"/>
              </w:rPr>
            </w:pPr>
            <w:r>
              <w:rPr>
                <w:b/>
                <w:bCs/>
                <w:snapToGrid w:val="0"/>
                <w:kern w:val="0"/>
                <w:sz w:val="30"/>
                <w:szCs w:val="30"/>
              </w:rPr>
              <w:t>5.2 运营期生态环境保护措施</w:t>
            </w:r>
          </w:p>
          <w:p>
            <w:pPr>
              <w:adjustRightInd w:val="0"/>
              <w:snapToGrid w:val="0"/>
              <w:spacing w:line="360" w:lineRule="auto"/>
              <w:outlineLvl w:val="2"/>
              <w:rPr>
                <w:b/>
                <w:snapToGrid w:val="0"/>
                <w:kern w:val="0"/>
                <w:sz w:val="28"/>
                <w:szCs w:val="28"/>
              </w:rPr>
            </w:pPr>
            <w:r>
              <w:rPr>
                <w:b/>
                <w:snapToGrid w:val="0"/>
                <w:kern w:val="0"/>
                <w:sz w:val="28"/>
                <w:szCs w:val="28"/>
              </w:rPr>
              <w:t>5.2.1 水环境</w:t>
            </w:r>
          </w:p>
          <w:p>
            <w:pPr>
              <w:pStyle w:val="77"/>
              <w:ind w:firstLine="480"/>
              <w:rPr>
                <w:sz w:val="24"/>
              </w:rPr>
            </w:pPr>
            <w:r>
              <w:rPr>
                <w:sz w:val="24"/>
              </w:rPr>
              <w:t>（1）加强对道路货物运输的管理，如果遇到运载危险品的车辆上路时，应及时通知有关管理部门，严格监控，防止事故的发生。一旦发生危险品溢出、泄漏等事故，应及时通知有关部门，及时采取应急措施，防止污染的进一步扩散，保护好周边水环境和排水系统。</w:t>
            </w:r>
          </w:p>
          <w:p>
            <w:pPr>
              <w:pStyle w:val="77"/>
              <w:ind w:firstLine="480"/>
              <w:rPr>
                <w:sz w:val="24"/>
              </w:rPr>
            </w:pPr>
            <w:r>
              <w:rPr>
                <w:sz w:val="24"/>
              </w:rPr>
              <w:t>（2）道路建设时应严格按照设计要求，完善各种市政管线的建设，使道路营运后，冲刷路面的雨水能够进入雨水管道。</w:t>
            </w:r>
          </w:p>
          <w:p>
            <w:pPr>
              <w:pStyle w:val="77"/>
              <w:ind w:firstLine="480"/>
            </w:pPr>
            <w:r>
              <w:rPr>
                <w:sz w:val="24"/>
              </w:rPr>
              <w:t>（3）定期检查道路的排水系统，确保排水系统畅通。</w:t>
            </w:r>
          </w:p>
          <w:p>
            <w:pPr>
              <w:adjustRightInd w:val="0"/>
              <w:snapToGrid w:val="0"/>
              <w:spacing w:line="360" w:lineRule="auto"/>
              <w:outlineLvl w:val="2"/>
              <w:rPr>
                <w:b/>
                <w:snapToGrid w:val="0"/>
                <w:kern w:val="0"/>
                <w:sz w:val="28"/>
                <w:szCs w:val="28"/>
              </w:rPr>
            </w:pPr>
            <w:r>
              <w:rPr>
                <w:b/>
                <w:snapToGrid w:val="0"/>
                <w:kern w:val="0"/>
                <w:sz w:val="28"/>
                <w:szCs w:val="28"/>
              </w:rPr>
              <w:t>5.2.2 大气环境</w:t>
            </w:r>
          </w:p>
          <w:p>
            <w:pPr>
              <w:adjustRightInd w:val="0"/>
              <w:snapToGrid w:val="0"/>
              <w:spacing w:line="360" w:lineRule="auto"/>
              <w:ind w:firstLine="480"/>
              <w:rPr>
                <w:sz w:val="24"/>
              </w:rPr>
            </w:pPr>
            <w:r>
              <w:rPr>
                <w:sz w:val="24"/>
              </w:rPr>
              <w:t>本项目路面采用沥青混凝土路面，因而扬尘污染较小；但随着本路交通量的不断增大，汽车尾气排放量也呈增加趋势，加剧了对沿线大气环境的污染。为控制汽车尾气对沿线大气环境产生的不利影响，环评建议有关部门加强管理，严格执行国家规定的汽车尾气排放标准，减少汽车尾气污染物的排放量。</w:t>
            </w:r>
          </w:p>
          <w:p>
            <w:pPr>
              <w:numPr>
                <w:ilvl w:val="0"/>
                <w:numId w:val="2"/>
              </w:numPr>
              <w:adjustRightInd w:val="0"/>
              <w:snapToGrid w:val="0"/>
              <w:spacing w:line="360" w:lineRule="auto"/>
              <w:ind w:firstLine="480"/>
              <w:rPr>
                <w:sz w:val="24"/>
              </w:rPr>
            </w:pPr>
            <w:r>
              <w:rPr>
                <w:sz w:val="24"/>
              </w:rPr>
              <w:t>根据当地气候和土壤特点在道路两侧，特别是环境敏感点附近，种植乔、灌木，这样既可以净化吸收车辆尾气中的CO等污染物和路面扬尘，又可以美化环境和改善工程沿线景观。</w:t>
            </w:r>
          </w:p>
          <w:p>
            <w:pPr>
              <w:numPr>
                <w:ilvl w:val="0"/>
                <w:numId w:val="2"/>
              </w:numPr>
              <w:adjustRightInd w:val="0"/>
              <w:snapToGrid w:val="0"/>
              <w:spacing w:line="360" w:lineRule="auto"/>
              <w:ind w:firstLine="480"/>
              <w:rPr>
                <w:sz w:val="24"/>
              </w:rPr>
            </w:pPr>
            <w:r>
              <w:rPr>
                <w:sz w:val="24"/>
              </w:rPr>
              <w:t>加强路面管理及路面养护，保持其良好运营状态。道路管理部门应加强对运输散装物质如煤、水泥、砂石材料及简易包装的化肥、农药等车辆的管理，运送上述物品需加盖蓬布。</w:t>
            </w:r>
          </w:p>
          <w:p>
            <w:pPr>
              <w:adjustRightInd w:val="0"/>
              <w:snapToGrid w:val="0"/>
              <w:spacing w:line="360" w:lineRule="auto"/>
              <w:ind w:firstLine="480"/>
            </w:pPr>
            <w:r>
              <w:rPr>
                <w:sz w:val="24"/>
              </w:rPr>
              <w:t>上述措施在施工期强化扬尘控制，在运营期突出汽车尾气监管，针对性强，强调环境管理和源头控制，且具有投资小、见效明显的特点，从经济、技术角度可行。</w:t>
            </w:r>
          </w:p>
          <w:p>
            <w:pPr>
              <w:adjustRightInd w:val="0"/>
              <w:snapToGrid w:val="0"/>
              <w:spacing w:line="360" w:lineRule="auto"/>
              <w:outlineLvl w:val="2"/>
              <w:rPr>
                <w:b/>
                <w:snapToGrid w:val="0"/>
                <w:kern w:val="0"/>
                <w:sz w:val="28"/>
                <w:szCs w:val="28"/>
              </w:rPr>
            </w:pPr>
            <w:r>
              <w:rPr>
                <w:b/>
                <w:snapToGrid w:val="0"/>
                <w:kern w:val="0"/>
                <w:sz w:val="28"/>
                <w:szCs w:val="28"/>
              </w:rPr>
              <w:t>5.2.3 声环境</w:t>
            </w:r>
          </w:p>
          <w:p>
            <w:pPr>
              <w:adjustRightInd w:val="0"/>
              <w:snapToGrid w:val="0"/>
              <w:spacing w:line="360" w:lineRule="auto"/>
              <w:ind w:firstLine="480" w:firstLineChars="200"/>
              <w:rPr>
                <w:color w:val="auto"/>
                <w:sz w:val="24"/>
                <w:szCs w:val="24"/>
                <w:highlight w:val="none"/>
              </w:rPr>
            </w:pPr>
            <w:r>
              <w:rPr>
                <w:color w:val="auto"/>
                <w:sz w:val="24"/>
                <w:szCs w:val="24"/>
                <w:highlight w:val="none"/>
              </w:rPr>
              <w:t>（1）加强交通管理，严格执行限速和禁止超载等交通管制，在通过人口密度较大的路段，以及居民住宅等附近设置禁鸣标志，以减少交通噪声扰民问题。</w:t>
            </w:r>
          </w:p>
          <w:p>
            <w:pPr>
              <w:adjustRightInd w:val="0"/>
              <w:snapToGrid w:val="0"/>
              <w:spacing w:line="360" w:lineRule="auto"/>
              <w:ind w:firstLine="480" w:firstLineChars="200"/>
              <w:outlineLvl w:val="1"/>
              <w:rPr>
                <w:color w:val="auto"/>
                <w:sz w:val="24"/>
                <w:szCs w:val="24"/>
                <w:highlight w:val="none"/>
              </w:rPr>
            </w:pPr>
            <w:bookmarkStart w:id="104" w:name="_Toc7370"/>
            <w:r>
              <w:rPr>
                <w:color w:val="auto"/>
                <w:sz w:val="24"/>
                <w:szCs w:val="24"/>
                <w:highlight w:val="none"/>
              </w:rPr>
              <w:t>（</w:t>
            </w:r>
            <w:r>
              <w:rPr>
                <w:rFonts w:hint="eastAsia"/>
                <w:color w:val="auto"/>
                <w:sz w:val="24"/>
                <w:szCs w:val="24"/>
                <w:highlight w:val="none"/>
              </w:rPr>
              <w:t>2</w:t>
            </w:r>
            <w:r>
              <w:rPr>
                <w:color w:val="auto"/>
                <w:sz w:val="24"/>
                <w:szCs w:val="24"/>
                <w:highlight w:val="none"/>
              </w:rPr>
              <w:t>）加强路面养护，保证拟建道路未来路面处于良好状态。</w:t>
            </w:r>
            <w:bookmarkEnd w:id="10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szCs w:val="24"/>
                <w:highlight w:val="none"/>
                <w:lang w:val="zh-CN"/>
              </w:rPr>
            </w:pPr>
            <w:r>
              <w:rPr>
                <w:rFonts w:hint="eastAsia"/>
                <w:color w:val="auto"/>
                <w:sz w:val="24"/>
                <w:szCs w:val="24"/>
                <w:highlight w:val="none"/>
              </w:rPr>
              <w:t>（3）</w:t>
            </w:r>
            <w:r>
              <w:rPr>
                <w:color w:val="auto"/>
                <w:kern w:val="0"/>
                <w:sz w:val="24"/>
                <w:szCs w:val="24"/>
                <w:highlight w:val="none"/>
                <w:lang w:val="zh-CN"/>
              </w:rPr>
              <w:t>道路两侧新建建筑中，若对声环境较为敏感的，</w:t>
            </w:r>
            <w:r>
              <w:rPr>
                <w:rFonts w:hint="eastAsia"/>
                <w:color w:val="auto"/>
                <w:sz w:val="24"/>
                <w:szCs w:val="24"/>
                <w:highlight w:val="none"/>
                <w:lang w:val="en-US" w:eastAsia="zh-CN"/>
              </w:rPr>
              <w:t>应由相应建设单位对声环境进行评估，制定具体的降噪方案。</w:t>
            </w:r>
            <w:r>
              <w:rPr>
                <w:color w:val="auto"/>
                <w:kern w:val="0"/>
                <w:sz w:val="24"/>
                <w:szCs w:val="24"/>
                <w:highlight w:val="none"/>
                <w:lang w:val="zh-CN"/>
              </w:rPr>
              <w:t>建议开发商或业主在房屋的构筑和装修过程中采用对建筑物本身的隔声处理措施，例如强化墙体隔声量和加装通风隔声窗等，以避免受本项目交通噪声的负面影响。</w:t>
            </w:r>
          </w:p>
          <w:p>
            <w:pPr>
              <w:pStyle w:val="26"/>
              <w:spacing w:after="0" w:line="360" w:lineRule="auto"/>
              <w:ind w:left="0" w:leftChars="0" w:firstLine="480"/>
              <w:rPr>
                <w:rFonts w:hint="eastAsia"/>
                <w:color w:val="auto"/>
                <w:sz w:val="24"/>
                <w:szCs w:val="24"/>
                <w:highlight w:val="none"/>
                <w:lang w:val="zh-CN"/>
              </w:rPr>
            </w:pPr>
            <w:r>
              <w:rPr>
                <w:rFonts w:hint="eastAsia"/>
                <w:color w:val="auto"/>
                <w:sz w:val="24"/>
                <w:szCs w:val="24"/>
                <w:highlight w:val="none"/>
                <w:lang w:val="zh-CN"/>
              </w:rPr>
              <w:t>（</w:t>
            </w:r>
            <w:r>
              <w:rPr>
                <w:rFonts w:hint="eastAsia"/>
                <w:color w:val="auto"/>
                <w:sz w:val="24"/>
                <w:szCs w:val="24"/>
                <w:highlight w:val="none"/>
              </w:rPr>
              <w:t>4</w:t>
            </w:r>
            <w:r>
              <w:rPr>
                <w:rFonts w:hint="eastAsia"/>
                <w:color w:val="auto"/>
                <w:sz w:val="24"/>
                <w:szCs w:val="24"/>
                <w:highlight w:val="none"/>
                <w:lang w:val="zh-CN"/>
              </w:rPr>
              <w:t>）</w:t>
            </w:r>
            <w:r>
              <w:rPr>
                <w:color w:val="auto"/>
                <w:sz w:val="24"/>
                <w:szCs w:val="24"/>
                <w:highlight w:val="none"/>
                <w:lang w:val="zh-CN"/>
              </w:rPr>
              <w:t>结合当地生态建设规划，加强拟建工程征地范围内的绿化工作</w:t>
            </w:r>
            <w:r>
              <w:rPr>
                <w:rFonts w:hint="eastAsia"/>
                <w:color w:val="auto"/>
                <w:sz w:val="24"/>
                <w:szCs w:val="24"/>
                <w:highlight w:val="none"/>
                <w:lang w:val="zh-CN"/>
              </w:rPr>
              <w:t>。</w:t>
            </w:r>
          </w:p>
          <w:p>
            <w:pPr>
              <w:adjustRightInd w:val="0"/>
              <w:snapToGrid w:val="0"/>
              <w:spacing w:line="360" w:lineRule="auto"/>
              <w:ind w:firstLine="480" w:firstLineChars="200"/>
              <w:outlineLvl w:val="2"/>
              <w:rPr>
                <w:sz w:val="24"/>
              </w:rPr>
            </w:pPr>
            <w:r>
              <w:rPr>
                <w:rFonts w:hint="eastAsia"/>
                <w:sz w:val="24"/>
              </w:rPr>
              <w:t>具体详见声环境影响专项评价。</w:t>
            </w:r>
          </w:p>
          <w:p>
            <w:pPr>
              <w:adjustRightInd w:val="0"/>
              <w:snapToGrid w:val="0"/>
              <w:spacing w:line="360" w:lineRule="auto"/>
              <w:outlineLvl w:val="2"/>
              <w:rPr>
                <w:b/>
                <w:snapToGrid w:val="0"/>
                <w:kern w:val="0"/>
                <w:sz w:val="28"/>
                <w:szCs w:val="28"/>
              </w:rPr>
            </w:pPr>
            <w:r>
              <w:rPr>
                <w:b/>
                <w:snapToGrid w:val="0"/>
                <w:kern w:val="0"/>
                <w:sz w:val="28"/>
                <w:szCs w:val="28"/>
              </w:rPr>
              <w:t>5.2.4 固体废物</w:t>
            </w:r>
          </w:p>
          <w:p>
            <w:pPr>
              <w:adjustRightInd w:val="0"/>
              <w:snapToGrid w:val="0"/>
              <w:spacing w:line="360" w:lineRule="auto"/>
              <w:ind w:firstLine="520" w:firstLineChars="200"/>
              <w:outlineLvl w:val="2"/>
              <w:rPr>
                <w:bCs/>
                <w:spacing w:val="10"/>
                <w:sz w:val="24"/>
              </w:rPr>
            </w:pPr>
            <w:r>
              <w:rPr>
                <w:rFonts w:hint="eastAsia"/>
                <w:bCs/>
                <w:spacing w:val="10"/>
                <w:sz w:val="24"/>
              </w:rPr>
              <w:t>（1）市政环卫部门负责定期清除、收集、外运，保证日产日清、路面清洁，不会对道路沿线环境造成大的影响。</w:t>
            </w:r>
          </w:p>
          <w:p>
            <w:pPr>
              <w:adjustRightInd w:val="0"/>
              <w:snapToGrid w:val="0"/>
              <w:spacing w:line="360" w:lineRule="auto"/>
              <w:ind w:firstLine="520" w:firstLineChars="200"/>
              <w:outlineLvl w:val="2"/>
              <w:rPr>
                <w:bCs/>
                <w:spacing w:val="10"/>
                <w:sz w:val="24"/>
              </w:rPr>
            </w:pPr>
            <w:r>
              <w:rPr>
                <w:rFonts w:hint="eastAsia"/>
                <w:bCs/>
                <w:spacing w:val="10"/>
                <w:sz w:val="24"/>
              </w:rPr>
              <w:t>（2）强化道路沿线的固体废物污染治理的监督工作，向司乘人员和行人加强宣传教育工作。</w:t>
            </w:r>
          </w:p>
          <w:p>
            <w:pPr>
              <w:adjustRightInd w:val="0"/>
              <w:snapToGrid w:val="0"/>
              <w:spacing w:line="360" w:lineRule="auto"/>
              <w:outlineLvl w:val="2"/>
              <w:rPr>
                <w:b/>
                <w:spacing w:val="10"/>
                <w:sz w:val="28"/>
                <w:szCs w:val="28"/>
              </w:rPr>
            </w:pPr>
            <w:r>
              <w:rPr>
                <w:rFonts w:hint="eastAsia"/>
                <w:b/>
                <w:spacing w:val="10"/>
                <w:sz w:val="28"/>
                <w:szCs w:val="28"/>
              </w:rPr>
              <w:t xml:space="preserve">5.2.5 </w:t>
            </w:r>
            <w:r>
              <w:rPr>
                <w:b/>
                <w:spacing w:val="10"/>
                <w:sz w:val="28"/>
                <w:szCs w:val="28"/>
              </w:rPr>
              <w:t>生态保护措施</w:t>
            </w:r>
          </w:p>
          <w:p>
            <w:pPr>
              <w:pStyle w:val="77"/>
              <w:ind w:firstLine="480"/>
              <w:rPr>
                <w:sz w:val="24"/>
              </w:rPr>
            </w:pPr>
            <w:r>
              <w:rPr>
                <w:sz w:val="24"/>
              </w:rPr>
              <w:t>工程建成后将在路面段两侧设置一定的绿化带，进行一定的生态补偿，本项目</w:t>
            </w:r>
            <w:r>
              <w:rPr>
                <w:rFonts w:hint="eastAsia"/>
                <w:sz w:val="24"/>
              </w:rPr>
              <w:t>绿化工程实施后</w:t>
            </w:r>
            <w:r>
              <w:rPr>
                <w:sz w:val="24"/>
              </w:rPr>
              <w:t>，</w:t>
            </w:r>
            <w:r>
              <w:rPr>
                <w:rFonts w:hint="eastAsia"/>
                <w:sz w:val="24"/>
              </w:rPr>
              <w:t>区域绿化率将得到一定恢复</w:t>
            </w:r>
            <w:r>
              <w:rPr>
                <w:sz w:val="24"/>
              </w:rPr>
              <w:t>。</w:t>
            </w:r>
          </w:p>
          <w:p>
            <w:pPr>
              <w:spacing w:line="360" w:lineRule="auto"/>
              <w:rPr>
                <w:b/>
                <w:bCs/>
                <w:sz w:val="28"/>
                <w:szCs w:val="28"/>
              </w:rPr>
            </w:pPr>
            <w:r>
              <w:rPr>
                <w:rFonts w:hint="eastAsia"/>
                <w:b/>
                <w:bCs/>
                <w:sz w:val="28"/>
                <w:szCs w:val="28"/>
              </w:rPr>
              <w:t>5.2.6 环境风险防范措施</w:t>
            </w:r>
          </w:p>
          <w:p>
            <w:pPr>
              <w:spacing w:line="360" w:lineRule="auto"/>
              <w:ind w:firstLine="480" w:firstLineChars="200"/>
              <w:rPr>
                <w:sz w:val="24"/>
              </w:rPr>
            </w:pPr>
            <w:r>
              <w:rPr>
                <w:rFonts w:hint="eastAsia"/>
                <w:sz w:val="24"/>
              </w:rPr>
              <w:t xml:space="preserve">（1）提醒过往司机禁止乱扔垃圾，以免污染水体。 </w:t>
            </w:r>
          </w:p>
          <w:p>
            <w:pPr>
              <w:spacing w:line="360" w:lineRule="auto"/>
              <w:ind w:firstLine="480" w:firstLineChars="200"/>
              <w:rPr>
                <w:sz w:val="24"/>
              </w:rPr>
            </w:pPr>
            <w:r>
              <w:rPr>
                <w:rFonts w:hint="eastAsia"/>
                <w:sz w:val="24"/>
              </w:rPr>
              <w:t>（2）</w:t>
            </w:r>
            <w:r>
              <w:rPr>
                <w:sz w:val="24"/>
              </w:rPr>
              <w:t>制订风险事故应急计划。应急计划应包括指挥机构及相关协作单位的职责和任务，应急技术和处理步骤、设备、器材的配置和布局，人力和物力的保证和调配，事故的动态监测制度，事故发生后的报告制度等。</w:t>
            </w:r>
          </w:p>
          <w:p>
            <w:pPr>
              <w:spacing w:line="360" w:lineRule="auto"/>
              <w:ind w:firstLine="480" w:firstLineChars="200"/>
              <w:rPr>
                <w:sz w:val="24"/>
              </w:rPr>
            </w:pPr>
            <w:r>
              <w:rPr>
                <w:rFonts w:hint="eastAsia"/>
                <w:sz w:val="24"/>
              </w:rPr>
              <w:t>（3）涉水路段（桥梁）风险防范措施</w:t>
            </w:r>
          </w:p>
          <w:p>
            <w:pPr>
              <w:spacing w:line="360" w:lineRule="auto"/>
              <w:ind w:firstLine="480" w:firstLineChars="200"/>
              <w:rPr>
                <w:sz w:val="24"/>
              </w:rPr>
            </w:pPr>
            <w:r>
              <w:rPr>
                <w:rFonts w:hint="eastAsia"/>
                <w:sz w:val="24"/>
              </w:rPr>
              <w:t>本项目桥梁跨里美溪，里美溪主要水体功能为</w:t>
            </w:r>
            <w:r>
              <w:rPr>
                <w:rFonts w:hint="eastAsia" w:ascii="宋体" w:hAnsi="宋体"/>
                <w:sz w:val="24"/>
              </w:rPr>
              <w:t>Ⅲ</w:t>
            </w:r>
            <w:r>
              <w:rPr>
                <w:rFonts w:hint="eastAsia"/>
                <w:sz w:val="24"/>
              </w:rPr>
              <w:t>类功能区，桥梁拟设置防撞栏杆，避免车辆翻入水中，影响水体环境</w:t>
            </w:r>
            <w:r>
              <w:rPr>
                <w:sz w:val="24"/>
              </w:rPr>
              <w:t>。</w:t>
            </w:r>
          </w:p>
          <w:p>
            <w:pPr>
              <w:spacing w:line="360" w:lineRule="auto"/>
              <w:ind w:firstLine="480" w:firstLineChars="200"/>
              <w:rPr>
                <w:sz w:val="24"/>
              </w:rPr>
            </w:pPr>
            <w:r>
              <w:rPr>
                <w:rFonts w:hint="eastAsia"/>
                <w:sz w:val="24"/>
              </w:rPr>
              <w:t>（4）</w:t>
            </w:r>
            <w:r>
              <w:rPr>
                <w:sz w:val="24"/>
              </w:rPr>
              <w:t>强化有关危险品运输法规的教育和培训</w:t>
            </w:r>
          </w:p>
          <w:p>
            <w:pPr>
              <w:spacing w:line="360" w:lineRule="auto"/>
              <w:ind w:firstLine="480" w:firstLineChars="200"/>
              <w:rPr>
                <w:sz w:val="24"/>
              </w:rPr>
            </w:pPr>
            <w:r>
              <w:rPr>
                <w:sz w:val="24"/>
              </w:rPr>
              <w:t>管理部门和从事危险品运输的单位、驾驶员，应严格遵守危险品运输安全技术规定和操作规程，学习和掌握国家有关部门颁布实施的相关法规。</w:t>
            </w:r>
          </w:p>
          <w:p>
            <w:pPr>
              <w:spacing w:line="360" w:lineRule="auto"/>
              <w:ind w:firstLine="480" w:firstLineChars="200"/>
              <w:rPr>
                <w:sz w:val="24"/>
              </w:rPr>
            </w:pPr>
            <w:r>
              <w:rPr>
                <w:rFonts w:hint="eastAsia"/>
                <w:sz w:val="24"/>
              </w:rPr>
              <w:t>（5）</w:t>
            </w:r>
            <w:r>
              <w:rPr>
                <w:sz w:val="24"/>
              </w:rPr>
              <w:t>加强区域危险品运输管理</w:t>
            </w:r>
          </w:p>
          <w:p>
            <w:pPr>
              <w:spacing w:line="360" w:lineRule="auto"/>
              <w:ind w:firstLine="480" w:firstLineChars="200"/>
              <w:rPr>
                <w:sz w:val="24"/>
              </w:rPr>
            </w:pPr>
            <w:r>
              <w:rPr>
                <w:rFonts w:hint="eastAsia"/>
                <w:sz w:val="24"/>
              </w:rPr>
              <w:t>本项目通车后，承担着福泽片区对外联络的交通干道，应严格</w:t>
            </w:r>
            <w:r>
              <w:rPr>
                <w:sz w:val="24"/>
              </w:rPr>
              <w:t>由</w:t>
            </w:r>
            <w:r>
              <w:rPr>
                <w:rFonts w:hint="eastAsia"/>
                <w:sz w:val="24"/>
              </w:rPr>
              <w:t>管理部门</w:t>
            </w:r>
            <w:r>
              <w:rPr>
                <w:sz w:val="24"/>
              </w:rPr>
              <w:t>建立本地区化学危险货物运输调度和货运代理网络。化学危险品货物运输实行“准运证”、“驾驶员证”、“押运员”制度。所有从事化学危险货物的车辆要使用统一专用标志，实行定期定点检测制度。对从事危险品运输的单位、业主、驾驶员及押运员定期进行排除危险品运输车辆交通事故的业务培训。</w:t>
            </w:r>
          </w:p>
          <w:p>
            <w:pPr>
              <w:spacing w:line="360" w:lineRule="auto"/>
              <w:ind w:firstLine="480" w:firstLineChars="200"/>
              <w:rPr>
                <w:sz w:val="24"/>
              </w:rPr>
            </w:pPr>
            <w:r>
              <w:rPr>
                <w:rFonts w:hint="eastAsia"/>
                <w:sz w:val="24"/>
              </w:rPr>
              <w:t>（6）</w:t>
            </w:r>
            <w:r>
              <w:rPr>
                <w:sz w:val="24"/>
              </w:rPr>
              <w:t>应急硬件设施配备</w:t>
            </w:r>
          </w:p>
          <w:p>
            <w:pPr>
              <w:spacing w:line="360" w:lineRule="auto"/>
              <w:ind w:firstLine="480" w:firstLineChars="200"/>
              <w:rPr>
                <w:sz w:val="24"/>
              </w:rPr>
            </w:pPr>
            <w:r>
              <w:rPr>
                <w:rFonts w:hint="eastAsia"/>
                <w:sz w:val="24"/>
              </w:rPr>
              <w:t>道路</w:t>
            </w:r>
            <w:r>
              <w:rPr>
                <w:sz w:val="24"/>
              </w:rPr>
              <w:t>管理部门应配备事故应急车，以便于危险品运输事故发生后，尽快赶到现场进行处理。</w:t>
            </w:r>
            <w:r>
              <w:rPr>
                <w:rFonts w:hint="eastAsia"/>
                <w:sz w:val="24"/>
              </w:rPr>
              <w:t>设置紧急报警电话，当出现重大交通事故时，应迅速联系消防、救护、公安等有关方面及时处理。管理部门应备有救援设施以便能快速拖带发生事故的车辆</w:t>
            </w:r>
            <w:r>
              <w:rPr>
                <w:sz w:val="24"/>
              </w:rPr>
              <w:t>。</w:t>
            </w:r>
          </w:p>
          <w:p>
            <w:pPr>
              <w:adjustRightInd w:val="0"/>
              <w:snapToGrid w:val="0"/>
              <w:spacing w:line="360" w:lineRule="auto"/>
              <w:outlineLvl w:val="2"/>
              <w:rPr>
                <w:b/>
                <w:spacing w:val="10"/>
                <w:sz w:val="28"/>
                <w:szCs w:val="28"/>
              </w:rPr>
            </w:pPr>
            <w:r>
              <w:rPr>
                <w:rFonts w:hint="eastAsia"/>
                <w:b/>
                <w:spacing w:val="10"/>
                <w:sz w:val="28"/>
                <w:szCs w:val="28"/>
              </w:rPr>
              <w:t xml:space="preserve">5.2.8 </w:t>
            </w:r>
            <w:r>
              <w:rPr>
                <w:b/>
                <w:spacing w:val="10"/>
                <w:sz w:val="28"/>
                <w:szCs w:val="28"/>
              </w:rPr>
              <w:t>环境监测计划</w:t>
            </w:r>
          </w:p>
          <w:p>
            <w:pPr>
              <w:adjustRightInd w:val="0"/>
              <w:snapToGrid w:val="0"/>
              <w:spacing w:line="360" w:lineRule="auto"/>
              <w:ind w:firstLine="480" w:firstLineChars="200"/>
              <w:rPr>
                <w:sz w:val="24"/>
                <w:szCs w:val="32"/>
              </w:rPr>
            </w:pPr>
            <w:r>
              <w:rPr>
                <w:bCs/>
                <w:sz w:val="24"/>
                <w:szCs w:val="32"/>
              </w:rPr>
              <w:t>建设单位应当定期委托第三方环境监测服务机构对项目的沿线声环境</w:t>
            </w:r>
            <w:r>
              <w:rPr>
                <w:rFonts w:hint="eastAsia"/>
                <w:bCs/>
                <w:sz w:val="24"/>
                <w:szCs w:val="32"/>
                <w:lang w:val="en-US" w:eastAsia="zh-CN"/>
              </w:rPr>
              <w:t>和大气环境</w:t>
            </w:r>
            <w:r>
              <w:rPr>
                <w:bCs/>
                <w:sz w:val="24"/>
                <w:szCs w:val="32"/>
              </w:rPr>
              <w:t>进行监测，确保周围良好的声环境现状。</w:t>
            </w:r>
            <w:r>
              <w:rPr>
                <w:sz w:val="24"/>
                <w:szCs w:val="32"/>
              </w:rPr>
              <w:t>本项目环境监测计划具体见表5</w:t>
            </w:r>
            <w:r>
              <w:rPr>
                <w:rFonts w:hint="eastAsia"/>
                <w:sz w:val="24"/>
                <w:szCs w:val="32"/>
                <w:lang w:val="en-US" w:eastAsia="zh-CN"/>
              </w:rPr>
              <w:t>.2-1</w:t>
            </w:r>
            <w:r>
              <w:rPr>
                <w:sz w:val="24"/>
                <w:szCs w:val="32"/>
              </w:rPr>
              <w:t>。</w:t>
            </w:r>
          </w:p>
          <w:p>
            <w:pPr>
              <w:adjustRightInd w:val="0"/>
              <w:snapToGrid w:val="0"/>
              <w:spacing w:line="360" w:lineRule="auto"/>
              <w:ind w:firstLine="422"/>
              <w:jc w:val="center"/>
              <w:rPr>
                <w:b/>
                <w:bCs/>
                <w:kern w:val="0"/>
                <w:sz w:val="24"/>
              </w:rPr>
            </w:pPr>
            <w:r>
              <w:rPr>
                <w:b/>
                <w:bCs/>
                <w:kern w:val="0"/>
                <w:sz w:val="24"/>
              </w:rPr>
              <w:t>表5</w:t>
            </w:r>
            <w:r>
              <w:rPr>
                <w:rFonts w:hint="eastAsia"/>
                <w:b/>
                <w:bCs/>
                <w:kern w:val="0"/>
                <w:sz w:val="24"/>
                <w:lang w:val="en-US" w:eastAsia="zh-CN"/>
              </w:rPr>
              <w:t>.2-1</w:t>
            </w:r>
            <w:r>
              <w:rPr>
                <w:b/>
                <w:bCs/>
                <w:kern w:val="0"/>
                <w:sz w:val="24"/>
              </w:rPr>
              <w:t xml:space="preserve"> </w:t>
            </w:r>
            <w:r>
              <w:rPr>
                <w:rFonts w:hint="eastAsia"/>
                <w:b/>
                <w:bCs/>
                <w:kern w:val="0"/>
                <w:sz w:val="24"/>
              </w:rPr>
              <w:t xml:space="preserve"> </w:t>
            </w:r>
            <w:r>
              <w:rPr>
                <w:b/>
                <w:bCs/>
                <w:kern w:val="0"/>
                <w:sz w:val="24"/>
              </w:rPr>
              <w:t>环境监测计划</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890"/>
              <w:gridCol w:w="3647"/>
              <w:gridCol w:w="1159"/>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color w:val="auto"/>
                    </w:rPr>
                    <w:t>时期</w:t>
                  </w:r>
                </w:p>
              </w:tc>
              <w:tc>
                <w:tcPr>
                  <w:tcW w:w="540"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rFonts w:hint="eastAsia"/>
                      <w:color w:val="auto"/>
                    </w:rPr>
                    <w:t>要素</w:t>
                  </w:r>
                </w:p>
              </w:tc>
              <w:tc>
                <w:tcPr>
                  <w:tcW w:w="2213"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color w:val="auto"/>
                    </w:rPr>
                    <w:t>监测内容</w:t>
                  </w:r>
                </w:p>
              </w:tc>
              <w:tc>
                <w:tcPr>
                  <w:tcW w:w="703"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color w:val="auto"/>
                    </w:rPr>
                    <w:t>实施机构</w:t>
                  </w:r>
                </w:p>
              </w:tc>
              <w:tc>
                <w:tcPr>
                  <w:tcW w:w="821"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color w:val="auto"/>
                    </w:rPr>
                    <w:t>负责机构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21" w:type="pct"/>
                  <w:vMerge w:val="restart"/>
                  <w:shd w:val="clear" w:color="auto" w:fill="auto"/>
                  <w:vAlign w:val="center"/>
                </w:tcPr>
                <w:p>
                  <w:pPr>
                    <w:pStyle w:val="87"/>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p>
              </w:tc>
              <w:tc>
                <w:tcPr>
                  <w:tcW w:w="540" w:type="pct"/>
                  <w:shd w:val="clear" w:color="auto" w:fill="auto"/>
                  <w:vAlign w:val="center"/>
                </w:tcPr>
                <w:p>
                  <w:pPr>
                    <w:pStyle w:val="87"/>
                    <w:jc w:val="center"/>
                    <w:rPr>
                      <w:color w:val="auto"/>
                      <w:sz w:val="21"/>
                      <w:szCs w:val="21"/>
                    </w:rPr>
                  </w:pPr>
                  <w:r>
                    <w:rPr>
                      <w:rFonts w:hint="eastAsia"/>
                      <w:color w:val="auto"/>
                      <w:sz w:val="21"/>
                      <w:szCs w:val="21"/>
                    </w:rPr>
                    <w:t>环境</w:t>
                  </w:r>
                </w:p>
                <w:p>
                  <w:pPr>
                    <w:pStyle w:val="87"/>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空气</w:t>
                  </w:r>
                </w:p>
              </w:tc>
              <w:tc>
                <w:tcPr>
                  <w:tcW w:w="2213" w:type="pct"/>
                  <w:shd w:val="clear" w:color="auto" w:fill="auto"/>
                  <w:vAlign w:val="center"/>
                </w:tcPr>
                <w:p>
                  <w:pPr>
                    <w:pStyle w:val="87"/>
                    <w:rPr>
                      <w:color w:val="auto"/>
                      <w:sz w:val="21"/>
                      <w:szCs w:val="21"/>
                    </w:rPr>
                  </w:pPr>
                  <w:r>
                    <w:rPr>
                      <w:rFonts w:hint="eastAsia" w:ascii="宋体" w:hAnsi="宋体" w:cs="宋体"/>
                      <w:color w:val="auto"/>
                      <w:sz w:val="21"/>
                      <w:szCs w:val="21"/>
                    </w:rPr>
                    <w:t>⑴</w:t>
                  </w:r>
                  <w:r>
                    <w:rPr>
                      <w:color w:val="auto"/>
                      <w:sz w:val="21"/>
                      <w:szCs w:val="21"/>
                    </w:rPr>
                    <w:t>监测项目：TSP</w:t>
                  </w:r>
                </w:p>
                <w:p>
                  <w:pPr>
                    <w:pStyle w:val="87"/>
                    <w:rPr>
                      <w:color w:val="auto"/>
                      <w:sz w:val="21"/>
                      <w:szCs w:val="21"/>
                    </w:rPr>
                  </w:pPr>
                  <w:r>
                    <w:rPr>
                      <w:rFonts w:hint="eastAsia" w:ascii="宋体" w:hAnsi="宋体" w:cs="宋体"/>
                      <w:color w:val="auto"/>
                      <w:sz w:val="21"/>
                      <w:szCs w:val="21"/>
                    </w:rPr>
                    <w:t>⑵</w:t>
                  </w:r>
                  <w:r>
                    <w:rPr>
                      <w:color w:val="auto"/>
                      <w:sz w:val="21"/>
                      <w:szCs w:val="21"/>
                    </w:rPr>
                    <w:t>监测频次：1次/</w:t>
                  </w:r>
                  <w:r>
                    <w:rPr>
                      <w:rFonts w:hint="eastAsia"/>
                      <w:color w:val="auto"/>
                      <w:sz w:val="21"/>
                      <w:szCs w:val="21"/>
                    </w:rPr>
                    <w:t>季度</w:t>
                  </w:r>
                  <w:r>
                    <w:rPr>
                      <w:color w:val="auto"/>
                      <w:sz w:val="21"/>
                      <w:szCs w:val="21"/>
                    </w:rPr>
                    <w:t>，或随机抽样监测</w:t>
                  </w:r>
                </w:p>
                <w:p>
                  <w:pPr>
                    <w:pStyle w:val="87"/>
                    <w:rPr>
                      <w:color w:val="auto"/>
                      <w:sz w:val="21"/>
                      <w:szCs w:val="21"/>
                    </w:rPr>
                  </w:pPr>
                  <w:r>
                    <w:rPr>
                      <w:rFonts w:hint="eastAsia" w:ascii="宋体" w:hAnsi="宋体" w:cs="宋体"/>
                      <w:color w:val="auto"/>
                      <w:sz w:val="21"/>
                      <w:szCs w:val="21"/>
                    </w:rPr>
                    <w:t>⑶</w:t>
                  </w:r>
                  <w:r>
                    <w:rPr>
                      <w:color w:val="auto"/>
                      <w:sz w:val="21"/>
                      <w:szCs w:val="21"/>
                    </w:rPr>
                    <w:t>监测历时：1天，施工时段上、下午各1次</w:t>
                  </w:r>
                </w:p>
                <w:p>
                  <w:pPr>
                    <w:pStyle w:val="87"/>
                    <w:rPr>
                      <w:rFonts w:ascii="Times New Roman" w:hAnsi="Times New Roman" w:eastAsia="宋体" w:cs="Times New Roman"/>
                      <w:color w:val="auto"/>
                      <w:kern w:val="2"/>
                      <w:sz w:val="21"/>
                      <w:szCs w:val="21"/>
                      <w:lang w:val="en-US" w:eastAsia="zh-CN" w:bidi="ar-SA"/>
                    </w:rPr>
                  </w:pPr>
                  <w:r>
                    <w:rPr>
                      <w:rFonts w:hint="eastAsia" w:ascii="宋体" w:hAnsi="宋体" w:cs="宋体"/>
                      <w:color w:val="auto"/>
                      <w:sz w:val="21"/>
                      <w:szCs w:val="21"/>
                    </w:rPr>
                    <w:t>⑷</w:t>
                  </w:r>
                  <w:r>
                    <w:rPr>
                      <w:color w:val="auto"/>
                      <w:sz w:val="21"/>
                      <w:szCs w:val="21"/>
                    </w:rPr>
                    <w:t>监测点位：施工场界</w:t>
                  </w:r>
                </w:p>
              </w:tc>
              <w:tc>
                <w:tcPr>
                  <w:tcW w:w="703" w:type="pct"/>
                  <w:tcBorders>
                    <w:bottom w:val="single" w:color="000000" w:sz="4" w:space="0"/>
                  </w:tcBorders>
                  <w:vAlign w:val="center"/>
                </w:tcPr>
                <w:p>
                  <w:pPr>
                    <w:jc w:val="center"/>
                    <w:rPr>
                      <w:kern w:val="2"/>
                      <w:sz w:val="21"/>
                      <w:szCs w:val="21"/>
                    </w:rPr>
                  </w:pPr>
                  <w:r>
                    <w:rPr>
                      <w:color w:val="auto"/>
                      <w:sz w:val="21"/>
                      <w:szCs w:val="21"/>
                    </w:rPr>
                    <w:t>有质资监测单位</w:t>
                  </w:r>
                </w:p>
              </w:tc>
              <w:tc>
                <w:tcPr>
                  <w:tcW w:w="821" w:type="pct"/>
                  <w:tcBorders>
                    <w:bottom w:val="single" w:color="000000" w:sz="4" w:space="0"/>
                  </w:tcBorders>
                  <w:vAlign w:val="center"/>
                </w:tcPr>
                <w:p>
                  <w:pPr>
                    <w:pStyle w:val="87"/>
                    <w:jc w:val="center"/>
                    <w:rPr>
                      <w:kern w:val="2"/>
                      <w:sz w:val="21"/>
                      <w:szCs w:val="21"/>
                    </w:rPr>
                  </w:pPr>
                  <w:r>
                    <w:rPr>
                      <w:color w:val="auto"/>
                      <w:sz w:val="21"/>
                      <w:szCs w:val="21"/>
                    </w:rPr>
                    <w:t>监理公司或业主</w:t>
                  </w:r>
                  <w:r>
                    <w:rPr>
                      <w:rFonts w:hint="eastAsia"/>
                      <w:color w:val="auto"/>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21" w:type="pct"/>
                  <w:vMerge w:val="continue"/>
                  <w:vAlign w:val="center"/>
                </w:tcPr>
                <w:p>
                  <w:pPr>
                    <w:pStyle w:val="26"/>
                    <w:spacing w:before="120"/>
                    <w:ind w:left="0" w:leftChars="0" w:firstLine="0" w:firstLineChars="0"/>
                    <w:jc w:val="center"/>
                    <w:rPr>
                      <w:kern w:val="2"/>
                      <w:sz w:val="21"/>
                      <w:szCs w:val="21"/>
                    </w:rPr>
                  </w:pPr>
                </w:p>
              </w:tc>
              <w:tc>
                <w:tcPr>
                  <w:tcW w:w="540" w:type="pct"/>
                  <w:shd w:val="clear" w:color="auto" w:fill="auto"/>
                  <w:vAlign w:val="center"/>
                </w:tcPr>
                <w:p>
                  <w:pPr>
                    <w:pStyle w:val="87"/>
                    <w:jc w:val="center"/>
                    <w:rPr>
                      <w:rFonts w:ascii="Times New Roman" w:hAnsi="Times New Roman" w:eastAsia="宋体" w:cs="Times New Roman"/>
                      <w:color w:val="auto"/>
                      <w:kern w:val="2"/>
                      <w:sz w:val="21"/>
                      <w:szCs w:val="21"/>
                      <w:lang w:val="en-US" w:eastAsia="zh-CN" w:bidi="ar-SA"/>
                    </w:rPr>
                  </w:pPr>
                  <w:r>
                    <w:rPr>
                      <w:color w:val="auto"/>
                      <w:sz w:val="21"/>
                      <w:szCs w:val="21"/>
                    </w:rPr>
                    <w:t>噪声</w:t>
                  </w:r>
                </w:p>
              </w:tc>
              <w:tc>
                <w:tcPr>
                  <w:tcW w:w="2213" w:type="pct"/>
                  <w:shd w:val="clear" w:color="auto" w:fill="auto"/>
                  <w:vAlign w:val="center"/>
                </w:tcPr>
                <w:p>
                  <w:pPr>
                    <w:pStyle w:val="87"/>
                    <w:rPr>
                      <w:color w:val="auto"/>
                      <w:sz w:val="21"/>
                      <w:szCs w:val="21"/>
                    </w:rPr>
                  </w:pPr>
                  <w:r>
                    <w:rPr>
                      <w:rFonts w:hint="eastAsia" w:ascii="宋体" w:hAnsi="宋体" w:cs="宋体"/>
                      <w:color w:val="auto"/>
                      <w:sz w:val="21"/>
                      <w:szCs w:val="21"/>
                    </w:rPr>
                    <w:t>⑴</w:t>
                  </w:r>
                  <w:r>
                    <w:rPr>
                      <w:color w:val="auto"/>
                      <w:sz w:val="21"/>
                      <w:szCs w:val="21"/>
                    </w:rPr>
                    <w:t>监测项目：L</w:t>
                  </w:r>
                  <w:r>
                    <w:rPr>
                      <w:color w:val="auto"/>
                      <w:sz w:val="21"/>
                      <w:szCs w:val="21"/>
                      <w:vertAlign w:val="subscript"/>
                    </w:rPr>
                    <w:t>Aeq</w:t>
                  </w:r>
                </w:p>
                <w:p>
                  <w:pPr>
                    <w:pStyle w:val="87"/>
                    <w:rPr>
                      <w:color w:val="auto"/>
                      <w:sz w:val="21"/>
                      <w:szCs w:val="21"/>
                    </w:rPr>
                  </w:pPr>
                  <w:r>
                    <w:rPr>
                      <w:rFonts w:hint="eastAsia" w:ascii="宋体" w:hAnsi="宋体" w:cs="宋体"/>
                      <w:color w:val="auto"/>
                      <w:sz w:val="21"/>
                      <w:szCs w:val="21"/>
                    </w:rPr>
                    <w:t>⑵</w:t>
                  </w:r>
                  <w:r>
                    <w:rPr>
                      <w:color w:val="auto"/>
                      <w:sz w:val="21"/>
                      <w:szCs w:val="21"/>
                    </w:rPr>
                    <w:t>监测频次：1次/</w:t>
                  </w:r>
                  <w:r>
                    <w:rPr>
                      <w:rFonts w:hint="eastAsia"/>
                      <w:color w:val="auto"/>
                      <w:sz w:val="21"/>
                      <w:szCs w:val="21"/>
                    </w:rPr>
                    <w:t>季度</w:t>
                  </w:r>
                  <w:r>
                    <w:rPr>
                      <w:color w:val="auto"/>
                      <w:sz w:val="21"/>
                      <w:szCs w:val="21"/>
                    </w:rPr>
                    <w:t>，必要时随时监测</w:t>
                  </w:r>
                </w:p>
                <w:p>
                  <w:pPr>
                    <w:pStyle w:val="87"/>
                    <w:rPr>
                      <w:color w:val="auto"/>
                      <w:sz w:val="21"/>
                      <w:szCs w:val="21"/>
                    </w:rPr>
                  </w:pPr>
                  <w:r>
                    <w:rPr>
                      <w:rFonts w:hint="eastAsia" w:ascii="宋体" w:hAnsi="宋体" w:cs="宋体"/>
                      <w:color w:val="auto"/>
                      <w:sz w:val="21"/>
                      <w:szCs w:val="21"/>
                    </w:rPr>
                    <w:t>⑶</w:t>
                  </w:r>
                  <w:r>
                    <w:rPr>
                      <w:color w:val="auto"/>
                      <w:sz w:val="21"/>
                      <w:szCs w:val="21"/>
                    </w:rPr>
                    <w:t>监测历时：1天2次（昼、夜各一次）</w:t>
                  </w:r>
                </w:p>
                <w:p>
                  <w:pPr>
                    <w:pStyle w:val="87"/>
                    <w:rPr>
                      <w:rFonts w:ascii="Times New Roman" w:hAnsi="Times New Roman" w:eastAsia="宋体" w:cs="Times New Roman"/>
                      <w:color w:val="auto"/>
                      <w:kern w:val="2"/>
                      <w:sz w:val="21"/>
                      <w:szCs w:val="21"/>
                      <w:lang w:val="en-US" w:eastAsia="zh-CN" w:bidi="ar-SA"/>
                    </w:rPr>
                  </w:pPr>
                  <w:r>
                    <w:rPr>
                      <w:rFonts w:hint="eastAsia" w:ascii="宋体" w:hAnsi="宋体" w:cs="宋体"/>
                      <w:color w:val="auto"/>
                      <w:sz w:val="21"/>
                      <w:szCs w:val="21"/>
                    </w:rPr>
                    <w:t>⑷</w:t>
                  </w:r>
                  <w:r>
                    <w:rPr>
                      <w:color w:val="auto"/>
                      <w:sz w:val="21"/>
                      <w:szCs w:val="21"/>
                    </w:rPr>
                    <w:t>监测点位：施工场界</w:t>
                  </w:r>
                </w:p>
              </w:tc>
              <w:tc>
                <w:tcPr>
                  <w:tcW w:w="703" w:type="pct"/>
                  <w:tcBorders>
                    <w:top w:val="single" w:color="000000" w:sz="4" w:space="0"/>
                  </w:tcBorders>
                  <w:vAlign w:val="center"/>
                </w:tcPr>
                <w:p>
                  <w:pPr>
                    <w:jc w:val="center"/>
                    <w:rPr>
                      <w:sz w:val="21"/>
                      <w:szCs w:val="21"/>
                    </w:rPr>
                  </w:pPr>
                  <w:r>
                    <w:rPr>
                      <w:color w:val="auto"/>
                      <w:sz w:val="21"/>
                      <w:szCs w:val="21"/>
                    </w:rPr>
                    <w:t>有质资监测单位</w:t>
                  </w:r>
                </w:p>
              </w:tc>
              <w:tc>
                <w:tcPr>
                  <w:tcW w:w="821" w:type="pct"/>
                  <w:tcBorders>
                    <w:top w:val="single" w:color="000000" w:sz="4" w:space="0"/>
                  </w:tcBorders>
                  <w:vAlign w:val="center"/>
                </w:tcPr>
                <w:p>
                  <w:pPr>
                    <w:pStyle w:val="87"/>
                    <w:jc w:val="center"/>
                    <w:rPr>
                      <w:kern w:val="2"/>
                      <w:sz w:val="21"/>
                      <w:szCs w:val="21"/>
                    </w:rPr>
                  </w:pPr>
                  <w:r>
                    <w:rPr>
                      <w:color w:val="auto"/>
                      <w:sz w:val="21"/>
                      <w:szCs w:val="21"/>
                    </w:rPr>
                    <w:t>监理公司或业主</w:t>
                  </w:r>
                  <w:r>
                    <w:rPr>
                      <w:rFonts w:hint="eastAsia"/>
                      <w:color w:val="auto"/>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21" w:type="pct"/>
                  <w:shd w:val="clear" w:color="auto" w:fill="auto"/>
                  <w:vAlign w:val="center"/>
                </w:tcPr>
                <w:p>
                  <w:pPr>
                    <w:pStyle w:val="87"/>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运营期</w:t>
                  </w:r>
                </w:p>
              </w:tc>
              <w:tc>
                <w:tcPr>
                  <w:tcW w:w="540" w:type="pct"/>
                  <w:shd w:val="clear" w:color="auto" w:fill="auto"/>
                  <w:vAlign w:val="center"/>
                </w:tcPr>
                <w:p>
                  <w:pPr>
                    <w:pStyle w:val="87"/>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环境空气、噪声</w:t>
                  </w:r>
                </w:p>
              </w:tc>
              <w:tc>
                <w:tcPr>
                  <w:tcW w:w="3738" w:type="pct"/>
                  <w:gridSpan w:val="3"/>
                  <w:shd w:val="clear" w:color="auto" w:fill="auto"/>
                  <w:vAlign w:val="center"/>
                </w:tcPr>
                <w:p>
                  <w:pPr>
                    <w:pStyle w:val="26"/>
                    <w:spacing w:before="120"/>
                    <w:ind w:left="0" w:leftChars="0" w:firstLine="0" w:firstLineChars="0"/>
                    <w:jc w:val="center"/>
                    <w:rPr>
                      <w:kern w:val="2"/>
                      <w:sz w:val="21"/>
                      <w:szCs w:val="21"/>
                    </w:rPr>
                  </w:pPr>
                  <w:r>
                    <w:rPr>
                      <w:rFonts w:hint="eastAsia"/>
                      <w:color w:val="auto"/>
                      <w:sz w:val="21"/>
                      <w:szCs w:val="21"/>
                    </w:rPr>
                    <w:t>运营期的环境影响进行监测可由生态环境主管部门结合周边路网进行统一规划布点监测。</w:t>
                  </w:r>
                </w:p>
              </w:tc>
            </w:tr>
          </w:tbl>
          <w:p>
            <w:pPr>
              <w:adjustRightInd w:val="0"/>
              <w:snapToGrid w:val="0"/>
              <w:rPr>
                <w:rFonts w:hint="eastAsia" w:ascii="宋体" w:hAnsi="宋体" w:cs="宋体"/>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753" w:type="dxa"/>
            <w:vAlign w:val="center"/>
          </w:tcPr>
          <w:p>
            <w:pPr>
              <w:adjustRightInd w:val="0"/>
              <w:snapToGrid w:val="0"/>
              <w:jc w:val="center"/>
              <w:rPr>
                <w:rFonts w:hint="eastAsia" w:ascii="宋体" w:hAnsi="宋体" w:cs="宋体"/>
                <w:bCs/>
                <w:spacing w:val="10"/>
                <w:szCs w:val="21"/>
              </w:rPr>
            </w:pPr>
            <w:r>
              <w:rPr>
                <w:rFonts w:hint="eastAsia" w:ascii="宋体" w:hAnsi="宋体"/>
                <w:bCs/>
                <w:szCs w:val="21"/>
              </w:rPr>
              <w:t>其他</w:t>
            </w:r>
          </w:p>
        </w:tc>
        <w:tc>
          <w:tcPr>
            <w:tcW w:w="8457" w:type="dxa"/>
            <w:vAlign w:val="center"/>
          </w:tcPr>
          <w:p>
            <w:pPr>
              <w:adjustRightInd w:val="0"/>
              <w:snapToGrid w:val="0"/>
              <w:jc w:val="center"/>
              <w:rPr>
                <w:rFonts w:hint="eastAsia" w:ascii="宋体" w:hAnsi="宋体" w:cs="宋体"/>
                <w:bCs/>
                <w:spacing w:val="10"/>
                <w:szCs w:val="21"/>
              </w:rPr>
            </w:pPr>
            <w:r>
              <w:rPr>
                <w:rFonts w:hint="eastAsia" w:ascii="宋体" w:hAnsi="宋体" w:cs="宋体"/>
                <w:bCs/>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adjustRightInd w:val="0"/>
              <w:snapToGrid w:val="0"/>
              <w:jc w:val="center"/>
              <w:rPr>
                <w:rFonts w:hint="eastAsia" w:ascii="宋体" w:hAnsi="宋体" w:cs="宋体"/>
                <w:bCs/>
                <w:spacing w:val="10"/>
                <w:szCs w:val="21"/>
              </w:rPr>
            </w:pPr>
            <w:r>
              <w:rPr>
                <w:rFonts w:hint="eastAsia" w:ascii="宋体" w:hAnsi="宋体"/>
                <w:bCs/>
                <w:szCs w:val="21"/>
              </w:rPr>
              <w:t>环保投资</w:t>
            </w:r>
          </w:p>
        </w:tc>
        <w:tc>
          <w:tcPr>
            <w:tcW w:w="8457" w:type="dxa"/>
          </w:tcPr>
          <w:p>
            <w:pPr>
              <w:spacing w:line="360" w:lineRule="auto"/>
              <w:ind w:firstLine="420"/>
              <w:rPr>
                <w:b/>
                <w:bCs/>
                <w:sz w:val="24"/>
              </w:rPr>
            </w:pPr>
            <w:r>
              <w:rPr>
                <w:sz w:val="24"/>
              </w:rPr>
              <w:t>建设项目估算总</w:t>
            </w:r>
            <w:r>
              <w:rPr>
                <w:color w:val="auto"/>
                <w:sz w:val="24"/>
                <w:szCs w:val="24"/>
              </w:rPr>
              <w:t>投资为11417.04万元，环保投资</w:t>
            </w:r>
            <w:r>
              <w:rPr>
                <w:rFonts w:hint="eastAsia"/>
                <w:color w:val="auto"/>
                <w:sz w:val="24"/>
                <w:szCs w:val="24"/>
                <w:lang w:val="en-US" w:eastAsia="zh-CN"/>
              </w:rPr>
              <w:t>337.5</w:t>
            </w:r>
            <w:r>
              <w:rPr>
                <w:color w:val="auto"/>
                <w:sz w:val="24"/>
                <w:szCs w:val="24"/>
              </w:rPr>
              <w:t>万元，占总投资的</w:t>
            </w:r>
            <w:r>
              <w:rPr>
                <w:color w:val="auto"/>
                <w:sz w:val="24"/>
                <w:szCs w:val="24"/>
              </w:rPr>
              <w:fldChar w:fldCharType="begin"/>
            </w:r>
            <w:r>
              <w:rPr>
                <w:color w:val="auto"/>
                <w:sz w:val="24"/>
                <w:szCs w:val="24"/>
              </w:rPr>
              <w:instrText xml:space="preserve"> = 337.5/11417.04*100 \# "0.00" \* MERGEFORMAT </w:instrText>
            </w:r>
            <w:r>
              <w:rPr>
                <w:color w:val="auto"/>
                <w:sz w:val="24"/>
                <w:szCs w:val="24"/>
              </w:rPr>
              <w:fldChar w:fldCharType="separate"/>
            </w:r>
            <w:r>
              <w:t>2.96</w:t>
            </w:r>
            <w:r>
              <w:rPr>
                <w:color w:val="auto"/>
                <w:sz w:val="24"/>
                <w:szCs w:val="24"/>
              </w:rPr>
              <w:fldChar w:fldCharType="end"/>
            </w:r>
            <w:r>
              <w:rPr>
                <w:color w:val="auto"/>
                <w:sz w:val="24"/>
                <w:szCs w:val="24"/>
              </w:rPr>
              <w:t>%。本工程环保投资明细见表5</w:t>
            </w:r>
            <w:r>
              <w:rPr>
                <w:rFonts w:hint="eastAsia"/>
                <w:color w:val="auto"/>
                <w:sz w:val="24"/>
                <w:szCs w:val="24"/>
                <w:lang w:val="en-US" w:eastAsia="zh-CN"/>
              </w:rPr>
              <w:t>.3</w:t>
            </w:r>
            <w:r>
              <w:rPr>
                <w:color w:val="auto"/>
                <w:sz w:val="24"/>
                <w:szCs w:val="24"/>
              </w:rPr>
              <w:t>-</w:t>
            </w:r>
            <w:r>
              <w:rPr>
                <w:rFonts w:hint="eastAsia"/>
                <w:color w:val="auto"/>
                <w:sz w:val="24"/>
                <w:szCs w:val="24"/>
                <w:lang w:val="en-US" w:eastAsia="zh-CN"/>
              </w:rPr>
              <w:t>1</w:t>
            </w:r>
            <w:r>
              <w:rPr>
                <w:color w:val="auto"/>
                <w:sz w:val="24"/>
                <w:szCs w:val="24"/>
              </w:rPr>
              <w:t>。</w:t>
            </w:r>
          </w:p>
          <w:p>
            <w:pPr>
              <w:keepNext/>
              <w:keepLines/>
              <w:numPr>
                <w:ilvl w:val="1"/>
                <w:numId w:val="0"/>
              </w:numPr>
              <w:tabs>
                <w:tab w:val="left" w:pos="756"/>
              </w:tabs>
              <w:spacing w:line="360" w:lineRule="auto"/>
              <w:jc w:val="center"/>
              <w:outlineLvl w:val="1"/>
              <w:rPr>
                <w:b/>
                <w:bCs/>
                <w:kern w:val="0"/>
              </w:rPr>
            </w:pPr>
            <w:r>
              <w:rPr>
                <w:b/>
                <w:spacing w:val="10"/>
                <w:sz w:val="24"/>
              </w:rPr>
              <w:t>表5</w:t>
            </w:r>
            <w:r>
              <w:rPr>
                <w:rFonts w:hint="eastAsia"/>
                <w:b/>
                <w:spacing w:val="10"/>
                <w:sz w:val="24"/>
                <w:lang w:val="en-US" w:eastAsia="zh-CN"/>
              </w:rPr>
              <w:t>.3</w:t>
            </w:r>
            <w:r>
              <w:rPr>
                <w:b/>
                <w:spacing w:val="10"/>
                <w:sz w:val="24"/>
              </w:rPr>
              <w:t>-</w:t>
            </w:r>
            <w:r>
              <w:rPr>
                <w:rFonts w:hint="eastAsia"/>
                <w:b/>
                <w:spacing w:val="10"/>
                <w:sz w:val="24"/>
                <w:lang w:val="en-US" w:eastAsia="zh-CN"/>
              </w:rPr>
              <w:t>1</w:t>
            </w:r>
            <w:r>
              <w:rPr>
                <w:rFonts w:hint="eastAsia"/>
                <w:b/>
                <w:spacing w:val="10"/>
                <w:sz w:val="24"/>
              </w:rPr>
              <w:t xml:space="preserve"> </w:t>
            </w:r>
            <w:r>
              <w:rPr>
                <w:rFonts w:hint="eastAsia"/>
                <w:b/>
                <w:bCs/>
                <w:kern w:val="0"/>
                <w:sz w:val="24"/>
                <w:szCs w:val="32"/>
              </w:rPr>
              <w:t>本工程环境保护措施投资估算一览表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673"/>
              <w:gridCol w:w="1518"/>
              <w:gridCol w:w="4426"/>
              <w:gridCol w:w="9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4" w:type="pct"/>
                  <w:vAlign w:val="center"/>
                </w:tcPr>
                <w:p>
                  <w:pPr>
                    <w:jc w:val="center"/>
                    <w:rPr>
                      <w:b/>
                      <w:bCs/>
                      <w:szCs w:val="21"/>
                    </w:rPr>
                  </w:pPr>
                  <w:r>
                    <w:rPr>
                      <w:b/>
                      <w:bCs/>
                      <w:szCs w:val="21"/>
                    </w:rPr>
                    <w:t>阶段</w:t>
                  </w:r>
                </w:p>
              </w:tc>
              <w:tc>
                <w:tcPr>
                  <w:tcW w:w="408" w:type="pct"/>
                  <w:vAlign w:val="center"/>
                </w:tcPr>
                <w:p>
                  <w:pPr>
                    <w:jc w:val="center"/>
                    <w:rPr>
                      <w:b/>
                      <w:bCs/>
                      <w:szCs w:val="21"/>
                    </w:rPr>
                  </w:pPr>
                  <w:r>
                    <w:rPr>
                      <w:b/>
                      <w:bCs/>
                      <w:szCs w:val="21"/>
                    </w:rPr>
                    <w:t>类别</w:t>
                  </w:r>
                </w:p>
              </w:tc>
              <w:tc>
                <w:tcPr>
                  <w:tcW w:w="921" w:type="pct"/>
                  <w:vAlign w:val="center"/>
                </w:tcPr>
                <w:p>
                  <w:pPr>
                    <w:jc w:val="center"/>
                    <w:rPr>
                      <w:b/>
                      <w:bCs/>
                      <w:szCs w:val="21"/>
                    </w:rPr>
                  </w:pPr>
                  <w:r>
                    <w:rPr>
                      <w:b/>
                      <w:bCs/>
                      <w:szCs w:val="21"/>
                    </w:rPr>
                    <w:t>污染源</w:t>
                  </w:r>
                </w:p>
              </w:tc>
              <w:tc>
                <w:tcPr>
                  <w:tcW w:w="2684" w:type="pct"/>
                  <w:vAlign w:val="center"/>
                </w:tcPr>
                <w:p>
                  <w:pPr>
                    <w:jc w:val="center"/>
                    <w:rPr>
                      <w:b/>
                      <w:bCs/>
                      <w:szCs w:val="21"/>
                    </w:rPr>
                  </w:pPr>
                  <w:r>
                    <w:rPr>
                      <w:b/>
                      <w:bCs/>
                      <w:szCs w:val="21"/>
                    </w:rPr>
                    <w:t>采取的环保措施及设施</w:t>
                  </w:r>
                </w:p>
              </w:tc>
              <w:tc>
                <w:tcPr>
                  <w:tcW w:w="581" w:type="pct"/>
                  <w:vAlign w:val="center"/>
                </w:tcPr>
                <w:p>
                  <w:pPr>
                    <w:jc w:val="center"/>
                    <w:rPr>
                      <w:b/>
                      <w:bCs/>
                      <w:szCs w:val="21"/>
                    </w:rPr>
                  </w:pPr>
                  <w:r>
                    <w:rPr>
                      <w:b/>
                      <w:bCs/>
                      <w:szCs w:val="21"/>
                    </w:rPr>
                    <w:t>环保投资</w:t>
                  </w:r>
                </w:p>
                <w:p>
                  <w:pPr>
                    <w:jc w:val="center"/>
                    <w:rPr>
                      <w:b/>
                      <w:bCs/>
                      <w:szCs w:val="21"/>
                    </w:rPr>
                  </w:pPr>
                  <w:r>
                    <w:rPr>
                      <w:b/>
                      <w:bCs/>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restart"/>
                  <w:vAlign w:val="center"/>
                </w:tcPr>
                <w:p>
                  <w:pPr>
                    <w:snapToGrid w:val="0"/>
                    <w:jc w:val="center"/>
                    <w:rPr>
                      <w:szCs w:val="22"/>
                    </w:rPr>
                  </w:pPr>
                  <w:r>
                    <w:rPr>
                      <w:szCs w:val="22"/>
                    </w:rPr>
                    <w:t>施</w:t>
                  </w:r>
                </w:p>
                <w:p>
                  <w:pPr>
                    <w:snapToGrid w:val="0"/>
                    <w:jc w:val="center"/>
                    <w:rPr>
                      <w:szCs w:val="22"/>
                    </w:rPr>
                  </w:pPr>
                  <w:r>
                    <w:rPr>
                      <w:szCs w:val="22"/>
                    </w:rPr>
                    <w:t>工</w:t>
                  </w:r>
                </w:p>
                <w:p>
                  <w:pPr>
                    <w:snapToGrid w:val="0"/>
                    <w:jc w:val="center"/>
                    <w:rPr>
                      <w:szCs w:val="22"/>
                    </w:rPr>
                  </w:pPr>
                  <w:r>
                    <w:rPr>
                      <w:szCs w:val="22"/>
                    </w:rPr>
                    <w:t>期</w:t>
                  </w:r>
                </w:p>
              </w:tc>
              <w:tc>
                <w:tcPr>
                  <w:tcW w:w="408" w:type="pct"/>
                  <w:vMerge w:val="restart"/>
                  <w:vAlign w:val="center"/>
                </w:tcPr>
                <w:p>
                  <w:pPr>
                    <w:snapToGrid w:val="0"/>
                    <w:jc w:val="center"/>
                    <w:rPr>
                      <w:szCs w:val="22"/>
                    </w:rPr>
                  </w:pPr>
                  <w:r>
                    <w:rPr>
                      <w:szCs w:val="22"/>
                    </w:rPr>
                    <w:t>废水</w:t>
                  </w:r>
                </w:p>
              </w:tc>
              <w:tc>
                <w:tcPr>
                  <w:tcW w:w="921" w:type="pct"/>
                  <w:vAlign w:val="center"/>
                </w:tcPr>
                <w:p>
                  <w:pPr>
                    <w:snapToGrid w:val="0"/>
                    <w:jc w:val="center"/>
                    <w:rPr>
                      <w:szCs w:val="22"/>
                    </w:rPr>
                  </w:pPr>
                  <w:r>
                    <w:rPr>
                      <w:szCs w:val="22"/>
                    </w:rPr>
                    <w:t>生活污水</w:t>
                  </w:r>
                </w:p>
              </w:tc>
              <w:tc>
                <w:tcPr>
                  <w:tcW w:w="2684" w:type="pct"/>
                  <w:vAlign w:val="center"/>
                </w:tcPr>
                <w:p>
                  <w:pPr>
                    <w:jc w:val="center"/>
                    <w:rPr>
                      <w:szCs w:val="22"/>
                    </w:rPr>
                  </w:pPr>
                  <w:r>
                    <w:rPr>
                      <w:szCs w:val="22"/>
                    </w:rPr>
                    <w:t>纳入当地现有的污水排放系统中</w:t>
                  </w:r>
                </w:p>
              </w:tc>
              <w:tc>
                <w:tcPr>
                  <w:tcW w:w="581" w:type="pct"/>
                  <w:vAlign w:val="center"/>
                </w:tcPr>
                <w:p>
                  <w:pPr>
                    <w:snapToGrid w:val="0"/>
                    <w:jc w:val="center"/>
                    <w:rPr>
                      <w:szCs w:val="22"/>
                    </w:rPr>
                  </w:pPr>
                  <w:r>
                    <w:rPr>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napToGrid w:val="0"/>
                    <w:jc w:val="center"/>
                    <w:rPr>
                      <w:szCs w:val="22"/>
                    </w:rPr>
                  </w:pPr>
                </w:p>
              </w:tc>
              <w:tc>
                <w:tcPr>
                  <w:tcW w:w="408" w:type="pct"/>
                  <w:vMerge w:val="continue"/>
                  <w:vAlign w:val="center"/>
                </w:tcPr>
                <w:p>
                  <w:pPr>
                    <w:snapToGrid w:val="0"/>
                    <w:jc w:val="center"/>
                    <w:rPr>
                      <w:szCs w:val="22"/>
                    </w:rPr>
                  </w:pPr>
                </w:p>
              </w:tc>
              <w:tc>
                <w:tcPr>
                  <w:tcW w:w="921" w:type="pct"/>
                  <w:vAlign w:val="center"/>
                </w:tcPr>
                <w:p>
                  <w:pPr>
                    <w:snapToGrid w:val="0"/>
                    <w:jc w:val="center"/>
                    <w:rPr>
                      <w:szCs w:val="22"/>
                    </w:rPr>
                  </w:pPr>
                  <w:r>
                    <w:rPr>
                      <w:szCs w:val="22"/>
                    </w:rPr>
                    <w:t>生产废水</w:t>
                  </w:r>
                </w:p>
              </w:tc>
              <w:tc>
                <w:tcPr>
                  <w:tcW w:w="2684" w:type="pct"/>
                  <w:vAlign w:val="center"/>
                </w:tcPr>
                <w:p>
                  <w:pPr>
                    <w:jc w:val="center"/>
                    <w:rPr>
                      <w:szCs w:val="22"/>
                    </w:rPr>
                  </w:pPr>
                  <w:r>
                    <w:rPr>
                      <w:szCs w:val="22"/>
                    </w:rPr>
                    <w:t>排水沟、隔油沉淀池</w:t>
                  </w:r>
                </w:p>
              </w:tc>
              <w:tc>
                <w:tcPr>
                  <w:tcW w:w="581" w:type="pct"/>
                  <w:vAlign w:val="center"/>
                </w:tcPr>
                <w:p>
                  <w:pPr>
                    <w:snapToGrid w:val="0"/>
                    <w:jc w:val="center"/>
                    <w:rPr>
                      <w:rFonts w:hint="eastAsia"/>
                      <w:szCs w:val="22"/>
                    </w:rPr>
                  </w:pPr>
                  <w:r>
                    <w:rPr>
                      <w:rFonts w:hint="eastAsia"/>
                      <w:szCs w:val="22"/>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napToGrid w:val="0"/>
                    <w:jc w:val="center"/>
                    <w:rPr>
                      <w:szCs w:val="22"/>
                    </w:rPr>
                  </w:pPr>
                </w:p>
              </w:tc>
              <w:tc>
                <w:tcPr>
                  <w:tcW w:w="408" w:type="pct"/>
                  <w:vMerge w:val="restart"/>
                  <w:vAlign w:val="center"/>
                </w:tcPr>
                <w:p>
                  <w:pPr>
                    <w:snapToGrid w:val="0"/>
                    <w:jc w:val="center"/>
                    <w:rPr>
                      <w:szCs w:val="22"/>
                    </w:rPr>
                  </w:pPr>
                  <w:r>
                    <w:rPr>
                      <w:szCs w:val="22"/>
                    </w:rPr>
                    <w:t>废气</w:t>
                  </w:r>
                </w:p>
              </w:tc>
              <w:tc>
                <w:tcPr>
                  <w:tcW w:w="921" w:type="pct"/>
                  <w:vAlign w:val="center"/>
                </w:tcPr>
                <w:p>
                  <w:pPr>
                    <w:snapToGrid w:val="0"/>
                    <w:jc w:val="center"/>
                    <w:rPr>
                      <w:szCs w:val="22"/>
                    </w:rPr>
                  </w:pPr>
                  <w:r>
                    <w:rPr>
                      <w:szCs w:val="22"/>
                    </w:rPr>
                    <w:t>施工场地粉尘</w:t>
                  </w:r>
                </w:p>
              </w:tc>
              <w:tc>
                <w:tcPr>
                  <w:tcW w:w="2684" w:type="pct"/>
                  <w:vAlign w:val="center"/>
                </w:tcPr>
                <w:p>
                  <w:pPr>
                    <w:snapToGrid w:val="0"/>
                    <w:jc w:val="center"/>
                    <w:rPr>
                      <w:szCs w:val="22"/>
                    </w:rPr>
                  </w:pPr>
                  <w:r>
                    <w:rPr>
                      <w:szCs w:val="22"/>
                    </w:rPr>
                    <w:t>洒水降尘</w:t>
                  </w:r>
                </w:p>
              </w:tc>
              <w:tc>
                <w:tcPr>
                  <w:tcW w:w="581" w:type="pct"/>
                  <w:vAlign w:val="center"/>
                </w:tcPr>
                <w:p>
                  <w:pPr>
                    <w:snapToGrid w:val="0"/>
                    <w:jc w:val="center"/>
                    <w:rPr>
                      <w:szCs w:val="22"/>
                    </w:rPr>
                  </w:pPr>
                  <w:r>
                    <w:rPr>
                      <w:rFonts w:hint="eastAsia"/>
                      <w:szCs w:val="22"/>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napToGrid w:val="0"/>
                    <w:jc w:val="center"/>
                    <w:rPr>
                      <w:szCs w:val="22"/>
                    </w:rPr>
                  </w:pPr>
                </w:p>
              </w:tc>
              <w:tc>
                <w:tcPr>
                  <w:tcW w:w="408" w:type="pct"/>
                  <w:vMerge w:val="continue"/>
                  <w:vAlign w:val="center"/>
                </w:tcPr>
                <w:p>
                  <w:pPr>
                    <w:snapToGrid w:val="0"/>
                    <w:jc w:val="center"/>
                    <w:rPr>
                      <w:szCs w:val="22"/>
                    </w:rPr>
                  </w:pPr>
                </w:p>
              </w:tc>
              <w:tc>
                <w:tcPr>
                  <w:tcW w:w="921" w:type="pct"/>
                  <w:vAlign w:val="center"/>
                </w:tcPr>
                <w:p>
                  <w:pPr>
                    <w:snapToGrid w:val="0"/>
                    <w:jc w:val="center"/>
                    <w:rPr>
                      <w:szCs w:val="22"/>
                    </w:rPr>
                  </w:pPr>
                  <w:r>
                    <w:rPr>
                      <w:szCs w:val="22"/>
                    </w:rPr>
                    <w:t>物料扬尘</w:t>
                  </w:r>
                </w:p>
              </w:tc>
              <w:tc>
                <w:tcPr>
                  <w:tcW w:w="2684" w:type="pct"/>
                  <w:vAlign w:val="center"/>
                </w:tcPr>
                <w:p>
                  <w:pPr>
                    <w:snapToGrid w:val="0"/>
                    <w:jc w:val="center"/>
                    <w:rPr>
                      <w:szCs w:val="22"/>
                    </w:rPr>
                  </w:pPr>
                  <w:r>
                    <w:rPr>
                      <w:szCs w:val="22"/>
                    </w:rPr>
                    <w:t>设置高度大于2.5m的屏障，设置喷雾除尘设施</w:t>
                  </w:r>
                </w:p>
              </w:tc>
              <w:tc>
                <w:tcPr>
                  <w:tcW w:w="581" w:type="pct"/>
                  <w:vAlign w:val="center"/>
                </w:tcPr>
                <w:p>
                  <w:pPr>
                    <w:snapToGrid w:val="0"/>
                    <w:jc w:val="center"/>
                    <w:rPr>
                      <w:szCs w:val="22"/>
                    </w:rPr>
                  </w:pPr>
                  <w:r>
                    <w:rPr>
                      <w:rFonts w:hint="eastAsia"/>
                      <w:szCs w:val="22"/>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napToGrid w:val="0"/>
                    <w:jc w:val="center"/>
                    <w:rPr>
                      <w:szCs w:val="22"/>
                    </w:rPr>
                  </w:pPr>
                </w:p>
              </w:tc>
              <w:tc>
                <w:tcPr>
                  <w:tcW w:w="408" w:type="pct"/>
                  <w:vMerge w:val="continue"/>
                  <w:vAlign w:val="center"/>
                </w:tcPr>
                <w:p>
                  <w:pPr>
                    <w:snapToGrid w:val="0"/>
                    <w:jc w:val="center"/>
                    <w:rPr>
                      <w:szCs w:val="22"/>
                    </w:rPr>
                  </w:pPr>
                </w:p>
              </w:tc>
              <w:tc>
                <w:tcPr>
                  <w:tcW w:w="921" w:type="pct"/>
                  <w:vAlign w:val="center"/>
                </w:tcPr>
                <w:p>
                  <w:pPr>
                    <w:snapToGrid w:val="0"/>
                    <w:jc w:val="center"/>
                    <w:rPr>
                      <w:szCs w:val="22"/>
                    </w:rPr>
                  </w:pPr>
                  <w:r>
                    <w:rPr>
                      <w:szCs w:val="22"/>
                    </w:rPr>
                    <w:t>道路扬尘</w:t>
                  </w:r>
                </w:p>
              </w:tc>
              <w:tc>
                <w:tcPr>
                  <w:tcW w:w="2684" w:type="pct"/>
                  <w:vAlign w:val="center"/>
                </w:tcPr>
                <w:p>
                  <w:pPr>
                    <w:snapToGrid w:val="0"/>
                    <w:jc w:val="center"/>
                    <w:rPr>
                      <w:szCs w:val="22"/>
                    </w:rPr>
                  </w:pPr>
                  <w:r>
                    <w:rPr>
                      <w:szCs w:val="22"/>
                    </w:rPr>
                    <w:t>及时清扫施工便道，洒水降尘、对散装物料运输车辆进行加盖</w:t>
                  </w:r>
                </w:p>
              </w:tc>
              <w:tc>
                <w:tcPr>
                  <w:tcW w:w="581" w:type="pct"/>
                  <w:vAlign w:val="center"/>
                </w:tcPr>
                <w:p>
                  <w:pPr>
                    <w:snapToGrid w:val="0"/>
                    <w:jc w:val="center"/>
                    <w:rPr>
                      <w:rFonts w:hint="eastAsia"/>
                      <w:szCs w:val="22"/>
                    </w:rPr>
                  </w:pPr>
                  <w:r>
                    <w:rPr>
                      <w:rFonts w:hint="eastAsia"/>
                      <w:szCs w:val="22"/>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napToGrid w:val="0"/>
                    <w:jc w:val="center"/>
                    <w:rPr>
                      <w:szCs w:val="22"/>
                    </w:rPr>
                  </w:pPr>
                </w:p>
              </w:tc>
              <w:tc>
                <w:tcPr>
                  <w:tcW w:w="408" w:type="pct"/>
                  <w:vMerge w:val="continue"/>
                  <w:vAlign w:val="center"/>
                </w:tcPr>
                <w:p>
                  <w:pPr>
                    <w:snapToGrid w:val="0"/>
                    <w:jc w:val="center"/>
                    <w:rPr>
                      <w:szCs w:val="22"/>
                    </w:rPr>
                  </w:pPr>
                </w:p>
              </w:tc>
              <w:tc>
                <w:tcPr>
                  <w:tcW w:w="921" w:type="pct"/>
                  <w:vAlign w:val="center"/>
                </w:tcPr>
                <w:p>
                  <w:pPr>
                    <w:snapToGrid w:val="0"/>
                    <w:jc w:val="center"/>
                    <w:rPr>
                      <w:szCs w:val="22"/>
                    </w:rPr>
                  </w:pPr>
                  <w:r>
                    <w:rPr>
                      <w:szCs w:val="22"/>
                    </w:rPr>
                    <w:t>车辆及机械设备燃油废气</w:t>
                  </w:r>
                </w:p>
              </w:tc>
              <w:tc>
                <w:tcPr>
                  <w:tcW w:w="2684" w:type="pct"/>
                  <w:vAlign w:val="center"/>
                </w:tcPr>
                <w:p>
                  <w:pPr>
                    <w:snapToGrid w:val="0"/>
                    <w:jc w:val="center"/>
                    <w:rPr>
                      <w:szCs w:val="22"/>
                    </w:rPr>
                  </w:pPr>
                  <w:r>
                    <w:rPr>
                      <w:szCs w:val="22"/>
                    </w:rPr>
                    <w:t>使用符合国家规定的标准燃油</w:t>
                  </w:r>
                </w:p>
              </w:tc>
              <w:tc>
                <w:tcPr>
                  <w:tcW w:w="581" w:type="pct"/>
                  <w:vAlign w:val="center"/>
                </w:tcPr>
                <w:p>
                  <w:pPr>
                    <w:snapToGrid w:val="0"/>
                    <w:jc w:val="center"/>
                    <w:rPr>
                      <w:rFonts w:hint="eastAsia"/>
                      <w:szCs w:val="22"/>
                    </w:rPr>
                  </w:pPr>
                  <w:r>
                    <w:rPr>
                      <w:rFonts w:hint="eastAsia"/>
                      <w:szCs w:val="22"/>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pct"/>
                  <w:vMerge w:val="continue"/>
                  <w:vAlign w:val="center"/>
                </w:tcPr>
                <w:p>
                  <w:pPr>
                    <w:snapToGrid w:val="0"/>
                    <w:jc w:val="center"/>
                    <w:rPr>
                      <w:szCs w:val="22"/>
                    </w:rPr>
                  </w:pPr>
                </w:p>
              </w:tc>
              <w:tc>
                <w:tcPr>
                  <w:tcW w:w="408" w:type="pct"/>
                  <w:vAlign w:val="center"/>
                </w:tcPr>
                <w:p>
                  <w:pPr>
                    <w:snapToGrid w:val="0"/>
                    <w:jc w:val="center"/>
                    <w:rPr>
                      <w:szCs w:val="22"/>
                    </w:rPr>
                  </w:pPr>
                  <w:r>
                    <w:rPr>
                      <w:szCs w:val="22"/>
                    </w:rPr>
                    <w:t>噪声</w:t>
                  </w:r>
                </w:p>
              </w:tc>
              <w:tc>
                <w:tcPr>
                  <w:tcW w:w="921" w:type="pct"/>
                  <w:vAlign w:val="center"/>
                </w:tcPr>
                <w:p>
                  <w:pPr>
                    <w:snapToGrid w:val="0"/>
                    <w:jc w:val="center"/>
                    <w:rPr>
                      <w:szCs w:val="22"/>
                    </w:rPr>
                  </w:pPr>
                  <w:r>
                    <w:rPr>
                      <w:szCs w:val="22"/>
                    </w:rPr>
                    <w:t>各种施工机械及运输车辆</w:t>
                  </w:r>
                </w:p>
              </w:tc>
              <w:tc>
                <w:tcPr>
                  <w:tcW w:w="2684" w:type="pct"/>
                  <w:vAlign w:val="center"/>
                </w:tcPr>
                <w:p>
                  <w:pPr>
                    <w:snapToGrid w:val="0"/>
                    <w:jc w:val="center"/>
                    <w:rPr>
                      <w:szCs w:val="22"/>
                    </w:rPr>
                  </w:pPr>
                  <w:r>
                    <w:rPr>
                      <w:szCs w:val="22"/>
                    </w:rPr>
                    <w:t>选用低噪声的施工机械，对设备进行维护、保养</w:t>
                  </w:r>
                  <w:r>
                    <w:rPr>
                      <w:rFonts w:hint="eastAsia"/>
                      <w:color w:val="auto"/>
                      <w:szCs w:val="21"/>
                    </w:rPr>
                    <w:t>，隔声屏障</w:t>
                  </w:r>
                </w:p>
              </w:tc>
              <w:tc>
                <w:tcPr>
                  <w:tcW w:w="581" w:type="pct"/>
                  <w:vAlign w:val="center"/>
                </w:tcPr>
                <w:p>
                  <w:pPr>
                    <w:snapToGrid w:val="0"/>
                    <w:jc w:val="center"/>
                    <w:rPr>
                      <w:szCs w:val="22"/>
                    </w:rPr>
                  </w:pPr>
                  <w:r>
                    <w:rPr>
                      <w:rFonts w:hint="eastAsia"/>
                      <w:szCs w:val="22"/>
                      <w:lang w:val="en-US" w:eastAsia="zh-CN"/>
                    </w:rPr>
                    <w:t>3</w:t>
                  </w:r>
                  <w:r>
                    <w:rPr>
                      <w:rFonts w:hint="eastAsia"/>
                      <w:szCs w:val="22"/>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napToGrid w:val="0"/>
                    <w:jc w:val="center"/>
                    <w:rPr>
                      <w:szCs w:val="22"/>
                    </w:rPr>
                  </w:pPr>
                </w:p>
              </w:tc>
              <w:tc>
                <w:tcPr>
                  <w:tcW w:w="408" w:type="pct"/>
                  <w:vMerge w:val="restart"/>
                  <w:vAlign w:val="center"/>
                </w:tcPr>
                <w:p>
                  <w:pPr>
                    <w:snapToGrid w:val="0"/>
                    <w:jc w:val="center"/>
                    <w:rPr>
                      <w:szCs w:val="22"/>
                    </w:rPr>
                  </w:pPr>
                  <w:r>
                    <w:rPr>
                      <w:szCs w:val="22"/>
                    </w:rPr>
                    <w:t>固体废物</w:t>
                  </w:r>
                </w:p>
              </w:tc>
              <w:tc>
                <w:tcPr>
                  <w:tcW w:w="921" w:type="pct"/>
                  <w:vAlign w:val="center"/>
                </w:tcPr>
                <w:p>
                  <w:pPr>
                    <w:snapToGrid w:val="0"/>
                    <w:jc w:val="center"/>
                    <w:rPr>
                      <w:szCs w:val="22"/>
                    </w:rPr>
                  </w:pPr>
                  <w:r>
                    <w:rPr>
                      <w:szCs w:val="22"/>
                    </w:rPr>
                    <w:t>建筑垃圾</w:t>
                  </w:r>
                </w:p>
              </w:tc>
              <w:tc>
                <w:tcPr>
                  <w:tcW w:w="2684" w:type="pct"/>
                  <w:vAlign w:val="center"/>
                </w:tcPr>
                <w:p>
                  <w:pPr>
                    <w:snapToGrid w:val="0"/>
                    <w:jc w:val="center"/>
                    <w:rPr>
                      <w:szCs w:val="22"/>
                    </w:rPr>
                  </w:pPr>
                  <w:r>
                    <w:rPr>
                      <w:szCs w:val="22"/>
                    </w:rPr>
                    <w:t>回收利用，不能回收利用的运至指定地点堆放</w:t>
                  </w:r>
                </w:p>
              </w:tc>
              <w:tc>
                <w:tcPr>
                  <w:tcW w:w="581" w:type="pct"/>
                  <w:vAlign w:val="center"/>
                </w:tcPr>
                <w:p>
                  <w:pPr>
                    <w:snapToGrid w:val="0"/>
                    <w:jc w:val="center"/>
                    <w:rPr>
                      <w:rFonts w:hint="eastAsia"/>
                      <w:szCs w:val="22"/>
                    </w:rPr>
                  </w:pPr>
                  <w:r>
                    <w:rPr>
                      <w:rFonts w:hint="eastAsia"/>
                      <w:szCs w:val="22"/>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napToGrid w:val="0"/>
                    <w:jc w:val="center"/>
                    <w:rPr>
                      <w:szCs w:val="22"/>
                    </w:rPr>
                  </w:pPr>
                </w:p>
              </w:tc>
              <w:tc>
                <w:tcPr>
                  <w:tcW w:w="408" w:type="pct"/>
                  <w:vMerge w:val="continue"/>
                  <w:vAlign w:val="center"/>
                </w:tcPr>
                <w:p>
                  <w:pPr>
                    <w:snapToGrid w:val="0"/>
                    <w:jc w:val="center"/>
                    <w:rPr>
                      <w:szCs w:val="22"/>
                    </w:rPr>
                  </w:pPr>
                </w:p>
              </w:tc>
              <w:tc>
                <w:tcPr>
                  <w:tcW w:w="921" w:type="pct"/>
                  <w:vAlign w:val="center"/>
                </w:tcPr>
                <w:p>
                  <w:pPr>
                    <w:snapToGrid w:val="0"/>
                    <w:jc w:val="center"/>
                    <w:rPr>
                      <w:szCs w:val="22"/>
                    </w:rPr>
                  </w:pPr>
                  <w:r>
                    <w:rPr>
                      <w:szCs w:val="22"/>
                    </w:rPr>
                    <w:t>生活垃圾</w:t>
                  </w:r>
                </w:p>
              </w:tc>
              <w:tc>
                <w:tcPr>
                  <w:tcW w:w="2684" w:type="pct"/>
                  <w:vAlign w:val="center"/>
                </w:tcPr>
                <w:p>
                  <w:pPr>
                    <w:snapToGrid w:val="0"/>
                    <w:jc w:val="center"/>
                    <w:rPr>
                      <w:szCs w:val="22"/>
                    </w:rPr>
                  </w:pPr>
                  <w:r>
                    <w:rPr>
                      <w:szCs w:val="22"/>
                    </w:rPr>
                    <w:t>增设数个垃圾桶，委托环卫部门清运</w:t>
                  </w:r>
                </w:p>
              </w:tc>
              <w:tc>
                <w:tcPr>
                  <w:tcW w:w="581" w:type="pct"/>
                  <w:vAlign w:val="center"/>
                </w:tcPr>
                <w:p>
                  <w:pPr>
                    <w:snapToGrid w:val="0"/>
                    <w:jc w:val="center"/>
                    <w:rPr>
                      <w:rFonts w:hint="eastAsia"/>
                      <w:szCs w:val="22"/>
                    </w:rPr>
                  </w:pPr>
                  <w:r>
                    <w:rPr>
                      <w:rFonts w:hint="eastAsia"/>
                      <w:szCs w:val="22"/>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napToGrid w:val="0"/>
                    <w:jc w:val="center"/>
                    <w:rPr>
                      <w:szCs w:val="22"/>
                    </w:rPr>
                  </w:pPr>
                </w:p>
              </w:tc>
              <w:tc>
                <w:tcPr>
                  <w:tcW w:w="1329" w:type="pct"/>
                  <w:gridSpan w:val="2"/>
                  <w:vAlign w:val="center"/>
                </w:tcPr>
                <w:p>
                  <w:pPr>
                    <w:snapToGrid w:val="0"/>
                    <w:jc w:val="center"/>
                    <w:rPr>
                      <w:szCs w:val="22"/>
                    </w:rPr>
                  </w:pPr>
                  <w:r>
                    <w:rPr>
                      <w:szCs w:val="22"/>
                    </w:rPr>
                    <w:t>生态环境</w:t>
                  </w:r>
                </w:p>
              </w:tc>
              <w:tc>
                <w:tcPr>
                  <w:tcW w:w="2684" w:type="pct"/>
                  <w:vAlign w:val="center"/>
                </w:tcPr>
                <w:p>
                  <w:pPr>
                    <w:snapToGrid w:val="0"/>
                    <w:jc w:val="center"/>
                    <w:rPr>
                      <w:szCs w:val="22"/>
                    </w:rPr>
                  </w:pPr>
                  <w:r>
                    <w:rPr>
                      <w:szCs w:val="22"/>
                    </w:rPr>
                    <w:t>严格按照占地范围施工，加强宣传，尽可能避开暴雨季节施工</w:t>
                  </w:r>
                  <w:r>
                    <w:rPr>
                      <w:rFonts w:hint="eastAsia"/>
                      <w:szCs w:val="22"/>
                    </w:rPr>
                    <w:t>，绿化工程</w:t>
                  </w:r>
                </w:p>
              </w:tc>
              <w:tc>
                <w:tcPr>
                  <w:tcW w:w="581" w:type="pct"/>
                  <w:vAlign w:val="center"/>
                </w:tcPr>
                <w:p>
                  <w:pPr>
                    <w:snapToGrid w:val="0"/>
                    <w:jc w:val="center"/>
                    <w:rPr>
                      <w:rFonts w:hint="eastAsia"/>
                      <w:szCs w:val="22"/>
                    </w:rPr>
                  </w:pPr>
                  <w:r>
                    <w:rPr>
                      <w:rFonts w:hint="eastAsia"/>
                      <w:szCs w:val="22"/>
                    </w:rPr>
                    <w:t>142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4" w:type="pct"/>
                  <w:vMerge w:val="continue"/>
                  <w:vAlign w:val="center"/>
                </w:tcPr>
                <w:p>
                  <w:pPr>
                    <w:snapToGrid w:val="0"/>
                    <w:jc w:val="center"/>
                    <w:rPr>
                      <w:szCs w:val="22"/>
                    </w:rPr>
                  </w:pPr>
                </w:p>
              </w:tc>
              <w:tc>
                <w:tcPr>
                  <w:tcW w:w="1329" w:type="pct"/>
                  <w:gridSpan w:val="2"/>
                  <w:vAlign w:val="center"/>
                </w:tcPr>
                <w:p>
                  <w:pPr>
                    <w:snapToGrid w:val="0"/>
                    <w:jc w:val="center"/>
                    <w:rPr>
                      <w:szCs w:val="22"/>
                    </w:rPr>
                  </w:pPr>
                  <w:r>
                    <w:rPr>
                      <w:szCs w:val="22"/>
                    </w:rPr>
                    <w:t>水土保持</w:t>
                  </w:r>
                </w:p>
              </w:tc>
              <w:tc>
                <w:tcPr>
                  <w:tcW w:w="2684" w:type="pct"/>
                  <w:vAlign w:val="center"/>
                </w:tcPr>
                <w:p>
                  <w:pPr>
                    <w:snapToGrid w:val="0"/>
                    <w:jc w:val="center"/>
                    <w:rPr>
                      <w:szCs w:val="22"/>
                    </w:rPr>
                  </w:pPr>
                  <w:r>
                    <w:rPr>
                      <w:szCs w:val="22"/>
                    </w:rPr>
                    <w:t>主体工程区、施工场地设置排水沟与沉砂池</w:t>
                  </w:r>
                </w:p>
              </w:tc>
              <w:tc>
                <w:tcPr>
                  <w:tcW w:w="581" w:type="pct"/>
                  <w:vAlign w:val="center"/>
                </w:tcPr>
                <w:p>
                  <w:pPr>
                    <w:snapToGrid w:val="0"/>
                    <w:jc w:val="center"/>
                    <w:rPr>
                      <w:szCs w:val="22"/>
                    </w:rPr>
                  </w:pPr>
                  <w:r>
                    <w:rPr>
                      <w:rFonts w:hint="eastAsia"/>
                      <w:szCs w:val="22"/>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4" w:type="pct"/>
                  <w:vMerge w:val="restart"/>
                  <w:vAlign w:val="center"/>
                </w:tcPr>
                <w:p>
                  <w:pPr>
                    <w:jc w:val="center"/>
                    <w:rPr>
                      <w:szCs w:val="21"/>
                    </w:rPr>
                  </w:pPr>
                  <w:r>
                    <w:rPr>
                      <w:szCs w:val="21"/>
                    </w:rPr>
                    <w:t>营运期</w:t>
                  </w:r>
                </w:p>
              </w:tc>
              <w:tc>
                <w:tcPr>
                  <w:tcW w:w="408" w:type="pct"/>
                  <w:vAlign w:val="center"/>
                </w:tcPr>
                <w:p>
                  <w:pPr>
                    <w:snapToGrid w:val="0"/>
                    <w:jc w:val="center"/>
                  </w:pPr>
                  <w:r>
                    <w:t>废气</w:t>
                  </w:r>
                </w:p>
              </w:tc>
              <w:tc>
                <w:tcPr>
                  <w:tcW w:w="921" w:type="pct"/>
                  <w:vAlign w:val="center"/>
                </w:tcPr>
                <w:p>
                  <w:pPr>
                    <w:snapToGrid w:val="0"/>
                    <w:jc w:val="center"/>
                  </w:pPr>
                  <w:r>
                    <w:t>机动车尾气、路面扬尘</w:t>
                  </w:r>
                </w:p>
              </w:tc>
              <w:tc>
                <w:tcPr>
                  <w:tcW w:w="2684" w:type="pct"/>
                  <w:vAlign w:val="center"/>
                </w:tcPr>
                <w:p>
                  <w:pPr>
                    <w:snapToGrid w:val="0"/>
                    <w:jc w:val="center"/>
                  </w:pPr>
                  <w:r>
                    <w:rPr>
                      <w:rFonts w:hint="eastAsia"/>
                    </w:rPr>
                    <w:t>加强道路管理及路面养护</w:t>
                  </w:r>
                </w:p>
              </w:tc>
              <w:tc>
                <w:tcPr>
                  <w:tcW w:w="581" w:type="pct"/>
                  <w:vAlign w:val="center"/>
                </w:tcPr>
                <w:p>
                  <w:pPr>
                    <w:jc w:val="center"/>
                    <w:rPr>
                      <w:szCs w:val="21"/>
                    </w:rPr>
                  </w:pPr>
                  <w:r>
                    <w:rPr>
                      <w:rFonts w:hint="eastAsia"/>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4" w:type="pct"/>
                  <w:vMerge w:val="continue"/>
                  <w:vAlign w:val="center"/>
                </w:tcPr>
                <w:p>
                  <w:pPr>
                    <w:jc w:val="center"/>
                    <w:rPr>
                      <w:szCs w:val="21"/>
                    </w:rPr>
                  </w:pPr>
                </w:p>
              </w:tc>
              <w:tc>
                <w:tcPr>
                  <w:tcW w:w="408" w:type="pct"/>
                  <w:vAlign w:val="center"/>
                </w:tcPr>
                <w:p>
                  <w:pPr>
                    <w:jc w:val="center"/>
                    <w:rPr>
                      <w:szCs w:val="21"/>
                    </w:rPr>
                  </w:pPr>
                  <w:r>
                    <w:rPr>
                      <w:szCs w:val="21"/>
                    </w:rPr>
                    <w:t>噪声</w:t>
                  </w:r>
                </w:p>
              </w:tc>
              <w:tc>
                <w:tcPr>
                  <w:tcW w:w="921" w:type="pct"/>
                  <w:vAlign w:val="center"/>
                </w:tcPr>
                <w:p>
                  <w:pPr>
                    <w:jc w:val="center"/>
                    <w:rPr>
                      <w:szCs w:val="21"/>
                    </w:rPr>
                  </w:pPr>
                  <w:r>
                    <w:rPr>
                      <w:szCs w:val="21"/>
                    </w:rPr>
                    <w:t>车辆噪声</w:t>
                  </w:r>
                </w:p>
              </w:tc>
              <w:tc>
                <w:tcPr>
                  <w:tcW w:w="2684" w:type="pct"/>
                  <w:vAlign w:val="center"/>
                </w:tcPr>
                <w:p>
                  <w:pPr>
                    <w:jc w:val="center"/>
                    <w:rPr>
                      <w:szCs w:val="21"/>
                    </w:rPr>
                  </w:pPr>
                  <w:r>
                    <w:rPr>
                      <w:szCs w:val="21"/>
                    </w:rPr>
                    <w:t>加强交通管理和路面检查</w:t>
                  </w:r>
                </w:p>
              </w:tc>
              <w:tc>
                <w:tcPr>
                  <w:tcW w:w="581" w:type="pct"/>
                  <w:vAlign w:val="center"/>
                </w:tcPr>
                <w:p>
                  <w:pPr>
                    <w:jc w:val="center"/>
                    <w:rPr>
                      <w:szCs w:val="21"/>
                    </w:rPr>
                  </w:pPr>
                  <w:r>
                    <w:rPr>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04" w:type="pct"/>
                  <w:vMerge w:val="continue"/>
                  <w:vAlign w:val="center"/>
                </w:tcPr>
                <w:p>
                  <w:pPr>
                    <w:jc w:val="center"/>
                    <w:rPr>
                      <w:szCs w:val="21"/>
                    </w:rPr>
                  </w:pPr>
                </w:p>
              </w:tc>
              <w:tc>
                <w:tcPr>
                  <w:tcW w:w="1329" w:type="pct"/>
                  <w:gridSpan w:val="2"/>
                  <w:vAlign w:val="center"/>
                </w:tcPr>
                <w:p>
                  <w:pPr>
                    <w:snapToGrid w:val="0"/>
                    <w:jc w:val="center"/>
                  </w:pPr>
                  <w:r>
                    <w:rPr>
                      <w:rFonts w:hint="eastAsia"/>
                    </w:rPr>
                    <w:t>环境</w:t>
                  </w:r>
                  <w:r>
                    <w:t>风险</w:t>
                  </w:r>
                </w:p>
              </w:tc>
              <w:tc>
                <w:tcPr>
                  <w:tcW w:w="2684" w:type="pct"/>
                  <w:vAlign w:val="center"/>
                </w:tcPr>
                <w:p>
                  <w:pPr>
                    <w:snapToGrid w:val="0"/>
                    <w:jc w:val="center"/>
                  </w:pPr>
                  <w:r>
                    <w:rPr>
                      <w:color w:val="auto"/>
                      <w:szCs w:val="21"/>
                    </w:rPr>
                    <w:t>加强交通管制，对车辆进行限速行驶，设置桥梁标识、警示牌，加强道路安全教育；危险品运输风险管理措施</w:t>
                  </w:r>
                </w:p>
              </w:tc>
              <w:tc>
                <w:tcPr>
                  <w:tcW w:w="581" w:type="pct"/>
                  <w:vAlign w:val="center"/>
                </w:tcPr>
                <w:p>
                  <w:pPr>
                    <w:jc w:val="center"/>
                    <w:rPr>
                      <w:szCs w:val="21"/>
                    </w:rPr>
                  </w:pPr>
                  <w:r>
                    <w:rPr>
                      <w:rFonts w:hint="eastAsia"/>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418" w:type="pct"/>
                  <w:gridSpan w:val="4"/>
                  <w:vAlign w:val="center"/>
                </w:tcPr>
                <w:p>
                  <w:pPr>
                    <w:jc w:val="center"/>
                    <w:rPr>
                      <w:szCs w:val="21"/>
                    </w:rPr>
                  </w:pPr>
                  <w:r>
                    <w:rPr>
                      <w:szCs w:val="21"/>
                    </w:rPr>
                    <w:t>总计</w:t>
                  </w:r>
                </w:p>
              </w:tc>
              <w:tc>
                <w:tcPr>
                  <w:tcW w:w="581" w:type="pct"/>
                  <w:vAlign w:val="center"/>
                </w:tcPr>
                <w:p>
                  <w:pPr>
                    <w:jc w:val="center"/>
                    <w:rPr>
                      <w:szCs w:val="21"/>
                    </w:rPr>
                  </w:pPr>
                  <w:r>
                    <w:rPr>
                      <w:szCs w:val="21"/>
                    </w:rPr>
                    <w:fldChar w:fldCharType="begin"/>
                  </w:r>
                  <w:r>
                    <w:rPr>
                      <w:szCs w:val="21"/>
                    </w:rPr>
                    <w:instrText xml:space="preserve"> </w:instrText>
                  </w:r>
                  <w:r>
                    <w:rPr>
                      <w:rFonts w:hint="eastAsia"/>
                      <w:szCs w:val="21"/>
                    </w:rPr>
                    <w:instrText xml:space="preserve">=SUM(ABOVE)</w:instrText>
                  </w:r>
                  <w:r>
                    <w:rPr>
                      <w:szCs w:val="21"/>
                    </w:rPr>
                    <w:instrText xml:space="preserve"> </w:instrText>
                  </w:r>
                  <w:r>
                    <w:rPr>
                      <w:szCs w:val="21"/>
                    </w:rPr>
                    <w:fldChar w:fldCharType="separate"/>
                  </w:r>
                  <w:r>
                    <w:rPr>
                      <w:szCs w:val="21"/>
                    </w:rPr>
                    <w:t>3</w:t>
                  </w:r>
                  <w:r>
                    <w:rPr>
                      <w:rFonts w:hint="eastAsia"/>
                      <w:szCs w:val="21"/>
                      <w:lang w:val="en-US" w:eastAsia="zh-CN"/>
                    </w:rPr>
                    <w:t>3</w:t>
                  </w:r>
                  <w:r>
                    <w:rPr>
                      <w:szCs w:val="21"/>
                    </w:rPr>
                    <w:t>7.5</w:t>
                  </w:r>
                  <w:r>
                    <w:rPr>
                      <w:szCs w:val="21"/>
                    </w:rPr>
                    <w:fldChar w:fldCharType="end"/>
                  </w:r>
                </w:p>
              </w:tc>
            </w:tr>
          </w:tbl>
          <w:p>
            <w:pPr>
              <w:adjustRightInd w:val="0"/>
              <w:snapToGrid w:val="0"/>
              <w:rPr>
                <w:rFonts w:hint="eastAsia" w:ascii="宋体" w:hAnsi="宋体" w:cs="宋体"/>
                <w:bCs/>
                <w:spacing w:val="10"/>
                <w:szCs w:val="21"/>
              </w:rPr>
            </w:pPr>
          </w:p>
        </w:tc>
      </w:tr>
    </w:tbl>
    <w:p>
      <w:pPr>
        <w:sectPr>
          <w:pgSz w:w="11907" w:h="16840"/>
          <w:pgMar w:top="1417" w:right="1417" w:bottom="1417" w:left="1417" w:header="851" w:footer="1077" w:gutter="0"/>
          <w:cols w:space="720" w:num="1"/>
          <w:docGrid w:linePitch="312" w:charSpace="0"/>
        </w:sectPr>
      </w:pPr>
    </w:p>
    <w:p>
      <w:pPr>
        <w:pStyle w:val="22"/>
        <w:jc w:val="center"/>
        <w:outlineLvl w:val="0"/>
        <w:rPr>
          <w:rFonts w:hint="eastAsia" w:ascii="黑体" w:hAnsi="黑体" w:eastAsia="黑体"/>
          <w:b/>
          <w:bCs/>
          <w:snapToGrid w:val="0"/>
          <w:sz w:val="32"/>
          <w:szCs w:val="32"/>
        </w:rPr>
      </w:pPr>
      <w:bookmarkStart w:id="105" w:name="_Toc3595"/>
      <w:r>
        <w:rPr>
          <w:rFonts w:hint="eastAsia" w:ascii="黑体" w:hAnsi="黑体" w:eastAsia="黑体"/>
          <w:b/>
          <w:bCs/>
          <w:snapToGrid w:val="0"/>
          <w:sz w:val="32"/>
          <w:szCs w:val="32"/>
        </w:rPr>
        <w:t>六、生态环境保护措施监督检查清单</w:t>
      </w:r>
      <w:bookmarkEnd w:id="105"/>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4327"/>
        <w:gridCol w:w="2318"/>
        <w:gridCol w:w="3762"/>
        <w:gridCol w:w="23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restart"/>
            <w:tcBorders>
              <w:tl2br w:val="single" w:color="auto" w:sz="4" w:space="0"/>
            </w:tcBorders>
          </w:tcPr>
          <w:p>
            <w:pPr>
              <w:pStyle w:val="22"/>
              <w:adjustRightInd w:val="0"/>
              <w:snapToGrid w:val="0"/>
              <w:spacing w:before="72" w:beforeLines="30" w:beforeAutospacing="0" w:after="0" w:afterAutospacing="0"/>
              <w:jc w:val="center"/>
              <w:rPr>
                <w:rFonts w:hint="eastAsia" w:cs="宋体"/>
                <w:b/>
                <w:bCs/>
                <w:kern w:val="2"/>
                <w:sz w:val="21"/>
                <w:szCs w:val="21"/>
              </w:rPr>
            </w:pPr>
            <w:r>
              <w:rPr>
                <w:rFonts w:hint="eastAsia" w:cs="宋体"/>
                <w:b/>
                <w:bCs/>
                <w:kern w:val="2"/>
                <w:sz w:val="21"/>
                <w:szCs w:val="21"/>
              </w:rPr>
              <w:t xml:space="preserve"> 要素</w:t>
            </w:r>
          </w:p>
          <w:p>
            <w:pPr>
              <w:pStyle w:val="22"/>
              <w:adjustRightInd w:val="0"/>
              <w:snapToGrid w:val="0"/>
              <w:spacing w:before="72" w:beforeLines="30" w:beforeAutospacing="0" w:after="0" w:afterAutospacing="0"/>
              <w:jc w:val="center"/>
              <w:rPr>
                <w:rFonts w:hint="eastAsia" w:cs="宋体"/>
                <w:b/>
                <w:bCs/>
                <w:kern w:val="2"/>
                <w:sz w:val="21"/>
                <w:szCs w:val="21"/>
              </w:rPr>
            </w:pPr>
            <w:r>
              <w:rPr>
                <w:rFonts w:hint="eastAsia" w:cs="宋体"/>
                <w:b/>
                <w:bCs/>
                <w:kern w:val="2"/>
                <w:sz w:val="21"/>
                <w:szCs w:val="21"/>
              </w:rPr>
              <w:t xml:space="preserve">       </w:t>
            </w:r>
          </w:p>
          <w:p>
            <w:pPr>
              <w:pStyle w:val="22"/>
              <w:adjustRightInd w:val="0"/>
              <w:snapToGrid w:val="0"/>
              <w:spacing w:before="0" w:beforeAutospacing="0" w:after="0" w:afterAutospacing="0" w:line="14" w:lineRule="auto"/>
              <w:rPr>
                <w:rFonts w:hint="eastAsia" w:cs="宋体"/>
                <w:b/>
                <w:bCs/>
                <w:kern w:val="2"/>
                <w:sz w:val="135"/>
                <w:szCs w:val="21"/>
              </w:rPr>
            </w:pPr>
            <w:r>
              <w:rPr>
                <w:rFonts w:hint="eastAsia" w:cs="宋体"/>
                <w:b/>
                <w:bCs/>
                <w:kern w:val="2"/>
                <w:sz w:val="21"/>
                <w:szCs w:val="21"/>
              </w:rPr>
              <w:t xml:space="preserve"> </w:t>
            </w:r>
            <w:r>
              <w:rPr>
                <w:rFonts w:hint="eastAsia" w:cs="宋体"/>
                <w:b/>
                <w:bCs/>
                <w:kern w:val="2"/>
                <w:sz w:val="135"/>
                <w:szCs w:val="21"/>
              </w:rPr>
              <w:t xml:space="preserve"> </w:t>
            </w:r>
          </w:p>
          <w:p>
            <w:pPr>
              <w:pStyle w:val="22"/>
              <w:adjustRightInd w:val="0"/>
              <w:snapToGrid w:val="0"/>
              <w:spacing w:before="0" w:beforeAutospacing="0" w:after="0" w:afterAutospacing="0"/>
              <w:outlineLvl w:val="0"/>
              <w:rPr>
                <w:rFonts w:hint="eastAsia" w:cs="宋体"/>
                <w:b/>
                <w:bCs/>
                <w:kern w:val="2"/>
                <w:sz w:val="21"/>
                <w:szCs w:val="21"/>
              </w:rPr>
            </w:pPr>
            <w:bookmarkStart w:id="106" w:name="_Toc344"/>
            <w:r>
              <w:rPr>
                <w:rFonts w:hint="eastAsia" w:cs="宋体"/>
                <w:b/>
                <w:bCs/>
                <w:kern w:val="2"/>
                <w:sz w:val="21"/>
                <w:szCs w:val="21"/>
              </w:rPr>
              <w:t>内容</w:t>
            </w:r>
            <w:bookmarkEnd w:id="106"/>
          </w:p>
        </w:tc>
        <w:tc>
          <w:tcPr>
            <w:tcW w:w="2336" w:type="pct"/>
            <w:gridSpan w:val="2"/>
            <w:vAlign w:val="center"/>
          </w:tcPr>
          <w:p>
            <w:pPr>
              <w:pStyle w:val="22"/>
              <w:adjustRightInd w:val="0"/>
              <w:snapToGrid w:val="0"/>
              <w:spacing w:before="0" w:beforeAutospacing="0" w:after="0" w:afterAutospacing="0"/>
              <w:jc w:val="center"/>
              <w:outlineLvl w:val="0"/>
              <w:rPr>
                <w:rFonts w:hint="eastAsia" w:cs="宋体"/>
                <w:b/>
                <w:bCs/>
                <w:kern w:val="2"/>
                <w:sz w:val="21"/>
                <w:szCs w:val="21"/>
              </w:rPr>
            </w:pPr>
            <w:bookmarkStart w:id="107" w:name="_Toc20113"/>
            <w:r>
              <w:rPr>
                <w:rFonts w:hint="eastAsia" w:cs="宋体"/>
                <w:b/>
                <w:bCs/>
                <w:kern w:val="2"/>
                <w:sz w:val="21"/>
                <w:szCs w:val="21"/>
              </w:rPr>
              <w:t>施工期</w:t>
            </w:r>
            <w:bookmarkEnd w:id="107"/>
          </w:p>
        </w:tc>
        <w:tc>
          <w:tcPr>
            <w:tcW w:w="2144" w:type="pct"/>
            <w:gridSpan w:val="2"/>
            <w:vAlign w:val="center"/>
          </w:tcPr>
          <w:p>
            <w:pPr>
              <w:pStyle w:val="22"/>
              <w:adjustRightInd w:val="0"/>
              <w:snapToGrid w:val="0"/>
              <w:spacing w:before="0" w:beforeAutospacing="0" w:after="0" w:afterAutospacing="0"/>
              <w:jc w:val="center"/>
              <w:outlineLvl w:val="0"/>
              <w:rPr>
                <w:rFonts w:hint="eastAsia" w:cs="宋体"/>
                <w:b/>
                <w:bCs/>
                <w:kern w:val="2"/>
                <w:sz w:val="21"/>
                <w:szCs w:val="21"/>
              </w:rPr>
            </w:pPr>
            <w:bookmarkStart w:id="108" w:name="_Toc955"/>
            <w:r>
              <w:rPr>
                <w:rFonts w:hint="eastAsia" w:cs="宋体"/>
                <w:b/>
                <w:bCs/>
                <w:kern w:val="2"/>
                <w:sz w:val="21"/>
                <w:szCs w:val="21"/>
              </w:rPr>
              <w:t>运营期</w:t>
            </w:r>
            <w:bookmarkEnd w:id="10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tcPr>
          <w:p>
            <w:pPr>
              <w:pStyle w:val="22"/>
              <w:adjustRightInd w:val="0"/>
              <w:snapToGrid w:val="0"/>
              <w:spacing w:before="0" w:beforeAutospacing="0" w:after="0" w:afterAutospacing="0"/>
              <w:ind w:firstLine="840"/>
              <w:jc w:val="center"/>
              <w:rPr>
                <w:rFonts w:hint="eastAsia" w:cs="宋体"/>
                <w:b/>
                <w:bCs/>
                <w:kern w:val="2"/>
                <w:sz w:val="21"/>
                <w:szCs w:val="21"/>
              </w:rPr>
            </w:pPr>
          </w:p>
        </w:tc>
        <w:tc>
          <w:tcPr>
            <w:tcW w:w="1521" w:type="pct"/>
            <w:vAlign w:val="center"/>
          </w:tcPr>
          <w:p>
            <w:pPr>
              <w:pStyle w:val="22"/>
              <w:adjustRightInd w:val="0"/>
              <w:snapToGrid w:val="0"/>
              <w:spacing w:before="0" w:beforeAutospacing="0" w:after="0" w:afterAutospacing="0"/>
              <w:jc w:val="center"/>
              <w:outlineLvl w:val="0"/>
              <w:rPr>
                <w:rFonts w:hint="eastAsia" w:cs="宋体"/>
                <w:b/>
                <w:bCs/>
                <w:kern w:val="2"/>
                <w:sz w:val="21"/>
                <w:szCs w:val="21"/>
              </w:rPr>
            </w:pPr>
            <w:bookmarkStart w:id="109" w:name="_Toc5938"/>
            <w:r>
              <w:rPr>
                <w:rFonts w:hint="eastAsia" w:cs="宋体"/>
                <w:b/>
                <w:bCs/>
                <w:kern w:val="2"/>
                <w:sz w:val="21"/>
                <w:szCs w:val="21"/>
              </w:rPr>
              <w:t>环境保护措施</w:t>
            </w:r>
            <w:bookmarkEnd w:id="109"/>
          </w:p>
        </w:tc>
        <w:tc>
          <w:tcPr>
            <w:tcW w:w="815" w:type="pct"/>
            <w:vAlign w:val="center"/>
          </w:tcPr>
          <w:p>
            <w:pPr>
              <w:pStyle w:val="22"/>
              <w:adjustRightInd w:val="0"/>
              <w:snapToGrid w:val="0"/>
              <w:spacing w:before="0" w:beforeAutospacing="0" w:after="0" w:afterAutospacing="0"/>
              <w:jc w:val="center"/>
              <w:outlineLvl w:val="0"/>
              <w:rPr>
                <w:rFonts w:hint="eastAsia" w:cs="宋体"/>
                <w:b/>
                <w:bCs/>
                <w:kern w:val="2"/>
                <w:sz w:val="21"/>
                <w:szCs w:val="21"/>
              </w:rPr>
            </w:pPr>
            <w:bookmarkStart w:id="110" w:name="_Toc26525"/>
            <w:r>
              <w:rPr>
                <w:rFonts w:hint="eastAsia" w:cs="宋体"/>
                <w:b/>
                <w:bCs/>
                <w:kern w:val="2"/>
                <w:sz w:val="21"/>
                <w:szCs w:val="21"/>
              </w:rPr>
              <w:t>验收要求</w:t>
            </w:r>
            <w:bookmarkEnd w:id="110"/>
          </w:p>
        </w:tc>
        <w:tc>
          <w:tcPr>
            <w:tcW w:w="1322" w:type="pct"/>
            <w:vAlign w:val="center"/>
          </w:tcPr>
          <w:p>
            <w:pPr>
              <w:pStyle w:val="22"/>
              <w:adjustRightInd w:val="0"/>
              <w:snapToGrid w:val="0"/>
              <w:spacing w:before="0" w:beforeAutospacing="0" w:after="0" w:afterAutospacing="0"/>
              <w:jc w:val="center"/>
              <w:outlineLvl w:val="0"/>
              <w:rPr>
                <w:rFonts w:hint="eastAsia" w:cs="宋体"/>
                <w:b/>
                <w:bCs/>
                <w:kern w:val="2"/>
                <w:sz w:val="21"/>
                <w:szCs w:val="21"/>
              </w:rPr>
            </w:pPr>
            <w:bookmarkStart w:id="111" w:name="_Toc10970"/>
            <w:r>
              <w:rPr>
                <w:rFonts w:hint="eastAsia" w:cs="宋体"/>
                <w:b/>
                <w:bCs/>
                <w:kern w:val="2"/>
                <w:sz w:val="21"/>
                <w:szCs w:val="21"/>
              </w:rPr>
              <w:t>环境保护措施</w:t>
            </w:r>
            <w:bookmarkEnd w:id="111"/>
          </w:p>
        </w:tc>
        <w:tc>
          <w:tcPr>
            <w:tcW w:w="822" w:type="pct"/>
            <w:vAlign w:val="center"/>
          </w:tcPr>
          <w:p>
            <w:pPr>
              <w:pStyle w:val="22"/>
              <w:adjustRightInd w:val="0"/>
              <w:snapToGrid w:val="0"/>
              <w:spacing w:before="0" w:beforeAutospacing="0" w:after="0" w:afterAutospacing="0"/>
              <w:jc w:val="center"/>
              <w:outlineLvl w:val="0"/>
              <w:rPr>
                <w:rFonts w:hint="eastAsia" w:cs="宋体"/>
                <w:b/>
                <w:bCs/>
                <w:kern w:val="2"/>
                <w:sz w:val="21"/>
                <w:szCs w:val="21"/>
              </w:rPr>
            </w:pPr>
            <w:bookmarkStart w:id="112" w:name="_Toc1239"/>
            <w:r>
              <w:rPr>
                <w:rFonts w:hint="eastAsia" w:cs="宋体"/>
                <w:b/>
                <w:bCs/>
                <w:kern w:val="2"/>
                <w:sz w:val="21"/>
                <w:szCs w:val="21"/>
              </w:rPr>
              <w:t>验收要求</w:t>
            </w:r>
            <w:bookmarkEnd w:id="11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陆生生态</w:t>
            </w:r>
          </w:p>
        </w:tc>
        <w:tc>
          <w:tcPr>
            <w:tcW w:w="1521" w:type="pct"/>
            <w:vAlign w:val="center"/>
          </w:tcPr>
          <w:p>
            <w:pPr>
              <w:adjustRightInd w:val="0"/>
              <w:snapToGrid w:val="0"/>
              <w:jc w:val="left"/>
              <w:rPr>
                <w:bCs/>
                <w:szCs w:val="21"/>
              </w:rPr>
            </w:pPr>
            <w:r>
              <w:rPr>
                <w:szCs w:val="21"/>
                <w:lang w:val="zh-CN"/>
              </w:rPr>
              <w:t>①</w:t>
            </w:r>
            <w:r>
              <w:rPr>
                <w:bCs/>
                <w:szCs w:val="21"/>
              </w:rPr>
              <w:t>严格按照设计文件确定的征占土地范围进行施工。</w:t>
            </w:r>
          </w:p>
          <w:p>
            <w:pPr>
              <w:adjustRightInd w:val="0"/>
              <w:snapToGrid w:val="0"/>
              <w:jc w:val="left"/>
              <w:rPr>
                <w:bCs/>
                <w:szCs w:val="21"/>
              </w:rPr>
            </w:pPr>
            <w:r>
              <w:rPr>
                <w:szCs w:val="21"/>
                <w:lang w:val="zh-CN"/>
              </w:rPr>
              <w:t>②</w:t>
            </w:r>
            <w:r>
              <w:rPr>
                <w:bCs/>
                <w:szCs w:val="21"/>
              </w:rPr>
              <w:t>加强施工期管理，严格控制污染源，加强防范措施和应急准备，杜绝人为污染事故发生。</w:t>
            </w:r>
          </w:p>
          <w:p>
            <w:pPr>
              <w:adjustRightInd w:val="0"/>
              <w:snapToGrid w:val="0"/>
              <w:jc w:val="left"/>
              <w:rPr>
                <w:bCs/>
                <w:szCs w:val="21"/>
              </w:rPr>
            </w:pPr>
            <w:r>
              <w:rPr>
                <w:szCs w:val="21"/>
                <w:lang w:val="zh-CN"/>
              </w:rPr>
              <w:t>③</w:t>
            </w:r>
            <w:r>
              <w:rPr>
                <w:bCs/>
                <w:szCs w:val="21"/>
              </w:rPr>
              <w:t>合理安排施工工期，应尽可能避开暴雨季节施工，减少水土流失。</w:t>
            </w:r>
          </w:p>
          <w:p>
            <w:pPr>
              <w:adjustRightInd w:val="0"/>
              <w:snapToGrid w:val="0"/>
              <w:jc w:val="left"/>
              <w:rPr>
                <w:rFonts w:hint="eastAsia" w:ascii="宋体" w:hAnsi="宋体" w:cs="宋体"/>
                <w:szCs w:val="21"/>
              </w:rPr>
            </w:pPr>
            <w:r>
              <w:rPr>
                <w:szCs w:val="21"/>
              </w:rPr>
              <w:t>④</w:t>
            </w:r>
            <w:r>
              <w:rPr>
                <w:bCs/>
                <w:szCs w:val="21"/>
              </w:rPr>
              <w:t>根据各防治分区所列的水土保持措施进行汇总，在主体工程区、施工场地设置排水沟与沉砂池，减少水土流失对周边环境的影响。</w:t>
            </w:r>
          </w:p>
        </w:tc>
        <w:tc>
          <w:tcPr>
            <w:tcW w:w="815" w:type="pct"/>
            <w:vAlign w:val="center"/>
          </w:tcPr>
          <w:p>
            <w:pPr>
              <w:adjustRightInd w:val="0"/>
              <w:snapToGrid w:val="0"/>
              <w:rPr>
                <w:szCs w:val="21"/>
              </w:rPr>
            </w:pPr>
            <w:r>
              <w:rPr>
                <w:szCs w:val="21"/>
              </w:rPr>
              <w:t>①施工期临时工程设施占地恢复情况</w:t>
            </w:r>
            <w:r>
              <w:rPr>
                <w:rFonts w:hint="eastAsia"/>
                <w:szCs w:val="21"/>
              </w:rPr>
              <w:t>。</w:t>
            </w:r>
          </w:p>
          <w:p>
            <w:pPr>
              <w:adjustRightInd w:val="0"/>
              <w:snapToGrid w:val="0"/>
              <w:rPr>
                <w:rFonts w:hint="eastAsia" w:ascii="宋体" w:hAnsi="宋体" w:cs="宋体"/>
                <w:szCs w:val="21"/>
              </w:rPr>
            </w:pPr>
            <w:r>
              <w:rPr>
                <w:szCs w:val="21"/>
              </w:rPr>
              <w:t>②排水工程、防护工程及其效果，水土流失治理情况。</w:t>
            </w:r>
          </w:p>
        </w:tc>
        <w:tc>
          <w:tcPr>
            <w:tcW w:w="1322" w:type="pct"/>
            <w:vAlign w:val="center"/>
          </w:tcPr>
          <w:p>
            <w:pPr>
              <w:adjustRightInd w:val="0"/>
              <w:snapToGrid w:val="0"/>
              <w:rPr>
                <w:rFonts w:hint="eastAsia" w:ascii="宋体" w:hAnsi="宋体" w:cs="宋体"/>
                <w:szCs w:val="21"/>
              </w:rPr>
            </w:pPr>
            <w:r>
              <w:rPr>
                <w:szCs w:val="21"/>
              </w:rPr>
              <w:t>应按照城市道路绿化要求，施工后期或</w:t>
            </w:r>
            <w:r>
              <w:rPr>
                <w:rFonts w:hint="eastAsia"/>
                <w:szCs w:val="21"/>
              </w:rPr>
              <w:t>运营</w:t>
            </w:r>
            <w:r>
              <w:rPr>
                <w:szCs w:val="21"/>
              </w:rPr>
              <w:t>初期按道路绿化设计的要求，及时完成道路红线范围内可绿化的地方的植树种草工作，并在营运期进行维护。用材必须经过植物检疫、避免从区域以外引入病虫害而造成严重后果。如遇雨季，对出现水土流失的地方有及时处理，防止侵蚀的扩大。</w:t>
            </w:r>
          </w:p>
        </w:tc>
        <w:tc>
          <w:tcPr>
            <w:tcW w:w="822" w:type="pct"/>
            <w:vAlign w:val="center"/>
          </w:tcPr>
          <w:p>
            <w:pPr>
              <w:adjustRightInd w:val="0"/>
              <w:snapToGrid w:val="0"/>
              <w:rPr>
                <w:rFonts w:hint="eastAsia" w:ascii="宋体" w:hAnsi="宋体" w:cs="宋体"/>
                <w:szCs w:val="21"/>
              </w:rPr>
            </w:pPr>
            <w:r>
              <w:rPr>
                <w:szCs w:val="21"/>
              </w:rPr>
              <w:t>工程防护措施、植被恢复情况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水生生态</w:t>
            </w:r>
          </w:p>
        </w:tc>
        <w:tc>
          <w:tcPr>
            <w:tcW w:w="1521" w:type="pct"/>
            <w:vAlign w:val="center"/>
          </w:tcPr>
          <w:p>
            <w:pPr>
              <w:adjustRightInd w:val="0"/>
              <w:snapToGrid w:val="0"/>
              <w:rPr>
                <w:szCs w:val="21"/>
                <w:lang w:val="zh-CN"/>
              </w:rPr>
            </w:pPr>
            <w:r>
              <w:rPr>
                <w:szCs w:val="21"/>
                <w:lang w:val="zh-CN"/>
              </w:rPr>
              <w:t>①施工尽量选择在枯水季节施工。</w:t>
            </w:r>
          </w:p>
          <w:p>
            <w:pPr>
              <w:adjustRightInd w:val="0"/>
              <w:snapToGrid w:val="0"/>
              <w:rPr>
                <w:szCs w:val="21"/>
                <w:lang w:val="zh-CN"/>
              </w:rPr>
            </w:pPr>
            <w:r>
              <w:rPr>
                <w:szCs w:val="21"/>
                <w:lang w:val="zh-CN"/>
              </w:rPr>
              <w:t>②采用循环钻孔灌注桩施工方式，使泥浆循环使用。</w:t>
            </w:r>
          </w:p>
          <w:p>
            <w:pPr>
              <w:adjustRightInd w:val="0"/>
              <w:snapToGrid w:val="0"/>
              <w:rPr>
                <w:rFonts w:hint="eastAsia" w:ascii="宋体" w:hAnsi="宋体" w:cs="宋体"/>
                <w:szCs w:val="21"/>
              </w:rPr>
            </w:pPr>
            <w:r>
              <w:rPr>
                <w:szCs w:val="21"/>
                <w:lang w:val="zh-CN"/>
              </w:rPr>
              <w:t>③尽量采用先进的设备、机械施工，避免产生滴漏废油。</w:t>
            </w:r>
          </w:p>
        </w:tc>
        <w:tc>
          <w:tcPr>
            <w:tcW w:w="815" w:type="pct"/>
            <w:vAlign w:val="center"/>
          </w:tcPr>
          <w:p>
            <w:pPr>
              <w:adjustRightInd w:val="0"/>
              <w:snapToGrid w:val="0"/>
              <w:jc w:val="center"/>
              <w:rPr>
                <w:rFonts w:hint="eastAsia" w:ascii="宋体" w:hAnsi="宋体" w:cs="宋体"/>
                <w:szCs w:val="21"/>
              </w:rPr>
            </w:pPr>
            <w:r>
              <w:rPr>
                <w:szCs w:val="21"/>
              </w:rPr>
              <w:t>检查落实情况</w:t>
            </w:r>
          </w:p>
        </w:tc>
        <w:tc>
          <w:tcPr>
            <w:tcW w:w="13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8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1521" w:type="pct"/>
            <w:vAlign w:val="center"/>
          </w:tcPr>
          <w:p>
            <w:pPr>
              <w:rPr>
                <w:szCs w:val="21"/>
              </w:rPr>
            </w:pPr>
            <w:r>
              <w:rPr>
                <w:szCs w:val="21"/>
                <w:lang w:val="zh-CN"/>
              </w:rPr>
              <w:t>①</w:t>
            </w:r>
            <w:r>
              <w:rPr>
                <w:szCs w:val="21"/>
              </w:rPr>
              <w:t>工程承包合同中应明确筑路材料的运输过程中防止洒漏条款，堆放场地不得设在沿线灌溉水渠附近，以免随雨水冲入水体造成污染；施工场地应距离地表水体一定的安全距离；</w:t>
            </w:r>
          </w:p>
          <w:p>
            <w:pPr>
              <w:rPr>
                <w:szCs w:val="21"/>
              </w:rPr>
            </w:pPr>
            <w:r>
              <w:rPr>
                <w:rFonts w:hint="eastAsia"/>
                <w:szCs w:val="21"/>
              </w:rPr>
              <w:t>②</w:t>
            </w:r>
            <w:r>
              <w:rPr>
                <w:szCs w:val="21"/>
              </w:rPr>
              <w:t>施工生产废水统一收集，经</w:t>
            </w:r>
            <w:r>
              <w:rPr>
                <w:rFonts w:hint="eastAsia"/>
                <w:szCs w:val="21"/>
              </w:rPr>
              <w:t>沉淀池</w:t>
            </w:r>
            <w:r>
              <w:rPr>
                <w:szCs w:val="21"/>
              </w:rPr>
              <w:t>沉淀处理后回用于道路洒水降尘，不外排。不得直接排入沿线水体；</w:t>
            </w:r>
          </w:p>
          <w:p>
            <w:pPr>
              <w:adjustRightInd w:val="0"/>
              <w:snapToGrid w:val="0"/>
              <w:rPr>
                <w:rFonts w:hint="eastAsia" w:ascii="宋体" w:hAnsi="宋体" w:cs="宋体"/>
                <w:szCs w:val="21"/>
              </w:rPr>
            </w:pPr>
            <w:r>
              <w:rPr>
                <w:rFonts w:hint="eastAsia"/>
                <w:szCs w:val="21"/>
              </w:rPr>
              <w:t>③</w:t>
            </w:r>
            <w:r>
              <w:rPr>
                <w:szCs w:val="21"/>
              </w:rPr>
              <w:t>施工营地结合附近的村庄设置，生活污水依托于当地现有的污水处理方式，不单独外排。</w:t>
            </w:r>
          </w:p>
        </w:tc>
        <w:tc>
          <w:tcPr>
            <w:tcW w:w="815" w:type="pct"/>
            <w:vAlign w:val="center"/>
          </w:tcPr>
          <w:p>
            <w:pPr>
              <w:adjustRightInd w:val="0"/>
              <w:snapToGrid w:val="0"/>
              <w:jc w:val="center"/>
              <w:rPr>
                <w:rFonts w:hint="eastAsia" w:ascii="宋体" w:hAnsi="宋体" w:cs="宋体"/>
                <w:szCs w:val="21"/>
              </w:rPr>
            </w:pPr>
            <w:r>
              <w:rPr>
                <w:szCs w:val="21"/>
              </w:rPr>
              <w:t>检查落实情况</w:t>
            </w:r>
          </w:p>
        </w:tc>
        <w:tc>
          <w:tcPr>
            <w:tcW w:w="1322" w:type="pct"/>
            <w:vAlign w:val="center"/>
          </w:tcPr>
          <w:p>
            <w:pPr>
              <w:adjustRightInd w:val="0"/>
              <w:snapToGrid w:val="0"/>
              <w:rPr>
                <w:rFonts w:hint="eastAsia" w:ascii="宋体" w:hAnsi="宋体" w:cs="宋体"/>
                <w:szCs w:val="21"/>
              </w:rPr>
            </w:pPr>
            <w:r>
              <w:rPr>
                <w:szCs w:val="21"/>
              </w:rPr>
              <w:t>加强运营期道路的管理，及时清除运输车辆抛洒在路面的污染物，保持路面清洁，定期检查道路的排水系统，确保排水系统畅通。</w:t>
            </w:r>
          </w:p>
        </w:tc>
        <w:tc>
          <w:tcPr>
            <w:tcW w:w="822" w:type="pct"/>
            <w:vAlign w:val="center"/>
          </w:tcPr>
          <w:p>
            <w:pPr>
              <w:adjustRightInd w:val="0"/>
              <w:snapToGrid w:val="0"/>
              <w:rPr>
                <w:rFonts w:hint="eastAsia" w:ascii="宋体" w:hAnsi="宋体" w:cs="宋体"/>
                <w:szCs w:val="21"/>
              </w:rPr>
            </w:pPr>
            <w:r>
              <w:rPr>
                <w:rFonts w:hint="eastAsia"/>
                <w:szCs w:val="21"/>
              </w:rPr>
              <w:t>运营</w:t>
            </w:r>
            <w:r>
              <w:rPr>
                <w:szCs w:val="21"/>
              </w:rPr>
              <w:t>期采取的排水系统管理措施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地下水及土壤环境</w:t>
            </w:r>
          </w:p>
        </w:tc>
        <w:tc>
          <w:tcPr>
            <w:tcW w:w="1521" w:type="pct"/>
            <w:vAlign w:val="center"/>
          </w:tcPr>
          <w:p>
            <w:pPr>
              <w:adjustRightInd w:val="0"/>
              <w:snapToGrid w:val="0"/>
              <w:rPr>
                <w:rFonts w:hint="eastAsia" w:ascii="宋体" w:hAnsi="宋体" w:cs="宋体"/>
                <w:szCs w:val="21"/>
              </w:rPr>
            </w:pPr>
            <w:r>
              <w:rPr>
                <w:rFonts w:hint="eastAsia"/>
              </w:rPr>
              <w:t>防止施工现场水土流失</w:t>
            </w:r>
          </w:p>
        </w:tc>
        <w:tc>
          <w:tcPr>
            <w:tcW w:w="815" w:type="pct"/>
            <w:vAlign w:val="center"/>
          </w:tcPr>
          <w:p>
            <w:pPr>
              <w:adjustRightInd w:val="0"/>
              <w:snapToGrid w:val="0"/>
              <w:jc w:val="center"/>
              <w:rPr>
                <w:rFonts w:hint="eastAsia" w:ascii="宋体" w:hAnsi="宋体" w:cs="宋体"/>
                <w:szCs w:val="21"/>
              </w:rPr>
            </w:pPr>
            <w:r>
              <w:rPr>
                <w:szCs w:val="21"/>
              </w:rPr>
              <w:t>检查落实情况</w:t>
            </w:r>
          </w:p>
        </w:tc>
        <w:tc>
          <w:tcPr>
            <w:tcW w:w="13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8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声环境</w:t>
            </w:r>
          </w:p>
        </w:tc>
        <w:tc>
          <w:tcPr>
            <w:tcW w:w="1521" w:type="pct"/>
            <w:vAlign w:val="center"/>
          </w:tcPr>
          <w:p>
            <w:pPr>
              <w:adjustRightInd w:val="0"/>
              <w:snapToGrid w:val="0"/>
              <w:rPr>
                <w:szCs w:val="21"/>
              </w:rPr>
            </w:pPr>
            <w:r>
              <w:rPr>
                <w:szCs w:val="21"/>
              </w:rPr>
              <w:t>①强噪声施工机械（装载机、振捣器等）午间（12:00-14:30）、夜间（22:00-6:00）停止施工作业，如需连续作业应向当地环保部门申报。</w:t>
            </w:r>
          </w:p>
          <w:p>
            <w:pPr>
              <w:adjustRightInd w:val="0"/>
              <w:snapToGrid w:val="0"/>
              <w:rPr>
                <w:szCs w:val="21"/>
              </w:rPr>
            </w:pPr>
            <w:r>
              <w:rPr>
                <w:szCs w:val="21"/>
              </w:rPr>
              <w:t>②合理安排施工活动，尽量缩短工期，减少施工噪声影响时间。避免强噪声施工机械在同一区域内同时使用。</w:t>
            </w:r>
          </w:p>
          <w:p>
            <w:pPr>
              <w:adjustRightInd w:val="0"/>
              <w:snapToGrid w:val="0"/>
              <w:rPr>
                <w:rFonts w:hint="eastAsia" w:ascii="宋体" w:hAnsi="宋体" w:cs="宋体"/>
                <w:szCs w:val="21"/>
              </w:rPr>
            </w:pPr>
            <w:r>
              <w:rPr>
                <w:szCs w:val="21"/>
              </w:rPr>
              <w:t>③施工中注意选用效率高、噪声低的机械，并注意对机械的正确操作及维修，使之维持最佳工作状态和最低声级水平。</w:t>
            </w:r>
          </w:p>
        </w:tc>
        <w:tc>
          <w:tcPr>
            <w:tcW w:w="815" w:type="pct"/>
            <w:vAlign w:val="center"/>
          </w:tcPr>
          <w:p>
            <w:pPr>
              <w:adjustRightInd w:val="0"/>
              <w:snapToGrid w:val="0"/>
              <w:rPr>
                <w:rFonts w:hint="eastAsia" w:ascii="宋体" w:hAnsi="宋体" w:cs="宋体"/>
                <w:szCs w:val="21"/>
              </w:rPr>
            </w:pPr>
            <w:r>
              <w:rPr>
                <w:szCs w:val="21"/>
              </w:rPr>
              <w:t>达到</w:t>
            </w:r>
            <w:r>
              <w:t>《建筑施工场界环境噪声排放标准》（GB12523-2011)中的标准限值。</w:t>
            </w:r>
          </w:p>
        </w:tc>
        <w:tc>
          <w:tcPr>
            <w:tcW w:w="1322" w:type="pct"/>
            <w:vAlign w:val="center"/>
          </w:tcPr>
          <w:p>
            <w:pPr>
              <w:adjustRightInd w:val="0"/>
              <w:snapToGrid w:val="0"/>
              <w:rPr>
                <w:szCs w:val="21"/>
              </w:rPr>
            </w:pPr>
            <w:r>
              <w:rPr>
                <w:szCs w:val="21"/>
              </w:rPr>
              <w:t>①</w:t>
            </w:r>
            <w:r>
              <w:rPr>
                <w:rFonts w:hint="eastAsia"/>
                <w:szCs w:val="21"/>
              </w:rPr>
              <w:t>建议对道路两侧用地进行合理规划和布局，道路两侧交通噪声防护距离范围内避免规划、建设学校、幼儿园、医院等噪声敏感建筑物。</w:t>
            </w:r>
          </w:p>
          <w:p>
            <w:pPr>
              <w:adjustRightInd w:val="0"/>
              <w:snapToGrid w:val="0"/>
              <w:rPr>
                <w:rFonts w:hint="eastAsia" w:ascii="宋体" w:hAnsi="宋体" w:cs="宋体"/>
                <w:szCs w:val="21"/>
              </w:rPr>
            </w:pPr>
            <w:r>
              <w:rPr>
                <w:szCs w:val="21"/>
              </w:rPr>
              <w:t>②</w:t>
            </w:r>
            <w:r>
              <w:rPr>
                <w:rFonts w:hint="eastAsia"/>
                <w:szCs w:val="21"/>
              </w:rPr>
              <w:t>加强道路的日常维护、保养，发现路面破损及时修复，防止因路面破损引起车辆颠簸，造成噪声强度增加。</w:t>
            </w:r>
          </w:p>
        </w:tc>
        <w:tc>
          <w:tcPr>
            <w:tcW w:w="822" w:type="pct"/>
            <w:vAlign w:val="center"/>
          </w:tcPr>
          <w:p>
            <w:pPr>
              <w:adjustRightInd w:val="0"/>
              <w:snapToGrid w:val="0"/>
              <w:rPr>
                <w:rFonts w:hint="eastAsia" w:ascii="宋体" w:hAnsi="宋体" w:cs="宋体"/>
                <w:szCs w:val="21"/>
              </w:rPr>
            </w:pPr>
            <w:r>
              <w:rPr>
                <w:rFonts w:hint="eastAsia"/>
                <w:szCs w:val="21"/>
              </w:rPr>
              <w:t>道路两侧临街建筑层数高于三层（含三层）时，第一排建筑物面向道路一侧的声环境执行《声环境质量标准》（GB3096-2008）中4a类标准，其他区域执行《声环境质量标准》（GB3096-2008）中2类标准；当建筑层数低于三层(含开阔地)时，道路红线35m范围内的区域声环境执行《声环境质量标准》（GB3096-2008）中4a类标准，其他区域执行《声环境质量标准》（GB3096-2008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振动</w:t>
            </w:r>
          </w:p>
        </w:tc>
        <w:tc>
          <w:tcPr>
            <w:tcW w:w="1521"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815"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13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8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大气环境</w:t>
            </w:r>
          </w:p>
        </w:tc>
        <w:tc>
          <w:tcPr>
            <w:tcW w:w="1521" w:type="pct"/>
            <w:vAlign w:val="center"/>
          </w:tcPr>
          <w:p>
            <w:pPr>
              <w:adjustRightInd w:val="0"/>
              <w:snapToGrid w:val="0"/>
            </w:pPr>
            <w:r>
              <w:t>①建设单位在施工期间，应设置施工标志牌。</w:t>
            </w:r>
          </w:p>
          <w:p>
            <w:pPr>
              <w:adjustRightInd w:val="0"/>
              <w:snapToGrid w:val="0"/>
            </w:pPr>
            <w:r>
              <w:t>②对于裸露施工区地表压实处理并洒水。</w:t>
            </w:r>
          </w:p>
          <w:p>
            <w:pPr>
              <w:adjustRightInd w:val="0"/>
              <w:snapToGrid w:val="0"/>
            </w:pPr>
            <w:r>
              <w:t>③天气预报4级风以上天气应停止产生扬尘的施工作业，例如土方工程。</w:t>
            </w:r>
          </w:p>
          <w:p>
            <w:pPr>
              <w:adjustRightInd w:val="0"/>
              <w:snapToGrid w:val="0"/>
            </w:pPr>
            <w:r>
              <w:t>④项目施工场地应设置硬质围挡，以抑制扬尘飞散，围挡高度不低于2.5m。</w:t>
            </w:r>
          </w:p>
          <w:p>
            <w:pPr>
              <w:adjustRightInd w:val="0"/>
              <w:snapToGrid w:val="0"/>
            </w:pPr>
            <w:r>
              <w:rPr>
                <w:rFonts w:hint="eastAsia"/>
              </w:rPr>
              <w:t>⑤</w:t>
            </w:r>
            <w:r>
              <w:t>对于散装粉状建筑材料利用仓库或储藏罐等形式，避免作业起尘和风蚀起尘。</w:t>
            </w:r>
          </w:p>
          <w:p>
            <w:pPr>
              <w:adjustRightInd w:val="0"/>
              <w:snapToGrid w:val="0"/>
            </w:pPr>
            <w:r>
              <w:rPr>
                <w:rFonts w:hint="eastAsia"/>
              </w:rPr>
              <w:t>⑥</w:t>
            </w:r>
            <w:r>
              <w:t>运输车辆在施工场地的出入口内侧设置洗车平台，设施应符合下列要求：洗车平台四周应设置防溢座或其它防治设施，防止洗车废水溢出工地；设置废水收集坑及沉砂池。车辆驶离工地前，应在洗车平台冲洗轮胎及车身，其表面不得附着污泥。</w:t>
            </w:r>
          </w:p>
          <w:p>
            <w:pPr>
              <w:adjustRightInd w:val="0"/>
              <w:snapToGrid w:val="0"/>
              <w:rPr>
                <w:rFonts w:hint="eastAsia" w:ascii="宋体" w:hAnsi="宋体" w:cs="宋体"/>
                <w:szCs w:val="21"/>
              </w:rPr>
            </w:pPr>
            <w:r>
              <w:rPr>
                <w:rFonts w:hint="eastAsia"/>
              </w:rPr>
              <w:t>⑦</w:t>
            </w:r>
            <w:r>
              <w:t>所有施工车辆、机械的尾气应达到国家规定的尾气排放标准。</w:t>
            </w:r>
          </w:p>
        </w:tc>
        <w:tc>
          <w:tcPr>
            <w:tcW w:w="815" w:type="pct"/>
            <w:vAlign w:val="center"/>
          </w:tcPr>
          <w:p>
            <w:pPr>
              <w:adjustRightInd w:val="0"/>
              <w:snapToGrid w:val="0"/>
              <w:jc w:val="center"/>
              <w:rPr>
                <w:rStyle w:val="31"/>
                <w:kern w:val="0"/>
              </w:rPr>
            </w:pPr>
            <w:r>
              <w:rPr>
                <w:rStyle w:val="31"/>
                <w:rFonts w:hint="eastAsia"/>
                <w:kern w:val="0"/>
              </w:rPr>
              <w:t>达到《大气污染物综合排放标准》(GB1 6297-1996 )</w:t>
            </w:r>
          </w:p>
          <w:p>
            <w:pPr>
              <w:adjustRightInd w:val="0"/>
              <w:snapToGrid w:val="0"/>
              <w:rPr>
                <w:rFonts w:hint="eastAsia" w:ascii="宋体" w:hAnsi="宋体" w:cs="宋体"/>
                <w:szCs w:val="21"/>
              </w:rPr>
            </w:pPr>
            <w:r>
              <w:rPr>
                <w:rStyle w:val="31"/>
                <w:rFonts w:hint="eastAsia"/>
                <w:kern w:val="0"/>
              </w:rPr>
              <w:t>表2“无组织排放监控浓度限值”</w:t>
            </w:r>
          </w:p>
        </w:tc>
        <w:tc>
          <w:tcPr>
            <w:tcW w:w="1322" w:type="pct"/>
            <w:vAlign w:val="center"/>
          </w:tcPr>
          <w:p>
            <w:pPr>
              <w:adjustRightInd w:val="0"/>
              <w:snapToGrid w:val="0"/>
              <w:rPr>
                <w:szCs w:val="21"/>
              </w:rPr>
            </w:pPr>
            <w:r>
              <w:rPr>
                <w:szCs w:val="21"/>
              </w:rPr>
              <w:fldChar w:fldCharType="begin"/>
            </w:r>
            <w:r>
              <w:rPr>
                <w:szCs w:val="21"/>
              </w:rPr>
              <w:instrText xml:space="preserve"> = 1 \* GB3 </w:instrText>
            </w:r>
            <w:r>
              <w:rPr>
                <w:szCs w:val="21"/>
              </w:rPr>
              <w:fldChar w:fldCharType="separate"/>
            </w:r>
            <w:r>
              <w:rPr>
                <w:szCs w:val="21"/>
              </w:rPr>
              <w:t>①</w:t>
            </w:r>
            <w:r>
              <w:rPr>
                <w:szCs w:val="21"/>
              </w:rPr>
              <w:fldChar w:fldCharType="end"/>
            </w:r>
            <w:r>
              <w:rPr>
                <w:szCs w:val="21"/>
              </w:rPr>
              <w:t>工程沿线进行绿化，以充分利用植被对环境空气的净化功能</w:t>
            </w:r>
            <w:r>
              <w:rPr>
                <w:rFonts w:hint="eastAsia"/>
                <w:szCs w:val="21"/>
              </w:rPr>
              <w:t>。</w:t>
            </w:r>
          </w:p>
          <w:p>
            <w:pPr>
              <w:adjustRightInd w:val="0"/>
              <w:snapToGrid w:val="0"/>
              <w:rPr>
                <w:rFonts w:hint="eastAsia" w:ascii="宋体" w:hAnsi="宋体" w:cs="宋体"/>
                <w:szCs w:val="21"/>
              </w:rPr>
            </w:pPr>
            <w:r>
              <w:rPr>
                <w:szCs w:val="21"/>
              </w:rPr>
              <w:fldChar w:fldCharType="begin"/>
            </w:r>
            <w:r>
              <w:rPr>
                <w:szCs w:val="21"/>
              </w:rPr>
              <w:instrText xml:space="preserve"> = 2 \* GB3 </w:instrText>
            </w:r>
            <w:r>
              <w:rPr>
                <w:szCs w:val="21"/>
              </w:rPr>
              <w:fldChar w:fldCharType="separate"/>
            </w:r>
            <w:r>
              <w:rPr>
                <w:szCs w:val="21"/>
              </w:rPr>
              <w:t>②</w:t>
            </w:r>
            <w:r>
              <w:rPr>
                <w:szCs w:val="21"/>
              </w:rPr>
              <w:fldChar w:fldCharType="end"/>
            </w:r>
            <w:r>
              <w:rPr>
                <w:szCs w:val="21"/>
              </w:rPr>
              <w:t>路面应及时保洁、清扫、洒水，尽量减少车辆通过时产生的扬尘。</w:t>
            </w:r>
          </w:p>
        </w:tc>
        <w:tc>
          <w:tcPr>
            <w:tcW w:w="822" w:type="pct"/>
            <w:vAlign w:val="center"/>
          </w:tcPr>
          <w:p>
            <w:pPr>
              <w:adjustRightInd w:val="0"/>
              <w:snapToGrid w:val="0"/>
              <w:rPr>
                <w:rFonts w:hint="eastAsia" w:ascii="宋体" w:hAnsi="宋体" w:cs="宋体"/>
                <w:szCs w:val="21"/>
              </w:rPr>
            </w:pPr>
            <w:r>
              <w:rPr>
                <w:rFonts w:hint="eastAsia"/>
                <w:szCs w:val="21"/>
              </w:rPr>
              <w:t>检查落实情况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1521" w:type="pct"/>
            <w:vAlign w:val="center"/>
          </w:tcPr>
          <w:p>
            <w:pPr>
              <w:adjustRightInd w:val="0"/>
              <w:snapToGrid w:val="0"/>
              <w:rPr>
                <w:szCs w:val="21"/>
              </w:rPr>
            </w:pPr>
            <w:r>
              <w:rPr>
                <w:szCs w:val="21"/>
              </w:rPr>
              <w:fldChar w:fldCharType="begin"/>
            </w:r>
            <w:r>
              <w:rPr>
                <w:szCs w:val="21"/>
              </w:rPr>
              <w:instrText xml:space="preserve"> = 1 \* GB3 </w:instrText>
            </w:r>
            <w:r>
              <w:rPr>
                <w:szCs w:val="21"/>
              </w:rPr>
              <w:fldChar w:fldCharType="separate"/>
            </w:r>
            <w:r>
              <w:rPr>
                <w:szCs w:val="21"/>
              </w:rPr>
              <w:t>①</w:t>
            </w:r>
            <w:r>
              <w:rPr>
                <w:szCs w:val="21"/>
              </w:rPr>
              <w:fldChar w:fldCharType="end"/>
            </w:r>
            <w:r>
              <w:rPr>
                <w:szCs w:val="21"/>
              </w:rPr>
              <w:t>施工垃圾临时堆放时，要选择适当地点，堆放有序；施工人员的生活垃圾、施工物料垃圾等分类收集，废弃物应在施工中回收利用；其余垃圾分类集中堆放，联系环卫部门及时清运。</w:t>
            </w:r>
          </w:p>
          <w:p>
            <w:pPr>
              <w:adjustRightInd w:val="0"/>
              <w:snapToGrid w:val="0"/>
              <w:rPr>
                <w:rFonts w:hint="eastAsia" w:ascii="宋体" w:hAnsi="宋体" w:cs="宋体"/>
                <w:szCs w:val="21"/>
              </w:rPr>
            </w:pPr>
            <w:r>
              <w:rPr>
                <w:szCs w:val="21"/>
              </w:rPr>
              <w:t>②</w:t>
            </w:r>
            <w:r>
              <w:rPr>
                <w:rFonts w:hint="eastAsia"/>
                <w:szCs w:val="21"/>
              </w:rPr>
              <w:t>施工废物应全部得到妥善处置</w:t>
            </w:r>
            <w:r>
              <w:rPr>
                <w:szCs w:val="21"/>
              </w:rPr>
              <w:t>。</w:t>
            </w:r>
          </w:p>
        </w:tc>
        <w:tc>
          <w:tcPr>
            <w:tcW w:w="815" w:type="pct"/>
            <w:vAlign w:val="center"/>
          </w:tcPr>
          <w:p>
            <w:pPr>
              <w:adjustRightInd w:val="0"/>
              <w:snapToGrid w:val="0"/>
              <w:jc w:val="center"/>
              <w:rPr>
                <w:rFonts w:hint="eastAsia" w:ascii="宋体" w:hAnsi="宋体" w:cs="宋体"/>
                <w:szCs w:val="21"/>
              </w:rPr>
            </w:pPr>
            <w:r>
              <w:rPr>
                <w:szCs w:val="21"/>
              </w:rPr>
              <w:t>检查落实情况</w:t>
            </w:r>
          </w:p>
        </w:tc>
        <w:tc>
          <w:tcPr>
            <w:tcW w:w="1322" w:type="pct"/>
            <w:vAlign w:val="center"/>
          </w:tcPr>
          <w:p>
            <w:pPr>
              <w:jc w:val="center"/>
              <w:rPr>
                <w:szCs w:val="21"/>
              </w:rPr>
            </w:pPr>
            <w:r>
              <w:rPr>
                <w:rFonts w:hint="eastAsia"/>
                <w:szCs w:val="21"/>
              </w:rPr>
              <w:t>①严禁随意运输，随意倾倒建筑垃圾，集中统一处置</w:t>
            </w:r>
            <w:r>
              <w:rPr>
                <w:szCs w:val="21"/>
              </w:rPr>
              <w:t>；</w:t>
            </w:r>
          </w:p>
          <w:p>
            <w:pPr>
              <w:adjustRightInd w:val="0"/>
              <w:snapToGrid w:val="0"/>
              <w:rPr>
                <w:rFonts w:hint="eastAsia" w:ascii="宋体" w:hAnsi="宋体" w:cs="宋体"/>
                <w:szCs w:val="21"/>
              </w:rPr>
            </w:pPr>
            <w:r>
              <w:rPr>
                <w:rFonts w:hint="eastAsia"/>
                <w:szCs w:val="21"/>
              </w:rPr>
              <w:t>②市政环卫部门负责定期清除、收集、外运，保证日产日清、路面清洁，不会对道路沿线环境造成大的影响</w:t>
            </w:r>
            <w:r>
              <w:rPr>
                <w:szCs w:val="21"/>
              </w:rPr>
              <w:t>；</w:t>
            </w:r>
            <w:r>
              <w:t>③</w:t>
            </w:r>
            <w:r>
              <w:rPr>
                <w:rFonts w:hint="eastAsia"/>
                <w:szCs w:val="21"/>
              </w:rPr>
              <w:t>强化道路沿线的固体废物污染治理的监督工作，向司乘人员和行人加强宣传教育工作。</w:t>
            </w:r>
          </w:p>
        </w:tc>
        <w:tc>
          <w:tcPr>
            <w:tcW w:w="822" w:type="pct"/>
            <w:vAlign w:val="center"/>
          </w:tcPr>
          <w:p>
            <w:pPr>
              <w:adjustRightInd w:val="0"/>
              <w:snapToGrid w:val="0"/>
              <w:jc w:val="center"/>
              <w:rPr>
                <w:rFonts w:hint="eastAsia" w:ascii="宋体" w:hAnsi="宋体" w:cs="宋体"/>
                <w:szCs w:val="21"/>
              </w:rPr>
            </w:pPr>
            <w:r>
              <w:rPr>
                <w:rFonts w:hint="eastAsia"/>
                <w:szCs w:val="21"/>
              </w:rPr>
              <w:t>检查落实情况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电磁环境</w:t>
            </w:r>
          </w:p>
        </w:tc>
        <w:tc>
          <w:tcPr>
            <w:tcW w:w="1521"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815"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13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8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环境风险</w:t>
            </w:r>
          </w:p>
        </w:tc>
        <w:tc>
          <w:tcPr>
            <w:tcW w:w="1521" w:type="pct"/>
            <w:vAlign w:val="center"/>
          </w:tcPr>
          <w:p>
            <w:pPr>
              <w:adjustRightInd w:val="0"/>
              <w:snapToGrid w:val="0"/>
              <w:rPr>
                <w:szCs w:val="21"/>
              </w:rPr>
            </w:pPr>
            <w:r>
              <w:rPr>
                <w:szCs w:val="21"/>
              </w:rPr>
              <w:fldChar w:fldCharType="begin"/>
            </w:r>
            <w:r>
              <w:rPr>
                <w:szCs w:val="21"/>
              </w:rPr>
              <w:instrText xml:space="preserve"> = 1 \* GB3 </w:instrText>
            </w:r>
            <w:r>
              <w:rPr>
                <w:szCs w:val="21"/>
              </w:rPr>
              <w:fldChar w:fldCharType="separate"/>
            </w:r>
            <w:r>
              <w:rPr>
                <w:szCs w:val="21"/>
              </w:rPr>
              <w:t>①</w:t>
            </w:r>
            <w:r>
              <w:rPr>
                <w:szCs w:val="21"/>
              </w:rPr>
              <w:fldChar w:fldCharType="end"/>
            </w:r>
            <w:r>
              <w:rPr>
                <w:szCs w:val="21"/>
              </w:rPr>
              <w:t>加强对车辆和道路设施的管理；本工程为城市区内道路，严格限制危险品运输车辆通过，减少或避免事故的发生。一旦发生危险品溢出、泄露等事故，应及时通知有关部门，及时采取应急措施。</w:t>
            </w:r>
          </w:p>
          <w:p>
            <w:pPr>
              <w:adjustRightInd w:val="0"/>
              <w:snapToGrid w:val="0"/>
              <w:rPr>
                <w:rFonts w:hint="eastAsia" w:ascii="宋体" w:hAnsi="宋体" w:cs="宋体"/>
                <w:szCs w:val="21"/>
              </w:rPr>
            </w:pPr>
            <w:r>
              <w:rPr>
                <w:szCs w:val="21"/>
              </w:rPr>
              <w:fldChar w:fldCharType="begin"/>
            </w:r>
            <w:r>
              <w:rPr>
                <w:szCs w:val="21"/>
              </w:rPr>
              <w:instrText xml:space="preserve"> = 2 \* GB3 </w:instrText>
            </w:r>
            <w:r>
              <w:rPr>
                <w:szCs w:val="21"/>
              </w:rPr>
              <w:fldChar w:fldCharType="separate"/>
            </w:r>
            <w:r>
              <w:rPr>
                <w:szCs w:val="21"/>
              </w:rPr>
              <w:t>②</w:t>
            </w:r>
            <w:r>
              <w:rPr>
                <w:szCs w:val="21"/>
              </w:rPr>
              <w:fldChar w:fldCharType="end"/>
            </w:r>
            <w:r>
              <w:rPr>
                <w:szCs w:val="21"/>
              </w:rPr>
              <w:t>加强交通管理，完善交通标志标线和实施交通信号控制；做到畅通道路的视觉环境保护，对全线可能设置的广告牌进行控制性管理。</w:t>
            </w:r>
          </w:p>
        </w:tc>
        <w:tc>
          <w:tcPr>
            <w:tcW w:w="815" w:type="pct"/>
            <w:vAlign w:val="center"/>
          </w:tcPr>
          <w:p>
            <w:pPr>
              <w:adjustRightInd w:val="0"/>
              <w:snapToGrid w:val="0"/>
              <w:jc w:val="center"/>
              <w:rPr>
                <w:rFonts w:hint="eastAsia" w:ascii="宋体" w:hAnsi="宋体" w:cs="宋体"/>
                <w:szCs w:val="21"/>
              </w:rPr>
            </w:pPr>
            <w:r>
              <w:rPr>
                <w:rFonts w:hint="eastAsia"/>
                <w:szCs w:val="21"/>
              </w:rPr>
              <w:t>检查落实情况</w:t>
            </w:r>
          </w:p>
        </w:tc>
        <w:tc>
          <w:tcPr>
            <w:tcW w:w="1322" w:type="pct"/>
            <w:vAlign w:val="center"/>
          </w:tcPr>
          <w:p>
            <w:pPr>
              <w:adjustRightInd w:val="0"/>
              <w:snapToGrid w:val="0"/>
              <w:rPr>
                <w:rFonts w:hint="eastAsia" w:ascii="宋体" w:hAnsi="宋体" w:cs="宋体"/>
                <w:szCs w:val="21"/>
              </w:rPr>
            </w:pPr>
            <w:r>
              <w:rPr>
                <w:szCs w:val="21"/>
              </w:rPr>
              <w:t>建立突发环境事件应急响应系统。在急弯、人群密集路侧设置紧急报警电话一览表，注明相应</w:t>
            </w:r>
            <w:r>
              <w:rPr>
                <w:rFonts w:hint="eastAsia"/>
                <w:szCs w:val="21"/>
              </w:rPr>
              <w:t>快速路</w:t>
            </w:r>
            <w:r>
              <w:rPr>
                <w:szCs w:val="21"/>
              </w:rPr>
              <w:t>管理部门、公安消防、环保部门的电话号码。一旦发生事故，驾驶员和任何发现人员应立即通知上述有关部门采取应急措施。</w:t>
            </w:r>
          </w:p>
        </w:tc>
        <w:tc>
          <w:tcPr>
            <w:tcW w:w="822" w:type="pct"/>
            <w:vAlign w:val="center"/>
          </w:tcPr>
          <w:p>
            <w:pPr>
              <w:adjustRightInd w:val="0"/>
              <w:snapToGrid w:val="0"/>
              <w:rPr>
                <w:rFonts w:hint="eastAsia" w:ascii="宋体" w:hAnsi="宋体" w:cs="宋体"/>
                <w:szCs w:val="21"/>
              </w:rPr>
            </w:pPr>
            <w:r>
              <w:rPr>
                <w:rFonts w:hint="eastAsia"/>
                <w:szCs w:val="21"/>
              </w:rPr>
              <w:t>检查落实情况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环境监测</w:t>
            </w:r>
          </w:p>
        </w:tc>
        <w:tc>
          <w:tcPr>
            <w:tcW w:w="1521" w:type="pct"/>
            <w:vAlign w:val="center"/>
          </w:tcPr>
          <w:p>
            <w:pPr>
              <w:adjustRightInd w:val="0"/>
              <w:snapToGrid w:val="0"/>
              <w:rPr>
                <w:rFonts w:hint="eastAsia" w:ascii="宋体" w:hAnsi="宋体" w:cs="宋体"/>
                <w:szCs w:val="21"/>
              </w:rPr>
            </w:pPr>
            <w:r>
              <w:rPr>
                <w:szCs w:val="21"/>
              </w:rPr>
              <w:t>项目</w:t>
            </w:r>
            <w:r>
              <w:rPr>
                <w:rFonts w:hint="eastAsia"/>
                <w:szCs w:val="21"/>
              </w:rPr>
              <w:t>施工边界设</w:t>
            </w:r>
            <w:r>
              <w:rPr>
                <w:szCs w:val="21"/>
              </w:rPr>
              <w:t>监测点，每季度监测一次，</w:t>
            </w:r>
            <w:r>
              <w:rPr>
                <w:kern w:val="0"/>
                <w:szCs w:val="21"/>
              </w:rPr>
              <w:t>1天/次，昼、夜间各监测1次</w:t>
            </w:r>
          </w:p>
        </w:tc>
        <w:tc>
          <w:tcPr>
            <w:tcW w:w="815" w:type="pct"/>
            <w:vAlign w:val="center"/>
          </w:tcPr>
          <w:p>
            <w:pPr>
              <w:adjustRightInd w:val="0"/>
              <w:snapToGrid w:val="0"/>
              <w:jc w:val="center"/>
              <w:rPr>
                <w:rFonts w:hint="eastAsia" w:ascii="宋体" w:hAnsi="宋体" w:cs="宋体"/>
                <w:szCs w:val="21"/>
              </w:rPr>
            </w:pPr>
            <w:r>
              <w:rPr>
                <w:rFonts w:hint="eastAsia"/>
                <w:szCs w:val="21"/>
              </w:rPr>
              <w:t>检查落实情况</w:t>
            </w:r>
          </w:p>
        </w:tc>
        <w:tc>
          <w:tcPr>
            <w:tcW w:w="1322" w:type="pct"/>
            <w:vAlign w:val="center"/>
          </w:tcPr>
          <w:p>
            <w:pPr>
              <w:adjustRightInd w:val="0"/>
              <w:snapToGrid w:val="0"/>
              <w:rPr>
                <w:rFonts w:hint="eastAsia" w:ascii="宋体" w:hAnsi="宋体" w:cs="宋体"/>
                <w:szCs w:val="21"/>
              </w:rPr>
            </w:pPr>
            <w:r>
              <w:rPr>
                <w:rFonts w:hint="eastAsia"/>
                <w:color w:val="auto"/>
                <w:sz w:val="21"/>
                <w:szCs w:val="21"/>
              </w:rPr>
              <w:t>营期的环境影响进行监测可由生态环境主管部门结合周边路网进行统一规划布点监测</w:t>
            </w:r>
          </w:p>
        </w:tc>
        <w:tc>
          <w:tcPr>
            <w:tcW w:w="822" w:type="pct"/>
            <w:vAlign w:val="center"/>
          </w:tcPr>
          <w:p>
            <w:pPr>
              <w:adjustRightInd w:val="0"/>
              <w:snapToGrid w:val="0"/>
              <w:rPr>
                <w:rFonts w:hint="eastAsia" w:ascii="宋体" w:hAnsi="宋体" w:cs="宋体"/>
                <w:szCs w:val="21"/>
              </w:rPr>
            </w:pPr>
            <w:r>
              <w:rPr>
                <w:rFonts w:hint="eastAsia"/>
                <w:szCs w:val="21"/>
              </w:rPr>
              <w:t>检查落实情况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Align w:val="center"/>
          </w:tcPr>
          <w:p>
            <w:pPr>
              <w:adjustRightInd w:val="0"/>
              <w:snapToGrid w:val="0"/>
              <w:jc w:val="center"/>
              <w:rPr>
                <w:rFonts w:hint="eastAsia" w:ascii="宋体" w:hAnsi="宋体" w:cs="宋体"/>
                <w:szCs w:val="21"/>
              </w:rPr>
            </w:pPr>
            <w:r>
              <w:rPr>
                <w:rFonts w:hint="eastAsia" w:ascii="宋体" w:hAnsi="宋体" w:cs="宋体"/>
                <w:szCs w:val="21"/>
              </w:rPr>
              <w:t>其他</w:t>
            </w:r>
          </w:p>
        </w:tc>
        <w:tc>
          <w:tcPr>
            <w:tcW w:w="1521" w:type="pct"/>
            <w:vAlign w:val="center"/>
          </w:tcPr>
          <w:p>
            <w:pPr>
              <w:adjustRightInd w:val="0"/>
              <w:snapToGrid w:val="0"/>
              <w:rPr>
                <w:szCs w:val="21"/>
              </w:rPr>
            </w:pPr>
            <w:r>
              <w:rPr>
                <w:szCs w:val="21"/>
              </w:rPr>
              <w:fldChar w:fldCharType="begin"/>
            </w:r>
            <w:r>
              <w:rPr>
                <w:szCs w:val="21"/>
              </w:rPr>
              <w:instrText xml:space="preserve"> = 1 \* GB3 </w:instrText>
            </w:r>
            <w:r>
              <w:rPr>
                <w:szCs w:val="21"/>
              </w:rPr>
              <w:fldChar w:fldCharType="separate"/>
            </w:r>
            <w:r>
              <w:rPr>
                <w:szCs w:val="21"/>
              </w:rPr>
              <w:t>①</w:t>
            </w:r>
            <w:r>
              <w:rPr>
                <w:szCs w:val="21"/>
              </w:rPr>
              <w:fldChar w:fldCharType="end"/>
            </w:r>
            <w:r>
              <w:rPr>
                <w:szCs w:val="21"/>
              </w:rPr>
              <w:t>按水土保持方案认真组织实施。</w:t>
            </w:r>
          </w:p>
          <w:p>
            <w:pPr>
              <w:adjustRightInd w:val="0"/>
              <w:snapToGrid w:val="0"/>
              <w:rPr>
                <w:rFonts w:hint="eastAsia" w:ascii="宋体" w:hAnsi="宋体" w:cs="宋体"/>
                <w:szCs w:val="21"/>
              </w:rPr>
            </w:pPr>
            <w:r>
              <w:rPr>
                <w:szCs w:val="21"/>
              </w:rPr>
              <w:fldChar w:fldCharType="begin"/>
            </w:r>
            <w:r>
              <w:rPr>
                <w:szCs w:val="21"/>
              </w:rPr>
              <w:instrText xml:space="preserve"> = 2 \* GB3 </w:instrText>
            </w:r>
            <w:r>
              <w:rPr>
                <w:szCs w:val="21"/>
              </w:rPr>
              <w:fldChar w:fldCharType="separate"/>
            </w:r>
            <w:r>
              <w:rPr>
                <w:szCs w:val="21"/>
              </w:rPr>
              <w:t>②</w:t>
            </w:r>
            <w:r>
              <w:rPr>
                <w:szCs w:val="21"/>
              </w:rPr>
              <w:fldChar w:fldCharType="end"/>
            </w:r>
            <w:r>
              <w:rPr>
                <w:szCs w:val="21"/>
              </w:rPr>
              <w:t>合理</w:t>
            </w:r>
            <w:r>
              <w:rPr>
                <w:rFonts w:hint="eastAsia"/>
                <w:szCs w:val="21"/>
              </w:rPr>
              <w:t>安排施工进度</w:t>
            </w:r>
            <w:r>
              <w:rPr>
                <w:szCs w:val="21"/>
              </w:rPr>
              <w:t>，尽量做到挖方的日产日清。</w:t>
            </w:r>
          </w:p>
        </w:tc>
        <w:tc>
          <w:tcPr>
            <w:tcW w:w="815" w:type="pct"/>
            <w:vAlign w:val="center"/>
          </w:tcPr>
          <w:p>
            <w:pPr>
              <w:adjustRightInd w:val="0"/>
              <w:snapToGrid w:val="0"/>
              <w:rPr>
                <w:rFonts w:hint="eastAsia" w:ascii="宋体" w:hAnsi="宋体" w:cs="宋体"/>
                <w:szCs w:val="21"/>
              </w:rPr>
            </w:pPr>
            <w:r>
              <w:rPr>
                <w:szCs w:val="21"/>
              </w:rPr>
              <w:t>符合“水保法”的要求。“三同时”要求并与景观环境相协调。</w:t>
            </w:r>
          </w:p>
        </w:tc>
        <w:tc>
          <w:tcPr>
            <w:tcW w:w="13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c>
          <w:tcPr>
            <w:tcW w:w="822" w:type="pct"/>
            <w:vAlign w:val="center"/>
          </w:tcPr>
          <w:p>
            <w:pPr>
              <w:adjustRightInd w:val="0"/>
              <w:snapToGrid w:val="0"/>
              <w:jc w:val="center"/>
              <w:rPr>
                <w:rFonts w:hint="eastAsia" w:ascii="宋体" w:hAnsi="宋体" w:cs="宋体"/>
                <w:szCs w:val="21"/>
              </w:rPr>
            </w:pPr>
            <w:r>
              <w:rPr>
                <w:rFonts w:hint="eastAsia" w:ascii="宋体" w:hAnsi="宋体" w:cs="宋体"/>
                <w:szCs w:val="21"/>
              </w:rPr>
              <w:t>/</w:t>
            </w:r>
          </w:p>
        </w:tc>
      </w:tr>
    </w:tbl>
    <w:p>
      <w:pPr>
        <w:pStyle w:val="22"/>
        <w:jc w:val="center"/>
        <w:rPr>
          <w:rFonts w:hint="eastAsia" w:ascii="黑体" w:hAnsi="黑体" w:eastAsia="黑体"/>
          <w:snapToGrid w:val="0"/>
          <w:sz w:val="30"/>
          <w:szCs w:val="30"/>
        </w:rPr>
        <w:sectPr>
          <w:headerReference r:id="rId8" w:type="default"/>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bookmarkEnd w:id="101"/>
    <w:bookmarkEnd w:id="102"/>
    <w:p>
      <w:pPr>
        <w:pStyle w:val="54"/>
        <w:ind w:left="0" w:leftChars="0" w:firstLine="0" w:firstLineChars="0"/>
        <w:rPr>
          <w:rFonts w:hint="eastAsia" w:ascii="宋体" w:hAnsi="宋体" w:cs="宋体"/>
          <w:b/>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r>
        <w:drawing>
          <wp:inline distT="0" distB="0" distL="114300" distR="114300">
            <wp:extent cx="5742940" cy="8215630"/>
            <wp:effectExtent l="0" t="0" r="10160" b="1270"/>
            <wp:docPr id="1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5"/>
                    <pic:cNvPicPr>
                      <a:picLocks noChangeAspect="1"/>
                    </pic:cNvPicPr>
                  </pic:nvPicPr>
                  <pic:blipFill>
                    <a:blip r:embed="rId24"/>
                    <a:srcRect l="3959" t="3251" r="3738" b="3407"/>
                    <a:stretch>
                      <a:fillRect/>
                    </a:stretch>
                  </pic:blipFill>
                  <pic:spPr>
                    <a:xfrm>
                      <a:off x="0" y="0"/>
                      <a:ext cx="5742940" cy="82156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sz w:val="28"/>
          <w:szCs w:val="28"/>
        </w:rPr>
      </w:pPr>
      <w:r>
        <w:drawing>
          <wp:inline distT="0" distB="0" distL="114300" distR="114300">
            <wp:extent cx="5887085" cy="8360410"/>
            <wp:effectExtent l="0" t="0" r="5715" b="8890"/>
            <wp:docPr id="1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
                    <pic:cNvPicPr>
                      <a:picLocks noChangeAspect="1"/>
                    </pic:cNvPicPr>
                  </pic:nvPicPr>
                  <pic:blipFill>
                    <a:blip r:embed="rId25"/>
                    <a:srcRect l="10289" t="13066" r="3110"/>
                    <a:stretch>
                      <a:fillRect/>
                    </a:stretch>
                  </pic:blipFill>
                  <pic:spPr>
                    <a:xfrm>
                      <a:off x="0" y="0"/>
                      <a:ext cx="5887085" cy="8360410"/>
                    </a:xfrm>
                    <a:prstGeom prst="rect">
                      <a:avLst/>
                    </a:prstGeom>
                    <a:noFill/>
                    <a:ln>
                      <a:noFill/>
                    </a:ln>
                  </pic:spPr>
                </pic:pic>
              </a:graphicData>
            </a:graphic>
          </wp:inline>
        </w:drawing>
      </w:r>
    </w:p>
    <w:p>
      <w:pPr>
        <w:pStyle w:val="26"/>
        <w:ind w:firstLine="480"/>
        <w:rPr>
          <w:rFonts w:hint="default" w:ascii="Times New Roman" w:hAnsi="Times New Roman" w:cs="Times New Roman"/>
        </w:rPr>
        <w:sectPr>
          <w:footerReference r:id="rId9" w:type="default"/>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720" w:num="1"/>
          <w:docGrid w:linePitch="312" w:charSpace="0"/>
        </w:sectPr>
      </w:pPr>
    </w:p>
    <w:p>
      <w:pPr>
        <w:keepNext/>
        <w:keepLines/>
        <w:spacing w:line="360" w:lineRule="auto"/>
        <w:jc w:val="center"/>
        <w:outlineLvl w:val="0"/>
        <w:rPr>
          <w:rFonts w:hint="eastAsia"/>
          <w:b/>
          <w:bCs/>
          <w:color w:val="auto"/>
          <w:kern w:val="44"/>
          <w:sz w:val="32"/>
        </w:rPr>
      </w:pPr>
      <w:bookmarkStart w:id="113" w:name="_Toc5331"/>
      <w:bookmarkStart w:id="114" w:name="_Toc2148"/>
      <w:bookmarkStart w:id="115" w:name="_Toc13273"/>
      <w:r>
        <w:rPr>
          <w:rFonts w:hint="eastAsia"/>
          <w:b/>
          <w:bCs/>
          <w:color w:val="auto"/>
          <w:kern w:val="44"/>
          <w:sz w:val="32"/>
        </w:rPr>
        <w:t>目录</w:t>
      </w:r>
      <w:bookmarkEnd w:id="113"/>
      <w:bookmarkEnd w:id="114"/>
    </w:p>
    <w:sdt>
      <w:sdtPr>
        <w:rPr>
          <w:rFonts w:ascii="宋体" w:hAnsi="宋体" w:eastAsia="宋体" w:cs="Times New Roman"/>
          <w:kern w:val="2"/>
          <w:sz w:val="21"/>
          <w:szCs w:val="24"/>
          <w:lang w:val="en-US" w:eastAsia="zh-CN" w:bidi="ar-SA"/>
        </w:rPr>
        <w:id w:val="147476899"/>
        <w15:color w:val="DBDBDB"/>
        <w:docPartObj>
          <w:docPartGallery w:val="Table of Contents"/>
          <w:docPartUnique/>
        </w:docPartObj>
      </w:sdtPr>
      <w:sdtEndPr>
        <w:rPr>
          <w:rFonts w:hint="default" w:ascii="Times New Roman" w:hAnsi="Times New Roman" w:eastAsia="宋体" w:cs="Times New Roman"/>
          <w:b/>
          <w:bCs/>
          <w:kern w:val="44"/>
          <w:sz w:val="21"/>
          <w:szCs w:val="24"/>
          <w:lang w:val="en-US" w:eastAsia="zh-CN" w:bidi="ar-SA"/>
        </w:rPr>
      </w:sdtEndPr>
      <w:sdtContent>
        <w:p>
          <w:pPr>
            <w:spacing w:before="0" w:beforeLines="0" w:after="0" w:afterLines="0" w:line="240" w:lineRule="auto"/>
            <w:ind w:left="0" w:leftChars="0" w:right="0" w:rightChars="0" w:firstLine="0" w:firstLineChars="0"/>
            <w:jc w:val="center"/>
            <w:rPr>
              <w:b/>
            </w:rPr>
          </w:pPr>
          <w:r>
            <w:rPr>
              <w:rFonts w:hint="default" w:ascii="Times New Roman" w:hAnsi="Times New Roman" w:cs="Times New Roman"/>
              <w:b/>
              <w:bCs/>
              <w:kern w:val="44"/>
              <w:sz w:val="32"/>
            </w:rPr>
            <w:fldChar w:fldCharType="begin"/>
          </w:r>
          <w:r>
            <w:rPr>
              <w:rFonts w:hint="default" w:ascii="Times New Roman" w:hAnsi="Times New Roman" w:cs="Times New Roman"/>
              <w:b/>
              <w:bCs/>
              <w:kern w:val="44"/>
              <w:sz w:val="32"/>
            </w:rPr>
            <w:instrText xml:space="preserve">TOC \o "1-2" \h \u </w:instrText>
          </w:r>
          <w:r>
            <w:rPr>
              <w:rFonts w:hint="default" w:ascii="Times New Roman" w:hAnsi="Times New Roman" w:cs="Times New Roman"/>
              <w:b/>
              <w:bCs/>
              <w:kern w:val="44"/>
              <w:sz w:val="32"/>
            </w:rPr>
            <w:fldChar w:fldCharType="separate"/>
          </w:r>
        </w:p>
        <w:p>
          <w:pPr>
            <w:pStyle w:val="64"/>
            <w:tabs>
              <w:tab w:val="right" w:leader="dot" w:pos="9071"/>
            </w:tabs>
            <w:rPr>
              <w:rFonts w:hint="default" w:ascii="Times New Roman" w:hAnsi="Times New Roman" w:cs="Times New Roman"/>
              <w:b/>
              <w:sz w:val="24"/>
              <w:szCs w:val="24"/>
            </w:rPr>
          </w:pPr>
          <w:r>
            <w:rPr>
              <w:rFonts w:hint="default" w:ascii="Times New Roman" w:hAnsi="Times New Roman" w:cs="Times New Roman"/>
              <w:b/>
              <w:bCs/>
              <w:kern w:val="44"/>
              <w:sz w:val="24"/>
              <w:szCs w:val="24"/>
            </w:rPr>
            <w:fldChar w:fldCharType="begin"/>
          </w:r>
          <w:r>
            <w:rPr>
              <w:rFonts w:hint="default" w:ascii="Times New Roman" w:hAnsi="Times New Roman" w:cs="Times New Roman"/>
              <w:b/>
              <w:bCs/>
              <w:kern w:val="44"/>
              <w:sz w:val="24"/>
              <w:szCs w:val="24"/>
            </w:rPr>
            <w:instrText xml:space="preserve"> HYPERLINK \l _Toc18950 </w:instrText>
          </w:r>
          <w:r>
            <w:rPr>
              <w:rFonts w:hint="default" w:ascii="Times New Roman" w:hAnsi="Times New Roman" w:cs="Times New Roman"/>
              <w:b/>
              <w:bCs/>
              <w:kern w:val="44"/>
              <w:sz w:val="24"/>
              <w:szCs w:val="24"/>
            </w:rPr>
            <w:fldChar w:fldCharType="separate"/>
          </w:r>
          <w:r>
            <w:rPr>
              <w:rFonts w:hint="default" w:ascii="Times New Roman" w:hAnsi="Times New Roman" w:cs="Times New Roman"/>
              <w:b/>
              <w:bCs/>
              <w:kern w:val="44"/>
              <w:sz w:val="24"/>
              <w:szCs w:val="24"/>
            </w:rPr>
            <w:t>1 总论</w:t>
          </w:r>
          <w:r>
            <w:rPr>
              <w:rFonts w:hint="default" w:ascii="Times New Roman" w:hAnsi="Times New Roman" w:cs="Times New Roman"/>
              <w:b/>
              <w:sz w:val="24"/>
              <w:szCs w:val="24"/>
            </w:rPr>
            <w:tab/>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PAGEREF _Toc18950 \h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1</w:t>
          </w:r>
          <w:r>
            <w:rPr>
              <w:rFonts w:hint="default" w:ascii="Times New Roman" w:hAnsi="Times New Roman" w:cs="Times New Roman"/>
              <w:b/>
              <w:sz w:val="24"/>
              <w:szCs w:val="24"/>
            </w:rPr>
            <w:fldChar w:fldCharType="end"/>
          </w:r>
          <w:r>
            <w:rPr>
              <w:rFonts w:hint="default" w:ascii="Times New Roman" w:hAnsi="Times New Roman" w:cs="Times New Roman"/>
              <w:b/>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_Toc20990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rPr>
            <w:t>1.1 编制依据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_Toc20990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_Toc21297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1.2 评价原则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_Toc21297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_Toc17718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1.3 评价标准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_Toc17718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_Toc32095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1.4 评价等级及范围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_Toc32095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_Toc32688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1.5 评价范围和时段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_Toc3980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1.</w:t>
          </w:r>
          <w:r>
            <w:rPr>
              <w:rFonts w:hint="default" w:ascii="Times New Roman" w:hAnsi="Times New Roman" w:cs="Times New Roman"/>
              <w:bCs/>
              <w:snapToGrid w:val="0"/>
              <w:kern w:val="0"/>
              <w:sz w:val="24"/>
              <w:szCs w:val="24"/>
              <w:lang w:val="en-US" w:eastAsia="zh-CN"/>
            </w:rPr>
            <w:t>6</w:t>
          </w:r>
          <w:r>
            <w:rPr>
              <w:rFonts w:hint="default" w:ascii="Times New Roman" w:hAnsi="Times New Roman" w:cs="Times New Roman"/>
              <w:bCs/>
              <w:snapToGrid w:val="0"/>
              <w:kern w:val="0"/>
              <w:sz w:val="24"/>
              <w:szCs w:val="24"/>
            </w:rPr>
            <w:t xml:space="preserve"> 声环境保护目标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_Toc3980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64"/>
            <w:tabs>
              <w:tab w:val="right" w:leader="dot" w:pos="9071"/>
            </w:tabs>
            <w:rPr>
              <w:rFonts w:hint="default" w:ascii="Times New Roman" w:hAnsi="Times New Roman" w:cs="Times New Roman"/>
              <w:b/>
              <w:sz w:val="24"/>
              <w:szCs w:val="24"/>
            </w:rPr>
          </w:pPr>
          <w:r>
            <w:rPr>
              <w:rFonts w:hint="default" w:ascii="Times New Roman" w:hAnsi="Times New Roman" w:cs="Times New Roman"/>
              <w:b/>
              <w:bCs/>
              <w:kern w:val="44"/>
              <w:sz w:val="24"/>
              <w:szCs w:val="24"/>
            </w:rPr>
            <w:fldChar w:fldCharType="begin"/>
          </w:r>
          <w:r>
            <w:rPr>
              <w:rFonts w:hint="default" w:ascii="Times New Roman" w:hAnsi="Times New Roman" w:cs="Times New Roman"/>
              <w:b/>
              <w:bCs/>
              <w:kern w:val="44"/>
              <w:sz w:val="24"/>
              <w:szCs w:val="24"/>
            </w:rPr>
            <w:instrText xml:space="preserve"> HYPERLINK \l _Toc18118 </w:instrText>
          </w:r>
          <w:r>
            <w:rPr>
              <w:rFonts w:hint="default" w:ascii="Times New Roman" w:hAnsi="Times New Roman" w:cs="Times New Roman"/>
              <w:b/>
              <w:bCs/>
              <w:kern w:val="44"/>
              <w:sz w:val="24"/>
              <w:szCs w:val="24"/>
            </w:rPr>
            <w:fldChar w:fldCharType="separate"/>
          </w:r>
          <w:r>
            <w:rPr>
              <w:rFonts w:hint="default" w:ascii="Times New Roman" w:hAnsi="Times New Roman" w:cs="Times New Roman"/>
              <w:b/>
              <w:bCs/>
              <w:kern w:val="44"/>
              <w:sz w:val="24"/>
              <w:szCs w:val="24"/>
            </w:rPr>
            <w:t>2 工程分析</w:t>
          </w:r>
          <w:r>
            <w:rPr>
              <w:rFonts w:hint="default" w:ascii="Times New Roman" w:hAnsi="Times New Roman" w:cs="Times New Roman"/>
              <w:b/>
              <w:sz w:val="24"/>
              <w:szCs w:val="24"/>
            </w:rPr>
            <w:tab/>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PAGEREF _Toc18118 \h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6</w:t>
          </w:r>
          <w:r>
            <w:rPr>
              <w:rFonts w:hint="default" w:ascii="Times New Roman" w:hAnsi="Times New Roman" w:cs="Times New Roman"/>
              <w:b/>
              <w:sz w:val="24"/>
              <w:szCs w:val="24"/>
            </w:rPr>
            <w:fldChar w:fldCharType="end"/>
          </w:r>
          <w:r>
            <w:rPr>
              <w:rFonts w:hint="default" w:ascii="Times New Roman" w:hAnsi="Times New Roman" w:cs="Times New Roman"/>
              <w:b/>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_Toc12301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rPr>
            <w:t>2.1 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_Toc12301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_Toc7026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rPr>
            <w:t>2.2 交通量预测</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_Toc7026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_Toc9988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2.3 工程分析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_Toc9988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64"/>
            <w:tabs>
              <w:tab w:val="right" w:leader="dot" w:pos="9071"/>
            </w:tabs>
            <w:rPr>
              <w:rFonts w:hint="default" w:ascii="Times New Roman" w:hAnsi="Times New Roman" w:cs="Times New Roman"/>
              <w:b/>
              <w:sz w:val="24"/>
              <w:szCs w:val="24"/>
            </w:rPr>
          </w:pPr>
          <w:r>
            <w:rPr>
              <w:rFonts w:hint="default" w:ascii="Times New Roman" w:hAnsi="Times New Roman" w:cs="Times New Roman"/>
              <w:b/>
              <w:bCs/>
              <w:kern w:val="44"/>
              <w:sz w:val="24"/>
              <w:szCs w:val="24"/>
            </w:rPr>
            <w:fldChar w:fldCharType="begin"/>
          </w:r>
          <w:r>
            <w:rPr>
              <w:rFonts w:hint="default" w:ascii="Times New Roman" w:hAnsi="Times New Roman" w:cs="Times New Roman"/>
              <w:b/>
              <w:bCs/>
              <w:kern w:val="44"/>
              <w:sz w:val="24"/>
              <w:szCs w:val="24"/>
            </w:rPr>
            <w:instrText xml:space="preserve"> HYPERLINK \l _Toc774 </w:instrText>
          </w:r>
          <w:r>
            <w:rPr>
              <w:rFonts w:hint="default" w:ascii="Times New Roman" w:hAnsi="Times New Roman" w:cs="Times New Roman"/>
              <w:b/>
              <w:bCs/>
              <w:kern w:val="44"/>
              <w:sz w:val="24"/>
              <w:szCs w:val="24"/>
            </w:rPr>
            <w:fldChar w:fldCharType="separate"/>
          </w:r>
          <w:r>
            <w:rPr>
              <w:rFonts w:hint="default" w:ascii="Times New Roman" w:hAnsi="Times New Roman" w:eastAsia="宋体" w:cs="Times New Roman"/>
              <w:b/>
              <w:bCs/>
              <w:kern w:val="44"/>
              <w:sz w:val="24"/>
              <w:szCs w:val="24"/>
            </w:rPr>
            <w:t>3 环境质量现状调查</w:t>
          </w:r>
          <w:r>
            <w:rPr>
              <w:rFonts w:hint="default" w:ascii="Times New Roman" w:hAnsi="Times New Roman" w:cs="Times New Roman"/>
              <w:b/>
              <w:sz w:val="24"/>
              <w:szCs w:val="24"/>
            </w:rPr>
            <w:tab/>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PAGEREF _Toc774 \h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10</w:t>
          </w:r>
          <w:r>
            <w:rPr>
              <w:rFonts w:hint="default" w:ascii="Times New Roman" w:hAnsi="Times New Roman" w:cs="Times New Roman"/>
              <w:b/>
              <w:sz w:val="24"/>
              <w:szCs w:val="24"/>
            </w:rPr>
            <w:fldChar w:fldCharType="end"/>
          </w:r>
          <w:r>
            <w:rPr>
              <w:rFonts w:hint="default" w:ascii="Times New Roman" w:hAnsi="Times New Roman" w:cs="Times New Roman"/>
              <w:b/>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_Toc9419 </w:instrText>
          </w:r>
          <w:r>
            <w:rPr>
              <w:rFonts w:hint="default" w:ascii="Times New Roman" w:hAnsi="Times New Roman" w:cs="Times New Roman"/>
              <w:bCs/>
              <w:kern w:val="44"/>
              <w:sz w:val="24"/>
              <w:szCs w:val="24"/>
            </w:rPr>
            <w:fldChar w:fldCharType="separate"/>
          </w:r>
          <w:r>
            <w:rPr>
              <w:rFonts w:hint="default" w:ascii="Times New Roman" w:hAnsi="Times New Roman" w:eastAsia="宋体" w:cs="Times New Roman"/>
              <w:bCs/>
              <w:sz w:val="24"/>
              <w:szCs w:val="24"/>
            </w:rPr>
            <w:t xml:space="preserve">3.1 </w:t>
          </w:r>
          <w:r>
            <w:rPr>
              <w:rFonts w:hint="default" w:ascii="Times New Roman" w:hAnsi="Times New Roman" w:eastAsia="宋体" w:cs="Times New Roman"/>
              <w:bCs/>
              <w:sz w:val="24"/>
              <w:szCs w:val="24"/>
              <w:lang w:val="en-US" w:eastAsia="zh-CN"/>
            </w:rPr>
            <w:t>地形地貌</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_Toc9419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_Toc17857 </w:instrText>
          </w:r>
          <w:r>
            <w:rPr>
              <w:rFonts w:hint="default" w:ascii="Times New Roman" w:hAnsi="Times New Roman" w:cs="Times New Roman"/>
              <w:bCs/>
              <w:kern w:val="44"/>
              <w:sz w:val="24"/>
              <w:szCs w:val="24"/>
            </w:rPr>
            <w:fldChar w:fldCharType="separate"/>
          </w:r>
          <w:r>
            <w:rPr>
              <w:rFonts w:hint="default" w:ascii="Times New Roman" w:hAnsi="Times New Roman" w:eastAsia="宋体" w:cs="Times New Roman"/>
              <w:bCs/>
              <w:snapToGrid w:val="0"/>
              <w:kern w:val="0"/>
              <w:sz w:val="24"/>
              <w:szCs w:val="24"/>
            </w:rPr>
            <w:t>3.</w:t>
          </w:r>
          <w:r>
            <w:rPr>
              <w:rFonts w:hint="default" w:ascii="Times New Roman" w:hAnsi="Times New Roman" w:eastAsia="宋体" w:cs="Times New Roman"/>
              <w:bCs/>
              <w:snapToGrid w:val="0"/>
              <w:kern w:val="0"/>
              <w:sz w:val="24"/>
              <w:szCs w:val="24"/>
              <w:lang w:val="en-US" w:eastAsia="zh-CN"/>
            </w:rPr>
            <w:t>2</w:t>
          </w:r>
          <w:r>
            <w:rPr>
              <w:rFonts w:hint="default" w:ascii="Times New Roman" w:hAnsi="Times New Roman" w:eastAsia="宋体" w:cs="Times New Roman"/>
              <w:bCs/>
              <w:snapToGrid w:val="0"/>
              <w:kern w:val="0"/>
              <w:sz w:val="24"/>
              <w:szCs w:val="24"/>
            </w:rPr>
            <w:t xml:space="preserve"> </w:t>
          </w:r>
          <w:r>
            <w:rPr>
              <w:rFonts w:hint="default" w:ascii="Times New Roman" w:hAnsi="Times New Roman" w:eastAsia="宋体" w:cs="Times New Roman"/>
              <w:bCs/>
              <w:snapToGrid w:val="0"/>
              <w:kern w:val="0"/>
              <w:sz w:val="24"/>
              <w:szCs w:val="24"/>
              <w:lang w:val="en-US" w:eastAsia="zh-CN"/>
            </w:rPr>
            <w:t>周边主要声源调查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_Toc17857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_Toc32641 </w:instrText>
          </w:r>
          <w:r>
            <w:rPr>
              <w:rFonts w:hint="default" w:ascii="Times New Roman" w:hAnsi="Times New Roman" w:cs="Times New Roman"/>
              <w:bCs/>
              <w:kern w:val="44"/>
              <w:sz w:val="24"/>
              <w:szCs w:val="24"/>
            </w:rPr>
            <w:fldChar w:fldCharType="separate"/>
          </w:r>
          <w:r>
            <w:rPr>
              <w:rFonts w:hint="default" w:ascii="Times New Roman" w:hAnsi="Times New Roman" w:eastAsia="黑体" w:cs="Times New Roman"/>
              <w:bCs/>
              <w:snapToGrid w:val="0"/>
              <w:kern w:val="0"/>
              <w:sz w:val="24"/>
              <w:szCs w:val="24"/>
            </w:rPr>
            <w:t>3.</w:t>
          </w:r>
          <w:r>
            <w:rPr>
              <w:rFonts w:hint="default" w:ascii="Times New Roman" w:hAnsi="Times New Roman" w:eastAsia="黑体" w:cs="Times New Roman"/>
              <w:bCs/>
              <w:snapToGrid w:val="0"/>
              <w:kern w:val="0"/>
              <w:sz w:val="24"/>
              <w:szCs w:val="24"/>
              <w:lang w:val="en-US" w:eastAsia="zh-CN"/>
            </w:rPr>
            <w:t>3</w:t>
          </w:r>
          <w:r>
            <w:rPr>
              <w:rFonts w:hint="default" w:ascii="Times New Roman" w:hAnsi="Times New Roman" w:eastAsia="黑体" w:cs="Times New Roman"/>
              <w:bCs/>
              <w:snapToGrid w:val="0"/>
              <w:kern w:val="0"/>
              <w:sz w:val="24"/>
              <w:szCs w:val="24"/>
            </w:rPr>
            <w:t xml:space="preserve"> </w:t>
          </w:r>
          <w:r>
            <w:rPr>
              <w:rFonts w:hint="default" w:ascii="Times New Roman" w:hAnsi="Times New Roman" w:cs="Times New Roman"/>
              <w:bCs/>
              <w:snapToGrid w:val="0"/>
              <w:kern w:val="0"/>
              <w:sz w:val="24"/>
              <w:szCs w:val="24"/>
            </w:rPr>
            <w:t>声环境质量现状监测</w:t>
          </w:r>
          <w:r>
            <w:rPr>
              <w:rFonts w:hint="default" w:ascii="Times New Roman" w:hAnsi="Times New Roman" w:cs="Times New Roman"/>
              <w:bCs/>
              <w:snapToGrid w:val="0"/>
              <w:kern w:val="0"/>
              <w:sz w:val="24"/>
              <w:szCs w:val="24"/>
              <w:lang w:val="en-US" w:eastAsia="zh-CN"/>
            </w:rPr>
            <w:t>与评价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64"/>
            <w:tabs>
              <w:tab w:val="right" w:leader="dot" w:pos="9071"/>
            </w:tabs>
            <w:rPr>
              <w:rFonts w:hint="default" w:ascii="Times New Roman" w:hAnsi="Times New Roman" w:cs="Times New Roman"/>
              <w:b/>
              <w:sz w:val="24"/>
              <w:szCs w:val="24"/>
            </w:rPr>
          </w:pPr>
          <w:r>
            <w:rPr>
              <w:rFonts w:hint="default" w:ascii="Times New Roman" w:hAnsi="Times New Roman" w:cs="Times New Roman"/>
              <w:b/>
              <w:bCs/>
              <w:kern w:val="44"/>
              <w:sz w:val="24"/>
              <w:szCs w:val="24"/>
            </w:rPr>
            <w:fldChar w:fldCharType="begin"/>
          </w:r>
          <w:r>
            <w:rPr>
              <w:rFonts w:hint="default" w:ascii="Times New Roman" w:hAnsi="Times New Roman" w:cs="Times New Roman"/>
              <w:b/>
              <w:bCs/>
              <w:kern w:val="44"/>
              <w:sz w:val="24"/>
              <w:szCs w:val="24"/>
            </w:rPr>
            <w:instrText xml:space="preserve"> HYPERLINK \l _Toc19134 </w:instrText>
          </w:r>
          <w:r>
            <w:rPr>
              <w:rFonts w:hint="default" w:ascii="Times New Roman" w:hAnsi="Times New Roman" w:cs="Times New Roman"/>
              <w:b/>
              <w:bCs/>
              <w:kern w:val="44"/>
              <w:sz w:val="24"/>
              <w:szCs w:val="24"/>
            </w:rPr>
            <w:fldChar w:fldCharType="separate"/>
          </w:r>
          <w:r>
            <w:rPr>
              <w:rFonts w:hint="default" w:ascii="Times New Roman" w:hAnsi="Times New Roman" w:cs="Times New Roman"/>
              <w:b/>
              <w:bCs/>
              <w:kern w:val="44"/>
              <w:sz w:val="24"/>
              <w:szCs w:val="24"/>
            </w:rPr>
            <w:t>4 声环境影响预测和评价</w:t>
          </w:r>
          <w:r>
            <w:rPr>
              <w:rFonts w:hint="default" w:ascii="Times New Roman" w:hAnsi="Times New Roman" w:cs="Times New Roman"/>
              <w:b/>
              <w:sz w:val="24"/>
              <w:szCs w:val="24"/>
            </w:rPr>
            <w:tab/>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PAGEREF _Toc19134 \h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12</w:t>
          </w:r>
          <w:r>
            <w:rPr>
              <w:rFonts w:hint="default" w:ascii="Times New Roman" w:hAnsi="Times New Roman" w:cs="Times New Roman"/>
              <w:b/>
              <w:sz w:val="24"/>
              <w:szCs w:val="24"/>
            </w:rPr>
            <w:fldChar w:fldCharType="end"/>
          </w:r>
          <w:r>
            <w:rPr>
              <w:rFonts w:hint="default" w:ascii="Times New Roman" w:hAnsi="Times New Roman" w:cs="Times New Roman"/>
              <w:b/>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_Toc11560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rPr>
            <w:t>4.1 施工期声环境影响分析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_Toc11560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_Toc10395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rPr>
            <w:t>4.2运营期声环境影响分析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_Toc10395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64"/>
            <w:tabs>
              <w:tab w:val="right" w:leader="dot" w:pos="9071"/>
            </w:tabs>
            <w:rPr>
              <w:rFonts w:hint="default" w:ascii="Times New Roman" w:hAnsi="Times New Roman" w:cs="Times New Roman"/>
              <w:b/>
              <w:sz w:val="24"/>
              <w:szCs w:val="24"/>
            </w:rPr>
          </w:pPr>
          <w:r>
            <w:rPr>
              <w:rFonts w:hint="default" w:ascii="Times New Roman" w:hAnsi="Times New Roman" w:cs="Times New Roman"/>
              <w:b/>
              <w:bCs/>
              <w:kern w:val="44"/>
              <w:sz w:val="24"/>
              <w:szCs w:val="24"/>
            </w:rPr>
            <w:fldChar w:fldCharType="begin"/>
          </w:r>
          <w:r>
            <w:rPr>
              <w:rFonts w:hint="default" w:ascii="Times New Roman" w:hAnsi="Times New Roman" w:cs="Times New Roman"/>
              <w:b/>
              <w:bCs/>
              <w:kern w:val="44"/>
              <w:sz w:val="24"/>
              <w:szCs w:val="24"/>
            </w:rPr>
            <w:instrText xml:space="preserve"> HYPERLINK \l _Toc3488 </w:instrText>
          </w:r>
          <w:r>
            <w:rPr>
              <w:rFonts w:hint="default" w:ascii="Times New Roman" w:hAnsi="Times New Roman" w:cs="Times New Roman"/>
              <w:b/>
              <w:bCs/>
              <w:kern w:val="44"/>
              <w:sz w:val="24"/>
              <w:szCs w:val="24"/>
            </w:rPr>
            <w:fldChar w:fldCharType="separate"/>
          </w:r>
          <w:r>
            <w:rPr>
              <w:rFonts w:hint="default" w:ascii="Times New Roman" w:hAnsi="Times New Roman" w:cs="Times New Roman"/>
              <w:b/>
              <w:bCs/>
              <w:kern w:val="44"/>
              <w:sz w:val="24"/>
              <w:szCs w:val="24"/>
            </w:rPr>
            <w:t>5 噪声影响防治措施</w:t>
          </w:r>
          <w:r>
            <w:rPr>
              <w:rFonts w:hint="default" w:ascii="Times New Roman" w:hAnsi="Times New Roman" w:cs="Times New Roman"/>
              <w:b/>
              <w:sz w:val="24"/>
              <w:szCs w:val="24"/>
            </w:rPr>
            <w:tab/>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PAGEREF _Toc3488 \h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24</w:t>
          </w:r>
          <w:r>
            <w:rPr>
              <w:rFonts w:hint="default" w:ascii="Times New Roman" w:hAnsi="Times New Roman" w:cs="Times New Roman"/>
              <w:b/>
              <w:sz w:val="24"/>
              <w:szCs w:val="24"/>
            </w:rPr>
            <w:fldChar w:fldCharType="end"/>
          </w:r>
          <w:r>
            <w:rPr>
              <w:rFonts w:hint="default" w:ascii="Times New Roman" w:hAnsi="Times New Roman" w:cs="Times New Roman"/>
              <w:b/>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_Toc16407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rPr>
            <w:t>5.1 施工期声环境污染防治措施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_Toc16407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_Toc16238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rPr>
            <w:t>5.2 营运期声环境污染防治措施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_Toc16238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25</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64"/>
            <w:tabs>
              <w:tab w:val="right" w:leader="dot" w:pos="9071"/>
            </w:tabs>
            <w:rPr>
              <w:rFonts w:hint="default" w:ascii="Times New Roman" w:hAnsi="Times New Roman" w:cs="Times New Roman"/>
              <w:b/>
              <w:sz w:val="24"/>
              <w:szCs w:val="24"/>
            </w:rPr>
          </w:pPr>
          <w:r>
            <w:rPr>
              <w:rFonts w:hint="default" w:ascii="Times New Roman" w:hAnsi="Times New Roman" w:cs="Times New Roman"/>
              <w:b/>
              <w:bCs/>
              <w:kern w:val="44"/>
              <w:sz w:val="24"/>
              <w:szCs w:val="24"/>
            </w:rPr>
            <w:fldChar w:fldCharType="begin"/>
          </w:r>
          <w:r>
            <w:rPr>
              <w:rFonts w:hint="default" w:ascii="Times New Roman" w:hAnsi="Times New Roman" w:cs="Times New Roman"/>
              <w:b/>
              <w:bCs/>
              <w:kern w:val="44"/>
              <w:sz w:val="24"/>
              <w:szCs w:val="24"/>
            </w:rPr>
            <w:instrText xml:space="preserve"> HYPERLINK \l _Toc14623 </w:instrText>
          </w:r>
          <w:r>
            <w:rPr>
              <w:rFonts w:hint="default" w:ascii="Times New Roman" w:hAnsi="Times New Roman" w:cs="Times New Roman"/>
              <w:b/>
              <w:bCs/>
              <w:kern w:val="44"/>
              <w:sz w:val="24"/>
              <w:szCs w:val="24"/>
            </w:rPr>
            <w:fldChar w:fldCharType="separate"/>
          </w:r>
          <w:r>
            <w:rPr>
              <w:rFonts w:hint="default" w:ascii="Times New Roman" w:hAnsi="Times New Roman" w:cs="Times New Roman"/>
              <w:b/>
              <w:bCs/>
              <w:kern w:val="44"/>
              <w:sz w:val="24"/>
              <w:szCs w:val="24"/>
            </w:rPr>
            <w:t>6环境管理监测计划</w:t>
          </w:r>
          <w:r>
            <w:rPr>
              <w:rFonts w:hint="default" w:ascii="Times New Roman" w:hAnsi="Times New Roman" w:cs="Times New Roman"/>
              <w:b/>
              <w:sz w:val="24"/>
              <w:szCs w:val="24"/>
            </w:rPr>
            <w:tab/>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PAGEREF _Toc14623 \h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27</w:t>
          </w:r>
          <w:r>
            <w:rPr>
              <w:rFonts w:hint="default" w:ascii="Times New Roman" w:hAnsi="Times New Roman" w:cs="Times New Roman"/>
              <w:b/>
              <w:sz w:val="24"/>
              <w:szCs w:val="24"/>
            </w:rPr>
            <w:fldChar w:fldCharType="end"/>
          </w:r>
          <w:r>
            <w:rPr>
              <w:rFonts w:hint="default" w:ascii="Times New Roman" w:hAnsi="Times New Roman" w:cs="Times New Roman"/>
              <w:b/>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_Toc28958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6.1环境管理体制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_Toc30049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6.2环境管理机构设置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_Toc30049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_Toc20872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6.3环境管理专员职责</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_Toc20872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_Toc31023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6.4环境管理措施与环保行动计划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_Toc31023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_Toc10515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napToGrid w:val="0"/>
              <w:kern w:val="0"/>
              <w:sz w:val="24"/>
              <w:szCs w:val="24"/>
            </w:rPr>
            <w:t>6.5环境监测计划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_Toc10515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64"/>
            <w:tabs>
              <w:tab w:val="right" w:leader="dot" w:pos="9071"/>
            </w:tabs>
            <w:rPr>
              <w:rFonts w:hint="default" w:ascii="Times New Roman" w:hAnsi="Times New Roman" w:cs="Times New Roman"/>
              <w:b/>
              <w:sz w:val="24"/>
              <w:szCs w:val="24"/>
            </w:rPr>
          </w:pPr>
          <w:r>
            <w:rPr>
              <w:rFonts w:hint="default" w:ascii="Times New Roman" w:hAnsi="Times New Roman" w:cs="Times New Roman"/>
              <w:b/>
              <w:bCs/>
              <w:kern w:val="44"/>
              <w:sz w:val="24"/>
              <w:szCs w:val="24"/>
            </w:rPr>
            <w:fldChar w:fldCharType="begin"/>
          </w:r>
          <w:r>
            <w:rPr>
              <w:rFonts w:hint="default" w:ascii="Times New Roman" w:hAnsi="Times New Roman" w:cs="Times New Roman"/>
              <w:b/>
              <w:bCs/>
              <w:kern w:val="44"/>
              <w:sz w:val="24"/>
              <w:szCs w:val="24"/>
            </w:rPr>
            <w:instrText xml:space="preserve"> HYPERLINK \l _Toc21323 </w:instrText>
          </w:r>
          <w:r>
            <w:rPr>
              <w:rFonts w:hint="default" w:ascii="Times New Roman" w:hAnsi="Times New Roman" w:cs="Times New Roman"/>
              <w:b/>
              <w:bCs/>
              <w:kern w:val="44"/>
              <w:sz w:val="24"/>
              <w:szCs w:val="24"/>
            </w:rPr>
            <w:fldChar w:fldCharType="separate"/>
          </w:r>
          <w:r>
            <w:rPr>
              <w:rFonts w:hint="default" w:ascii="Times New Roman" w:hAnsi="Times New Roman" w:cs="Times New Roman"/>
              <w:b/>
              <w:bCs/>
              <w:kern w:val="44"/>
              <w:sz w:val="24"/>
              <w:szCs w:val="24"/>
              <w:lang w:val="en-US" w:eastAsia="zh-CN"/>
            </w:rPr>
            <w:t>7</w:t>
          </w:r>
          <w:r>
            <w:rPr>
              <w:rFonts w:hint="default" w:ascii="Times New Roman" w:hAnsi="Times New Roman" w:cs="Times New Roman"/>
              <w:b/>
              <w:bCs/>
              <w:kern w:val="44"/>
              <w:sz w:val="24"/>
              <w:szCs w:val="24"/>
            </w:rPr>
            <w:t xml:space="preserve"> 声环境评价结论</w:t>
          </w:r>
          <w:r>
            <w:rPr>
              <w:rFonts w:hint="default" w:ascii="Times New Roman" w:hAnsi="Times New Roman" w:cs="Times New Roman"/>
              <w:b/>
              <w:sz w:val="24"/>
              <w:szCs w:val="24"/>
            </w:rPr>
            <w:tab/>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PAGEREF _Toc21323 \h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28</w:t>
          </w:r>
          <w:r>
            <w:rPr>
              <w:rFonts w:hint="default" w:ascii="Times New Roman" w:hAnsi="Times New Roman" w:cs="Times New Roman"/>
              <w:b/>
              <w:sz w:val="24"/>
              <w:szCs w:val="24"/>
            </w:rPr>
            <w:fldChar w:fldCharType="end"/>
          </w:r>
          <w:r>
            <w:rPr>
              <w:rFonts w:hint="default" w:ascii="Times New Roman" w:hAnsi="Times New Roman" w:cs="Times New Roman"/>
              <w:b/>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_Toc23459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lang w:val="en-US" w:eastAsia="zh-CN"/>
            </w:rPr>
            <w:t>7</w:t>
          </w:r>
          <w:r>
            <w:rPr>
              <w:rFonts w:hint="default" w:ascii="Times New Roman" w:hAnsi="Times New Roman" w:cs="Times New Roman"/>
              <w:bCs/>
              <w:sz w:val="24"/>
              <w:szCs w:val="24"/>
            </w:rPr>
            <w:t>.1 声环境质量现状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_Toc23459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_Toc20364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lang w:val="en-US" w:eastAsia="zh-CN"/>
            </w:rPr>
            <w:t>7</w:t>
          </w:r>
          <w:r>
            <w:rPr>
              <w:rFonts w:hint="default" w:ascii="Times New Roman" w:hAnsi="Times New Roman" w:cs="Times New Roman"/>
              <w:bCs/>
              <w:sz w:val="24"/>
              <w:szCs w:val="24"/>
            </w:rPr>
            <w:t>.2 声环境影响分析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_Toc23232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lang w:val="en-US" w:eastAsia="zh-CN"/>
            </w:rPr>
            <w:t>7</w:t>
          </w:r>
          <w:r>
            <w:rPr>
              <w:rFonts w:hint="default" w:ascii="Times New Roman" w:hAnsi="Times New Roman" w:cs="Times New Roman"/>
              <w:bCs/>
              <w:sz w:val="24"/>
              <w:szCs w:val="24"/>
            </w:rPr>
            <w:t>.3声环境保护措施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_Toc23232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29</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88"/>
            <w:tabs>
              <w:tab w:val="right" w:leader="dot" w:pos="9071"/>
            </w:tabs>
            <w:rPr>
              <w:rFonts w:hint="default" w:ascii="Times New Roman" w:hAnsi="Times New Roman" w:cs="Times New Roman"/>
              <w:sz w:val="24"/>
              <w:szCs w:val="24"/>
            </w:rPr>
          </w:pPr>
          <w:r>
            <w:rPr>
              <w:rFonts w:hint="default" w:ascii="Times New Roman" w:hAnsi="Times New Roman" w:cs="Times New Roman"/>
              <w:bCs/>
              <w:kern w:val="44"/>
              <w:sz w:val="24"/>
              <w:szCs w:val="24"/>
            </w:rPr>
            <w:fldChar w:fldCharType="begin"/>
          </w:r>
          <w:r>
            <w:rPr>
              <w:rFonts w:hint="default" w:ascii="Times New Roman" w:hAnsi="Times New Roman" w:cs="Times New Roman"/>
              <w:bCs/>
              <w:kern w:val="44"/>
              <w:sz w:val="24"/>
              <w:szCs w:val="24"/>
            </w:rPr>
            <w:instrText xml:space="preserve"> HYPERLINK \l _Toc6093 </w:instrText>
          </w:r>
          <w:r>
            <w:rPr>
              <w:rFonts w:hint="default" w:ascii="Times New Roman" w:hAnsi="Times New Roman" w:cs="Times New Roman"/>
              <w:bCs/>
              <w:kern w:val="44"/>
              <w:sz w:val="24"/>
              <w:szCs w:val="24"/>
            </w:rPr>
            <w:fldChar w:fldCharType="separate"/>
          </w:r>
          <w:r>
            <w:rPr>
              <w:rFonts w:hint="default" w:ascii="Times New Roman" w:hAnsi="Times New Roman" w:cs="Times New Roman"/>
              <w:bCs/>
              <w:sz w:val="24"/>
              <w:szCs w:val="24"/>
              <w:lang w:val="en-US" w:eastAsia="zh-CN"/>
            </w:rPr>
            <w:t>7</w:t>
          </w:r>
          <w:r>
            <w:rPr>
              <w:rFonts w:hint="default" w:ascii="Times New Roman" w:hAnsi="Times New Roman" w:cs="Times New Roman"/>
              <w:bCs/>
              <w:sz w:val="24"/>
              <w:szCs w:val="24"/>
            </w:rPr>
            <w:t>.4声环境影响结论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_Toc6093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cs="Times New Roman"/>
              <w:bCs/>
              <w:kern w:val="44"/>
              <w:sz w:val="24"/>
              <w:szCs w:val="24"/>
            </w:rPr>
            <w:fldChar w:fldCharType="end"/>
          </w:r>
        </w:p>
        <w:p>
          <w:pPr>
            <w:pStyle w:val="64"/>
            <w:tabs>
              <w:tab w:val="right" w:leader="dot" w:pos="9071"/>
            </w:tabs>
            <w:rPr>
              <w:rFonts w:hint="default" w:ascii="Times New Roman" w:hAnsi="Times New Roman" w:cs="Times New Roman"/>
              <w:b/>
              <w:sz w:val="24"/>
              <w:szCs w:val="24"/>
            </w:rPr>
          </w:pPr>
          <w:r>
            <w:rPr>
              <w:rFonts w:hint="default" w:ascii="Times New Roman" w:hAnsi="Times New Roman" w:cs="Times New Roman"/>
              <w:b/>
              <w:bCs/>
              <w:kern w:val="44"/>
              <w:sz w:val="24"/>
              <w:szCs w:val="24"/>
            </w:rPr>
            <w:fldChar w:fldCharType="begin"/>
          </w:r>
          <w:r>
            <w:rPr>
              <w:rFonts w:hint="default" w:ascii="Times New Roman" w:hAnsi="Times New Roman" w:cs="Times New Roman"/>
              <w:b/>
              <w:bCs/>
              <w:kern w:val="44"/>
              <w:sz w:val="24"/>
              <w:szCs w:val="24"/>
            </w:rPr>
            <w:instrText xml:space="preserve"> HYPERLINK \l _Toc3489 </w:instrText>
          </w:r>
          <w:r>
            <w:rPr>
              <w:rFonts w:hint="default" w:ascii="Times New Roman" w:hAnsi="Times New Roman" w:cs="Times New Roman"/>
              <w:b/>
              <w:bCs/>
              <w:kern w:val="44"/>
              <w:sz w:val="24"/>
              <w:szCs w:val="24"/>
            </w:rPr>
            <w:fldChar w:fldCharType="separate"/>
          </w:r>
          <w:r>
            <w:rPr>
              <w:rFonts w:hint="default" w:ascii="Times New Roman" w:hAnsi="Times New Roman" w:cs="Times New Roman"/>
              <w:b/>
              <w:bCs/>
              <w:snapToGrid w:val="0"/>
              <w:sz w:val="24"/>
              <w:szCs w:val="24"/>
              <w:lang w:val="en-US" w:eastAsia="zh-CN"/>
            </w:rPr>
            <w:t>附表1：声环境影响评价自查表</w:t>
          </w:r>
          <w:r>
            <w:rPr>
              <w:rFonts w:hint="default" w:ascii="Times New Roman" w:hAnsi="Times New Roman" w:cs="Times New Roman"/>
              <w:b/>
              <w:sz w:val="24"/>
              <w:szCs w:val="24"/>
            </w:rPr>
            <w:tab/>
          </w:r>
          <w:r>
            <w:rPr>
              <w:rFonts w:hint="default" w:ascii="Times New Roman" w:hAnsi="Times New Roman" w:cs="Times New Roman"/>
              <w:b/>
              <w:sz w:val="24"/>
              <w:szCs w:val="24"/>
            </w:rPr>
            <w:fldChar w:fldCharType="begin"/>
          </w:r>
          <w:r>
            <w:rPr>
              <w:rFonts w:hint="default" w:ascii="Times New Roman" w:hAnsi="Times New Roman" w:cs="Times New Roman"/>
              <w:b/>
              <w:sz w:val="24"/>
              <w:szCs w:val="24"/>
            </w:rPr>
            <w:instrText xml:space="preserve"> PAGEREF _Toc3489 \h </w:instrText>
          </w:r>
          <w:r>
            <w:rPr>
              <w:rFonts w:hint="default" w:ascii="Times New Roman" w:hAnsi="Times New Roman" w:cs="Times New Roman"/>
              <w:b/>
              <w:sz w:val="24"/>
              <w:szCs w:val="24"/>
            </w:rPr>
            <w:fldChar w:fldCharType="separate"/>
          </w:r>
          <w:r>
            <w:rPr>
              <w:rFonts w:hint="default" w:ascii="Times New Roman" w:hAnsi="Times New Roman" w:cs="Times New Roman"/>
              <w:b/>
              <w:sz w:val="24"/>
              <w:szCs w:val="24"/>
            </w:rPr>
            <w:t>31</w:t>
          </w:r>
          <w:r>
            <w:rPr>
              <w:rFonts w:hint="default" w:ascii="Times New Roman" w:hAnsi="Times New Roman" w:cs="Times New Roman"/>
              <w:b/>
              <w:sz w:val="24"/>
              <w:szCs w:val="24"/>
            </w:rPr>
            <w:fldChar w:fldCharType="end"/>
          </w:r>
          <w:r>
            <w:rPr>
              <w:rFonts w:hint="default" w:ascii="Times New Roman" w:hAnsi="Times New Roman" w:cs="Times New Roman"/>
              <w:b/>
              <w:bCs/>
              <w:kern w:val="44"/>
              <w:sz w:val="24"/>
              <w:szCs w:val="24"/>
            </w:rPr>
            <w:fldChar w:fldCharType="end"/>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kern w:val="44"/>
              <w:sz w:val="21"/>
              <w:szCs w:val="24"/>
              <w:lang w:val="en-US" w:eastAsia="zh-CN" w:bidi="ar-SA"/>
            </w:rPr>
          </w:pPr>
          <w:r>
            <w:rPr>
              <w:rFonts w:hint="default" w:ascii="Times New Roman" w:hAnsi="Times New Roman" w:cs="Times New Roman"/>
              <w:b/>
              <w:bCs/>
              <w:kern w:val="44"/>
            </w:rPr>
            <w:fldChar w:fldCharType="end"/>
          </w:r>
        </w:p>
      </w:sdtContent>
    </w:sdt>
    <w:p>
      <w:pPr>
        <w:keepNext/>
        <w:keepLines/>
        <w:spacing w:line="360" w:lineRule="auto"/>
        <w:jc w:val="both"/>
        <w:outlineLvl w:val="9"/>
        <w:rPr>
          <w:rFonts w:hint="default" w:ascii="Times New Roman" w:hAnsi="Times New Roman" w:cs="Times New Roman"/>
          <w:b/>
          <w:bCs/>
          <w:kern w:val="44"/>
          <w:sz w:val="32"/>
        </w:rPr>
        <w:sectPr>
          <w:footerReference r:id="rId10" w:type="default"/>
          <w:pgSz w:w="11905"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26" w:charSpace="0"/>
        </w:sectPr>
      </w:pPr>
    </w:p>
    <w:p>
      <w:pPr>
        <w:keepNext/>
        <w:keepLines/>
        <w:spacing w:line="360" w:lineRule="auto"/>
        <w:outlineLvl w:val="0"/>
        <w:rPr>
          <w:rFonts w:hint="default" w:ascii="Times New Roman" w:hAnsi="Times New Roman" w:cs="Times New Roman"/>
          <w:b/>
          <w:bCs/>
          <w:kern w:val="44"/>
          <w:sz w:val="32"/>
        </w:rPr>
      </w:pPr>
      <w:bookmarkStart w:id="116" w:name="_Toc32534"/>
      <w:bookmarkStart w:id="117" w:name="_Toc2752"/>
      <w:bookmarkStart w:id="118" w:name="_Toc18950"/>
      <w:r>
        <w:rPr>
          <w:rFonts w:hint="default" w:ascii="Times New Roman" w:hAnsi="Times New Roman" w:cs="Times New Roman"/>
          <w:b/>
          <w:bCs/>
          <w:kern w:val="44"/>
          <w:sz w:val="32"/>
        </w:rPr>
        <w:t>1 总论</w:t>
      </w:r>
      <w:bookmarkEnd w:id="115"/>
      <w:bookmarkEnd w:id="116"/>
      <w:bookmarkEnd w:id="117"/>
      <w:bookmarkEnd w:id="118"/>
    </w:p>
    <w:p>
      <w:pPr>
        <w:keepNext/>
        <w:keepLines/>
        <w:spacing w:line="360" w:lineRule="auto"/>
        <w:outlineLvl w:val="1"/>
        <w:rPr>
          <w:rFonts w:hint="default" w:ascii="Times New Roman" w:hAnsi="Times New Roman" w:cs="Times New Roman"/>
          <w:b/>
          <w:bCs/>
          <w:sz w:val="30"/>
          <w:szCs w:val="30"/>
        </w:rPr>
      </w:pPr>
      <w:bookmarkStart w:id="119" w:name="_Toc3407"/>
      <w:bookmarkStart w:id="120" w:name="_Toc26894"/>
      <w:bookmarkStart w:id="121" w:name="_Toc20990"/>
      <w:r>
        <w:rPr>
          <w:rFonts w:hint="default" w:ascii="Times New Roman" w:hAnsi="Times New Roman" w:cs="Times New Roman"/>
          <w:b/>
          <w:bCs/>
          <w:sz w:val="30"/>
          <w:szCs w:val="30"/>
        </w:rPr>
        <w:t>1.1 编制依据</w:t>
      </w:r>
      <w:bookmarkEnd w:id="119"/>
      <w:bookmarkEnd w:id="120"/>
      <w:bookmarkEnd w:id="121"/>
    </w:p>
    <w:p>
      <w:pPr>
        <w:keepNext/>
        <w:keepLines/>
        <w:spacing w:line="360" w:lineRule="auto"/>
        <w:outlineLvl w:val="2"/>
        <w:rPr>
          <w:rFonts w:hint="default" w:ascii="Times New Roman" w:hAnsi="Times New Roman" w:cs="Times New Roman"/>
          <w:b/>
          <w:bCs/>
          <w:sz w:val="28"/>
          <w:szCs w:val="28"/>
        </w:rPr>
      </w:pPr>
      <w:r>
        <w:rPr>
          <w:rFonts w:hint="default" w:ascii="Times New Roman" w:hAnsi="Times New Roman" w:cs="Times New Roman"/>
          <w:b/>
          <w:bCs/>
          <w:sz w:val="28"/>
          <w:szCs w:val="28"/>
        </w:rPr>
        <w:t>1.1.1 国家法律、法规</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（1）《中华人民共和国环境保护法(修订)》，2015年1月1日起施行；</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（2）《中华人民共和国环境影响评价法(修订)》，2016年9月1日起施行；</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（3）《中华人民共和国环境噪声污染防治法》（2018年12月29日修订）；</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（4）《建设项目环境保护管理条例》，国务院令682号，2017年10月1日起施行。</w:t>
      </w:r>
    </w:p>
    <w:p>
      <w:pPr>
        <w:spacing w:line="360" w:lineRule="auto"/>
        <w:outlineLvl w:val="2"/>
        <w:rPr>
          <w:rFonts w:hint="default" w:ascii="Times New Roman" w:hAnsi="Times New Roman" w:cs="Times New Roman"/>
          <w:b/>
          <w:bCs/>
          <w:sz w:val="28"/>
          <w:szCs w:val="28"/>
        </w:rPr>
      </w:pPr>
      <w:r>
        <w:rPr>
          <w:rFonts w:hint="default" w:ascii="Times New Roman" w:hAnsi="Times New Roman" w:cs="Times New Roman"/>
          <w:b/>
          <w:bCs/>
          <w:sz w:val="28"/>
          <w:szCs w:val="28"/>
        </w:rPr>
        <w:t>1.1.2 规章及规范性文件</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（1）《建设项目环境影响评价分类管理名录》（2021年版）；</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（2）《关于公路、铁路(含轻轨)等建设项目环境影响评价中环境噪声有关问题的通知》环发[2003]94号；</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（3）《关于开展交通工程环境监理工作的通知》 交通部交环发[2004]314号，2004.6.15；</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（4）国家环境保护总局、国家发展和改革委员会、交通部《关于加强公路规划和建设环境影响评价工作的通知》（环发[2007]184号）；</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（5）《地面交通噪声污染防治技术政策》</w:t>
      </w:r>
      <w:r>
        <w:rPr>
          <w:rFonts w:hint="eastAsia" w:cs="Times New Roman"/>
          <w:sz w:val="24"/>
          <w:lang w:eastAsia="zh-CN"/>
        </w:rPr>
        <w:t>生态环境部</w:t>
      </w:r>
      <w:bookmarkStart w:id="313" w:name="_GoBack"/>
      <w:bookmarkEnd w:id="313"/>
      <w:r>
        <w:rPr>
          <w:rFonts w:hint="default" w:ascii="Times New Roman" w:hAnsi="Times New Roman" w:cs="Times New Roman"/>
          <w:sz w:val="24"/>
        </w:rPr>
        <w:t>，环发[2010]7号，2010年1月11日。</w:t>
      </w:r>
    </w:p>
    <w:p>
      <w:pPr>
        <w:spacing w:line="360" w:lineRule="auto"/>
        <w:ind w:firstLine="48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6</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《关于加强城市建设项目环境影响评价监督管理工作的通知》（环办[2008]70号）</w:t>
      </w:r>
      <w:r>
        <w:rPr>
          <w:rFonts w:hint="eastAsia" w:ascii="Times New Roman" w:hAnsi="Times New Roman" w:eastAsia="宋体" w:cs="Times New Roman"/>
          <w:color w:val="auto"/>
          <w:sz w:val="24"/>
          <w:lang w:eastAsia="zh-CN"/>
        </w:rPr>
        <w:t>；</w:t>
      </w:r>
    </w:p>
    <w:p>
      <w:pPr>
        <w:spacing w:line="360" w:lineRule="auto"/>
        <w:ind w:firstLine="48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7</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《关于加强环境噪声污染防治工作改善城乡声环境质量的指导意见》（环发[2010]44号）</w:t>
      </w:r>
      <w:r>
        <w:rPr>
          <w:rFonts w:hint="eastAsia" w:ascii="Times New Roman" w:hAnsi="Times New Roman" w:eastAsia="宋体" w:cs="Times New Roman"/>
          <w:color w:val="auto"/>
          <w:sz w:val="24"/>
          <w:lang w:eastAsia="zh-CN"/>
        </w:rPr>
        <w:t>。</w:t>
      </w:r>
    </w:p>
    <w:p>
      <w:pPr>
        <w:spacing w:line="360" w:lineRule="auto"/>
        <w:ind w:firstLine="48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w:t>
      </w:r>
      <w:r>
        <w:rPr>
          <w:rFonts w:hint="eastAsia" w:cs="Times New Roman"/>
          <w:color w:val="auto"/>
          <w:sz w:val="24"/>
          <w:lang w:val="en-US" w:eastAsia="zh-CN"/>
        </w:rPr>
        <w:t>8</w:t>
      </w:r>
      <w:r>
        <w:rPr>
          <w:rFonts w:hint="eastAsia" w:ascii="Times New Roman" w:hAnsi="Times New Roman" w:eastAsia="宋体" w:cs="Times New Roman"/>
          <w:color w:val="auto"/>
          <w:sz w:val="24"/>
          <w:lang w:eastAsia="zh-CN"/>
        </w:rPr>
        <w:t>）</w:t>
      </w:r>
      <w:r>
        <w:rPr>
          <w:rFonts w:hint="eastAsia" w:cs="Times New Roman"/>
          <w:color w:val="auto"/>
          <w:sz w:val="24"/>
          <w:lang w:eastAsia="zh-CN"/>
        </w:rPr>
        <w:t>《</w:t>
      </w:r>
      <w:r>
        <w:rPr>
          <w:rFonts w:hint="default" w:ascii="Times New Roman" w:hAnsi="Times New Roman" w:eastAsia="宋体" w:cs="Times New Roman"/>
          <w:color w:val="auto"/>
          <w:sz w:val="24"/>
          <w:lang w:eastAsia="zh-CN"/>
        </w:rPr>
        <w:t>福清市人民政府办公室关于印发福清市城市建成区声环境功能区划的通知</w:t>
      </w:r>
      <w:r>
        <w:rPr>
          <w:rFonts w:hint="eastAsia" w:cs="Times New Roman"/>
          <w:color w:val="auto"/>
          <w:sz w:val="24"/>
          <w:lang w:eastAsia="zh-CN"/>
        </w:rPr>
        <w:t>》（</w:t>
      </w:r>
      <w:r>
        <w:rPr>
          <w:rFonts w:hint="default" w:ascii="Times New Roman" w:hAnsi="Times New Roman" w:eastAsia="宋体" w:cs="Times New Roman"/>
          <w:color w:val="auto"/>
          <w:sz w:val="24"/>
          <w:lang w:eastAsia="zh-CN"/>
        </w:rPr>
        <w:t>融政办〔2022〕48号</w:t>
      </w:r>
      <w:r>
        <w:rPr>
          <w:rFonts w:hint="eastAsia" w:cs="Times New Roman"/>
          <w:color w:val="auto"/>
          <w:sz w:val="24"/>
          <w:lang w:eastAsia="zh-CN"/>
        </w:rPr>
        <w:t>）。</w:t>
      </w:r>
    </w:p>
    <w:p>
      <w:pPr>
        <w:keepNext/>
        <w:keepLines/>
        <w:spacing w:line="360" w:lineRule="auto"/>
        <w:outlineLvl w:val="2"/>
        <w:rPr>
          <w:rFonts w:hint="default" w:ascii="Times New Roman" w:hAnsi="Times New Roman" w:cs="Times New Roman"/>
          <w:b/>
          <w:bCs/>
          <w:sz w:val="28"/>
          <w:szCs w:val="28"/>
        </w:rPr>
      </w:pPr>
      <w:r>
        <w:rPr>
          <w:rFonts w:hint="default" w:ascii="Times New Roman" w:hAnsi="Times New Roman" w:cs="Times New Roman"/>
          <w:b/>
          <w:bCs/>
          <w:sz w:val="28"/>
          <w:szCs w:val="28"/>
        </w:rPr>
        <w:t>1.1.3 技术依据</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（1）《建设项目环境影响评价技术导则 总纲》(HJ2.1-2016)；</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（2）《环境影响评价技术导则 声环境》(HJ2.4-2021)；</w:t>
      </w:r>
    </w:p>
    <w:p>
      <w:pPr>
        <w:spacing w:line="360" w:lineRule="auto"/>
        <w:ind w:firstLine="480"/>
        <w:rPr>
          <w:color w:val="auto"/>
          <w:sz w:val="24"/>
        </w:rPr>
      </w:pPr>
      <w:r>
        <w:rPr>
          <w:color w:val="auto"/>
          <w:sz w:val="24"/>
        </w:rPr>
        <w:t>（3）《</w:t>
      </w:r>
      <w:r>
        <w:rPr>
          <w:rFonts w:hint="eastAsia"/>
          <w:color w:val="auto"/>
          <w:sz w:val="24"/>
        </w:rPr>
        <w:t>环境影响评价技术导则</w:t>
      </w:r>
      <w:r>
        <w:rPr>
          <w:rFonts w:hint="eastAsia"/>
          <w:color w:val="auto"/>
          <w:sz w:val="24"/>
          <w:lang w:val="en-US" w:eastAsia="zh-CN"/>
        </w:rPr>
        <w:t xml:space="preserve"> </w:t>
      </w:r>
      <w:r>
        <w:rPr>
          <w:rFonts w:hint="eastAsia"/>
          <w:color w:val="auto"/>
          <w:sz w:val="24"/>
        </w:rPr>
        <w:t>公路建设项目</w:t>
      </w:r>
      <w:r>
        <w:rPr>
          <w:color w:val="auto"/>
          <w:sz w:val="24"/>
        </w:rPr>
        <w:t>》(</w:t>
      </w:r>
      <w:r>
        <w:rPr>
          <w:rFonts w:hint="eastAsia"/>
          <w:color w:val="auto"/>
          <w:sz w:val="24"/>
        </w:rPr>
        <w:t>HJ 1358-2024</w:t>
      </w:r>
      <w:r>
        <w:rPr>
          <w:color w:val="auto"/>
          <w:sz w:val="24"/>
        </w:rPr>
        <w:t>)；</w:t>
      </w:r>
    </w:p>
    <w:p>
      <w:pPr>
        <w:spacing w:line="360" w:lineRule="auto"/>
        <w:ind w:firstLine="480"/>
        <w:rPr>
          <w:color w:val="auto"/>
          <w:sz w:val="24"/>
        </w:rPr>
      </w:pPr>
      <w:r>
        <w:rPr>
          <w:color w:val="auto"/>
          <w:sz w:val="24"/>
        </w:rPr>
        <w:t>（4）《环境噪声与振动控制工程技术导则》(HJ2034-2013)；</w:t>
      </w:r>
    </w:p>
    <w:p>
      <w:pPr>
        <w:spacing w:line="360" w:lineRule="auto"/>
        <w:ind w:firstLine="480"/>
        <w:rPr>
          <w:rFonts w:hint="eastAsia" w:eastAsia="宋体"/>
          <w:color w:val="auto"/>
          <w:sz w:val="24"/>
          <w:lang w:eastAsia="zh-CN"/>
        </w:rPr>
      </w:pPr>
      <w:r>
        <w:rPr>
          <w:color w:val="auto"/>
          <w:sz w:val="24"/>
        </w:rPr>
        <w:t>（5）《声环境功能区划分技术规范》（GB/T15190-2014）</w:t>
      </w:r>
      <w:r>
        <w:rPr>
          <w:rFonts w:hint="eastAsia"/>
          <w:color w:val="auto"/>
          <w:sz w:val="24"/>
          <w:lang w:eastAsia="zh-CN"/>
        </w:rPr>
        <w:t>；</w:t>
      </w:r>
    </w:p>
    <w:p>
      <w:pPr>
        <w:spacing w:line="360" w:lineRule="auto"/>
        <w:ind w:firstLine="480"/>
        <w:rPr>
          <w:rFonts w:hint="eastAsia" w:ascii="Times New Roman" w:hAnsi="Times New Roman" w:eastAsia="宋体" w:cs="Times New Roman"/>
          <w:color w:val="auto"/>
          <w:sz w:val="24"/>
          <w:lang w:eastAsia="zh-CN"/>
        </w:rPr>
      </w:pPr>
      <w:r>
        <w:rPr>
          <w:color w:val="auto"/>
          <w:sz w:val="24"/>
        </w:rPr>
        <w:t>（</w:t>
      </w:r>
      <w:r>
        <w:rPr>
          <w:rFonts w:hint="eastAsia"/>
          <w:color w:val="auto"/>
          <w:sz w:val="24"/>
          <w:lang w:val="en-US" w:eastAsia="zh-CN"/>
        </w:rPr>
        <w:t>6</w:t>
      </w:r>
      <w:r>
        <w:rPr>
          <w:color w:val="auto"/>
          <w:sz w:val="24"/>
        </w:rPr>
        <w:t>）</w:t>
      </w:r>
      <w:r>
        <w:rPr>
          <w:rFonts w:ascii="Times New Roman" w:hAnsi="Times New Roman" w:eastAsia="宋体" w:cs="Times New Roman"/>
          <w:color w:val="auto"/>
          <w:sz w:val="24"/>
        </w:rPr>
        <w:t>《声环境质量标准》（GB3096-2008）</w:t>
      </w:r>
      <w:r>
        <w:rPr>
          <w:rFonts w:hint="eastAsia" w:ascii="Times New Roman" w:hAnsi="Times New Roman" w:eastAsia="宋体" w:cs="Times New Roman"/>
          <w:color w:val="auto"/>
          <w:sz w:val="24"/>
          <w:lang w:eastAsia="zh-CN"/>
        </w:rPr>
        <w:t>。</w:t>
      </w:r>
    </w:p>
    <w:p>
      <w:pPr>
        <w:adjustRightInd w:val="0"/>
        <w:snapToGrid w:val="0"/>
        <w:spacing w:before="120" w:beforeLines="50" w:after="120" w:afterLines="50" w:line="360" w:lineRule="auto"/>
        <w:outlineLvl w:val="1"/>
        <w:rPr>
          <w:rFonts w:hint="default" w:ascii="Times New Roman" w:hAnsi="Times New Roman" w:cs="Times New Roman"/>
          <w:b/>
          <w:bCs/>
          <w:snapToGrid w:val="0"/>
          <w:kern w:val="0"/>
          <w:sz w:val="30"/>
          <w:szCs w:val="30"/>
        </w:rPr>
      </w:pPr>
      <w:bookmarkStart w:id="122" w:name="_Toc21297"/>
      <w:bookmarkStart w:id="123" w:name="_Toc2720"/>
      <w:bookmarkStart w:id="124" w:name="_Toc100489330"/>
      <w:r>
        <w:rPr>
          <w:rFonts w:hint="default" w:ascii="Times New Roman" w:hAnsi="Times New Roman" w:cs="Times New Roman"/>
          <w:b/>
          <w:bCs/>
          <w:snapToGrid w:val="0"/>
          <w:kern w:val="0"/>
          <w:sz w:val="30"/>
          <w:szCs w:val="30"/>
        </w:rPr>
        <w:t>1.2 评价原则</w:t>
      </w:r>
      <w:bookmarkEnd w:id="122"/>
      <w:bookmarkEnd w:id="123"/>
      <w:bookmarkEnd w:id="124"/>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评价原则：以国家环境保护法律、法规为依据，以《环境影响评价技术导则声环境》（HJ2.4-2021）为指导并参照交通部颁布的《公路建设项目环境影响评价规范》，在明确服务于拟建项目的基础上，结合项目特点，充分利用已有资料，补充必要的现状监测，并结合项目工程设计和预测数据，预测项目的施工期及运行期对环境的影响，最后从方案合理、技术可行的角度提出相应的环保措施与建议。</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评价方法如下：</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（1）评价按路段进行，采取“以点为主，点段结合，反馈评价区域”的评价原则；</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（2）现状评价采用现场监测、调研统计分析等方法；</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（3）环境保护目标做逐点评价；</w:t>
      </w:r>
    </w:p>
    <w:p>
      <w:pPr>
        <w:adjustRightInd w:val="0"/>
        <w:snapToGrid w:val="0"/>
        <w:spacing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（4）具体对环境噪声采用模式计算法进行预测评价。</w:t>
      </w:r>
    </w:p>
    <w:p>
      <w:pPr>
        <w:adjustRightInd w:val="0"/>
        <w:snapToGrid w:val="0"/>
        <w:spacing w:before="120" w:beforeLines="50" w:after="120" w:afterLines="50" w:line="360" w:lineRule="auto"/>
        <w:outlineLvl w:val="1"/>
        <w:rPr>
          <w:rFonts w:hint="default" w:ascii="Times New Roman" w:hAnsi="Times New Roman" w:cs="Times New Roman"/>
          <w:b/>
          <w:bCs/>
          <w:snapToGrid w:val="0"/>
          <w:kern w:val="0"/>
          <w:sz w:val="30"/>
          <w:szCs w:val="30"/>
        </w:rPr>
      </w:pPr>
      <w:bookmarkStart w:id="125" w:name="_Toc100489331"/>
      <w:bookmarkStart w:id="126" w:name="_Toc19179"/>
      <w:bookmarkStart w:id="127" w:name="_Toc17718"/>
      <w:r>
        <w:rPr>
          <w:rFonts w:hint="default" w:ascii="Times New Roman" w:hAnsi="Times New Roman" w:cs="Times New Roman"/>
          <w:b/>
          <w:bCs/>
          <w:snapToGrid w:val="0"/>
          <w:kern w:val="0"/>
          <w:sz w:val="30"/>
          <w:szCs w:val="30"/>
        </w:rPr>
        <w:t>1.3 评价标准</w:t>
      </w:r>
      <w:bookmarkEnd w:id="125"/>
      <w:bookmarkEnd w:id="126"/>
      <w:bookmarkEnd w:id="127"/>
    </w:p>
    <w:p>
      <w:pPr>
        <w:keepNext/>
        <w:keepLines/>
        <w:spacing w:line="360" w:lineRule="auto"/>
        <w:outlineLvl w:val="2"/>
        <w:rPr>
          <w:rFonts w:hint="eastAsia" w:ascii="Times New Roman" w:hAnsi="Times New Roman" w:eastAsia="宋体" w:cs="Times New Roman"/>
          <w:color w:val="auto"/>
          <w:sz w:val="24"/>
          <w:lang w:val="en-US" w:eastAsia="zh-CN"/>
        </w:rPr>
      </w:pPr>
      <w:r>
        <w:rPr>
          <w:b/>
          <w:bCs/>
          <w:color w:val="auto"/>
          <w:sz w:val="28"/>
          <w:szCs w:val="28"/>
        </w:rPr>
        <w:t>1.</w:t>
      </w:r>
      <w:r>
        <w:rPr>
          <w:rFonts w:hint="eastAsia"/>
          <w:b/>
          <w:bCs/>
          <w:color w:val="auto"/>
          <w:sz w:val="28"/>
          <w:szCs w:val="28"/>
          <w:lang w:val="en-US" w:eastAsia="zh-CN"/>
        </w:rPr>
        <w:t>3.1</w:t>
      </w:r>
      <w:r>
        <w:rPr>
          <w:b/>
          <w:bCs/>
          <w:color w:val="auto"/>
          <w:sz w:val="28"/>
          <w:szCs w:val="28"/>
        </w:rPr>
        <w:t xml:space="preserve"> </w:t>
      </w:r>
      <w:r>
        <w:rPr>
          <w:rFonts w:hint="eastAsia"/>
          <w:b/>
          <w:bCs/>
          <w:color w:val="auto"/>
          <w:sz w:val="28"/>
          <w:szCs w:val="28"/>
          <w:lang w:val="en-US" w:eastAsia="zh-CN"/>
        </w:rPr>
        <w:t>区域声环境功能区划</w:t>
      </w:r>
    </w:p>
    <w:p>
      <w:pPr>
        <w:spacing w:line="360" w:lineRule="auto"/>
        <w:ind w:firstLine="42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福清市人民政府办公室于2022年08月09日印发《</w:t>
      </w:r>
      <w:r>
        <w:rPr>
          <w:rFonts w:hint="default" w:ascii="Times New Roman" w:hAnsi="Times New Roman" w:eastAsia="宋体" w:cs="Times New Roman"/>
          <w:color w:val="auto"/>
          <w:sz w:val="24"/>
          <w:lang w:val="en-US" w:eastAsia="zh-CN"/>
        </w:rPr>
        <w:t>福清市城市建成区声环境功能区划</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融政办〔2022〕48号</w:t>
      </w:r>
      <w:r>
        <w:rPr>
          <w:rFonts w:hint="eastAsia" w:ascii="Times New Roman" w:hAnsi="Times New Roman" w:eastAsia="宋体" w:cs="Times New Roman"/>
          <w:color w:val="auto"/>
          <w:sz w:val="24"/>
          <w:lang w:val="en-US" w:eastAsia="zh-CN"/>
        </w:rPr>
        <w:t>），方案部分节选见下表1.3-1，福清市</w:t>
      </w:r>
      <w:r>
        <w:rPr>
          <w:rFonts w:hint="default" w:ascii="Times New Roman" w:hAnsi="Times New Roman" w:eastAsia="宋体" w:cs="Times New Roman"/>
          <w:color w:val="auto"/>
          <w:sz w:val="24"/>
          <w:lang w:val="en-US" w:eastAsia="zh-CN"/>
        </w:rPr>
        <w:t>城市建成区</w:t>
      </w:r>
      <w:r>
        <w:rPr>
          <w:rFonts w:hint="eastAsia" w:ascii="Times New Roman" w:hAnsi="Times New Roman" w:eastAsia="宋体" w:cs="Times New Roman"/>
          <w:color w:val="auto"/>
          <w:sz w:val="24"/>
          <w:lang w:val="en-US" w:eastAsia="zh-CN"/>
        </w:rPr>
        <w:t>声环境功能区划图见附图</w:t>
      </w:r>
      <w:r>
        <w:rPr>
          <w:rFonts w:hint="eastAsia" w:cs="Times New Roman"/>
          <w:color w:val="auto"/>
          <w:sz w:val="24"/>
          <w:lang w:val="en-US" w:eastAsia="zh-CN"/>
        </w:rPr>
        <w:t>16</w:t>
      </w:r>
      <w:r>
        <w:rPr>
          <w:rFonts w:hint="eastAsia" w:ascii="Times New Roman" w:hAnsi="Times New Roman" w:eastAsia="宋体"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表1.3-1 福清市</w:t>
      </w:r>
      <w:r>
        <w:rPr>
          <w:rFonts w:hint="default" w:ascii="Times New Roman" w:hAnsi="Times New Roman" w:eastAsia="宋体" w:cs="Times New Roman"/>
          <w:b/>
          <w:bCs/>
          <w:color w:val="auto"/>
          <w:sz w:val="24"/>
          <w:lang w:val="en-US" w:eastAsia="zh-CN"/>
        </w:rPr>
        <w:t>城市建成区</w:t>
      </w:r>
      <w:r>
        <w:rPr>
          <w:rFonts w:hint="eastAsia" w:ascii="Times New Roman" w:hAnsi="Times New Roman" w:eastAsia="宋体" w:cs="Times New Roman"/>
          <w:b/>
          <w:bCs/>
          <w:color w:val="auto"/>
          <w:sz w:val="24"/>
          <w:lang w:val="en-US" w:eastAsia="zh-CN"/>
        </w:rPr>
        <w:t>声环境功能区划方案（节选）</w:t>
      </w:r>
    </w:p>
    <w:tbl>
      <w:tblPr>
        <w:tblStyle w:val="27"/>
        <w:tblW w:w="495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923"/>
        <w:gridCol w:w="1477"/>
        <w:gridCol w:w="4661"/>
        <w:gridCol w:w="11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4" w:type="pct"/>
            <w:noWrap w:val="0"/>
            <w:vAlign w:val="center"/>
          </w:tcPr>
          <w:p>
            <w:pPr>
              <w:pStyle w:val="23"/>
              <w:spacing w:before="0" w:after="0"/>
              <w:rPr>
                <w:rFonts w:hint="default" w:ascii="Times New Roman" w:hAnsi="Times New Roman" w:eastAsia="宋体" w:cs="Times New Roman"/>
                <w:b/>
                <w:bCs w:val="0"/>
                <w:color w:val="auto"/>
                <w:sz w:val="18"/>
                <w:szCs w:val="18"/>
                <w:lang w:val="en-US" w:eastAsia="zh-CN"/>
              </w:rPr>
            </w:pPr>
            <w:bookmarkStart w:id="128" w:name="_Toc30153"/>
            <w:bookmarkStart w:id="129" w:name="_Toc2942"/>
            <w:r>
              <w:rPr>
                <w:rFonts w:hint="default" w:ascii="Times New Roman" w:hAnsi="Times New Roman" w:eastAsia="宋体" w:cs="Times New Roman"/>
                <w:b/>
                <w:bCs w:val="0"/>
                <w:color w:val="auto"/>
                <w:sz w:val="18"/>
                <w:szCs w:val="18"/>
                <w:lang w:val="en-US" w:eastAsia="zh-CN"/>
              </w:rPr>
              <w:t>环境功能区类别</w:t>
            </w:r>
            <w:bookmarkEnd w:id="128"/>
            <w:bookmarkEnd w:id="129"/>
          </w:p>
        </w:tc>
        <w:tc>
          <w:tcPr>
            <w:tcW w:w="501" w:type="pct"/>
            <w:noWrap w:val="0"/>
            <w:vAlign w:val="center"/>
          </w:tcPr>
          <w:p>
            <w:pPr>
              <w:pStyle w:val="23"/>
              <w:spacing w:before="0" w:after="0"/>
              <w:rPr>
                <w:rFonts w:hint="default" w:ascii="Times New Roman" w:hAnsi="Times New Roman" w:eastAsia="宋体" w:cs="Times New Roman"/>
                <w:b/>
                <w:bCs w:val="0"/>
                <w:color w:val="auto"/>
                <w:sz w:val="18"/>
                <w:szCs w:val="18"/>
                <w:lang w:val="en-US" w:eastAsia="zh-CN"/>
              </w:rPr>
            </w:pPr>
            <w:bookmarkStart w:id="130" w:name="_Toc11280"/>
            <w:bookmarkStart w:id="131" w:name="_Toc11691"/>
            <w:r>
              <w:rPr>
                <w:rFonts w:hint="default" w:ascii="Times New Roman" w:hAnsi="Times New Roman" w:eastAsia="宋体" w:cs="Times New Roman"/>
                <w:b/>
                <w:bCs w:val="0"/>
                <w:color w:val="auto"/>
                <w:sz w:val="18"/>
                <w:szCs w:val="18"/>
                <w:lang w:val="en-US" w:eastAsia="zh-CN"/>
              </w:rPr>
              <w:t>范围</w:t>
            </w:r>
            <w:bookmarkEnd w:id="130"/>
            <w:bookmarkEnd w:id="131"/>
          </w:p>
        </w:tc>
        <w:tc>
          <w:tcPr>
            <w:tcW w:w="802" w:type="pct"/>
            <w:noWrap w:val="0"/>
            <w:vAlign w:val="center"/>
          </w:tcPr>
          <w:p>
            <w:pPr>
              <w:pStyle w:val="23"/>
              <w:spacing w:before="0" w:after="0"/>
              <w:rPr>
                <w:rFonts w:hint="default" w:ascii="Times New Roman" w:hAnsi="Times New Roman" w:eastAsia="宋体" w:cs="Times New Roman"/>
                <w:b/>
                <w:bCs w:val="0"/>
                <w:color w:val="auto"/>
                <w:sz w:val="18"/>
                <w:szCs w:val="18"/>
                <w:lang w:val="en-US" w:eastAsia="zh-CN"/>
              </w:rPr>
            </w:pPr>
            <w:bookmarkStart w:id="132" w:name="_Toc15551"/>
            <w:bookmarkStart w:id="133" w:name="_Toc22221"/>
            <w:r>
              <w:rPr>
                <w:rFonts w:hint="default" w:ascii="Times New Roman" w:hAnsi="Times New Roman" w:eastAsia="宋体" w:cs="Times New Roman"/>
                <w:b/>
                <w:bCs w:val="0"/>
                <w:color w:val="auto"/>
                <w:sz w:val="18"/>
                <w:szCs w:val="18"/>
                <w:lang w:val="en-US" w:eastAsia="zh-CN"/>
              </w:rPr>
              <w:t>边界</w:t>
            </w:r>
            <w:bookmarkEnd w:id="132"/>
            <w:bookmarkEnd w:id="133"/>
          </w:p>
        </w:tc>
        <w:tc>
          <w:tcPr>
            <w:tcW w:w="2532" w:type="pct"/>
            <w:noWrap w:val="0"/>
            <w:vAlign w:val="center"/>
          </w:tcPr>
          <w:p>
            <w:pPr>
              <w:pStyle w:val="23"/>
              <w:spacing w:before="0" w:after="0"/>
              <w:rPr>
                <w:rFonts w:hint="default" w:ascii="Times New Roman" w:hAnsi="Times New Roman" w:eastAsia="宋体" w:cs="Times New Roman"/>
                <w:b/>
                <w:bCs w:val="0"/>
                <w:color w:val="auto"/>
                <w:sz w:val="18"/>
                <w:szCs w:val="18"/>
                <w:lang w:val="en-US" w:eastAsia="zh-CN"/>
              </w:rPr>
            </w:pPr>
            <w:bookmarkStart w:id="134" w:name="_Toc17990"/>
            <w:bookmarkStart w:id="135" w:name="_Toc15662"/>
            <w:r>
              <w:rPr>
                <w:rFonts w:hint="default" w:ascii="Times New Roman" w:hAnsi="Times New Roman" w:eastAsia="宋体" w:cs="Times New Roman"/>
                <w:b/>
                <w:bCs w:val="0"/>
                <w:color w:val="auto"/>
                <w:sz w:val="18"/>
                <w:szCs w:val="18"/>
                <w:lang w:val="en-US" w:eastAsia="zh-CN"/>
              </w:rPr>
              <w:t>主要功能</w:t>
            </w:r>
            <w:bookmarkEnd w:id="134"/>
            <w:bookmarkEnd w:id="135"/>
          </w:p>
        </w:tc>
        <w:tc>
          <w:tcPr>
            <w:tcW w:w="608" w:type="pct"/>
            <w:noWrap w:val="0"/>
            <w:vAlign w:val="center"/>
          </w:tcPr>
          <w:p>
            <w:pPr>
              <w:pStyle w:val="23"/>
              <w:spacing w:before="0" w:after="0"/>
              <w:rPr>
                <w:rFonts w:hint="default" w:ascii="Times New Roman" w:hAnsi="Times New Roman" w:eastAsia="宋体" w:cs="Times New Roman"/>
                <w:b/>
                <w:bCs w:val="0"/>
                <w:color w:val="auto"/>
                <w:sz w:val="18"/>
                <w:szCs w:val="18"/>
                <w:lang w:val="en-US" w:eastAsia="zh-CN"/>
              </w:rPr>
            </w:pPr>
            <w:bookmarkStart w:id="136" w:name="_Toc13468"/>
            <w:bookmarkStart w:id="137" w:name="_Toc29295"/>
            <w:r>
              <w:rPr>
                <w:rFonts w:hint="default" w:ascii="Times New Roman" w:hAnsi="Times New Roman" w:eastAsia="宋体" w:cs="Times New Roman"/>
                <w:b/>
                <w:bCs w:val="0"/>
                <w:color w:val="auto"/>
                <w:sz w:val="18"/>
                <w:szCs w:val="18"/>
                <w:lang w:val="en-US" w:eastAsia="zh-CN"/>
              </w:rPr>
              <w:t>执行标准</w:t>
            </w:r>
            <w:bookmarkEnd w:id="136"/>
            <w:bookmarkEnd w:id="13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4" w:type="pct"/>
            <w:noWrap w:val="0"/>
            <w:vAlign w:val="center"/>
          </w:tcPr>
          <w:p>
            <w:pPr>
              <w:pStyle w:val="23"/>
              <w:spacing w:before="0" w:after="0"/>
              <w:rPr>
                <w:rFonts w:hint="default" w:ascii="Times New Roman" w:hAnsi="Times New Roman" w:eastAsia="宋体" w:cs="Times New Roman"/>
                <w:color w:val="auto"/>
                <w:sz w:val="18"/>
                <w:szCs w:val="18"/>
                <w:lang w:val="en-US" w:eastAsia="zh-CN"/>
              </w:rPr>
            </w:pPr>
            <w:bookmarkStart w:id="138" w:name="_Toc1265"/>
            <w:bookmarkStart w:id="139" w:name="_Toc31564"/>
            <w:r>
              <w:rPr>
                <w:rFonts w:hint="default" w:ascii="Times New Roman" w:hAnsi="Times New Roman" w:eastAsia="宋体" w:cs="Times New Roman"/>
                <w:color w:val="auto"/>
                <w:sz w:val="18"/>
                <w:szCs w:val="18"/>
                <w:lang w:val="en-US" w:eastAsia="zh-CN"/>
              </w:rPr>
              <w:t>2类区</w:t>
            </w:r>
            <w:bookmarkEnd w:id="138"/>
            <w:bookmarkEnd w:id="139"/>
          </w:p>
        </w:tc>
        <w:tc>
          <w:tcPr>
            <w:tcW w:w="1304" w:type="pct"/>
            <w:gridSpan w:val="2"/>
            <w:noWrap w:val="0"/>
            <w:vAlign w:val="center"/>
          </w:tcPr>
          <w:p>
            <w:pPr>
              <w:pStyle w:val="23"/>
              <w:spacing w:before="0" w:after="0"/>
              <w:rPr>
                <w:rFonts w:hint="default" w:ascii="Times New Roman" w:hAnsi="Times New Roman" w:eastAsia="宋体" w:cs="Times New Roman"/>
                <w:color w:val="auto"/>
                <w:sz w:val="18"/>
                <w:szCs w:val="18"/>
              </w:rPr>
            </w:pPr>
            <w:bookmarkStart w:id="140" w:name="_Toc6868"/>
            <w:bookmarkStart w:id="141" w:name="_Toc13391"/>
            <w:r>
              <w:rPr>
                <w:rFonts w:hint="default" w:ascii="Times New Roman" w:hAnsi="Times New Roman" w:eastAsia="宋体" w:cs="Times New Roman"/>
                <w:color w:val="auto"/>
                <w:sz w:val="18"/>
                <w:szCs w:val="18"/>
              </w:rPr>
              <w:t>建成区内除3、4类区外均为2类区</w:t>
            </w:r>
            <w:bookmarkEnd w:id="140"/>
            <w:bookmarkEnd w:id="141"/>
          </w:p>
        </w:tc>
        <w:tc>
          <w:tcPr>
            <w:tcW w:w="2532" w:type="pct"/>
            <w:noWrap w:val="0"/>
            <w:vAlign w:val="center"/>
          </w:tcPr>
          <w:p>
            <w:pPr>
              <w:pStyle w:val="23"/>
              <w:spacing w:before="0" w:after="0"/>
              <w:rPr>
                <w:rFonts w:hint="default" w:ascii="Times New Roman" w:hAnsi="Times New Roman" w:eastAsia="宋体" w:cs="Times New Roman"/>
                <w:color w:val="auto"/>
                <w:sz w:val="18"/>
                <w:szCs w:val="18"/>
              </w:rPr>
            </w:pPr>
            <w:bookmarkStart w:id="142" w:name="_Toc10082"/>
            <w:bookmarkStart w:id="143" w:name="_Toc14452"/>
            <w:r>
              <w:rPr>
                <w:rFonts w:hint="default" w:ascii="Times New Roman" w:hAnsi="Times New Roman" w:eastAsia="宋体" w:cs="Times New Roman"/>
                <w:color w:val="auto"/>
                <w:sz w:val="18"/>
                <w:szCs w:val="18"/>
              </w:rPr>
              <w:t>以商业金融、集市贸易为主要功能，或者居住、商业、工业混杂，需要维护住宅安静的区域；乡村集镇；工业活动较多或交通干线穿过的村庄、大工业区中的生活小区</w:t>
            </w:r>
            <w:bookmarkEnd w:id="142"/>
            <w:bookmarkEnd w:id="143"/>
          </w:p>
        </w:tc>
        <w:tc>
          <w:tcPr>
            <w:tcW w:w="608" w:type="pct"/>
            <w:noWrap w:val="0"/>
            <w:vAlign w:val="center"/>
          </w:tcPr>
          <w:p>
            <w:pPr>
              <w:pStyle w:val="23"/>
              <w:spacing w:before="0" w:after="0"/>
              <w:rPr>
                <w:rFonts w:hint="default" w:ascii="Times New Roman" w:hAnsi="Times New Roman" w:eastAsia="宋体" w:cs="Times New Roman"/>
                <w:color w:val="auto"/>
                <w:sz w:val="18"/>
                <w:szCs w:val="18"/>
              </w:rPr>
            </w:pPr>
            <w:bookmarkStart w:id="144" w:name="_Toc11896"/>
            <w:bookmarkStart w:id="145" w:name="_Toc24690"/>
            <w:r>
              <w:rPr>
                <w:rFonts w:hint="default" w:ascii="Times New Roman" w:hAnsi="Times New Roman" w:eastAsia="宋体" w:cs="Times New Roman"/>
                <w:color w:val="auto"/>
                <w:sz w:val="18"/>
                <w:szCs w:val="18"/>
              </w:rPr>
              <w:t>昼间≤60dB</w:t>
            </w:r>
            <w:bookmarkEnd w:id="144"/>
            <w:bookmarkEnd w:id="145"/>
          </w:p>
          <w:p>
            <w:pPr>
              <w:pStyle w:val="23"/>
              <w:spacing w:before="0" w:after="0"/>
              <w:rPr>
                <w:rFonts w:hint="default" w:ascii="Times New Roman" w:hAnsi="Times New Roman" w:eastAsia="宋体" w:cs="Times New Roman"/>
                <w:color w:val="auto"/>
                <w:sz w:val="18"/>
                <w:szCs w:val="18"/>
              </w:rPr>
            </w:pPr>
            <w:bookmarkStart w:id="146" w:name="_Toc18851"/>
            <w:bookmarkStart w:id="147" w:name="_Toc2154"/>
            <w:r>
              <w:rPr>
                <w:rFonts w:hint="default" w:ascii="Times New Roman" w:hAnsi="Times New Roman" w:eastAsia="宋体" w:cs="Times New Roman"/>
                <w:color w:val="auto"/>
                <w:sz w:val="18"/>
                <w:szCs w:val="18"/>
              </w:rPr>
              <w:t>夜间≤50dB</w:t>
            </w:r>
            <w:bookmarkEnd w:id="146"/>
            <w:bookmarkEnd w:id="147"/>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4" w:type="pct"/>
            <w:noWrap w:val="0"/>
            <w:vAlign w:val="center"/>
          </w:tcPr>
          <w:p>
            <w:pPr>
              <w:pStyle w:val="23"/>
              <w:spacing w:before="0" w:after="0"/>
              <w:rPr>
                <w:rFonts w:hint="default" w:ascii="Times New Roman" w:hAnsi="Times New Roman" w:eastAsia="宋体" w:cs="Times New Roman"/>
                <w:color w:val="auto"/>
                <w:sz w:val="18"/>
                <w:szCs w:val="18"/>
                <w:lang w:val="en-US" w:eastAsia="zh-CN"/>
              </w:rPr>
            </w:pPr>
            <w:bookmarkStart w:id="148" w:name="_Toc12100"/>
            <w:bookmarkStart w:id="149" w:name="_Toc3239"/>
            <w:r>
              <w:rPr>
                <w:rFonts w:hint="eastAsia"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lang w:val="en-US" w:eastAsia="zh-CN"/>
              </w:rPr>
              <w:t>类区</w:t>
            </w:r>
            <w:bookmarkEnd w:id="148"/>
            <w:bookmarkEnd w:id="149"/>
          </w:p>
        </w:tc>
        <w:tc>
          <w:tcPr>
            <w:tcW w:w="501" w:type="pct"/>
            <w:noWrap w:val="0"/>
            <w:vAlign w:val="center"/>
          </w:tcPr>
          <w:p>
            <w:pPr>
              <w:pStyle w:val="23"/>
              <w:spacing w:before="0" w:after="0"/>
              <w:rPr>
                <w:rFonts w:hint="default" w:ascii="Times New Roman" w:hAnsi="Times New Roman" w:eastAsia="宋体" w:cs="Times New Roman"/>
                <w:color w:val="auto"/>
                <w:sz w:val="18"/>
                <w:szCs w:val="18"/>
              </w:rPr>
            </w:pPr>
            <w:bookmarkStart w:id="150" w:name="_Toc3254"/>
            <w:bookmarkStart w:id="151" w:name="_Toc27301"/>
            <w:r>
              <w:rPr>
                <w:rFonts w:hint="default" w:ascii="Times New Roman" w:hAnsi="Times New Roman" w:eastAsia="宋体" w:cs="Times New Roman"/>
                <w:color w:val="auto"/>
                <w:sz w:val="18"/>
                <w:szCs w:val="18"/>
                <w:lang w:val="en-US" w:eastAsia="zh-CN"/>
              </w:rPr>
              <w:t>4a类区</w:t>
            </w:r>
            <w:bookmarkEnd w:id="150"/>
            <w:bookmarkEnd w:id="151"/>
          </w:p>
        </w:tc>
        <w:tc>
          <w:tcPr>
            <w:tcW w:w="802" w:type="pct"/>
            <w:noWrap w:val="0"/>
            <w:vAlign w:val="center"/>
          </w:tcPr>
          <w:p>
            <w:pPr>
              <w:pStyle w:val="23"/>
              <w:spacing w:before="0" w:after="0"/>
              <w:jc w:val="left"/>
              <w:rPr>
                <w:rFonts w:hint="default" w:ascii="Times New Roman" w:hAnsi="Times New Roman" w:eastAsia="宋体" w:cs="Times New Roman"/>
                <w:color w:val="auto"/>
                <w:sz w:val="18"/>
                <w:szCs w:val="18"/>
              </w:rPr>
            </w:pPr>
            <w:bookmarkStart w:id="152" w:name="_Toc13203"/>
            <w:bookmarkStart w:id="153" w:name="_Toc28091"/>
            <w:r>
              <w:rPr>
                <w:rFonts w:hint="default" w:ascii="Times New Roman" w:hAnsi="Times New Roman" w:eastAsia="宋体" w:cs="Times New Roman"/>
                <w:color w:val="auto"/>
                <w:sz w:val="18"/>
                <w:szCs w:val="18"/>
              </w:rPr>
              <w:t>主干路及次干路</w:t>
            </w:r>
            <w:bookmarkEnd w:id="152"/>
            <w:bookmarkEnd w:id="153"/>
          </w:p>
        </w:tc>
        <w:tc>
          <w:tcPr>
            <w:tcW w:w="2532" w:type="pct"/>
            <w:noWrap w:val="0"/>
            <w:vAlign w:val="center"/>
          </w:tcPr>
          <w:p>
            <w:pPr>
              <w:pStyle w:val="23"/>
              <w:spacing w:before="0" w:after="0"/>
              <w:rPr>
                <w:rFonts w:hint="default" w:ascii="Times New Roman" w:hAnsi="Times New Roman" w:eastAsia="宋体" w:cs="Times New Roman"/>
                <w:color w:val="auto"/>
                <w:sz w:val="18"/>
                <w:szCs w:val="18"/>
                <w:lang w:val="en-US" w:eastAsia="zh-CN"/>
              </w:rPr>
            </w:pPr>
            <w:bookmarkStart w:id="154" w:name="_Toc13755"/>
            <w:bookmarkStart w:id="155" w:name="_Toc727"/>
            <w:r>
              <w:rPr>
                <w:rFonts w:hint="default" w:ascii="Times New Roman" w:hAnsi="Times New Roman" w:eastAsia="宋体" w:cs="Times New Roman"/>
                <w:color w:val="auto"/>
                <w:sz w:val="18"/>
                <w:szCs w:val="18"/>
                <w:lang w:val="en-US" w:eastAsia="zh-CN"/>
              </w:rPr>
              <w:t>交通运输</w:t>
            </w:r>
            <w:bookmarkEnd w:id="154"/>
            <w:bookmarkEnd w:id="155"/>
          </w:p>
        </w:tc>
        <w:tc>
          <w:tcPr>
            <w:tcW w:w="608" w:type="pct"/>
            <w:noWrap w:val="0"/>
            <w:vAlign w:val="center"/>
          </w:tcPr>
          <w:p>
            <w:pPr>
              <w:pStyle w:val="23"/>
              <w:spacing w:before="0" w:after="0"/>
              <w:rPr>
                <w:rFonts w:hint="default" w:ascii="Times New Roman" w:hAnsi="Times New Roman" w:eastAsia="宋体" w:cs="Times New Roman"/>
                <w:color w:val="auto"/>
                <w:sz w:val="18"/>
                <w:szCs w:val="18"/>
              </w:rPr>
            </w:pPr>
            <w:bookmarkStart w:id="156" w:name="_Toc12451"/>
            <w:bookmarkStart w:id="157" w:name="_Toc1321"/>
            <w:r>
              <w:rPr>
                <w:rFonts w:hint="default" w:ascii="Times New Roman" w:hAnsi="Times New Roman" w:eastAsia="宋体" w:cs="Times New Roman"/>
                <w:color w:val="auto"/>
                <w:sz w:val="18"/>
                <w:szCs w:val="18"/>
              </w:rPr>
              <w:t>昼间≤</w:t>
            </w:r>
            <w:r>
              <w:rPr>
                <w:rFonts w:hint="default" w:ascii="Times New Roman" w:hAnsi="Times New Roman" w:eastAsia="宋体" w:cs="Times New Roman"/>
                <w:color w:val="auto"/>
                <w:sz w:val="18"/>
                <w:szCs w:val="18"/>
                <w:lang w:val="en-US" w:eastAsia="zh-CN"/>
              </w:rPr>
              <w:t>70</w:t>
            </w:r>
            <w:r>
              <w:rPr>
                <w:rFonts w:hint="default" w:ascii="Times New Roman" w:hAnsi="Times New Roman" w:eastAsia="宋体" w:cs="Times New Roman"/>
                <w:color w:val="auto"/>
                <w:sz w:val="18"/>
                <w:szCs w:val="18"/>
              </w:rPr>
              <w:t>dB</w:t>
            </w:r>
            <w:bookmarkEnd w:id="156"/>
            <w:bookmarkEnd w:id="157"/>
          </w:p>
          <w:p>
            <w:pPr>
              <w:pStyle w:val="23"/>
              <w:spacing w:before="0" w:after="0"/>
              <w:rPr>
                <w:rFonts w:hint="default" w:ascii="Times New Roman" w:hAnsi="Times New Roman" w:eastAsia="宋体" w:cs="Times New Roman"/>
                <w:color w:val="auto"/>
                <w:sz w:val="18"/>
                <w:szCs w:val="18"/>
              </w:rPr>
            </w:pPr>
            <w:bookmarkStart w:id="158" w:name="_Toc15047"/>
            <w:bookmarkStart w:id="159" w:name="_Toc13085"/>
            <w:r>
              <w:rPr>
                <w:rFonts w:hint="default" w:ascii="Times New Roman" w:hAnsi="Times New Roman" w:eastAsia="宋体" w:cs="Times New Roman"/>
                <w:color w:val="auto"/>
                <w:sz w:val="18"/>
                <w:szCs w:val="18"/>
              </w:rPr>
              <w:t>夜间≤5</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dB</w:t>
            </w:r>
            <w:bookmarkEnd w:id="158"/>
            <w:bookmarkEnd w:id="159"/>
          </w:p>
        </w:tc>
      </w:tr>
    </w:tbl>
    <w:p>
      <w:pPr>
        <w:keepNext w:val="0"/>
        <w:keepLines w:val="0"/>
        <w:pageBreakBefore w:val="0"/>
        <w:widowControl w:val="0"/>
        <w:kinsoku/>
        <w:wordWrap/>
        <w:overflowPunct/>
        <w:topLinePunct w:val="0"/>
        <w:autoSpaceDE/>
        <w:autoSpaceDN/>
        <w:bidi w:val="0"/>
        <w:adjustRightInd/>
        <w:snapToGrid/>
        <w:spacing w:before="164" w:beforeLines="50" w:line="360" w:lineRule="auto"/>
        <w:ind w:firstLine="480" w:firstLineChars="200"/>
        <w:textAlignment w:val="auto"/>
        <w:rPr>
          <w:rFonts w:hint="default" w:ascii="Times New Roman" w:hAnsi="Times New Roman" w:eastAsia="宋体" w:cs="Times New Roman"/>
          <w:sz w:val="24"/>
          <w:lang w:val="en-US" w:eastAsia="zh-CN"/>
        </w:rPr>
      </w:pPr>
      <w:r>
        <w:rPr>
          <w:rFonts w:hint="eastAsia" w:cs="Times New Roman"/>
          <w:sz w:val="24"/>
          <w:lang w:val="en-US" w:eastAsia="zh-CN"/>
        </w:rPr>
        <w:t>根据</w:t>
      </w:r>
      <w:r>
        <w:rPr>
          <w:rFonts w:hint="eastAsia" w:ascii="Times New Roman" w:hAnsi="Times New Roman" w:eastAsia="宋体" w:cs="Times New Roman"/>
          <w:color w:val="auto"/>
          <w:sz w:val="24"/>
          <w:lang w:val="en-US" w:eastAsia="zh-CN"/>
        </w:rPr>
        <w:t>福清市</w:t>
      </w:r>
      <w:r>
        <w:rPr>
          <w:rFonts w:hint="default" w:ascii="Times New Roman" w:hAnsi="Times New Roman" w:eastAsia="宋体" w:cs="Times New Roman"/>
          <w:color w:val="auto"/>
          <w:sz w:val="24"/>
          <w:lang w:val="en-US" w:eastAsia="zh-CN"/>
        </w:rPr>
        <w:t>城市建成区</w:t>
      </w:r>
      <w:r>
        <w:rPr>
          <w:rFonts w:hint="eastAsia" w:ascii="Times New Roman" w:hAnsi="Times New Roman" w:eastAsia="宋体" w:cs="Times New Roman"/>
          <w:color w:val="auto"/>
          <w:sz w:val="24"/>
          <w:lang w:val="en-US" w:eastAsia="zh-CN"/>
        </w:rPr>
        <w:t>声环境功能区划图</w:t>
      </w:r>
      <w:r>
        <w:rPr>
          <w:rFonts w:hint="eastAsia" w:cs="Times New Roman"/>
          <w:color w:val="auto"/>
          <w:sz w:val="24"/>
          <w:lang w:val="en-US" w:eastAsia="zh-CN"/>
        </w:rPr>
        <w:t>，本项目道路</w:t>
      </w:r>
      <w:r>
        <w:rPr>
          <w:rFonts w:hint="default" w:ascii="Times New Roman" w:hAnsi="Times New Roman" w:cs="Times New Roman"/>
          <w:sz w:val="24"/>
        </w:rPr>
        <w:t>福泽大道北延伸段为城市主干道，</w:t>
      </w:r>
      <w:r>
        <w:rPr>
          <w:rFonts w:hint="eastAsia" w:cs="Times New Roman"/>
          <w:sz w:val="24"/>
          <w:lang w:val="en-US" w:eastAsia="zh-CN"/>
        </w:rPr>
        <w:t>道路</w:t>
      </w:r>
      <w:r>
        <w:rPr>
          <w:rFonts w:hint="eastAsia" w:ascii="Times New Roman" w:hAnsi="Times New Roman" w:eastAsia="宋体" w:cs="Times New Roman"/>
          <w:color w:val="auto"/>
          <w:sz w:val="24"/>
          <w:lang w:val="en-US" w:eastAsia="zh-CN"/>
        </w:rPr>
        <w:t>红线外一定距离内区域划为4a类声环境功能区</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道路两侧规划为体育设施用地、教育科研用地和居住用地，</w:t>
      </w:r>
      <w:r>
        <w:rPr>
          <w:rFonts w:hint="eastAsia" w:cs="Times New Roman"/>
          <w:sz w:val="24"/>
          <w:lang w:val="en-US" w:eastAsia="zh-CN"/>
        </w:rPr>
        <w:t>不在福清市</w:t>
      </w:r>
      <w:r>
        <w:rPr>
          <w:rFonts w:hint="default" w:cs="Times New Roman"/>
          <w:sz w:val="24"/>
          <w:lang w:val="en-US" w:eastAsia="zh-CN"/>
        </w:rPr>
        <w:t>城市建成区</w:t>
      </w:r>
      <w:r>
        <w:rPr>
          <w:rFonts w:hint="eastAsia" w:cs="Times New Roman"/>
          <w:sz w:val="24"/>
          <w:lang w:val="en-US" w:eastAsia="zh-CN"/>
        </w:rPr>
        <w:t>范围内，未划定声环境功能，根据《声环境质量标准》（GB3096-2008）、《声环境功能区划分技术规范》（GB/T15190-2014），将评价范围内道路两侧</w:t>
      </w:r>
      <w:r>
        <w:rPr>
          <w:rFonts w:hint="eastAsia" w:cs="Times New Roman"/>
          <w:color w:val="auto"/>
          <w:sz w:val="24"/>
          <w:lang w:val="en-US" w:eastAsia="zh-CN"/>
        </w:rPr>
        <w:t>执行2类</w:t>
      </w:r>
      <w:r>
        <w:rPr>
          <w:rFonts w:hint="eastAsia" w:ascii="Times New Roman" w:hAnsi="Times New Roman" w:eastAsia="宋体" w:cs="Times New Roman"/>
          <w:color w:val="auto"/>
          <w:sz w:val="24"/>
          <w:lang w:val="en-US" w:eastAsia="zh-CN"/>
        </w:rPr>
        <w:t>声环境功能区</w:t>
      </w:r>
      <w:r>
        <w:rPr>
          <w:rFonts w:hint="eastAsia" w:cs="Times New Roman"/>
          <w:color w:val="auto"/>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另外，根据《</w:t>
      </w:r>
      <w:r>
        <w:rPr>
          <w:rFonts w:hint="default" w:ascii="Times New Roman" w:hAnsi="Times New Roman" w:cs="Times New Roman"/>
          <w:sz w:val="24"/>
          <w:lang w:val="en-US" w:eastAsia="zh-CN"/>
        </w:rPr>
        <w:t>福清市城市建成区声环境功能区划</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融政办〔2022〕48号</w:t>
      </w:r>
      <w:r>
        <w:rPr>
          <w:rFonts w:hint="eastAsia" w:ascii="Times New Roman" w:hAnsi="Times New Roman" w:cs="Times New Roman"/>
          <w:sz w:val="24"/>
          <w:lang w:val="en-US" w:eastAsia="zh-CN"/>
        </w:rPr>
        <w:t>），交通干线两侧区域确定方案如下：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rPr>
      </w:pPr>
      <w:r>
        <w:rPr>
          <w:rFonts w:hint="eastAsia" w:ascii="Times New Roman" w:hAnsi="Times New Roman" w:cs="Times New Roman"/>
          <w:sz w:val="24"/>
        </w:rPr>
        <w:t>以城市总体规划确定的快速路、高速路、城市主次干道、城市轨道交通地面段为依据，若临街建筑以高于三层楼房以上（含三层）的建筑为主，将第一排建筑物面向街道一侧的区域划为4a类声环境功能区；若临街建筑以低于三层楼房（含开阔地）的建筑为主，将道路红线外一定距离内区域划为4a类声环境功能区，具体距离确定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rPr>
      </w:pPr>
      <w:r>
        <w:rPr>
          <w:rFonts w:hint="eastAsia" w:ascii="Times New Roman" w:hAnsi="Times New Roman" w:cs="Times New Roman"/>
          <w:sz w:val="24"/>
        </w:rPr>
        <w:t>相邻区域为2类声环境功能区，距离为35米；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sz w:val="24"/>
        </w:rPr>
      </w:pPr>
      <w:r>
        <w:rPr>
          <w:rFonts w:hint="eastAsia" w:ascii="Times New Roman" w:hAnsi="Times New Roman" w:cs="Times New Roman"/>
          <w:sz w:val="24"/>
        </w:rPr>
        <w:t>相邻区域为3类声环境功能区，距离为25米。</w:t>
      </w:r>
    </w:p>
    <w:p>
      <w:pPr>
        <w:keepNext/>
        <w:keepLines/>
        <w:spacing w:line="360" w:lineRule="auto"/>
        <w:outlineLvl w:val="2"/>
        <w:rPr>
          <w:rFonts w:hint="eastAsia" w:ascii="Times New Roman" w:hAnsi="Times New Roman" w:eastAsia="宋体" w:cs="Times New Roman"/>
          <w:color w:val="auto"/>
          <w:sz w:val="24"/>
          <w:lang w:val="en-US" w:eastAsia="zh-CN"/>
        </w:rPr>
      </w:pPr>
      <w:r>
        <w:rPr>
          <w:b/>
          <w:bCs/>
          <w:color w:val="auto"/>
          <w:sz w:val="28"/>
          <w:szCs w:val="28"/>
        </w:rPr>
        <w:t>1.</w:t>
      </w:r>
      <w:r>
        <w:rPr>
          <w:rFonts w:hint="eastAsia"/>
          <w:b/>
          <w:bCs/>
          <w:color w:val="auto"/>
          <w:sz w:val="28"/>
          <w:szCs w:val="28"/>
          <w:lang w:val="en-US" w:eastAsia="zh-CN"/>
        </w:rPr>
        <w:t>3.2</w:t>
      </w:r>
      <w:r>
        <w:rPr>
          <w:b/>
          <w:bCs/>
          <w:color w:val="auto"/>
          <w:sz w:val="28"/>
          <w:szCs w:val="28"/>
        </w:rPr>
        <w:t xml:space="preserve"> </w:t>
      </w:r>
      <w:r>
        <w:rPr>
          <w:rFonts w:hint="eastAsia" w:ascii="Times New Roman" w:hAnsi="Times New Roman" w:eastAsia="宋体" w:cs="Times New Roman"/>
          <w:b/>
          <w:bCs/>
          <w:color w:val="auto"/>
          <w:sz w:val="28"/>
          <w:szCs w:val="28"/>
          <w:lang w:val="en-US" w:eastAsia="zh-CN"/>
        </w:rPr>
        <w:t>本项目及评价范围内声环境标准</w:t>
      </w:r>
    </w:p>
    <w:p>
      <w:pPr>
        <w:spacing w:line="360" w:lineRule="auto"/>
        <w:ind w:firstLine="480" w:firstLineChars="200"/>
        <w:rPr>
          <w:rStyle w:val="31"/>
          <w:rFonts w:hint="default" w:ascii="Times New Roman" w:hAnsi="Times New Roman" w:cs="Times New Roman"/>
          <w:kern w:val="0"/>
        </w:rPr>
      </w:pPr>
      <w:r>
        <w:rPr>
          <w:rFonts w:hint="default" w:ascii="Times New Roman" w:hAnsi="Times New Roman" w:cs="Times New Roman"/>
          <w:sz w:val="24"/>
        </w:rPr>
        <w:t>福泽大道北延伸段项目道路等级为城市主干道，</w:t>
      </w:r>
      <w:r>
        <w:rPr>
          <w:rFonts w:hint="eastAsia" w:cs="Times New Roman"/>
          <w:sz w:val="24"/>
          <w:lang w:val="en-US" w:eastAsia="zh-CN"/>
        </w:rPr>
        <w:t>道路两侧为商业、居住、教育科研混杂区，</w:t>
      </w:r>
      <w:r>
        <w:rPr>
          <w:rFonts w:hint="eastAsia" w:ascii="Times New Roman" w:hAnsi="Times New Roman" w:cs="Times New Roman"/>
          <w:sz w:val="24"/>
        </w:rPr>
        <w:t>为2类声环境功能区</w:t>
      </w:r>
      <w:r>
        <w:rPr>
          <w:rFonts w:hint="default" w:ascii="Times New Roman" w:hAnsi="Times New Roman" w:cs="Times New Roman"/>
          <w:sz w:val="24"/>
        </w:rPr>
        <w:t>，</w:t>
      </w:r>
      <w:r>
        <w:rPr>
          <w:rFonts w:hint="eastAsia" w:cs="Times New Roman"/>
          <w:sz w:val="24"/>
          <w:lang w:val="en-US" w:eastAsia="zh-CN"/>
        </w:rPr>
        <w:t>因此</w:t>
      </w:r>
      <w:r>
        <w:rPr>
          <w:rFonts w:hint="default" w:ascii="Times New Roman" w:hAnsi="Times New Roman" w:cs="Times New Roman"/>
          <w:sz w:val="24"/>
        </w:rPr>
        <w:t>道路</w:t>
      </w:r>
      <w:r>
        <w:rPr>
          <w:rFonts w:hint="eastAsia" w:cs="Times New Roman"/>
          <w:sz w:val="24"/>
          <w:lang w:val="en-US" w:eastAsia="zh-CN"/>
        </w:rPr>
        <w:t>两侧</w:t>
      </w:r>
      <w:r>
        <w:rPr>
          <w:rFonts w:hint="default" w:ascii="Times New Roman" w:hAnsi="Times New Roman" w:cs="Times New Roman"/>
          <w:sz w:val="24"/>
        </w:rPr>
        <w:t>临街建筑层数高于三层（含三层）时，第一排建筑物面向道路一侧的声环境执行《声环境质量标准》（GB3096-2008）中4a类标准，其他区域执行《声环境质量标准》（GB3096-2008）中2类标准；当建筑层数低于三层(含开阔地)时，道路红线3</w:t>
      </w:r>
      <w:r>
        <w:rPr>
          <w:rFonts w:hint="eastAsia" w:cs="Times New Roman"/>
          <w:sz w:val="24"/>
          <w:lang w:val="en-US" w:eastAsia="zh-CN"/>
        </w:rPr>
        <w:t>5</w:t>
      </w:r>
      <w:r>
        <w:rPr>
          <w:rFonts w:hint="default" w:ascii="Times New Roman" w:hAnsi="Times New Roman" w:cs="Times New Roman"/>
          <w:sz w:val="24"/>
        </w:rPr>
        <w:t>m范围内的区域执行《声环境质量标准》（GB3096-2008）中4a类标准，其他区域执行《声环境质量标准》（GB3096-2008）中2类标准。</w:t>
      </w:r>
      <w:r>
        <w:rPr>
          <w:rFonts w:hint="default" w:ascii="Times New Roman" w:hAnsi="Times New Roman" w:cs="Times New Roman"/>
          <w:snapToGrid w:val="0"/>
          <w:kern w:val="0"/>
          <w:sz w:val="24"/>
        </w:rPr>
        <w:t>详见表1.3-</w:t>
      </w:r>
      <w:r>
        <w:rPr>
          <w:rFonts w:hint="eastAsia" w:cs="Times New Roman"/>
          <w:snapToGrid w:val="0"/>
          <w:kern w:val="0"/>
          <w:sz w:val="24"/>
          <w:lang w:val="en-US" w:eastAsia="zh-CN"/>
        </w:rPr>
        <w:t>2</w:t>
      </w:r>
      <w:r>
        <w:rPr>
          <w:rFonts w:hint="default" w:ascii="Times New Roman" w:hAnsi="Times New Roman" w:cs="Times New Roman"/>
          <w:snapToGrid w:val="0"/>
          <w:kern w:val="0"/>
          <w:sz w:val="24"/>
        </w:rPr>
        <w:t>。</w:t>
      </w:r>
    </w:p>
    <w:p>
      <w:pPr>
        <w:spacing w:line="360" w:lineRule="auto"/>
        <w:jc w:val="center"/>
        <w:rPr>
          <w:rFonts w:hint="default" w:ascii="Times New Roman" w:hAnsi="Times New Roman" w:cs="Times New Roman"/>
          <w:b/>
          <w:sz w:val="24"/>
        </w:rPr>
      </w:pPr>
      <w:r>
        <w:rPr>
          <w:b/>
          <w:color w:val="auto"/>
          <w:sz w:val="24"/>
        </w:rPr>
        <w:t>表1.3-</w:t>
      </w:r>
      <w:r>
        <w:rPr>
          <w:rFonts w:hint="eastAsia"/>
          <w:b/>
          <w:color w:val="auto"/>
          <w:sz w:val="24"/>
          <w:lang w:val="en-US" w:eastAsia="zh-CN"/>
        </w:rPr>
        <w:t>2</w:t>
      </w:r>
      <w:r>
        <w:rPr>
          <w:b/>
          <w:color w:val="auto"/>
          <w:sz w:val="24"/>
        </w:rPr>
        <w:t xml:space="preserve"> </w:t>
      </w:r>
      <w:r>
        <w:rPr>
          <w:rFonts w:hint="eastAsia"/>
          <w:b/>
          <w:color w:val="auto"/>
          <w:sz w:val="24"/>
          <w:lang w:val="en-US" w:eastAsia="zh-CN"/>
        </w:rPr>
        <w:t>声环境质量标准</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071"/>
        <w:gridCol w:w="6124"/>
        <w:gridCol w:w="1135"/>
        <w:gridCol w:w="95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577" w:type="pct"/>
            <w:vAlign w:val="center"/>
          </w:tcPr>
          <w:p>
            <w:pPr>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3298" w:type="pct"/>
            <w:tcBorders>
              <w:right w:val="single" w:color="auto" w:sz="4" w:space="0"/>
            </w:tcBorders>
            <w:vAlign w:val="center"/>
          </w:tcPr>
          <w:p>
            <w:pPr>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适用区域</w:t>
            </w:r>
          </w:p>
        </w:tc>
        <w:tc>
          <w:tcPr>
            <w:tcW w:w="611" w:type="pct"/>
            <w:tcBorders>
              <w:left w:val="single" w:color="auto" w:sz="4" w:space="0"/>
            </w:tcBorders>
            <w:vAlign w:val="center"/>
          </w:tcPr>
          <w:p>
            <w:pPr>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昼间dB（A）</w:t>
            </w:r>
          </w:p>
        </w:tc>
        <w:tc>
          <w:tcPr>
            <w:tcW w:w="514" w:type="pct"/>
            <w:tcBorders>
              <w:left w:val="single" w:color="auto" w:sz="4" w:space="0"/>
            </w:tcBorders>
            <w:vAlign w:val="center"/>
          </w:tcPr>
          <w:p>
            <w:pPr>
              <w:snapToGri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夜间dB（A）</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92" w:hRule="atLeast"/>
        </w:trPr>
        <w:tc>
          <w:tcPr>
            <w:tcW w:w="577" w:type="pct"/>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2类</w:t>
            </w:r>
          </w:p>
        </w:tc>
        <w:tc>
          <w:tcPr>
            <w:tcW w:w="3298" w:type="pct"/>
            <w:tcBorders>
              <w:right w:val="single" w:color="auto" w:sz="4"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福泽大道北延伸段</w:t>
            </w:r>
            <w:r>
              <w:rPr>
                <w:rFonts w:hint="eastAsia" w:cs="Times New Roman"/>
                <w:sz w:val="21"/>
                <w:szCs w:val="21"/>
                <w:lang w:val="en-US" w:eastAsia="zh-CN"/>
              </w:rPr>
              <w:t>两侧</w:t>
            </w:r>
            <w:r>
              <w:rPr>
                <w:rFonts w:hint="eastAsia"/>
                <w:color w:val="auto"/>
                <w:kern w:val="0"/>
                <w:sz w:val="21"/>
                <w:szCs w:val="21"/>
                <w:lang w:val="en-US" w:eastAsia="zh-CN"/>
              </w:rPr>
              <w:t>，</w:t>
            </w:r>
            <w:r>
              <w:rPr>
                <w:rFonts w:hint="eastAsia"/>
                <w:color w:val="auto"/>
                <w:sz w:val="21"/>
                <w:szCs w:val="21"/>
              </w:rPr>
              <w:t>除4</w:t>
            </w:r>
            <w:r>
              <w:rPr>
                <w:rFonts w:hint="eastAsia"/>
                <w:color w:val="auto"/>
                <w:sz w:val="21"/>
                <w:szCs w:val="21"/>
                <w:lang w:val="en-US" w:eastAsia="zh-CN"/>
              </w:rPr>
              <w:t>a</w:t>
            </w:r>
            <w:r>
              <w:rPr>
                <w:rFonts w:hint="eastAsia"/>
                <w:color w:val="auto"/>
                <w:sz w:val="21"/>
                <w:szCs w:val="21"/>
              </w:rPr>
              <w:t>类以外的其他区域</w:t>
            </w:r>
          </w:p>
        </w:tc>
        <w:tc>
          <w:tcPr>
            <w:tcW w:w="611" w:type="pct"/>
            <w:tcBorders>
              <w:left w:val="single" w:color="auto" w:sz="4"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514" w:type="pct"/>
            <w:tcBorders>
              <w:left w:val="single" w:color="auto" w:sz="4"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50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577" w:type="pct"/>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4类</w:t>
            </w:r>
          </w:p>
        </w:tc>
        <w:tc>
          <w:tcPr>
            <w:tcW w:w="3298" w:type="pct"/>
            <w:tcBorders>
              <w:right w:val="single" w:color="auto" w:sz="4"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福泽大道北延伸段</w:t>
            </w:r>
            <w:r>
              <w:rPr>
                <w:rFonts w:hint="eastAsia" w:cs="Times New Roman"/>
                <w:sz w:val="21"/>
                <w:szCs w:val="21"/>
                <w:lang w:val="en-US" w:eastAsia="zh-CN"/>
              </w:rPr>
              <w:t>两侧</w:t>
            </w:r>
            <w:r>
              <w:rPr>
                <w:rFonts w:hint="eastAsia"/>
                <w:color w:val="auto"/>
                <w:kern w:val="0"/>
                <w:sz w:val="21"/>
                <w:szCs w:val="21"/>
                <w:lang w:val="en-US" w:eastAsia="zh-CN"/>
              </w:rPr>
              <w:t>，</w:t>
            </w:r>
            <w:r>
              <w:rPr>
                <w:color w:val="auto"/>
                <w:sz w:val="21"/>
                <w:szCs w:val="21"/>
              </w:rPr>
              <w:t>临街建筑层数高于三层（含三层），第一排建筑物面向道路一侧</w:t>
            </w:r>
            <w:r>
              <w:rPr>
                <w:rFonts w:hint="eastAsia"/>
                <w:color w:val="auto"/>
                <w:sz w:val="21"/>
                <w:szCs w:val="21"/>
                <w:lang w:eastAsia="zh-CN"/>
              </w:rPr>
              <w:t>，</w:t>
            </w:r>
            <w:r>
              <w:rPr>
                <w:color w:val="auto"/>
                <w:sz w:val="21"/>
                <w:szCs w:val="21"/>
              </w:rPr>
              <w:t>建筑层数低于三层(含开阔地)时，道路红线35m范围内</w:t>
            </w:r>
          </w:p>
        </w:tc>
        <w:tc>
          <w:tcPr>
            <w:tcW w:w="611" w:type="pct"/>
            <w:tcBorders>
              <w:left w:val="single" w:color="auto" w:sz="4"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70</w:t>
            </w:r>
          </w:p>
        </w:tc>
        <w:tc>
          <w:tcPr>
            <w:tcW w:w="514" w:type="pct"/>
            <w:tcBorders>
              <w:left w:val="single" w:color="auto" w:sz="4" w:space="0"/>
            </w:tcBorders>
            <w:vAlign w:val="center"/>
          </w:tcPr>
          <w:p>
            <w:pPr>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55</w:t>
            </w:r>
          </w:p>
        </w:tc>
      </w:tr>
    </w:tbl>
    <w:p>
      <w:pPr>
        <w:adjustRightInd w:val="0"/>
        <w:snapToGrid w:val="0"/>
        <w:spacing w:before="120" w:beforeLines="50" w:after="120" w:afterLines="50" w:line="360" w:lineRule="auto"/>
        <w:outlineLvl w:val="1"/>
        <w:rPr>
          <w:rFonts w:hint="default" w:ascii="Times New Roman" w:hAnsi="Times New Roman" w:cs="Times New Roman"/>
          <w:b/>
          <w:bCs/>
          <w:snapToGrid w:val="0"/>
          <w:kern w:val="0"/>
          <w:sz w:val="30"/>
          <w:szCs w:val="30"/>
        </w:rPr>
      </w:pPr>
      <w:bookmarkStart w:id="160" w:name="_Toc100489332"/>
      <w:bookmarkStart w:id="161" w:name="_Toc4276"/>
      <w:bookmarkStart w:id="162" w:name="_Toc32095"/>
      <w:r>
        <w:rPr>
          <w:rFonts w:hint="default" w:ascii="Times New Roman" w:hAnsi="Times New Roman" w:cs="Times New Roman"/>
          <w:b/>
          <w:bCs/>
          <w:snapToGrid w:val="0"/>
          <w:kern w:val="0"/>
          <w:sz w:val="30"/>
          <w:szCs w:val="30"/>
        </w:rPr>
        <w:t>1.4 评价等级及范围</w:t>
      </w:r>
      <w:bookmarkEnd w:id="160"/>
      <w:bookmarkEnd w:id="161"/>
      <w:bookmarkEnd w:id="162"/>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根据本工程的建设规模、工程特点、所在区域环境特征，工程建设期和营运期对环境的影响程度和范围，按照《环境影响评价技术导则 声环境》（HJ2.4-2021）关于评价工作等级的划分原则与方法，本项目评价工作等级划分详见表1.4-1。</w:t>
      </w:r>
    </w:p>
    <w:p>
      <w:pPr>
        <w:spacing w:line="360" w:lineRule="auto"/>
        <w:jc w:val="center"/>
        <w:rPr>
          <w:rFonts w:hint="default" w:ascii="Times New Roman" w:hAnsi="Times New Roman" w:cs="Times New Roman"/>
          <w:b/>
          <w:bCs/>
          <w:sz w:val="24"/>
        </w:rPr>
      </w:pPr>
      <w:r>
        <w:rPr>
          <w:rFonts w:hint="default" w:ascii="Times New Roman" w:hAnsi="Times New Roman" w:cs="Times New Roman"/>
          <w:b/>
          <w:bCs/>
          <w:sz w:val="24"/>
        </w:rPr>
        <w:t>表1.4-1 单项环境因素评价等级及评价范围</w:t>
      </w:r>
    </w:p>
    <w:tbl>
      <w:tblPr>
        <w:tblStyle w:val="2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63"/>
        <w:gridCol w:w="4323"/>
        <w:gridCol w:w="38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0" w:hRule="exact"/>
        </w:trPr>
        <w:tc>
          <w:tcPr>
            <w:tcW w:w="626" w:type="pct"/>
            <w:vAlign w:val="center"/>
          </w:tcPr>
          <w:p>
            <w:pPr>
              <w:pBdr>
                <w:top w:val="none" w:color="auto" w:sz="0" w:space="1"/>
                <w:left w:val="none" w:color="auto" w:sz="0" w:space="4"/>
                <w:bottom w:val="none" w:color="auto" w:sz="0" w:space="1"/>
                <w:right w:val="none" w:color="auto" w:sz="0" w:space="4"/>
              </w:pBdr>
              <w:adjustRightInd w:val="0"/>
              <w:snapToGrid w:val="0"/>
              <w:textAlignment w:val="baseline"/>
              <w:rPr>
                <w:rFonts w:hint="default" w:ascii="Times New Roman" w:hAnsi="Times New Roman" w:cs="Times New Roman"/>
                <w:b/>
                <w:bCs/>
                <w:kern w:val="0"/>
                <w:szCs w:val="21"/>
              </w:rPr>
            </w:pPr>
            <w:r>
              <w:rPr>
                <w:rFonts w:hint="default" w:ascii="Times New Roman" w:hAnsi="Times New Roman" w:cs="Times New Roman"/>
                <w:b/>
                <w:bCs/>
                <w:kern w:val="0"/>
                <w:szCs w:val="21"/>
              </w:rPr>
              <w:t>工作等级</w:t>
            </w:r>
          </w:p>
        </w:tc>
        <w:tc>
          <w:tcPr>
            <w:tcW w:w="2327"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rPr>
                <w:rFonts w:hint="default" w:ascii="Times New Roman" w:hAnsi="Times New Roman" w:cs="Times New Roman"/>
                <w:b/>
                <w:bCs/>
                <w:kern w:val="0"/>
                <w:szCs w:val="21"/>
              </w:rPr>
            </w:pPr>
            <w:r>
              <w:rPr>
                <w:rFonts w:hint="default" w:ascii="Times New Roman" w:hAnsi="Times New Roman" w:cs="Times New Roman"/>
                <w:b/>
                <w:bCs/>
                <w:kern w:val="0"/>
                <w:szCs w:val="21"/>
              </w:rPr>
              <w:t>划分依据</w:t>
            </w:r>
          </w:p>
        </w:tc>
        <w:tc>
          <w:tcPr>
            <w:tcW w:w="2046"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rPr>
                <w:rFonts w:hint="default" w:ascii="Times New Roman" w:hAnsi="Times New Roman" w:cs="Times New Roman"/>
                <w:b/>
                <w:bCs/>
                <w:kern w:val="0"/>
                <w:szCs w:val="21"/>
              </w:rPr>
            </w:pPr>
            <w:r>
              <w:rPr>
                <w:rFonts w:hint="default" w:ascii="Times New Roman" w:hAnsi="Times New Roman" w:cs="Times New Roman"/>
                <w:b/>
                <w:bCs/>
                <w:kern w:val="0"/>
                <w:szCs w:val="21"/>
              </w:rPr>
              <w:t>本项目情况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70" w:hRule="exact"/>
        </w:trPr>
        <w:tc>
          <w:tcPr>
            <w:tcW w:w="626" w:type="pct"/>
            <w:vAlign w:val="center"/>
          </w:tcPr>
          <w:p>
            <w:pPr>
              <w:pBdr>
                <w:top w:val="none" w:color="auto" w:sz="0" w:space="1"/>
                <w:left w:val="none" w:color="auto" w:sz="0" w:space="4"/>
                <w:bottom w:val="none" w:color="auto" w:sz="0" w:space="1"/>
                <w:right w:val="none" w:color="auto" w:sz="0" w:space="4"/>
              </w:pBdr>
              <w:adjustRightInd w:val="0"/>
              <w:snapToGrid w:val="0"/>
              <w:jc w:val="center"/>
              <w:textAlignment w:val="baseline"/>
              <w:rPr>
                <w:rFonts w:hint="default" w:ascii="Times New Roman" w:hAnsi="Times New Roman" w:cs="Times New Roman"/>
                <w:kern w:val="0"/>
                <w:szCs w:val="21"/>
              </w:rPr>
            </w:pPr>
            <w:r>
              <w:rPr>
                <w:rFonts w:hint="eastAsia"/>
                <w:color w:val="auto"/>
                <w:kern w:val="0"/>
                <w:szCs w:val="21"/>
                <w:lang w:val="en-US" w:eastAsia="zh-CN"/>
              </w:rPr>
              <w:t>二</w:t>
            </w:r>
            <w:r>
              <w:rPr>
                <w:color w:val="auto"/>
                <w:kern w:val="0"/>
                <w:szCs w:val="21"/>
              </w:rPr>
              <w:t>级</w:t>
            </w:r>
          </w:p>
        </w:tc>
        <w:tc>
          <w:tcPr>
            <w:tcW w:w="4323" w:type="dxa"/>
            <w:vAlign w:val="center"/>
          </w:tcPr>
          <w:p>
            <w:pPr>
              <w:widowControl/>
              <w:pBdr>
                <w:top w:val="none" w:color="auto" w:sz="0" w:space="1"/>
                <w:left w:val="none" w:color="auto" w:sz="0" w:space="4"/>
                <w:bottom w:val="none" w:color="auto" w:sz="0" w:space="1"/>
                <w:right w:val="none" w:color="auto" w:sz="0" w:space="4"/>
              </w:pBdr>
              <w:adjustRightInd w:val="0"/>
              <w:snapToGrid w:val="0"/>
              <w:jc w:val="center"/>
              <w:textAlignment w:val="baseline"/>
              <w:rPr>
                <w:rFonts w:hint="default" w:ascii="Times New Roman" w:hAnsi="Times New Roman" w:cs="Times New Roman"/>
                <w:kern w:val="0"/>
                <w:szCs w:val="21"/>
              </w:rPr>
            </w:pPr>
            <w:r>
              <w:rPr>
                <w:rFonts w:hint="default" w:ascii="Times New Roman" w:hAnsi="Times New Roman" w:cs="Times New Roman"/>
                <w:kern w:val="0"/>
                <w:szCs w:val="21"/>
              </w:rPr>
              <w:t>依据HJ2.4-2021，建设项目所处的声环境功能区为GB 3096 规定的1 类、2 类地区，或建设项目建设前后评价范围内声环境保护目标噪声级增量达3 dB(A)～5 dB(A)，或受噪声影响人口数量增加较多时，按二级评价。</w:t>
            </w:r>
          </w:p>
        </w:tc>
        <w:tc>
          <w:tcPr>
            <w:tcW w:w="3801" w:type="dxa"/>
            <w:vAlign w:val="center"/>
          </w:tcPr>
          <w:p>
            <w:pPr>
              <w:pBdr>
                <w:top w:val="none" w:color="auto" w:sz="0" w:space="1"/>
                <w:left w:val="none" w:color="auto" w:sz="0" w:space="4"/>
                <w:bottom w:val="none" w:color="auto" w:sz="0" w:space="1"/>
                <w:right w:val="none" w:color="auto" w:sz="0" w:space="4"/>
              </w:pBdr>
              <w:adjustRightInd w:val="0"/>
              <w:snapToGrid w:val="0"/>
              <w:textAlignment w:val="baseline"/>
              <w:rPr>
                <w:rFonts w:hint="default" w:ascii="Times New Roman" w:hAnsi="Times New Roman" w:cs="Times New Roman"/>
                <w:kern w:val="0"/>
                <w:szCs w:val="21"/>
              </w:rPr>
            </w:pPr>
            <w:r>
              <w:rPr>
                <w:rFonts w:hint="default" w:ascii="Times New Roman" w:hAnsi="Times New Roman" w:cs="Times New Roman"/>
                <w:kern w:val="0"/>
                <w:szCs w:val="21"/>
              </w:rPr>
              <w:t>项目为新建城市主干道项目，评价区域属于2类、4a类区；</w:t>
            </w:r>
            <w:r>
              <w:rPr>
                <w:rFonts w:hint="eastAsia" w:ascii="Times New Roman" w:hAnsi="Times New Roman" w:cs="Times New Roman"/>
                <w:kern w:val="0"/>
                <w:szCs w:val="21"/>
                <w:lang w:val="en-US" w:eastAsia="zh-CN"/>
              </w:rPr>
              <w:t>现状评价范围内无声环境保护目标，</w:t>
            </w:r>
            <w:r>
              <w:rPr>
                <w:rFonts w:hint="default" w:ascii="Times New Roman" w:hAnsi="Times New Roman" w:cs="Times New Roman"/>
                <w:kern w:val="0"/>
                <w:szCs w:val="21"/>
              </w:rPr>
              <w:t>评价等级定为二级</w:t>
            </w:r>
          </w:p>
        </w:tc>
      </w:tr>
    </w:tbl>
    <w:p>
      <w:pPr>
        <w:adjustRightInd w:val="0"/>
        <w:snapToGrid w:val="0"/>
        <w:spacing w:before="120" w:beforeLines="50" w:after="120" w:afterLines="50" w:line="360" w:lineRule="auto"/>
        <w:outlineLvl w:val="1"/>
        <w:rPr>
          <w:rFonts w:hint="default" w:ascii="Times New Roman" w:hAnsi="Times New Roman" w:cs="Times New Roman"/>
          <w:b/>
          <w:bCs/>
          <w:snapToGrid w:val="0"/>
          <w:kern w:val="0"/>
          <w:sz w:val="30"/>
          <w:szCs w:val="30"/>
        </w:rPr>
      </w:pPr>
      <w:bookmarkStart w:id="163" w:name="_Toc2632"/>
      <w:bookmarkStart w:id="164" w:name="_Toc32688"/>
      <w:bookmarkStart w:id="165" w:name="_Toc100489333"/>
      <w:r>
        <w:rPr>
          <w:rFonts w:hint="default" w:ascii="Times New Roman" w:hAnsi="Times New Roman" w:cs="Times New Roman"/>
          <w:b/>
          <w:bCs/>
          <w:snapToGrid w:val="0"/>
          <w:kern w:val="0"/>
          <w:sz w:val="30"/>
          <w:szCs w:val="30"/>
        </w:rPr>
        <w:t>1.5 评价范围和时段</w:t>
      </w:r>
      <w:bookmarkEnd w:id="163"/>
      <w:bookmarkEnd w:id="164"/>
      <w:bookmarkEnd w:id="165"/>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评价范围：依据《环境影响评价技术导则声环境》（HJ2.4-2021）评价范围的确定原则和本项目现场踏勘调查的实际情况，确定本项目声环境影响评价范围为：道路中心线外两侧200m以内的范围，如项目声源计算得到的贡献值到200m处，仍不能满足相应功能区标准时，将评价范围扩大到满足标准值的距离。施工期根据施工作业活动分布情况，评价范围扩大到各施工作业点。</w:t>
      </w:r>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评价时段：本次评价时段分为施工期和营运期，评价时段具体如下：</w:t>
      </w:r>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1、施工期：202</w:t>
      </w:r>
      <w:r>
        <w:rPr>
          <w:rFonts w:hint="eastAsia" w:cs="Times New Roman"/>
          <w:sz w:val="24"/>
          <w:lang w:val="en-US" w:eastAsia="zh-CN"/>
        </w:rPr>
        <w:t>5</w:t>
      </w:r>
      <w:r>
        <w:rPr>
          <w:rFonts w:hint="default" w:ascii="Times New Roman" w:hAnsi="Times New Roman" w:cs="Times New Roman"/>
          <w:sz w:val="24"/>
        </w:rPr>
        <w:t>年</w:t>
      </w:r>
      <w:r>
        <w:rPr>
          <w:rFonts w:hint="eastAsia" w:cs="Times New Roman"/>
          <w:sz w:val="24"/>
          <w:lang w:val="en-US" w:eastAsia="zh-CN"/>
        </w:rPr>
        <w:t>1</w:t>
      </w:r>
      <w:r>
        <w:rPr>
          <w:rFonts w:hint="default" w:ascii="Times New Roman" w:hAnsi="Times New Roman" w:cs="Times New Roman"/>
          <w:sz w:val="24"/>
        </w:rPr>
        <w:t>月至202</w:t>
      </w:r>
      <w:r>
        <w:rPr>
          <w:rFonts w:hint="eastAsia" w:cs="Times New Roman"/>
          <w:sz w:val="24"/>
          <w:lang w:val="en-US" w:eastAsia="zh-CN"/>
        </w:rPr>
        <w:t>5</w:t>
      </w:r>
      <w:r>
        <w:rPr>
          <w:rFonts w:hint="default" w:ascii="Times New Roman" w:hAnsi="Times New Roman" w:cs="Times New Roman"/>
          <w:sz w:val="24"/>
        </w:rPr>
        <w:t>年1</w:t>
      </w:r>
      <w:r>
        <w:rPr>
          <w:rFonts w:hint="eastAsia" w:cs="Times New Roman"/>
          <w:sz w:val="24"/>
          <w:lang w:val="en-US" w:eastAsia="zh-CN"/>
        </w:rPr>
        <w:t>2</w:t>
      </w:r>
      <w:r>
        <w:rPr>
          <w:rFonts w:hint="default" w:ascii="Times New Roman" w:hAnsi="Times New Roman" w:cs="Times New Roman"/>
          <w:sz w:val="24"/>
        </w:rPr>
        <w:t>月，施工期为</w:t>
      </w:r>
      <w:r>
        <w:rPr>
          <w:rFonts w:hint="eastAsia" w:cs="Times New Roman"/>
          <w:sz w:val="24"/>
          <w:lang w:val="en-US" w:eastAsia="zh-CN"/>
        </w:rPr>
        <w:t>12</w:t>
      </w:r>
      <w:r>
        <w:rPr>
          <w:rFonts w:hint="default" w:ascii="Times New Roman" w:hAnsi="Times New Roman" w:cs="Times New Roman"/>
          <w:sz w:val="24"/>
        </w:rPr>
        <w:t>个月。</w:t>
      </w:r>
    </w:p>
    <w:p>
      <w:pPr>
        <w:snapToGrid w:val="0"/>
        <w:spacing w:line="360" w:lineRule="auto"/>
        <w:ind w:firstLine="480" w:firstLineChars="200"/>
        <w:outlineLvl w:val="0"/>
        <w:rPr>
          <w:rFonts w:hint="default" w:ascii="Times New Roman" w:hAnsi="Times New Roman" w:cs="Times New Roman"/>
          <w:sz w:val="24"/>
        </w:rPr>
      </w:pPr>
      <w:bookmarkStart w:id="166" w:name="_Toc32034"/>
      <w:bookmarkStart w:id="167" w:name="_Toc20042"/>
      <w:r>
        <w:rPr>
          <w:rFonts w:hint="default" w:ascii="Times New Roman" w:hAnsi="Times New Roman" w:cs="Times New Roman"/>
          <w:sz w:val="24"/>
        </w:rPr>
        <w:t>2、营运期：按20年计，即从202</w:t>
      </w:r>
      <w:r>
        <w:rPr>
          <w:rFonts w:hint="eastAsia" w:cs="Times New Roman"/>
          <w:sz w:val="24"/>
          <w:lang w:val="en-US" w:eastAsia="zh-CN"/>
        </w:rPr>
        <w:t>6</w:t>
      </w:r>
      <w:r>
        <w:rPr>
          <w:rFonts w:hint="default" w:ascii="Times New Roman" w:hAnsi="Times New Roman" w:cs="Times New Roman"/>
          <w:sz w:val="24"/>
        </w:rPr>
        <w:t>~20</w:t>
      </w:r>
      <w:r>
        <w:rPr>
          <w:rFonts w:hint="eastAsia" w:cs="Times New Roman"/>
          <w:sz w:val="24"/>
          <w:lang w:val="en-US" w:eastAsia="zh-CN"/>
        </w:rPr>
        <w:t>46</w:t>
      </w:r>
      <w:r>
        <w:rPr>
          <w:rFonts w:hint="default" w:ascii="Times New Roman" w:hAnsi="Times New Roman" w:cs="Times New Roman"/>
          <w:sz w:val="24"/>
        </w:rPr>
        <w:t>年。</w:t>
      </w:r>
      <w:bookmarkEnd w:id="166"/>
      <w:bookmarkEnd w:id="167"/>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项目噪声影响对营运期作预测评价，年限为项目竣工投入营运后第1年、第7年和第15年（即近期202</w:t>
      </w:r>
      <w:r>
        <w:rPr>
          <w:rFonts w:hint="eastAsia" w:cs="Times New Roman"/>
          <w:sz w:val="24"/>
          <w:lang w:val="en-US" w:eastAsia="zh-CN"/>
        </w:rPr>
        <w:t>6</w:t>
      </w:r>
      <w:r>
        <w:rPr>
          <w:rFonts w:hint="default" w:ascii="Times New Roman" w:hAnsi="Times New Roman" w:cs="Times New Roman"/>
          <w:sz w:val="24"/>
        </w:rPr>
        <w:t>年、中期203</w:t>
      </w:r>
      <w:r>
        <w:rPr>
          <w:rFonts w:hint="eastAsia" w:cs="Times New Roman"/>
          <w:sz w:val="24"/>
          <w:lang w:val="en-US" w:eastAsia="zh-CN"/>
        </w:rPr>
        <w:t>2</w:t>
      </w:r>
      <w:r>
        <w:rPr>
          <w:rFonts w:hint="default" w:ascii="Times New Roman" w:hAnsi="Times New Roman" w:cs="Times New Roman"/>
          <w:sz w:val="24"/>
        </w:rPr>
        <w:t>年、远期20</w:t>
      </w:r>
      <w:r>
        <w:rPr>
          <w:rFonts w:hint="eastAsia" w:cs="Times New Roman"/>
          <w:sz w:val="24"/>
          <w:lang w:val="en-US" w:eastAsia="zh-CN"/>
        </w:rPr>
        <w:t>40</w:t>
      </w:r>
      <w:r>
        <w:rPr>
          <w:rFonts w:hint="default" w:ascii="Times New Roman" w:hAnsi="Times New Roman" w:cs="Times New Roman"/>
          <w:sz w:val="24"/>
        </w:rPr>
        <w:t>年），并兼顾施工期影响。</w:t>
      </w:r>
      <w:bookmarkStart w:id="168" w:name="_Toc7281"/>
    </w:p>
    <w:p>
      <w:pPr>
        <w:adjustRightInd w:val="0"/>
        <w:snapToGrid w:val="0"/>
        <w:spacing w:before="120" w:beforeLines="50" w:after="120" w:afterLines="50" w:line="360" w:lineRule="auto"/>
        <w:outlineLvl w:val="1"/>
        <w:rPr>
          <w:rFonts w:hint="eastAsia"/>
          <w:b/>
          <w:bCs/>
          <w:snapToGrid w:val="0"/>
          <w:color w:val="auto"/>
          <w:kern w:val="0"/>
          <w:sz w:val="30"/>
          <w:szCs w:val="30"/>
        </w:rPr>
      </w:pPr>
      <w:bookmarkStart w:id="169" w:name="_Toc14768"/>
      <w:bookmarkStart w:id="170" w:name="_Toc3980"/>
      <w:r>
        <w:rPr>
          <w:b/>
          <w:bCs/>
          <w:snapToGrid w:val="0"/>
          <w:color w:val="auto"/>
          <w:kern w:val="0"/>
          <w:sz w:val="30"/>
          <w:szCs w:val="30"/>
        </w:rPr>
        <w:t>1.</w:t>
      </w:r>
      <w:r>
        <w:rPr>
          <w:rFonts w:hint="eastAsia"/>
          <w:b/>
          <w:bCs/>
          <w:snapToGrid w:val="0"/>
          <w:color w:val="auto"/>
          <w:kern w:val="0"/>
          <w:sz w:val="30"/>
          <w:szCs w:val="30"/>
          <w:lang w:val="en-US" w:eastAsia="zh-CN"/>
        </w:rPr>
        <w:t>6</w:t>
      </w:r>
      <w:r>
        <w:rPr>
          <w:b/>
          <w:bCs/>
          <w:snapToGrid w:val="0"/>
          <w:color w:val="auto"/>
          <w:kern w:val="0"/>
          <w:sz w:val="30"/>
          <w:szCs w:val="30"/>
        </w:rPr>
        <w:t xml:space="preserve"> </w:t>
      </w:r>
      <w:r>
        <w:rPr>
          <w:rFonts w:hint="eastAsia"/>
          <w:b/>
          <w:bCs/>
          <w:snapToGrid w:val="0"/>
          <w:color w:val="auto"/>
          <w:kern w:val="0"/>
          <w:sz w:val="30"/>
          <w:szCs w:val="30"/>
        </w:rPr>
        <w:t>声环境保护目标</w:t>
      </w:r>
      <w:bookmarkEnd w:id="169"/>
      <w:bookmarkEnd w:id="170"/>
    </w:p>
    <w:p>
      <w:pPr>
        <w:snapToGrid w:val="0"/>
        <w:spacing w:line="360" w:lineRule="auto"/>
        <w:ind w:firstLine="480" w:firstLineChars="200"/>
        <w:rPr>
          <w:rFonts w:hint="default" w:eastAsia="宋体"/>
          <w:color w:val="auto"/>
          <w:kern w:val="0"/>
          <w:sz w:val="24"/>
          <w:szCs w:val="24"/>
          <w:lang w:val="en-US" w:eastAsia="zh-CN"/>
        </w:rPr>
      </w:pPr>
      <w:r>
        <w:rPr>
          <w:rFonts w:hint="eastAsia"/>
          <w:color w:val="auto"/>
          <w:kern w:val="0"/>
          <w:sz w:val="24"/>
          <w:szCs w:val="24"/>
          <w:lang w:val="en-US" w:eastAsia="zh-CN"/>
        </w:rPr>
        <w:t>根据</w:t>
      </w:r>
      <w:r>
        <w:rPr>
          <w:color w:val="auto"/>
          <w:sz w:val="24"/>
        </w:rPr>
        <w:t>《环境影响评价技术导则</w:t>
      </w:r>
      <w:r>
        <w:rPr>
          <w:rFonts w:hint="eastAsia"/>
          <w:color w:val="auto"/>
          <w:sz w:val="24"/>
        </w:rPr>
        <w:t xml:space="preserve">  </w:t>
      </w:r>
      <w:r>
        <w:rPr>
          <w:color w:val="auto"/>
          <w:sz w:val="24"/>
        </w:rPr>
        <w:t>声环境》（HJ2.4-2021）</w:t>
      </w:r>
      <w:r>
        <w:rPr>
          <w:rFonts w:hint="eastAsia"/>
          <w:color w:val="auto"/>
          <w:sz w:val="24"/>
          <w:lang w:eastAsia="zh-CN"/>
        </w:rPr>
        <w:t>，</w:t>
      </w:r>
      <w:r>
        <w:rPr>
          <w:rFonts w:hint="eastAsia"/>
          <w:color w:val="auto"/>
          <w:sz w:val="24"/>
          <w:lang w:val="en-US" w:eastAsia="zh-CN"/>
        </w:rPr>
        <w:t>声环境保护目标是指依据法律、法规、标准政策等确定的需要保持安静的建筑物及建筑物集中区。根据</w:t>
      </w:r>
      <w:r>
        <w:rPr>
          <w:rFonts w:ascii="Times New Roman" w:hAnsi="Times New Roman" w:eastAsia="宋体" w:cs="Times New Roman"/>
          <w:color w:val="auto"/>
          <w:sz w:val="24"/>
        </w:rPr>
        <w:t>《声环境质量标准》（GB3096-2008）</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噪声敏感建筑物指医院、学校、机关、科研单位、住宅等需要保持安静的建筑物。</w:t>
      </w:r>
    </w:p>
    <w:p>
      <w:pPr>
        <w:snapToGrid w:val="0"/>
        <w:spacing w:line="360" w:lineRule="auto"/>
        <w:ind w:firstLine="480" w:firstLineChars="200"/>
        <w:rPr>
          <w:rFonts w:hint="default"/>
          <w:color w:val="auto"/>
          <w:sz w:val="24"/>
          <w:szCs w:val="24"/>
          <w:lang w:val="en-US" w:eastAsia="zh-CN"/>
        </w:rPr>
      </w:pPr>
      <w:r>
        <w:rPr>
          <w:rFonts w:hint="eastAsia"/>
          <w:color w:val="auto"/>
          <w:kern w:val="0"/>
          <w:sz w:val="24"/>
          <w:szCs w:val="24"/>
          <w:lang w:val="en-US" w:eastAsia="zh-CN"/>
        </w:rPr>
        <w:t>本项目位于</w:t>
      </w:r>
      <w:r>
        <w:rPr>
          <w:rFonts w:hint="eastAsia" w:ascii="Times New Roman" w:hAnsi="Times New Roman" w:eastAsia="宋体" w:cs="Times New Roman"/>
          <w:color w:val="auto"/>
          <w:sz w:val="24"/>
          <w:szCs w:val="24"/>
          <w:lang w:val="en-US" w:eastAsia="zh-CN"/>
        </w:rPr>
        <w:t>福清市福泽片区，</w:t>
      </w:r>
      <w:r>
        <w:rPr>
          <w:rFonts w:hint="eastAsia"/>
          <w:color w:val="auto"/>
          <w:sz w:val="24"/>
          <w:szCs w:val="24"/>
          <w:lang w:val="en-US" w:eastAsia="zh-CN"/>
        </w:rPr>
        <w:t>经调查，道路两侧原居住居民已完成拆迁，现状为在建体育馆、体育会展中心、农田等，无</w:t>
      </w:r>
      <w:r>
        <w:rPr>
          <w:rFonts w:hint="eastAsia"/>
          <w:color w:val="auto"/>
          <w:sz w:val="24"/>
          <w:lang w:val="en-US" w:eastAsia="zh-CN"/>
        </w:rPr>
        <w:t>声环境保护目标。</w:t>
      </w:r>
    </w:p>
    <w:p>
      <w:pPr>
        <w:snapToGrid w:val="0"/>
        <w:spacing w:line="360" w:lineRule="auto"/>
        <w:ind w:firstLine="480" w:firstLineChars="200"/>
        <w:rPr>
          <w:rFonts w:hint="default" w:eastAsia="宋体"/>
          <w:color w:val="auto"/>
          <w:sz w:val="24"/>
          <w:szCs w:val="24"/>
          <w:lang w:val="en-US" w:eastAsia="zh-CN"/>
        </w:rPr>
      </w:pPr>
      <w:r>
        <w:rPr>
          <w:rFonts w:hint="eastAsia"/>
          <w:color w:val="auto"/>
          <w:sz w:val="24"/>
          <w:szCs w:val="24"/>
          <w:lang w:val="en-US" w:eastAsia="zh-CN"/>
        </w:rPr>
        <w:t>经对照《</w:t>
      </w:r>
      <w:r>
        <w:rPr>
          <w:rFonts w:hint="eastAsia"/>
          <w:color w:val="auto"/>
          <w:sz w:val="24"/>
          <w:lang w:val="en-US" w:eastAsia="zh-CN"/>
        </w:rPr>
        <w:t>福清市人民政府关于福清市福泽片区控制性详细规划的批复</w:t>
      </w:r>
      <w:r>
        <w:rPr>
          <w:rFonts w:hint="eastAsia"/>
          <w:color w:val="auto"/>
          <w:sz w:val="24"/>
          <w:szCs w:val="24"/>
          <w:lang w:val="en-US" w:eastAsia="zh-CN"/>
        </w:rPr>
        <w:t>》（融政土〔2023〕129号）（见附图2），项目沿线地块主要规划为</w:t>
      </w:r>
      <w:r>
        <w:rPr>
          <w:rFonts w:hint="eastAsia" w:ascii="Times New Roman" w:hAnsi="Times New Roman" w:eastAsia="宋体" w:cs="Times New Roman"/>
          <w:color w:val="auto"/>
          <w:sz w:val="24"/>
          <w:lang w:val="en-US" w:eastAsia="zh-CN"/>
        </w:rPr>
        <w:t>体育设施用地、教育科研用地和居住用地</w:t>
      </w:r>
      <w:r>
        <w:rPr>
          <w:rFonts w:hint="eastAsia" w:cs="Times New Roman"/>
          <w:color w:val="auto"/>
          <w:sz w:val="24"/>
          <w:lang w:val="en-US" w:eastAsia="zh-CN"/>
        </w:rPr>
        <w:t>，未来可能新增</w:t>
      </w:r>
      <w:r>
        <w:rPr>
          <w:rFonts w:hint="eastAsia"/>
          <w:color w:val="auto"/>
          <w:sz w:val="24"/>
          <w:szCs w:val="24"/>
          <w:lang w:val="en-US" w:eastAsia="zh-CN"/>
        </w:rPr>
        <w:t>居民</w:t>
      </w:r>
      <w:r>
        <w:rPr>
          <w:rFonts w:hint="eastAsia" w:ascii="Times New Roman" w:hAnsi="Times New Roman" w:eastAsia="宋体" w:cs="Times New Roman"/>
          <w:color w:val="auto"/>
          <w:sz w:val="24"/>
          <w:lang w:val="en-US" w:eastAsia="zh-CN"/>
        </w:rPr>
        <w:t>住宅</w:t>
      </w:r>
      <w:r>
        <w:rPr>
          <w:rFonts w:hint="eastAsia"/>
          <w:color w:val="auto"/>
          <w:sz w:val="24"/>
          <w:szCs w:val="24"/>
          <w:lang w:val="en-US" w:eastAsia="zh-CN"/>
        </w:rPr>
        <w:t>、</w:t>
      </w:r>
      <w:r>
        <w:rPr>
          <w:rFonts w:hint="eastAsia" w:ascii="Times New Roman" w:hAnsi="Times New Roman" w:eastAsia="宋体" w:cs="Times New Roman"/>
          <w:color w:val="auto"/>
          <w:sz w:val="24"/>
          <w:lang w:val="en-US" w:eastAsia="zh-CN"/>
        </w:rPr>
        <w:t>科研单位</w:t>
      </w:r>
      <w:r>
        <w:rPr>
          <w:rFonts w:hint="eastAsia"/>
          <w:color w:val="auto"/>
          <w:sz w:val="24"/>
          <w:szCs w:val="24"/>
          <w:lang w:val="en-US" w:eastAsia="zh-CN"/>
        </w:rPr>
        <w:t>、</w:t>
      </w:r>
      <w:r>
        <w:rPr>
          <w:rFonts w:hint="eastAsia" w:ascii="Times New Roman" w:hAnsi="Times New Roman" w:eastAsia="宋体" w:cs="Times New Roman"/>
          <w:color w:val="auto"/>
          <w:sz w:val="24"/>
          <w:lang w:val="en-US" w:eastAsia="zh-CN"/>
        </w:rPr>
        <w:t>学校</w:t>
      </w:r>
      <w:r>
        <w:rPr>
          <w:rFonts w:hint="eastAsia"/>
          <w:color w:val="auto"/>
          <w:sz w:val="24"/>
          <w:szCs w:val="24"/>
          <w:lang w:val="en-US" w:eastAsia="zh-CN"/>
        </w:rPr>
        <w:t>等声环境保护目标。</w:t>
      </w:r>
    </w:p>
    <w:p>
      <w:pPr>
        <w:snapToGrid w:val="0"/>
        <w:spacing w:line="360" w:lineRule="auto"/>
        <w:ind w:firstLine="480" w:firstLineChars="200"/>
        <w:rPr>
          <w:rFonts w:hint="eastAsia"/>
          <w:color w:val="auto"/>
          <w:sz w:val="24"/>
          <w:szCs w:val="32"/>
        </w:rPr>
      </w:pPr>
      <w:r>
        <w:rPr>
          <w:rFonts w:hint="eastAsia"/>
          <w:color w:val="auto"/>
          <w:sz w:val="24"/>
          <w:szCs w:val="32"/>
        </w:rPr>
        <w:t>项目声环境保护目标</w:t>
      </w:r>
      <w:r>
        <w:rPr>
          <w:rFonts w:hint="eastAsia"/>
          <w:color w:val="auto"/>
          <w:sz w:val="24"/>
          <w:szCs w:val="32"/>
          <w:lang w:val="en-US" w:eastAsia="zh-CN"/>
        </w:rPr>
        <w:t>调查结果</w:t>
      </w:r>
      <w:r>
        <w:rPr>
          <w:rFonts w:hint="eastAsia"/>
          <w:color w:val="auto"/>
          <w:sz w:val="24"/>
          <w:szCs w:val="32"/>
        </w:rPr>
        <w:t>见</w:t>
      </w:r>
      <w:r>
        <w:rPr>
          <w:rFonts w:hint="eastAsia"/>
          <w:b/>
          <w:bCs/>
          <w:color w:val="auto"/>
          <w:sz w:val="24"/>
          <w:szCs w:val="32"/>
        </w:rPr>
        <w:t>表1.</w:t>
      </w:r>
      <w:r>
        <w:rPr>
          <w:rFonts w:hint="eastAsia"/>
          <w:b/>
          <w:bCs/>
          <w:color w:val="auto"/>
          <w:sz w:val="24"/>
          <w:szCs w:val="32"/>
          <w:lang w:val="en-US" w:eastAsia="zh-CN"/>
        </w:rPr>
        <w:t>6</w:t>
      </w:r>
      <w:r>
        <w:rPr>
          <w:rFonts w:hint="eastAsia"/>
          <w:b/>
          <w:bCs/>
          <w:color w:val="auto"/>
          <w:sz w:val="24"/>
          <w:szCs w:val="32"/>
        </w:rPr>
        <w:t>-1</w:t>
      </w:r>
      <w:r>
        <w:rPr>
          <w:rFonts w:hint="eastAsia"/>
          <w:color w:val="auto"/>
          <w:sz w:val="24"/>
          <w:szCs w:val="32"/>
        </w:rPr>
        <w:t>。</w:t>
      </w:r>
    </w:p>
    <w:p>
      <w:pPr>
        <w:rPr>
          <w:b/>
          <w:color w:val="auto"/>
          <w:sz w:val="24"/>
        </w:rPr>
        <w:sectPr>
          <w:footerReference r:id="rId11" w:type="default"/>
          <w:pgSz w:w="11905"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26" w:charSpace="0"/>
        </w:sectPr>
      </w:pPr>
    </w:p>
    <w:p>
      <w:pPr>
        <w:rPr>
          <w:b/>
          <w:color w:val="auto"/>
          <w:sz w:val="24"/>
        </w:rPr>
      </w:pPr>
    </w:p>
    <w:p>
      <w:pPr>
        <w:ind w:firstLine="482" w:firstLineChars="200"/>
        <w:jc w:val="center"/>
        <w:rPr>
          <w:b/>
          <w:color w:val="auto"/>
          <w:sz w:val="24"/>
        </w:rPr>
      </w:pPr>
      <w:r>
        <w:rPr>
          <w:b/>
          <w:color w:val="auto"/>
          <w:sz w:val="24"/>
        </w:rPr>
        <w:t>表</w:t>
      </w:r>
      <w:r>
        <w:rPr>
          <w:rFonts w:hint="eastAsia"/>
          <w:b/>
          <w:color w:val="auto"/>
          <w:sz w:val="24"/>
        </w:rPr>
        <w:t>1.</w:t>
      </w:r>
      <w:r>
        <w:rPr>
          <w:rFonts w:hint="eastAsia"/>
          <w:b/>
          <w:color w:val="auto"/>
          <w:sz w:val="24"/>
          <w:lang w:val="en-US" w:eastAsia="zh-CN"/>
        </w:rPr>
        <w:t>6</w:t>
      </w:r>
      <w:r>
        <w:rPr>
          <w:rFonts w:hint="eastAsia"/>
          <w:b/>
          <w:color w:val="auto"/>
          <w:sz w:val="24"/>
        </w:rPr>
        <w:t>-1</w:t>
      </w:r>
      <w:r>
        <w:rPr>
          <w:b/>
          <w:color w:val="auto"/>
          <w:sz w:val="24"/>
        </w:rPr>
        <w:t xml:space="preserve">  项目沿线</w:t>
      </w:r>
      <w:r>
        <w:rPr>
          <w:rFonts w:hint="eastAsia"/>
          <w:b/>
          <w:color w:val="auto"/>
          <w:sz w:val="24"/>
          <w:lang w:val="en-US" w:eastAsia="zh-CN"/>
        </w:rPr>
        <w:t>规划</w:t>
      </w:r>
      <w:r>
        <w:rPr>
          <w:b/>
          <w:color w:val="auto"/>
          <w:sz w:val="24"/>
        </w:rPr>
        <w:t>声环境保护目标概况</w:t>
      </w:r>
    </w:p>
    <w:tbl>
      <w:tblPr>
        <w:tblStyle w:val="27"/>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43"/>
        <w:gridCol w:w="1175"/>
        <w:gridCol w:w="848"/>
        <w:gridCol w:w="1360"/>
        <w:gridCol w:w="860"/>
        <w:gridCol w:w="858"/>
        <w:gridCol w:w="975"/>
        <w:gridCol w:w="907"/>
        <w:gridCol w:w="708"/>
        <w:gridCol w:w="684"/>
        <w:gridCol w:w="731"/>
        <w:gridCol w:w="3487"/>
        <w:gridCol w:w="107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191" w:type="pct"/>
            <w:vMerge w:val="restart"/>
            <w:noWrap w:val="0"/>
            <w:vAlign w:val="center"/>
          </w:tcPr>
          <w:p>
            <w:pPr>
              <w:pStyle w:val="12"/>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序号</w:t>
            </w:r>
          </w:p>
        </w:tc>
        <w:tc>
          <w:tcPr>
            <w:tcW w:w="413"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声环境保护目标名称</w:t>
            </w:r>
          </w:p>
        </w:tc>
        <w:tc>
          <w:tcPr>
            <w:tcW w:w="298"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所在路段</w:t>
            </w:r>
          </w:p>
        </w:tc>
        <w:tc>
          <w:tcPr>
            <w:tcW w:w="478"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里程范围</w:t>
            </w:r>
          </w:p>
        </w:tc>
        <w:tc>
          <w:tcPr>
            <w:tcW w:w="302"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线路形式</w:t>
            </w:r>
          </w:p>
        </w:tc>
        <w:tc>
          <w:tcPr>
            <w:tcW w:w="301"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方位</w:t>
            </w:r>
          </w:p>
        </w:tc>
        <w:tc>
          <w:tcPr>
            <w:tcW w:w="343"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声环境保护目标预测点与路面高差/m</w:t>
            </w:r>
          </w:p>
        </w:tc>
        <w:tc>
          <w:tcPr>
            <w:tcW w:w="319"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距道路边界（红线）距离/m</w:t>
            </w:r>
          </w:p>
        </w:tc>
        <w:tc>
          <w:tcPr>
            <w:tcW w:w="249"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距道路中心线距离/m</w:t>
            </w:r>
          </w:p>
        </w:tc>
        <w:tc>
          <w:tcPr>
            <w:tcW w:w="497" w:type="pct"/>
            <w:gridSpan w:val="2"/>
            <w:shd w:val="clear" w:color="auto" w:fill="auto"/>
            <w:noWrap w:val="0"/>
            <w:vAlign w:val="center"/>
          </w:tcPr>
          <w:p>
            <w:pPr>
              <w:jc w:val="center"/>
              <w:outlineLvl w:val="1"/>
              <w:rPr>
                <w:rFonts w:hint="default" w:ascii="Times New Roman" w:hAnsi="Times New Roman" w:eastAsia="宋体" w:cs="Times New Roman"/>
                <w:b/>
                <w:bCs/>
                <w:kern w:val="2"/>
                <w:sz w:val="21"/>
                <w:szCs w:val="21"/>
                <w:lang w:val="en-US" w:eastAsia="zh-CN" w:bidi="ar-SA"/>
              </w:rPr>
            </w:pPr>
            <w:r>
              <w:rPr>
                <w:rFonts w:hint="default" w:ascii="Times New Roman" w:hAnsi="Times New Roman" w:cs="Times New Roman"/>
                <w:b/>
                <w:bCs/>
                <w:sz w:val="21"/>
                <w:szCs w:val="21"/>
                <w:lang w:eastAsia="zh-CN"/>
              </w:rPr>
              <w:t>声环境质量标准（</w:t>
            </w:r>
            <w:r>
              <w:rPr>
                <w:rFonts w:hint="default" w:ascii="Times New Roman" w:hAnsi="Times New Roman" w:cs="Times New Roman"/>
                <w:b/>
                <w:bCs/>
                <w:sz w:val="21"/>
                <w:szCs w:val="21"/>
                <w:lang w:val="en-US" w:eastAsia="zh-CN"/>
              </w:rPr>
              <w:t>dB(A)</w:t>
            </w:r>
            <w:r>
              <w:rPr>
                <w:rFonts w:hint="default" w:ascii="Times New Roman" w:hAnsi="Times New Roman" w:cs="Times New Roman"/>
                <w:b/>
                <w:bCs/>
                <w:sz w:val="21"/>
                <w:szCs w:val="21"/>
                <w:lang w:eastAsia="zh-CN"/>
              </w:rPr>
              <w:t>）</w:t>
            </w:r>
          </w:p>
        </w:tc>
        <w:tc>
          <w:tcPr>
            <w:tcW w:w="1227" w:type="pct"/>
            <w:vMerge w:val="restart"/>
            <w:noWrap w:val="0"/>
            <w:vAlign w:val="center"/>
          </w:tcPr>
          <w:p>
            <w:pPr>
              <w:jc w:val="center"/>
              <w:rPr>
                <w:rFonts w:hint="default" w:ascii="Times New Roman" w:hAnsi="Times New Roman" w:cs="Times New Roman"/>
                <w:b/>
                <w:bCs/>
                <w:color w:val="auto"/>
                <w:sz w:val="21"/>
                <w:szCs w:val="21"/>
              </w:rPr>
            </w:pPr>
            <w:r>
              <w:rPr>
                <w:rFonts w:ascii="宋体" w:hAnsi="宋体" w:cs="宋体"/>
                <w:b/>
                <w:bCs/>
                <w:kern w:val="0"/>
                <w:szCs w:val="21"/>
                <w:lang w:val="de-DE"/>
              </w:rPr>
              <w:t>拟建道路与</w:t>
            </w:r>
            <w:r>
              <w:rPr>
                <w:rFonts w:hint="eastAsia" w:ascii="宋体" w:hAnsi="宋体" w:cs="宋体"/>
                <w:b/>
                <w:bCs/>
                <w:kern w:val="0"/>
                <w:szCs w:val="21"/>
                <w:lang w:val="en-US" w:eastAsia="zh-CN"/>
              </w:rPr>
              <w:t>规划目标</w:t>
            </w:r>
            <w:r>
              <w:rPr>
                <w:rFonts w:ascii="宋体" w:hAnsi="宋体" w:cs="宋体"/>
                <w:b/>
                <w:bCs/>
                <w:kern w:val="0"/>
                <w:szCs w:val="21"/>
                <w:lang w:val="de-DE"/>
              </w:rPr>
              <w:t>关系平面图</w:t>
            </w:r>
          </w:p>
        </w:tc>
        <w:tc>
          <w:tcPr>
            <w:tcW w:w="377" w:type="pct"/>
            <w:vMerge w:val="restart"/>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sz w:val="21"/>
                <w:szCs w:val="21"/>
              </w:rPr>
              <w:t>声环境保护目标情况说明</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191" w:type="pct"/>
            <w:vMerge w:val="continue"/>
            <w:noWrap w:val="0"/>
            <w:vAlign w:val="center"/>
          </w:tcPr>
          <w:p>
            <w:pPr>
              <w:pStyle w:val="12"/>
              <w:rPr>
                <w:rFonts w:hint="default" w:ascii="Times New Roman" w:hAnsi="Times New Roman" w:cs="Times New Roman"/>
                <w:b/>
                <w:bCs/>
                <w:color w:val="auto"/>
                <w:sz w:val="21"/>
                <w:szCs w:val="21"/>
              </w:rPr>
            </w:pPr>
          </w:p>
        </w:tc>
        <w:tc>
          <w:tcPr>
            <w:tcW w:w="413" w:type="pct"/>
            <w:vMerge w:val="continue"/>
            <w:noWrap w:val="0"/>
            <w:vAlign w:val="center"/>
          </w:tcPr>
          <w:p>
            <w:pPr>
              <w:jc w:val="center"/>
              <w:rPr>
                <w:rFonts w:hint="default" w:ascii="Times New Roman" w:hAnsi="Times New Roman" w:cs="Times New Roman"/>
                <w:b/>
                <w:bCs/>
                <w:color w:val="auto"/>
                <w:sz w:val="21"/>
                <w:szCs w:val="21"/>
              </w:rPr>
            </w:pPr>
          </w:p>
        </w:tc>
        <w:tc>
          <w:tcPr>
            <w:tcW w:w="298" w:type="pct"/>
            <w:vMerge w:val="continue"/>
            <w:noWrap w:val="0"/>
            <w:vAlign w:val="center"/>
          </w:tcPr>
          <w:p>
            <w:pPr>
              <w:jc w:val="center"/>
              <w:rPr>
                <w:rFonts w:hint="default" w:ascii="Times New Roman" w:hAnsi="Times New Roman" w:cs="Times New Roman"/>
                <w:b/>
                <w:bCs/>
                <w:color w:val="auto"/>
                <w:sz w:val="21"/>
                <w:szCs w:val="21"/>
              </w:rPr>
            </w:pPr>
          </w:p>
        </w:tc>
        <w:tc>
          <w:tcPr>
            <w:tcW w:w="478" w:type="pct"/>
            <w:vMerge w:val="continue"/>
            <w:noWrap w:val="0"/>
            <w:vAlign w:val="center"/>
          </w:tcPr>
          <w:p>
            <w:pPr>
              <w:jc w:val="center"/>
              <w:rPr>
                <w:rFonts w:hint="default" w:ascii="Times New Roman" w:hAnsi="Times New Roman" w:cs="Times New Roman"/>
                <w:b/>
                <w:bCs/>
                <w:color w:val="auto"/>
                <w:sz w:val="21"/>
                <w:szCs w:val="21"/>
              </w:rPr>
            </w:pPr>
          </w:p>
        </w:tc>
        <w:tc>
          <w:tcPr>
            <w:tcW w:w="302" w:type="pct"/>
            <w:vMerge w:val="continue"/>
            <w:noWrap w:val="0"/>
            <w:vAlign w:val="center"/>
          </w:tcPr>
          <w:p>
            <w:pPr>
              <w:jc w:val="center"/>
              <w:rPr>
                <w:rFonts w:hint="default" w:ascii="Times New Roman" w:hAnsi="Times New Roman" w:cs="Times New Roman"/>
                <w:b/>
                <w:bCs/>
                <w:color w:val="auto"/>
                <w:sz w:val="21"/>
                <w:szCs w:val="21"/>
              </w:rPr>
            </w:pPr>
          </w:p>
        </w:tc>
        <w:tc>
          <w:tcPr>
            <w:tcW w:w="301" w:type="pct"/>
            <w:vMerge w:val="continue"/>
            <w:noWrap w:val="0"/>
            <w:vAlign w:val="center"/>
          </w:tcPr>
          <w:p>
            <w:pPr>
              <w:jc w:val="center"/>
              <w:rPr>
                <w:rFonts w:hint="default" w:ascii="Times New Roman" w:hAnsi="Times New Roman" w:cs="Times New Roman"/>
                <w:b/>
                <w:bCs/>
                <w:color w:val="auto"/>
                <w:sz w:val="21"/>
                <w:szCs w:val="21"/>
              </w:rPr>
            </w:pPr>
          </w:p>
        </w:tc>
        <w:tc>
          <w:tcPr>
            <w:tcW w:w="343" w:type="pct"/>
            <w:vMerge w:val="continue"/>
            <w:noWrap w:val="0"/>
            <w:vAlign w:val="center"/>
          </w:tcPr>
          <w:p>
            <w:pPr>
              <w:jc w:val="center"/>
              <w:rPr>
                <w:rFonts w:hint="default" w:ascii="Times New Roman" w:hAnsi="Times New Roman" w:cs="Times New Roman"/>
                <w:b/>
                <w:bCs/>
                <w:color w:val="auto"/>
                <w:sz w:val="21"/>
                <w:szCs w:val="21"/>
              </w:rPr>
            </w:pPr>
          </w:p>
        </w:tc>
        <w:tc>
          <w:tcPr>
            <w:tcW w:w="319" w:type="pct"/>
            <w:vMerge w:val="continue"/>
            <w:noWrap w:val="0"/>
            <w:vAlign w:val="center"/>
          </w:tcPr>
          <w:p>
            <w:pPr>
              <w:jc w:val="center"/>
              <w:rPr>
                <w:rFonts w:hint="default" w:ascii="Times New Roman" w:hAnsi="Times New Roman" w:cs="Times New Roman"/>
                <w:b/>
                <w:bCs/>
                <w:color w:val="auto"/>
                <w:sz w:val="21"/>
                <w:szCs w:val="21"/>
              </w:rPr>
            </w:pPr>
          </w:p>
        </w:tc>
        <w:tc>
          <w:tcPr>
            <w:tcW w:w="249" w:type="pct"/>
            <w:vMerge w:val="continue"/>
            <w:noWrap w:val="0"/>
            <w:vAlign w:val="center"/>
          </w:tcPr>
          <w:p>
            <w:pPr>
              <w:jc w:val="center"/>
              <w:rPr>
                <w:rFonts w:hint="default" w:ascii="Times New Roman" w:hAnsi="Times New Roman" w:cs="Times New Roman"/>
                <w:b/>
                <w:bCs/>
                <w:color w:val="auto"/>
                <w:sz w:val="21"/>
                <w:szCs w:val="21"/>
              </w:rPr>
            </w:pPr>
          </w:p>
        </w:tc>
        <w:tc>
          <w:tcPr>
            <w:tcW w:w="240" w:type="pct"/>
            <w:shd w:val="clear" w:color="auto" w:fill="auto"/>
            <w:noWrap w:val="0"/>
            <w:vAlign w:val="center"/>
          </w:tcPr>
          <w:p>
            <w:pPr>
              <w:jc w:val="center"/>
              <w:outlineLvl w:val="1"/>
              <w:rPr>
                <w:rFonts w:hint="default" w:ascii="Times New Roman" w:hAnsi="Times New Roman" w:eastAsia="宋体" w:cs="Times New Roman"/>
                <w:b/>
                <w:bCs/>
                <w:kern w:val="2"/>
                <w:sz w:val="21"/>
                <w:szCs w:val="21"/>
                <w:lang w:val="en-US" w:eastAsia="zh-CN" w:bidi="ar-SA"/>
              </w:rPr>
            </w:pPr>
            <w:bookmarkStart w:id="171" w:name="_Toc7626"/>
            <w:r>
              <w:rPr>
                <w:rFonts w:hint="default" w:ascii="Times New Roman" w:hAnsi="Times New Roman" w:cs="Times New Roman"/>
                <w:b/>
                <w:bCs/>
                <w:sz w:val="21"/>
                <w:szCs w:val="21"/>
                <w:lang w:eastAsia="zh-CN"/>
              </w:rPr>
              <w:t>昼间</w:t>
            </w:r>
            <w:bookmarkEnd w:id="171"/>
          </w:p>
        </w:tc>
        <w:tc>
          <w:tcPr>
            <w:tcW w:w="257" w:type="pct"/>
            <w:shd w:val="clear" w:color="auto" w:fill="auto"/>
            <w:noWrap w:val="0"/>
            <w:vAlign w:val="center"/>
          </w:tcPr>
          <w:p>
            <w:pPr>
              <w:jc w:val="center"/>
              <w:outlineLvl w:val="1"/>
              <w:rPr>
                <w:rFonts w:hint="default" w:ascii="Times New Roman" w:hAnsi="Times New Roman" w:eastAsia="宋体" w:cs="Times New Roman"/>
                <w:b/>
                <w:bCs/>
                <w:kern w:val="2"/>
                <w:sz w:val="21"/>
                <w:szCs w:val="21"/>
                <w:lang w:val="en-US" w:eastAsia="zh-CN" w:bidi="ar-SA"/>
              </w:rPr>
            </w:pPr>
            <w:bookmarkStart w:id="172" w:name="_Toc8175"/>
            <w:r>
              <w:rPr>
                <w:rFonts w:hint="default" w:ascii="Times New Roman" w:hAnsi="Times New Roman" w:cs="Times New Roman"/>
                <w:b/>
                <w:bCs/>
                <w:sz w:val="21"/>
                <w:szCs w:val="21"/>
                <w:lang w:eastAsia="zh-CN"/>
              </w:rPr>
              <w:t>夜间</w:t>
            </w:r>
            <w:bookmarkEnd w:id="172"/>
          </w:p>
        </w:tc>
        <w:tc>
          <w:tcPr>
            <w:tcW w:w="1227" w:type="pct"/>
            <w:vMerge w:val="continue"/>
            <w:noWrap w:val="0"/>
            <w:vAlign w:val="center"/>
          </w:tcPr>
          <w:p>
            <w:pPr>
              <w:jc w:val="center"/>
              <w:rPr>
                <w:rFonts w:hint="default" w:ascii="Times New Roman" w:hAnsi="Times New Roman" w:cs="Times New Roman"/>
                <w:b/>
                <w:bCs/>
                <w:color w:val="auto"/>
                <w:sz w:val="21"/>
                <w:szCs w:val="21"/>
              </w:rPr>
            </w:pPr>
          </w:p>
        </w:tc>
        <w:tc>
          <w:tcPr>
            <w:tcW w:w="377" w:type="pct"/>
            <w:vMerge w:val="continue"/>
            <w:noWrap w:val="0"/>
            <w:vAlign w:val="center"/>
          </w:tcPr>
          <w:p>
            <w:pPr>
              <w:jc w:val="center"/>
              <w:rPr>
                <w:rFonts w:hint="default" w:ascii="Times New Roman" w:hAnsi="Times New Roman" w:cs="Times New Roman"/>
                <w:b/>
                <w:bCs/>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191"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413" w:type="pct"/>
            <w:noWrap w:val="0"/>
            <w:vAlign w:val="center"/>
          </w:tcPr>
          <w:p>
            <w:pPr>
              <w:pStyle w:val="5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科研单位</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学校</w:t>
            </w:r>
          </w:p>
        </w:tc>
        <w:tc>
          <w:tcPr>
            <w:tcW w:w="298" w:type="pct"/>
            <w:vMerge w:val="restar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rPr>
              <w:t>福泽大道北延伸段</w:t>
            </w:r>
          </w:p>
        </w:tc>
        <w:tc>
          <w:tcPr>
            <w:tcW w:w="478" w:type="pct"/>
            <w:noWrap w:val="0"/>
            <w:vAlign w:val="center"/>
          </w:tcPr>
          <w:p>
            <w:pPr>
              <w:pStyle w:val="53"/>
              <w:rPr>
                <w:rFonts w:hint="default" w:ascii="Times New Roman" w:hAnsi="Times New Roman" w:cs="Times New Roman"/>
                <w:color w:val="auto"/>
                <w:sz w:val="21"/>
                <w:szCs w:val="21"/>
                <w:lang w:val="en-US"/>
              </w:rPr>
            </w:pPr>
            <w:r>
              <w:rPr>
                <w:rFonts w:hint="default" w:ascii="Times New Roman" w:hAnsi="Times New Roman" w:cs="Times New Roman"/>
                <w:color w:val="auto"/>
                <w:kern w:val="0"/>
                <w:sz w:val="21"/>
                <w:szCs w:val="21"/>
                <w:lang w:val="en-US" w:eastAsia="zh-CN"/>
              </w:rPr>
              <w:t>K0+440~K0+780</w:t>
            </w:r>
          </w:p>
        </w:tc>
        <w:tc>
          <w:tcPr>
            <w:tcW w:w="3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双向</w:t>
            </w:r>
            <w:r>
              <w:rPr>
                <w:rFonts w:hint="default" w:ascii="Times New Roman" w:hAnsi="Times New Roman" w:cs="Times New Roman"/>
                <w:color w:val="auto"/>
                <w:sz w:val="21"/>
                <w:szCs w:val="21"/>
                <w:lang w:val="en-US" w:eastAsia="zh-CN"/>
              </w:rPr>
              <w:t>六</w:t>
            </w:r>
            <w:r>
              <w:rPr>
                <w:rFonts w:hint="default" w:ascii="Times New Roman" w:hAnsi="Times New Roman" w:cs="Times New Roman"/>
                <w:color w:val="auto"/>
                <w:sz w:val="21"/>
                <w:szCs w:val="21"/>
              </w:rPr>
              <w:t>车道</w:t>
            </w:r>
          </w:p>
        </w:tc>
        <w:tc>
          <w:tcPr>
            <w:tcW w:w="301"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路左</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路右</w:t>
            </w:r>
          </w:p>
        </w:tc>
        <w:tc>
          <w:tcPr>
            <w:tcW w:w="343" w:type="pct"/>
            <w:noWrap w:val="0"/>
            <w:vAlign w:val="center"/>
          </w:tcPr>
          <w:p>
            <w:pPr>
              <w:jc w:val="center"/>
              <w:outlineLvl w:val="1"/>
              <w:rPr>
                <w:rFonts w:hint="default" w:ascii="Times New Roman" w:hAnsi="Times New Roman" w:eastAsia="宋体" w:cs="Times New Roman"/>
                <w:color w:val="auto"/>
                <w:sz w:val="21"/>
                <w:szCs w:val="21"/>
                <w:lang w:val="en-US" w:eastAsia="zh-CN"/>
              </w:rPr>
            </w:pPr>
            <w:bookmarkStart w:id="173" w:name="_Toc19480"/>
            <w:r>
              <w:rPr>
                <w:rFonts w:hint="default" w:ascii="Times New Roman" w:hAnsi="Times New Roman" w:cs="Times New Roman"/>
                <w:sz w:val="21"/>
                <w:szCs w:val="21"/>
                <w:lang w:val="en-US" w:eastAsia="zh-CN"/>
              </w:rPr>
              <w:t>/</w:t>
            </w:r>
            <w:bookmarkEnd w:id="173"/>
          </w:p>
        </w:tc>
        <w:tc>
          <w:tcPr>
            <w:tcW w:w="319" w:type="pct"/>
            <w:noWrap w:val="0"/>
            <w:vAlign w:val="center"/>
          </w:tcPr>
          <w:p>
            <w:pPr>
              <w:jc w:val="center"/>
              <w:outlineLvl w:val="1"/>
              <w:rPr>
                <w:rFonts w:hint="default" w:ascii="Times New Roman" w:hAnsi="Times New Roman" w:cs="Times New Roman"/>
                <w:color w:val="auto"/>
                <w:sz w:val="21"/>
                <w:szCs w:val="21"/>
                <w:lang w:val="en-US"/>
              </w:rPr>
            </w:pPr>
            <w:bookmarkStart w:id="174" w:name="_Toc14083"/>
            <w:r>
              <w:rPr>
                <w:rFonts w:hint="default" w:ascii="Times New Roman" w:hAnsi="Times New Roman" w:eastAsia="宋体" w:cs="Times New Roman"/>
                <w:sz w:val="21"/>
                <w:szCs w:val="21"/>
                <w:lang w:val="en-US" w:eastAsia="zh-CN"/>
              </w:rPr>
              <w:t>/</w:t>
            </w:r>
            <w:bookmarkEnd w:id="174"/>
          </w:p>
        </w:tc>
        <w:tc>
          <w:tcPr>
            <w:tcW w:w="249" w:type="pct"/>
            <w:noWrap w:val="0"/>
            <w:vAlign w:val="center"/>
          </w:tcPr>
          <w:p>
            <w:pPr>
              <w:jc w:val="center"/>
              <w:outlineLvl w:val="1"/>
              <w:rPr>
                <w:rFonts w:hint="default" w:ascii="Times New Roman" w:hAnsi="Times New Roman" w:cs="Times New Roman"/>
                <w:color w:val="auto"/>
                <w:sz w:val="21"/>
                <w:szCs w:val="21"/>
                <w:lang w:val="en-US"/>
              </w:rPr>
            </w:pPr>
            <w:bookmarkStart w:id="175" w:name="_Toc21115"/>
            <w:r>
              <w:rPr>
                <w:rFonts w:hint="default" w:ascii="Times New Roman" w:hAnsi="Times New Roman" w:cs="Times New Roman"/>
                <w:sz w:val="21"/>
                <w:szCs w:val="21"/>
                <w:lang w:val="en-US" w:eastAsia="zh-CN"/>
              </w:rPr>
              <w:t>/</w:t>
            </w:r>
            <w:bookmarkEnd w:id="175"/>
          </w:p>
        </w:tc>
        <w:tc>
          <w:tcPr>
            <w:tcW w:w="240" w:type="pct"/>
            <w:shd w:val="clear" w:color="auto" w:fill="auto"/>
            <w:noWrap w:val="0"/>
            <w:vAlign w:val="center"/>
          </w:tcPr>
          <w:p>
            <w:pPr>
              <w:jc w:val="center"/>
              <w:outlineLvl w:val="1"/>
              <w:rPr>
                <w:rFonts w:hint="default" w:ascii="Times New Roman" w:hAnsi="Times New Roman" w:eastAsia="宋体" w:cs="Times New Roman"/>
                <w:kern w:val="2"/>
                <w:sz w:val="21"/>
                <w:szCs w:val="21"/>
                <w:lang w:val="en-US" w:eastAsia="zh-CN" w:bidi="ar-SA"/>
              </w:rPr>
            </w:pPr>
            <w:bookmarkStart w:id="176" w:name="_Toc11291"/>
            <w:r>
              <w:rPr>
                <w:rFonts w:hint="default" w:ascii="Times New Roman" w:hAnsi="Times New Roman" w:cs="Times New Roman"/>
                <w:sz w:val="21"/>
                <w:szCs w:val="21"/>
                <w:lang w:val="en-US" w:eastAsia="zh-CN"/>
              </w:rPr>
              <w:t>60</w:t>
            </w:r>
            <w:bookmarkEnd w:id="176"/>
          </w:p>
        </w:tc>
        <w:tc>
          <w:tcPr>
            <w:tcW w:w="257" w:type="pct"/>
            <w:shd w:val="clear" w:color="auto" w:fill="auto"/>
            <w:noWrap w:val="0"/>
            <w:vAlign w:val="center"/>
          </w:tcPr>
          <w:p>
            <w:pPr>
              <w:jc w:val="center"/>
              <w:outlineLvl w:val="1"/>
              <w:rPr>
                <w:rFonts w:hint="default" w:ascii="Times New Roman" w:hAnsi="Times New Roman" w:eastAsia="宋体" w:cs="Times New Roman"/>
                <w:kern w:val="2"/>
                <w:sz w:val="21"/>
                <w:szCs w:val="21"/>
                <w:lang w:val="en-US" w:eastAsia="zh-CN" w:bidi="ar-SA"/>
              </w:rPr>
            </w:pPr>
            <w:bookmarkStart w:id="177" w:name="_Toc6422"/>
            <w:r>
              <w:rPr>
                <w:rFonts w:hint="default" w:ascii="Times New Roman" w:hAnsi="Times New Roman" w:cs="Times New Roman"/>
                <w:sz w:val="21"/>
                <w:szCs w:val="21"/>
                <w:lang w:val="en-US" w:eastAsia="zh-CN"/>
              </w:rPr>
              <w:t>50</w:t>
            </w:r>
            <w:bookmarkEnd w:id="177"/>
          </w:p>
        </w:tc>
        <w:tc>
          <w:tcPr>
            <w:tcW w:w="1227" w:type="pct"/>
            <w:noWrap w:val="0"/>
            <w:vAlign w:val="center"/>
          </w:tcPr>
          <w:p>
            <w:pPr>
              <w:jc w:val="center"/>
              <w:outlineLvl w:val="9"/>
              <w:rPr>
                <w:rFonts w:hint="default" w:ascii="Times New Roman" w:hAnsi="Times New Roman" w:cs="Times New Roman"/>
                <w:sz w:val="21"/>
                <w:szCs w:val="21"/>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893445</wp:posOffset>
                      </wp:positionV>
                      <wp:extent cx="1645285" cy="49339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645285"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000000" w:themeColor="text1"/>
                                      <w:sz w:val="21"/>
                                      <w:szCs w:val="21"/>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szCs w:val="21"/>
                                      <w:lang w:val="en-US" w:eastAsia="zh-CN"/>
                                      <w14:shadow w14:blurRad="38100" w14:dist="19050" w14:dir="2700000" w14:sx="100000" w14:sy="100000" w14:kx="0" w14:ky="0" w14:algn="tl">
                                        <w14:schemeClr w14:val="dk1">
                                          <w14:alpha w14:val="60000"/>
                                        </w14:schemeClr>
                                      </w14:shadow>
                                      <w14:textFill>
                                        <w14:solidFill>
                                          <w14:schemeClr w14:val="tx1"/>
                                        </w14:solidFill>
                                      </w14:textFill>
                                    </w:rPr>
                                    <w:t>规划教育科研用地，未来可能入住科研单位、学校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70.35pt;height:38.85pt;width:129.55pt;z-index:251663360;mso-width-relative:page;mso-height-relative:page;" filled="f" stroked="f" coordsize="21600,21600" o:gfxdata="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KVc4DXAAAACQEAAA8AAAAAAAAAAQAgAAAAIgAAAGRycy9k&#10;b3ducmV2LnhtbFBLAQIUABQAAAAIAIdO4kCQ23AfPAIAAGgEAAAOAAAAAAAAAAEAIAAAACYBAABk&#10;cnMvZTJvRG9jLnhtbFBLBQYAAAAABgAGAFkBAADUBQAAAAA=&#10;">
                      <v:fill on="f" focussize="0,0"/>
                      <v:stroke on="f" weight="0.5pt"/>
                      <v:imagedata o:title=""/>
                      <o:lock v:ext="edit" aspectratio="f"/>
                      <v:textbox>
                        <w:txbxContent>
                          <w:p>
                            <w:pPr>
                              <w:rPr>
                                <w:rFonts w:hint="default" w:eastAsia="宋体"/>
                                <w:b/>
                                <w:bCs/>
                                <w:color w:val="000000" w:themeColor="text1"/>
                                <w:sz w:val="21"/>
                                <w:szCs w:val="21"/>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szCs w:val="21"/>
                                <w:lang w:val="en-US" w:eastAsia="zh-CN"/>
                                <w14:shadow w14:blurRad="38100" w14:dist="19050" w14:dir="2700000" w14:sx="100000" w14:sy="100000" w14:kx="0" w14:ky="0" w14:algn="tl">
                                  <w14:schemeClr w14:val="dk1">
                                    <w14:alpha w14:val="60000"/>
                                  </w14:schemeClr>
                                </w14:shadow>
                                <w14:textFill>
                                  <w14:solidFill>
                                    <w14:schemeClr w14:val="tx1"/>
                                  </w14:solidFill>
                                </w14:textFill>
                              </w:rPr>
                              <w:t>规划教育科研用地，未来可能入住科研单位、学校</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346075</wp:posOffset>
                      </wp:positionV>
                      <wp:extent cx="708025" cy="600710"/>
                      <wp:effectExtent l="12700" t="9525" r="15875" b="24765"/>
                      <wp:wrapNone/>
                      <wp:docPr id="19" name="任意多边形 19"/>
                      <wp:cNvGraphicFramePr/>
                      <a:graphic xmlns:a="http://schemas.openxmlformats.org/drawingml/2006/main">
                        <a:graphicData uri="http://schemas.microsoft.com/office/word/2010/wordprocessingShape">
                          <wps:wsp>
                            <wps:cNvSpPr/>
                            <wps:spPr>
                              <a:xfrm>
                                <a:off x="7598410" y="2661920"/>
                                <a:ext cx="708025" cy="600710"/>
                              </a:xfrm>
                              <a:custGeom>
                                <a:avLst/>
                                <a:gdLst>
                                  <a:gd name="connisteX0" fmla="*/ 151130 w 708025"/>
                                  <a:gd name="connsiteY0" fmla="*/ 161290 h 600710"/>
                                  <a:gd name="connisteX1" fmla="*/ 0 w 708025"/>
                                  <a:gd name="connsiteY1" fmla="*/ 600710 h 600710"/>
                                  <a:gd name="connisteX2" fmla="*/ 708025 w 708025"/>
                                  <a:gd name="connsiteY2" fmla="*/ 0 h 600710"/>
                                </a:gdLst>
                                <a:ahLst/>
                                <a:cxnLst>
                                  <a:cxn ang="0">
                                    <a:pos x="connisteX0" y="connsiteY0"/>
                                  </a:cxn>
                                  <a:cxn ang="0">
                                    <a:pos x="connisteX1" y="connsiteY1"/>
                                  </a:cxn>
                                  <a:cxn ang="0">
                                    <a:pos x="connisteX2" y="connsiteY2"/>
                                  </a:cxn>
                                </a:cxnLst>
                                <a:rect l="l" t="t" r="r" b="b"/>
                                <a:pathLst>
                                  <a:path w="708025" h="600710">
                                    <a:moveTo>
                                      <a:pt x="151130" y="161290"/>
                                    </a:moveTo>
                                    <a:lnTo>
                                      <a:pt x="0" y="600710"/>
                                    </a:lnTo>
                                    <a:lnTo>
                                      <a:pt x="708025" y="0"/>
                                    </a:lnTo>
                                  </a:path>
                                </a:pathLst>
                              </a:cu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5pt;margin-top:27.25pt;height:47.3pt;width:55.75pt;z-index:251662336;mso-width-relative:page;mso-height-relative:page;" filled="f" stroked="t" coordsize="708025,600710" o:gfxdata="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AZSsHbZAAAACQEA&#10;AA8AAAAAAAAAAQAgAAAAIgAAAGRycy9kb3ducmV2LnhtbFBLAQIUABQAAAAIAIdO4kDcQ2fUxAIA&#10;AJUGAAAOAAAAAAAAAAEAIAAAACgBAABkcnMvZTJvRG9jLnhtbFBLBQYAAAAABgAGAFkBAABeBgAA&#10;AAA=&#10;" path="m151130,161290l0,600710,708025,0e">
                      <v:path o:connectlocs="151130,161290;0,600710;708025,0" o:connectangles="0,0,0"/>
                      <v:fill on="f" focussize="0,0"/>
                      <v:stroke weight="2pt" color="#000000 [3213]" joinstyle="round"/>
                      <v:imagedata o:title=""/>
                      <o:lock v:ext="edit" aspectratio="f"/>
                    </v:shape>
                  </w:pict>
                </mc:Fallback>
              </mc:AlternateContent>
            </w:r>
            <w:r>
              <w:drawing>
                <wp:inline distT="0" distB="0" distL="114300" distR="114300">
                  <wp:extent cx="2130425" cy="1373505"/>
                  <wp:effectExtent l="0" t="0" r="3175" b="10795"/>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26"/>
                          <a:stretch>
                            <a:fillRect/>
                          </a:stretch>
                        </pic:blipFill>
                        <pic:spPr>
                          <a:xfrm>
                            <a:off x="0" y="0"/>
                            <a:ext cx="2130425" cy="1373505"/>
                          </a:xfrm>
                          <a:prstGeom prst="rect">
                            <a:avLst/>
                          </a:prstGeom>
                          <a:noFill/>
                          <a:ln>
                            <a:noFill/>
                          </a:ln>
                        </pic:spPr>
                      </pic:pic>
                    </a:graphicData>
                  </a:graphic>
                </wp:inline>
              </w:drawing>
            </w:r>
          </w:p>
        </w:tc>
        <w:tc>
          <w:tcPr>
            <w:tcW w:w="377" w:type="pct"/>
            <w:vMerge w:val="restart"/>
            <w:noWrap w:val="0"/>
            <w:vAlign w:val="center"/>
          </w:tcPr>
          <w:p>
            <w:pPr>
              <w:jc w:val="center"/>
              <w:outlineLvl w:val="1"/>
              <w:rPr>
                <w:rFonts w:hint="default" w:ascii="Times New Roman" w:hAnsi="Times New Roman" w:cs="Times New Roman"/>
                <w:sz w:val="21"/>
                <w:szCs w:val="21"/>
                <w:lang w:val="en-US" w:eastAsia="zh-CN"/>
              </w:rPr>
            </w:pPr>
            <w:bookmarkStart w:id="178" w:name="_Toc10946"/>
            <w:r>
              <w:rPr>
                <w:rFonts w:hint="default" w:ascii="Times New Roman" w:hAnsi="Times New Roman" w:cs="Times New Roman"/>
                <w:sz w:val="21"/>
                <w:szCs w:val="21"/>
                <w:lang w:val="en-US" w:eastAsia="zh-CN"/>
              </w:rPr>
              <w:t>规划声环境敏感目标</w:t>
            </w:r>
            <w:r>
              <w:rPr>
                <w:rFonts w:hint="eastAsia" w:ascii="Times New Roman" w:hAnsi="Times New Roman" w:cs="Times New Roman"/>
                <w:sz w:val="21"/>
                <w:szCs w:val="21"/>
                <w:lang w:val="en-US" w:eastAsia="zh-CN"/>
              </w:rPr>
              <w:t>，暂不确定受影响范围和户数</w:t>
            </w:r>
            <w:bookmarkEnd w:id="178"/>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40" w:hRule="atLeast"/>
          <w:tblHeader/>
        </w:trPr>
        <w:tc>
          <w:tcPr>
            <w:tcW w:w="191" w:type="pct"/>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13" w:type="pct"/>
            <w:noWrap w:val="0"/>
            <w:vAlign w:val="center"/>
          </w:tcPr>
          <w:p>
            <w:pPr>
              <w:pStyle w:val="53"/>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r>
              <w:rPr>
                <w:rFonts w:hint="default" w:ascii="Times New Roman" w:hAnsi="Times New Roman" w:eastAsia="宋体" w:cs="Times New Roman"/>
                <w:color w:val="auto"/>
                <w:sz w:val="21"/>
                <w:szCs w:val="21"/>
                <w:lang w:val="en-US" w:eastAsia="zh-CN"/>
              </w:rPr>
              <w:t>住宅</w:t>
            </w:r>
          </w:p>
        </w:tc>
        <w:tc>
          <w:tcPr>
            <w:tcW w:w="298" w:type="pct"/>
            <w:vMerge w:val="continue"/>
            <w:noWrap w:val="0"/>
            <w:vAlign w:val="center"/>
          </w:tcPr>
          <w:p>
            <w:pPr>
              <w:jc w:val="center"/>
              <w:rPr>
                <w:rFonts w:hint="default" w:ascii="Times New Roman" w:hAnsi="Times New Roman" w:cs="Times New Roman"/>
                <w:color w:val="auto"/>
                <w:sz w:val="21"/>
                <w:szCs w:val="21"/>
              </w:rPr>
            </w:pPr>
          </w:p>
        </w:tc>
        <w:tc>
          <w:tcPr>
            <w:tcW w:w="478" w:type="pct"/>
            <w:noWrap w:val="0"/>
            <w:vAlign w:val="center"/>
          </w:tcPr>
          <w:p>
            <w:pPr>
              <w:pStyle w:val="53"/>
              <w:rPr>
                <w:rFonts w:hint="default" w:ascii="Times New Roman" w:hAnsi="Times New Roman" w:cs="Times New Roman"/>
                <w:color w:val="auto"/>
                <w:sz w:val="21"/>
                <w:szCs w:val="21"/>
                <w:lang w:val="en-US" w:eastAsia="zh-CN"/>
              </w:rPr>
            </w:pPr>
            <w:r>
              <w:rPr>
                <w:rFonts w:hint="default" w:ascii="Times New Roman" w:hAnsi="Times New Roman" w:cs="Times New Roman"/>
                <w:color w:val="auto"/>
                <w:kern w:val="0"/>
                <w:sz w:val="21"/>
                <w:szCs w:val="21"/>
                <w:lang w:val="en-US" w:eastAsia="zh-CN"/>
              </w:rPr>
              <w:t>K0+680~K0+780</w:t>
            </w:r>
          </w:p>
        </w:tc>
        <w:tc>
          <w:tcPr>
            <w:tcW w:w="302"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双向</w:t>
            </w:r>
            <w:r>
              <w:rPr>
                <w:rFonts w:hint="default" w:ascii="Times New Roman" w:hAnsi="Times New Roman" w:cs="Times New Roman"/>
                <w:color w:val="auto"/>
                <w:sz w:val="21"/>
                <w:szCs w:val="21"/>
                <w:lang w:val="en-US" w:eastAsia="zh-CN"/>
              </w:rPr>
              <w:t>六</w:t>
            </w:r>
            <w:r>
              <w:rPr>
                <w:rFonts w:hint="default" w:ascii="Times New Roman" w:hAnsi="Times New Roman" w:cs="Times New Roman"/>
                <w:color w:val="auto"/>
                <w:sz w:val="21"/>
                <w:szCs w:val="21"/>
              </w:rPr>
              <w:t>车道</w:t>
            </w:r>
          </w:p>
        </w:tc>
        <w:tc>
          <w:tcPr>
            <w:tcW w:w="301" w:type="pct"/>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路左</w:t>
            </w:r>
          </w:p>
        </w:tc>
        <w:tc>
          <w:tcPr>
            <w:tcW w:w="343" w:type="pct"/>
            <w:noWrap w:val="0"/>
            <w:vAlign w:val="center"/>
          </w:tcPr>
          <w:p>
            <w:pPr>
              <w:jc w:val="center"/>
              <w:outlineLvl w:val="1"/>
              <w:rPr>
                <w:rFonts w:hint="default" w:ascii="Times New Roman" w:hAnsi="Times New Roman" w:cs="Times New Roman"/>
                <w:color w:val="auto"/>
                <w:sz w:val="21"/>
                <w:szCs w:val="21"/>
                <w:lang w:val="en-US" w:eastAsia="zh-CN"/>
              </w:rPr>
            </w:pPr>
            <w:bookmarkStart w:id="179" w:name="_Toc22872"/>
            <w:r>
              <w:rPr>
                <w:rFonts w:hint="default" w:ascii="Times New Roman" w:hAnsi="Times New Roman" w:cs="Times New Roman"/>
                <w:sz w:val="21"/>
                <w:szCs w:val="21"/>
                <w:lang w:val="en-US" w:eastAsia="zh-CN"/>
              </w:rPr>
              <w:t>/</w:t>
            </w:r>
            <w:bookmarkEnd w:id="179"/>
          </w:p>
        </w:tc>
        <w:tc>
          <w:tcPr>
            <w:tcW w:w="319" w:type="pct"/>
            <w:noWrap w:val="0"/>
            <w:vAlign w:val="center"/>
          </w:tcPr>
          <w:p>
            <w:pPr>
              <w:jc w:val="center"/>
              <w:outlineLvl w:val="1"/>
              <w:rPr>
                <w:rFonts w:hint="default" w:ascii="Times New Roman" w:hAnsi="Times New Roman" w:cs="Times New Roman"/>
                <w:color w:val="auto"/>
                <w:sz w:val="21"/>
                <w:szCs w:val="21"/>
                <w:lang w:val="en-US" w:eastAsia="zh-CN"/>
              </w:rPr>
            </w:pPr>
            <w:bookmarkStart w:id="180" w:name="_Toc6774"/>
            <w:r>
              <w:rPr>
                <w:rFonts w:hint="default" w:ascii="Times New Roman" w:hAnsi="Times New Roman" w:eastAsia="宋体" w:cs="Times New Roman"/>
                <w:sz w:val="21"/>
                <w:szCs w:val="21"/>
                <w:lang w:val="en-US" w:eastAsia="zh-CN"/>
              </w:rPr>
              <w:t>/</w:t>
            </w:r>
            <w:bookmarkEnd w:id="180"/>
          </w:p>
        </w:tc>
        <w:tc>
          <w:tcPr>
            <w:tcW w:w="249" w:type="pct"/>
            <w:noWrap w:val="0"/>
            <w:vAlign w:val="center"/>
          </w:tcPr>
          <w:p>
            <w:pPr>
              <w:jc w:val="center"/>
              <w:outlineLvl w:val="1"/>
              <w:rPr>
                <w:rFonts w:hint="default" w:ascii="Times New Roman" w:hAnsi="Times New Roman" w:cs="Times New Roman"/>
                <w:color w:val="auto"/>
                <w:sz w:val="21"/>
                <w:szCs w:val="21"/>
                <w:lang w:val="en-US" w:eastAsia="zh-CN"/>
              </w:rPr>
            </w:pPr>
            <w:bookmarkStart w:id="181" w:name="_Toc18791"/>
            <w:r>
              <w:rPr>
                <w:rFonts w:hint="default" w:ascii="Times New Roman" w:hAnsi="Times New Roman" w:cs="Times New Roman"/>
                <w:sz w:val="21"/>
                <w:szCs w:val="21"/>
                <w:lang w:val="en-US" w:eastAsia="zh-CN"/>
              </w:rPr>
              <w:t>/</w:t>
            </w:r>
            <w:bookmarkEnd w:id="181"/>
          </w:p>
        </w:tc>
        <w:tc>
          <w:tcPr>
            <w:tcW w:w="240" w:type="pct"/>
            <w:shd w:val="clear" w:color="auto" w:fill="auto"/>
            <w:noWrap w:val="0"/>
            <w:vAlign w:val="center"/>
          </w:tcPr>
          <w:p>
            <w:pPr>
              <w:jc w:val="center"/>
              <w:outlineLvl w:val="1"/>
              <w:rPr>
                <w:rFonts w:hint="default" w:ascii="Times New Roman" w:hAnsi="Times New Roman" w:cs="Times New Roman"/>
                <w:sz w:val="21"/>
                <w:szCs w:val="21"/>
                <w:lang w:val="en-US" w:eastAsia="zh-CN"/>
              </w:rPr>
            </w:pPr>
            <w:bookmarkStart w:id="182" w:name="_Toc6881"/>
            <w:r>
              <w:rPr>
                <w:rFonts w:hint="default" w:ascii="Times New Roman" w:hAnsi="Times New Roman" w:cs="Times New Roman"/>
                <w:sz w:val="21"/>
                <w:szCs w:val="21"/>
                <w:lang w:val="en-US" w:eastAsia="zh-CN"/>
              </w:rPr>
              <w:t>60</w:t>
            </w:r>
            <w:bookmarkEnd w:id="182"/>
          </w:p>
        </w:tc>
        <w:tc>
          <w:tcPr>
            <w:tcW w:w="257" w:type="pct"/>
            <w:shd w:val="clear" w:color="auto" w:fill="auto"/>
            <w:noWrap w:val="0"/>
            <w:vAlign w:val="center"/>
          </w:tcPr>
          <w:p>
            <w:pPr>
              <w:jc w:val="center"/>
              <w:outlineLvl w:val="1"/>
              <w:rPr>
                <w:rFonts w:hint="default" w:ascii="Times New Roman" w:hAnsi="Times New Roman" w:cs="Times New Roman"/>
                <w:sz w:val="21"/>
                <w:szCs w:val="21"/>
                <w:lang w:val="en-US" w:eastAsia="zh-CN"/>
              </w:rPr>
            </w:pPr>
            <w:bookmarkStart w:id="183" w:name="_Toc11259"/>
            <w:r>
              <w:rPr>
                <w:rFonts w:hint="default" w:ascii="Times New Roman" w:hAnsi="Times New Roman" w:cs="Times New Roman"/>
                <w:sz w:val="21"/>
                <w:szCs w:val="21"/>
                <w:lang w:val="en-US" w:eastAsia="zh-CN"/>
              </w:rPr>
              <w:t>50</w:t>
            </w:r>
            <w:bookmarkEnd w:id="183"/>
          </w:p>
        </w:tc>
        <w:tc>
          <w:tcPr>
            <w:tcW w:w="1227" w:type="pct"/>
            <w:noWrap w:val="0"/>
            <w:vAlign w:val="center"/>
          </w:tcPr>
          <w:p>
            <w:pPr>
              <w:jc w:val="center"/>
              <w:outlineLvl w:val="9"/>
              <w:rPr>
                <w:rFonts w:hint="default" w:ascii="Times New Roman" w:hAnsi="Times New Roman" w:cs="Times New Roman"/>
                <w:sz w:val="21"/>
                <w:szCs w:val="21"/>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65405</wp:posOffset>
                      </wp:positionH>
                      <wp:positionV relativeFrom="paragraph">
                        <wp:posOffset>768985</wp:posOffset>
                      </wp:positionV>
                      <wp:extent cx="1377315" cy="49339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377315" cy="493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000000" w:themeColor="text1"/>
                                      <w:sz w:val="21"/>
                                      <w:szCs w:val="21"/>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szCs w:val="21"/>
                                      <w:lang w:val="en-US" w:eastAsia="zh-CN"/>
                                      <w14:shadow w14:blurRad="38100" w14:dist="19050" w14:dir="2700000" w14:sx="100000" w14:sy="100000" w14:kx="0" w14:ky="0" w14:algn="tl">
                                        <w14:schemeClr w14:val="dk1">
                                          <w14:alpha w14:val="60000"/>
                                        </w14:schemeClr>
                                      </w14:shadow>
                                      <w14:textFill>
                                        <w14:solidFill>
                                          <w14:schemeClr w14:val="tx1"/>
                                        </w14:solidFill>
                                      </w14:textFill>
                                    </w:rPr>
                                    <w:t>规划居住用地，未来可能入住居民住宅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60.55pt;height:38.85pt;width:108.45pt;z-index:251665408;mso-width-relative:page;mso-height-relative:page;" filled="f" stroked="f" coordsize="21600,21600" o:gfxdata="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hKootkAAAAKAQAADwAAAAAAAAABACAAAAAiAAAAZHJz&#10;L2Rvd25yZXYueG1sUEsBAhQAFAAAAAgAh07iQNdYUXg8AgAAaAQAAA4AAAAAAAAAAQAgAAAAKAEA&#10;AGRycy9lMm9Eb2MueG1sUEsFBgAAAAAGAAYAWQEAANYFAAAAAA==&#10;">
                      <v:fill on="f" focussize="0,0"/>
                      <v:stroke on="f" weight="0.5pt"/>
                      <v:imagedata o:title=""/>
                      <o:lock v:ext="edit" aspectratio="f"/>
                      <v:textbox>
                        <w:txbxContent>
                          <w:p>
                            <w:pPr>
                              <w:rPr>
                                <w:rFonts w:hint="default" w:eastAsia="宋体"/>
                                <w:b/>
                                <w:bCs/>
                                <w:color w:val="000000" w:themeColor="text1"/>
                                <w:sz w:val="21"/>
                                <w:szCs w:val="21"/>
                                <w:lang w:val="en-US" w:eastAsia="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b/>
                                <w:bCs/>
                                <w:color w:val="000000" w:themeColor="text1"/>
                                <w:sz w:val="21"/>
                                <w:szCs w:val="21"/>
                                <w:lang w:val="en-US" w:eastAsia="zh-CN"/>
                                <w14:shadow w14:blurRad="38100" w14:dist="19050" w14:dir="2700000" w14:sx="100000" w14:sy="100000" w14:kx="0" w14:ky="0" w14:algn="tl">
                                  <w14:schemeClr w14:val="dk1">
                                    <w14:alpha w14:val="60000"/>
                                  </w14:schemeClr>
                                </w14:shadow>
                                <w14:textFill>
                                  <w14:solidFill>
                                    <w14:schemeClr w14:val="tx1"/>
                                  </w14:solidFill>
                                </w14:textFill>
                              </w:rPr>
                              <w:t>规划居住用地，未来可能入住居民住宅</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591185</wp:posOffset>
                      </wp:positionH>
                      <wp:positionV relativeFrom="paragraph">
                        <wp:posOffset>290830</wp:posOffset>
                      </wp:positionV>
                      <wp:extent cx="180340" cy="522605"/>
                      <wp:effectExtent l="12065" t="4445" r="23495" b="6350"/>
                      <wp:wrapNone/>
                      <wp:docPr id="22" name="直接连接符 22"/>
                      <wp:cNvGraphicFramePr/>
                      <a:graphic xmlns:a="http://schemas.openxmlformats.org/drawingml/2006/main">
                        <a:graphicData uri="http://schemas.microsoft.com/office/word/2010/wordprocessingShape">
                          <wps:wsp>
                            <wps:cNvCnPr/>
                            <wps:spPr>
                              <a:xfrm flipH="1">
                                <a:off x="7798435" y="3997325"/>
                                <a:ext cx="180340" cy="52260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46.55pt;margin-top:22.9pt;height:41.15pt;width:14.2pt;z-index:251664384;mso-width-relative:page;mso-height-relative:page;" filled="f" stroked="t" coordsize="21600,21600" o:gfxdata="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zDQitUAAAAJAQAADwAAAAAAAAABACAAAAAiAAAAZHJzL2Rvd25yZXYueG1sUEsBAhQA&#10;FAAAAAgAh07iQFXrLJ71AQAAtwMAAA4AAAAAAAAAAQAgAAAAJAEAAGRycy9lMm9Eb2MueG1sUEsF&#10;BgAAAAAGAAYAWQEAAIsFAAAAAA==&#10;">
                      <v:fill on="f" focussize="0,0"/>
                      <v:stroke weight="2pt" color="#000000 [3213]" joinstyle="round"/>
                      <v:imagedata o:title=""/>
                      <o:lock v:ext="edit" aspectratio="f"/>
                    </v:line>
                  </w:pict>
                </mc:Fallback>
              </mc:AlternateContent>
            </w:r>
            <w:r>
              <w:drawing>
                <wp:inline distT="0" distB="0" distL="114300" distR="114300">
                  <wp:extent cx="2226945" cy="1436370"/>
                  <wp:effectExtent l="0" t="0" r="8255" b="11430"/>
                  <wp:docPr id="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pic:cNvPicPr>
                            <a:picLocks noChangeAspect="1"/>
                          </pic:cNvPicPr>
                        </pic:nvPicPr>
                        <pic:blipFill>
                          <a:blip r:embed="rId26"/>
                          <a:stretch>
                            <a:fillRect/>
                          </a:stretch>
                        </pic:blipFill>
                        <pic:spPr>
                          <a:xfrm>
                            <a:off x="0" y="0"/>
                            <a:ext cx="2226945" cy="1436370"/>
                          </a:xfrm>
                          <a:prstGeom prst="rect">
                            <a:avLst/>
                          </a:prstGeom>
                          <a:noFill/>
                          <a:ln>
                            <a:noFill/>
                          </a:ln>
                        </pic:spPr>
                      </pic:pic>
                    </a:graphicData>
                  </a:graphic>
                </wp:inline>
              </w:drawing>
            </w:r>
          </w:p>
        </w:tc>
        <w:tc>
          <w:tcPr>
            <w:tcW w:w="377" w:type="pct"/>
            <w:vMerge w:val="continue"/>
            <w:noWrap w:val="0"/>
            <w:vAlign w:val="center"/>
          </w:tcPr>
          <w:p>
            <w:pPr>
              <w:jc w:val="center"/>
              <w:outlineLvl w:val="9"/>
              <w:rPr>
                <w:rFonts w:hint="default" w:ascii="Times New Roman" w:hAnsi="Times New Roman" w:cs="Times New Roman"/>
                <w:sz w:val="21"/>
                <w:szCs w:val="21"/>
                <w:lang w:val="en-US" w:eastAsia="zh-CN"/>
              </w:rPr>
            </w:pPr>
          </w:p>
        </w:tc>
      </w:tr>
    </w:tbl>
    <w:p>
      <w:pPr>
        <w:snapToGrid w:val="0"/>
        <w:spacing w:line="360" w:lineRule="auto"/>
        <w:ind w:firstLine="480" w:firstLineChars="200"/>
        <w:rPr>
          <w:rFonts w:hint="default"/>
          <w:color w:val="auto"/>
          <w:sz w:val="24"/>
          <w:szCs w:val="32"/>
        </w:rPr>
      </w:pPr>
    </w:p>
    <w:p>
      <w:pPr>
        <w:snapToGrid w:val="0"/>
        <w:spacing w:line="360" w:lineRule="auto"/>
        <w:ind w:firstLine="480" w:firstLineChars="200"/>
        <w:rPr>
          <w:rFonts w:hint="eastAsia" w:eastAsia="宋体"/>
          <w:color w:val="auto"/>
          <w:sz w:val="24"/>
          <w:szCs w:val="32"/>
          <w:lang w:eastAsia="zh-CN"/>
        </w:rPr>
      </w:pPr>
    </w:p>
    <w:p>
      <w:pPr>
        <w:snapToGrid w:val="0"/>
        <w:spacing w:line="360" w:lineRule="auto"/>
        <w:ind w:firstLine="480" w:firstLineChars="200"/>
        <w:rPr>
          <w:rFonts w:hint="default" w:ascii="Times New Roman" w:hAnsi="Times New Roman" w:cs="Times New Roman"/>
          <w:sz w:val="24"/>
        </w:rPr>
        <w:sectPr>
          <w:pgSz w:w="16838" w:h="11905" w:orient="landscape"/>
          <w:pgMar w:top="1417" w:right="1417" w:bottom="1417" w:left="1417" w:header="851" w:footer="1077" w:gutter="0"/>
          <w:pgBorders>
            <w:top w:val="none" w:sz="0" w:space="0"/>
            <w:left w:val="none" w:sz="0" w:space="0"/>
            <w:bottom w:val="none" w:sz="0" w:space="0"/>
            <w:right w:val="none" w:sz="0" w:space="0"/>
          </w:pgBorders>
          <w:cols w:space="720" w:num="1"/>
          <w:docGrid w:linePitch="326" w:charSpace="0"/>
        </w:sectPr>
      </w:pPr>
    </w:p>
    <w:p>
      <w:pPr>
        <w:keepNext/>
        <w:keepLines/>
        <w:spacing w:line="360" w:lineRule="auto"/>
        <w:outlineLvl w:val="0"/>
        <w:rPr>
          <w:rFonts w:hint="default" w:ascii="Times New Roman" w:hAnsi="Times New Roman" w:cs="Times New Roman"/>
          <w:b/>
          <w:bCs/>
          <w:kern w:val="44"/>
          <w:sz w:val="32"/>
        </w:rPr>
      </w:pPr>
      <w:bookmarkStart w:id="184" w:name="_Toc24559"/>
      <w:bookmarkStart w:id="185" w:name="_Toc18118"/>
      <w:bookmarkStart w:id="186" w:name="_Toc24671"/>
      <w:r>
        <w:rPr>
          <w:rFonts w:hint="default" w:ascii="Times New Roman" w:hAnsi="Times New Roman" w:cs="Times New Roman"/>
          <w:b/>
          <w:bCs/>
          <w:kern w:val="44"/>
          <w:sz w:val="32"/>
        </w:rPr>
        <w:t>2 工程分析</w:t>
      </w:r>
      <w:bookmarkEnd w:id="168"/>
      <w:bookmarkEnd w:id="184"/>
      <w:bookmarkEnd w:id="185"/>
      <w:bookmarkEnd w:id="186"/>
    </w:p>
    <w:p>
      <w:pPr>
        <w:keepNext/>
        <w:keepLines/>
        <w:spacing w:line="360" w:lineRule="auto"/>
        <w:outlineLvl w:val="1"/>
        <w:rPr>
          <w:rFonts w:hint="default" w:ascii="Times New Roman" w:hAnsi="Times New Roman" w:cs="Times New Roman"/>
          <w:b/>
          <w:bCs/>
          <w:sz w:val="30"/>
          <w:szCs w:val="30"/>
        </w:rPr>
      </w:pPr>
      <w:bookmarkStart w:id="187" w:name="_Toc23974"/>
      <w:bookmarkStart w:id="188" w:name="_Toc28227"/>
      <w:bookmarkStart w:id="189" w:name="_Toc12301"/>
      <w:r>
        <w:rPr>
          <w:rFonts w:hint="default" w:ascii="Times New Roman" w:hAnsi="Times New Roman" w:cs="Times New Roman"/>
          <w:b/>
          <w:bCs/>
          <w:sz w:val="30"/>
          <w:szCs w:val="30"/>
        </w:rPr>
        <w:t>2.1 项目概况</w:t>
      </w:r>
      <w:bookmarkEnd w:id="187"/>
      <w:bookmarkEnd w:id="188"/>
      <w:bookmarkEnd w:id="189"/>
    </w:p>
    <w:p>
      <w:pPr>
        <w:snapToGrid w:val="0"/>
        <w:spacing w:line="360" w:lineRule="auto"/>
        <w:ind w:firstLine="420"/>
        <w:rPr>
          <w:rFonts w:hint="default" w:ascii="Times New Roman" w:hAnsi="Times New Roman" w:cs="Times New Roman"/>
          <w:sz w:val="24"/>
        </w:rPr>
      </w:pPr>
      <w:r>
        <w:rPr>
          <w:rFonts w:hint="default" w:ascii="Times New Roman" w:hAnsi="Times New Roman" w:cs="Times New Roman"/>
          <w:sz w:val="24"/>
        </w:rPr>
        <w:t>（1）项目名称：福泽大道北延伸段项目</w:t>
      </w:r>
    </w:p>
    <w:p>
      <w:pPr>
        <w:snapToGrid w:val="0"/>
        <w:spacing w:line="360" w:lineRule="auto"/>
        <w:ind w:firstLine="420"/>
        <w:rPr>
          <w:rFonts w:hint="default" w:ascii="Times New Roman" w:hAnsi="Times New Roman" w:cs="Times New Roman"/>
          <w:sz w:val="24"/>
        </w:rPr>
      </w:pPr>
      <w:r>
        <w:rPr>
          <w:rFonts w:hint="default" w:ascii="Times New Roman" w:hAnsi="Times New Roman" w:cs="Times New Roman"/>
          <w:sz w:val="24"/>
        </w:rPr>
        <w:t>（2）建设单位：福清市城投建设投资集团有限公司</w:t>
      </w:r>
    </w:p>
    <w:p>
      <w:pPr>
        <w:snapToGrid w:val="0"/>
        <w:spacing w:line="360" w:lineRule="auto"/>
        <w:ind w:firstLine="420"/>
        <w:rPr>
          <w:rFonts w:hint="default" w:ascii="Times New Roman" w:hAnsi="Times New Roman" w:cs="Times New Roman"/>
          <w:sz w:val="24"/>
        </w:rPr>
      </w:pPr>
      <w:r>
        <w:rPr>
          <w:rFonts w:hint="default" w:ascii="Times New Roman" w:hAnsi="Times New Roman" w:cs="Times New Roman"/>
          <w:sz w:val="24"/>
        </w:rPr>
        <w:t>（3）建设地点：</w:t>
      </w:r>
      <w:r>
        <w:rPr>
          <w:rFonts w:hint="default" w:ascii="Times New Roman" w:hAnsi="Times New Roman" w:eastAsia="宋体" w:cs="Times New Roman"/>
          <w:sz w:val="24"/>
          <w:szCs w:val="21"/>
        </w:rPr>
        <w:t>福清市</w:t>
      </w:r>
      <w:r>
        <w:rPr>
          <w:rFonts w:hint="eastAsia" w:ascii="Times New Roman" w:hAnsi="Times New Roman" w:eastAsia="宋体" w:cs="Times New Roman"/>
          <w:sz w:val="24"/>
          <w:szCs w:val="21"/>
          <w:lang w:val="en-US" w:eastAsia="zh-CN"/>
        </w:rPr>
        <w:t>龙山街道、海口镇</w:t>
      </w:r>
    </w:p>
    <w:p>
      <w:pPr>
        <w:snapToGrid w:val="0"/>
        <w:spacing w:line="360" w:lineRule="auto"/>
        <w:ind w:firstLine="420"/>
        <w:rPr>
          <w:rFonts w:hint="default" w:ascii="Times New Roman" w:hAnsi="Times New Roman" w:eastAsia="宋体" w:cs="Times New Roman"/>
          <w:sz w:val="24"/>
          <w:lang w:val="en-US" w:eastAsia="zh-CN"/>
        </w:rPr>
      </w:pPr>
      <w:r>
        <w:rPr>
          <w:rFonts w:hint="default" w:ascii="Times New Roman" w:hAnsi="Times New Roman" w:cs="Times New Roman"/>
          <w:sz w:val="24"/>
        </w:rPr>
        <w:t>（4）用地</w:t>
      </w:r>
      <w:r>
        <w:rPr>
          <w:rFonts w:hint="eastAsia" w:cs="Times New Roman"/>
          <w:sz w:val="24"/>
          <w:lang w:val="en-US" w:eastAsia="zh-CN"/>
        </w:rPr>
        <w:t>面积</w:t>
      </w:r>
      <w:r>
        <w:rPr>
          <w:rFonts w:hint="default" w:ascii="Times New Roman" w:hAnsi="Times New Roman" w:cs="Times New Roman"/>
          <w:sz w:val="24"/>
        </w:rPr>
        <w:t>：</w:t>
      </w:r>
      <w:r>
        <w:rPr>
          <w:rFonts w:hint="eastAsia" w:cs="Times New Roman"/>
          <w:sz w:val="24"/>
          <w:lang w:val="en-US" w:eastAsia="zh-CN"/>
        </w:rPr>
        <w:t>40976m</w:t>
      </w:r>
      <w:r>
        <w:rPr>
          <w:rFonts w:hint="eastAsia" w:cs="Times New Roman"/>
          <w:sz w:val="24"/>
          <w:vertAlign w:val="superscript"/>
          <w:lang w:val="en-US" w:eastAsia="zh-CN"/>
        </w:rPr>
        <w:t>2</w:t>
      </w:r>
    </w:p>
    <w:p>
      <w:pPr>
        <w:snapToGrid w:val="0"/>
        <w:spacing w:line="360" w:lineRule="auto"/>
        <w:ind w:firstLine="420"/>
        <w:rPr>
          <w:rFonts w:hint="default" w:ascii="Times New Roman" w:hAnsi="Times New Roman" w:cs="Times New Roman"/>
          <w:sz w:val="24"/>
        </w:rPr>
      </w:pPr>
      <w:r>
        <w:rPr>
          <w:rFonts w:hint="default" w:ascii="Times New Roman" w:hAnsi="Times New Roman" w:cs="Times New Roman"/>
          <w:sz w:val="24"/>
        </w:rPr>
        <w:t>（5）建设性质：新建，市政道路</w:t>
      </w:r>
    </w:p>
    <w:p>
      <w:pPr>
        <w:snapToGrid w:val="0"/>
        <w:spacing w:line="360" w:lineRule="auto"/>
        <w:ind w:firstLine="420"/>
        <w:rPr>
          <w:rFonts w:hint="default" w:ascii="Times New Roman" w:hAnsi="Times New Roman" w:cs="Times New Roman"/>
          <w:sz w:val="24"/>
        </w:rPr>
      </w:pPr>
      <w:r>
        <w:rPr>
          <w:rFonts w:hint="default" w:ascii="Times New Roman" w:hAnsi="Times New Roman" w:cs="Times New Roman"/>
          <w:sz w:val="24"/>
        </w:rPr>
        <w:t>（6）工程投</w:t>
      </w:r>
      <w:r>
        <w:rPr>
          <w:rFonts w:hint="default" w:ascii="Times New Roman" w:hAnsi="Times New Roman" w:cs="Times New Roman"/>
          <w:color w:val="auto"/>
          <w:sz w:val="24"/>
        </w:rPr>
        <w:t>资：11417.04万元</w:t>
      </w:r>
    </w:p>
    <w:p>
      <w:pPr>
        <w:snapToGrid w:val="0"/>
        <w:spacing w:line="360" w:lineRule="auto"/>
        <w:ind w:firstLine="420"/>
        <w:rPr>
          <w:rFonts w:hint="default" w:ascii="Times New Roman" w:hAnsi="Times New Roman" w:cs="Times New Roman"/>
          <w:sz w:val="24"/>
        </w:rPr>
      </w:pPr>
      <w:r>
        <w:rPr>
          <w:rFonts w:hint="default" w:ascii="Times New Roman" w:hAnsi="Times New Roman" w:cs="Times New Roman"/>
          <w:sz w:val="24"/>
        </w:rPr>
        <w:t>（7）建设内容和建设规模：项目起点位于清繁大道，终点位于纬一路，道路全长880米</w:t>
      </w:r>
      <w:r>
        <w:rPr>
          <w:rFonts w:hint="eastAsia" w:cs="Times New Roman"/>
          <w:sz w:val="24"/>
          <w:lang w:eastAsia="zh-CN"/>
        </w:rPr>
        <w:t>，</w:t>
      </w:r>
      <w:r>
        <w:rPr>
          <w:rFonts w:hint="default" w:ascii="Times New Roman" w:hAnsi="Times New Roman" w:cs="Times New Roman"/>
          <w:sz w:val="24"/>
        </w:rPr>
        <w:t>道路红线宽度40米，道路等级为城市主干路，设计行车速度为40千米/小时，双向六车道，沥青混凝土路面。建设桥梁一座，桥长2</w:t>
      </w:r>
      <w:r>
        <w:rPr>
          <w:rFonts w:hint="eastAsia" w:cs="Times New Roman"/>
          <w:sz w:val="24"/>
          <w:lang w:val="en-US" w:eastAsia="zh-CN"/>
        </w:rPr>
        <w:t>5.68</w:t>
      </w:r>
      <w:r>
        <w:rPr>
          <w:rFonts w:hint="default" w:ascii="Times New Roman" w:hAnsi="Times New Roman" w:cs="Times New Roman"/>
          <w:sz w:val="24"/>
        </w:rPr>
        <w:t>米，桥宽47米，上部结构采用预制预应力空心板桥，下部结构采用重力式桥台，桩柱接盖梁式墩，钻孔灌注桩基础。建设一块盖板，长约150米，宽约40到50米，采用五柱四跨结构形式，钻孔灌注基础。工程内容包括道路工程、桥梁工程、给排水工程、电气及照明工程、管线综合、绿化工程、交通工程等。</w:t>
      </w:r>
    </w:p>
    <w:p>
      <w:pPr>
        <w:pStyle w:val="7"/>
        <w:spacing w:line="360" w:lineRule="auto"/>
        <w:rPr>
          <w:rFonts w:hint="eastAsia" w:ascii="Times New Roman" w:hAnsi="Times New Roman" w:eastAsia="宋体" w:cs="Times New Roman"/>
          <w:sz w:val="24"/>
          <w:lang w:eastAsia="zh-CN"/>
        </w:rPr>
      </w:pPr>
      <w:r>
        <w:rPr>
          <w:rFonts w:hint="default" w:ascii="Times New Roman" w:hAnsi="Times New Roman" w:cs="Times New Roman"/>
          <w:sz w:val="24"/>
        </w:rPr>
        <w:t>（8）建设工期：</w:t>
      </w:r>
      <w:r>
        <w:rPr>
          <w:rFonts w:hint="eastAsia" w:cs="Times New Roman"/>
          <w:sz w:val="24"/>
          <w:lang w:val="en-US" w:eastAsia="zh-CN"/>
        </w:rPr>
        <w:t>12</w:t>
      </w:r>
      <w:r>
        <w:rPr>
          <w:rFonts w:hint="default" w:ascii="Times New Roman" w:hAnsi="Times New Roman" w:cs="Times New Roman"/>
          <w:sz w:val="24"/>
        </w:rPr>
        <w:t>个月</w:t>
      </w:r>
      <w:r>
        <w:rPr>
          <w:rFonts w:hint="eastAsia" w:cs="Times New Roman"/>
          <w:sz w:val="24"/>
          <w:lang w:eastAsia="zh-CN"/>
        </w:rPr>
        <w:t>，</w:t>
      </w:r>
      <w:r>
        <w:rPr>
          <w:rFonts w:hint="default" w:ascii="Times New Roman" w:hAnsi="Times New Roman" w:cs="Times New Roman"/>
          <w:sz w:val="24"/>
        </w:rPr>
        <w:t>202</w:t>
      </w:r>
      <w:r>
        <w:rPr>
          <w:rFonts w:hint="eastAsia" w:cs="Times New Roman"/>
          <w:sz w:val="24"/>
          <w:lang w:val="en-US" w:eastAsia="zh-CN"/>
        </w:rPr>
        <w:t>5</w:t>
      </w:r>
      <w:r>
        <w:rPr>
          <w:rFonts w:hint="default" w:ascii="Times New Roman" w:hAnsi="Times New Roman" w:cs="Times New Roman"/>
          <w:sz w:val="24"/>
        </w:rPr>
        <w:t>年</w:t>
      </w:r>
      <w:r>
        <w:rPr>
          <w:rFonts w:hint="eastAsia" w:cs="Times New Roman"/>
          <w:sz w:val="24"/>
          <w:lang w:val="en-US" w:eastAsia="zh-CN"/>
        </w:rPr>
        <w:t>1</w:t>
      </w:r>
      <w:r>
        <w:rPr>
          <w:rFonts w:hint="default" w:ascii="Times New Roman" w:hAnsi="Times New Roman" w:cs="Times New Roman"/>
          <w:sz w:val="24"/>
        </w:rPr>
        <w:t>月</w:t>
      </w:r>
      <w:r>
        <w:rPr>
          <w:rFonts w:hint="eastAsia" w:ascii="Times New Roman" w:hAnsi="Times New Roman" w:cs="Times New Roman"/>
          <w:sz w:val="24"/>
          <w:lang w:val="en-US" w:eastAsia="zh-CN"/>
        </w:rPr>
        <w:t>~</w:t>
      </w:r>
      <w:r>
        <w:rPr>
          <w:rFonts w:hint="default" w:ascii="Times New Roman" w:hAnsi="Times New Roman" w:cs="Times New Roman"/>
          <w:sz w:val="24"/>
        </w:rPr>
        <w:t>202</w:t>
      </w:r>
      <w:r>
        <w:rPr>
          <w:rFonts w:hint="eastAsia" w:cs="Times New Roman"/>
          <w:sz w:val="24"/>
          <w:lang w:val="en-US" w:eastAsia="zh-CN"/>
        </w:rPr>
        <w:t>5</w:t>
      </w:r>
      <w:r>
        <w:rPr>
          <w:rFonts w:hint="default" w:ascii="Times New Roman" w:hAnsi="Times New Roman" w:cs="Times New Roman"/>
          <w:sz w:val="24"/>
        </w:rPr>
        <w:t>年1</w:t>
      </w:r>
      <w:r>
        <w:rPr>
          <w:rFonts w:hint="eastAsia" w:cs="Times New Roman"/>
          <w:sz w:val="24"/>
          <w:lang w:val="en-US" w:eastAsia="zh-CN"/>
        </w:rPr>
        <w:t>2</w:t>
      </w:r>
      <w:r>
        <w:rPr>
          <w:rFonts w:hint="default" w:ascii="Times New Roman" w:hAnsi="Times New Roman" w:cs="Times New Roman"/>
          <w:sz w:val="24"/>
        </w:rPr>
        <w:t>月</w:t>
      </w:r>
    </w:p>
    <w:p>
      <w:pPr>
        <w:keepNext/>
        <w:keepLines/>
        <w:spacing w:line="360" w:lineRule="auto"/>
        <w:outlineLvl w:val="1"/>
        <w:rPr>
          <w:rFonts w:hint="default" w:ascii="Times New Roman" w:hAnsi="Times New Roman" w:cs="Times New Roman"/>
          <w:b/>
          <w:bCs/>
          <w:sz w:val="30"/>
          <w:szCs w:val="30"/>
        </w:rPr>
      </w:pPr>
      <w:bookmarkStart w:id="190" w:name="_Toc21024"/>
      <w:bookmarkStart w:id="191" w:name="_Toc16318"/>
      <w:bookmarkStart w:id="192" w:name="_Toc7026"/>
      <w:r>
        <w:rPr>
          <w:rFonts w:hint="default" w:ascii="Times New Roman" w:hAnsi="Times New Roman" w:cs="Times New Roman"/>
          <w:b/>
          <w:bCs/>
          <w:sz w:val="30"/>
          <w:szCs w:val="30"/>
        </w:rPr>
        <w:t>2.2 交通量预测</w:t>
      </w:r>
      <w:bookmarkEnd w:id="190"/>
      <w:bookmarkEnd w:id="191"/>
      <w:bookmarkEnd w:id="192"/>
    </w:p>
    <w:p>
      <w:pPr>
        <w:spacing w:line="360" w:lineRule="auto"/>
        <w:ind w:firstLine="480"/>
        <w:jc w:val="left"/>
        <w:rPr>
          <w:rFonts w:hint="default" w:ascii="Times New Roman" w:hAnsi="Times New Roman" w:cs="Times New Roman"/>
          <w:sz w:val="24"/>
        </w:rPr>
      </w:pPr>
      <w:r>
        <w:rPr>
          <w:rFonts w:hint="default" w:ascii="Times New Roman" w:hAnsi="Times New Roman" w:cs="Times New Roman"/>
          <w:sz w:val="24"/>
        </w:rPr>
        <w:t>项目计划于202</w:t>
      </w:r>
      <w:r>
        <w:rPr>
          <w:rFonts w:hint="eastAsia" w:cs="Times New Roman"/>
          <w:sz w:val="24"/>
          <w:lang w:val="en-US" w:eastAsia="zh-CN"/>
        </w:rPr>
        <w:t>6</w:t>
      </w:r>
      <w:r>
        <w:rPr>
          <w:rFonts w:hint="default" w:ascii="Times New Roman" w:hAnsi="Times New Roman" w:cs="Times New Roman"/>
          <w:sz w:val="24"/>
        </w:rPr>
        <w:t>年</w:t>
      </w:r>
      <w:r>
        <w:rPr>
          <w:rFonts w:hint="eastAsia" w:cs="Times New Roman"/>
          <w:sz w:val="24"/>
          <w:lang w:val="en-US" w:eastAsia="zh-CN"/>
        </w:rPr>
        <w:t>1月</w:t>
      </w:r>
      <w:r>
        <w:rPr>
          <w:rFonts w:hint="default" w:ascii="Times New Roman" w:hAnsi="Times New Roman" w:cs="Times New Roman"/>
          <w:sz w:val="24"/>
        </w:rPr>
        <w:t>通车，</w:t>
      </w:r>
      <w:r>
        <w:rPr>
          <w:color w:val="auto"/>
          <w:sz w:val="24"/>
        </w:rPr>
        <w:t>根据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环境影响评价技术导则</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公路建设项目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HJ 1358-2024</w:t>
      </w:r>
      <w:r>
        <w:rPr>
          <w:rFonts w:ascii="Times New Roman" w:hAnsi="Times New Roman" w:eastAsia="宋体" w:cs="Times New Roman"/>
          <w:color w:val="auto"/>
          <w:sz w:val="24"/>
        </w:rPr>
        <w:t>)中第</w:t>
      </w:r>
      <w:r>
        <w:rPr>
          <w:rFonts w:hint="eastAsia" w:ascii="Times New Roman" w:hAnsi="Times New Roman" w:eastAsia="宋体" w:cs="Times New Roman"/>
          <w:color w:val="auto"/>
          <w:sz w:val="24"/>
          <w:lang w:val="en-US" w:eastAsia="zh-CN"/>
        </w:rPr>
        <w:t>5.2.9</w:t>
      </w:r>
      <w:r>
        <w:rPr>
          <w:rFonts w:ascii="Times New Roman" w:hAnsi="Times New Roman" w:eastAsia="宋体" w:cs="Times New Roman"/>
          <w:color w:val="auto"/>
          <w:sz w:val="24"/>
        </w:rPr>
        <w:t>条规定“根据工程可行性研究报告或设计文件，分别选取运营第1、7和15年作为运营近、中、远期的代表年份”，</w:t>
      </w:r>
      <w:r>
        <w:rPr>
          <w:rFonts w:hint="eastAsia" w:ascii="Times New Roman" w:hAnsi="Times New Roman" w:eastAsia="宋体" w:cs="Times New Roman"/>
          <w:color w:val="auto"/>
          <w:sz w:val="24"/>
          <w:lang w:val="en-US" w:eastAsia="zh-CN"/>
        </w:rPr>
        <w:t>本次</w:t>
      </w:r>
      <w:r>
        <w:rPr>
          <w:rFonts w:ascii="Times New Roman" w:hAnsi="Times New Roman" w:eastAsia="宋体" w:cs="Times New Roman"/>
          <w:color w:val="auto"/>
          <w:sz w:val="24"/>
        </w:rPr>
        <w:t>预测</w:t>
      </w:r>
      <w:r>
        <w:rPr>
          <w:color w:val="auto"/>
          <w:sz w:val="24"/>
        </w:rPr>
        <w:t>年限取202</w:t>
      </w:r>
      <w:r>
        <w:rPr>
          <w:rFonts w:hint="eastAsia"/>
          <w:color w:val="auto"/>
          <w:sz w:val="24"/>
          <w:lang w:val="en-US" w:eastAsia="zh-CN"/>
        </w:rPr>
        <w:t>6</w:t>
      </w:r>
      <w:r>
        <w:rPr>
          <w:color w:val="auto"/>
          <w:sz w:val="24"/>
        </w:rPr>
        <w:t>年（营运近期）、203</w:t>
      </w:r>
      <w:r>
        <w:rPr>
          <w:rFonts w:hint="eastAsia"/>
          <w:color w:val="auto"/>
          <w:sz w:val="24"/>
          <w:lang w:val="en-US" w:eastAsia="zh-CN"/>
        </w:rPr>
        <w:t>2</w:t>
      </w:r>
      <w:r>
        <w:rPr>
          <w:color w:val="auto"/>
          <w:sz w:val="24"/>
        </w:rPr>
        <w:t>年（营运中期）和20</w:t>
      </w:r>
      <w:r>
        <w:rPr>
          <w:rFonts w:hint="eastAsia"/>
          <w:color w:val="auto"/>
          <w:sz w:val="24"/>
          <w:lang w:val="en-US" w:eastAsia="zh-CN"/>
        </w:rPr>
        <w:t>40</w:t>
      </w:r>
      <w:r>
        <w:rPr>
          <w:color w:val="auto"/>
          <w:sz w:val="24"/>
        </w:rPr>
        <w:t>年（营运远期）。根据“</w:t>
      </w:r>
      <w:r>
        <w:rPr>
          <w:rFonts w:hint="eastAsia"/>
          <w:color w:val="auto"/>
          <w:sz w:val="24"/>
          <w:lang w:val="en-US" w:eastAsia="zh-CN"/>
        </w:rPr>
        <w:t>初设</w:t>
      </w:r>
      <w:r>
        <w:rPr>
          <w:color w:val="auto"/>
          <w:sz w:val="24"/>
        </w:rPr>
        <w:t>”报告，</w:t>
      </w:r>
      <w:r>
        <w:rPr>
          <w:rFonts w:hint="default" w:ascii="Times New Roman" w:hAnsi="Times New Roman" w:cs="Times New Roman"/>
          <w:sz w:val="24"/>
        </w:rPr>
        <w:t>项目各规划年交通量见表2.2-1。</w:t>
      </w:r>
    </w:p>
    <w:p>
      <w:pPr>
        <w:widowControl/>
        <w:snapToGrid w:val="0"/>
        <w:spacing w:line="360" w:lineRule="auto"/>
        <w:ind w:right="113" w:firstLine="482"/>
        <w:jc w:val="center"/>
        <w:rPr>
          <w:rFonts w:hint="default" w:ascii="Times New Roman" w:hAnsi="Times New Roman" w:cs="Times New Roman"/>
          <w:b/>
          <w:bCs/>
          <w:kern w:val="0"/>
          <w:sz w:val="24"/>
        </w:rPr>
      </w:pPr>
      <w:r>
        <w:rPr>
          <w:rFonts w:hint="default" w:ascii="Times New Roman" w:hAnsi="Times New Roman" w:cs="Times New Roman"/>
          <w:b/>
          <w:bCs/>
          <w:kern w:val="0"/>
          <w:sz w:val="24"/>
        </w:rPr>
        <w:t>表2.2-1 项目各规划年交通量  单位：pcu/d</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559"/>
        <w:gridCol w:w="1905"/>
        <w:gridCol w:w="1905"/>
        <w:gridCol w:w="19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17" w:type="pct"/>
            <w:tcBorders>
              <w:tl2br w:val="nil"/>
              <w:tr2bl w:val="nil"/>
            </w:tcBorders>
            <w:vAlign w:val="center"/>
          </w:tcPr>
          <w:p>
            <w:pPr>
              <w:adjustRightIn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道路名称</w:t>
            </w:r>
          </w:p>
        </w:tc>
        <w:tc>
          <w:tcPr>
            <w:tcW w:w="1026" w:type="pct"/>
            <w:tcBorders>
              <w:tl2br w:val="nil"/>
              <w:tr2bl w:val="nil"/>
            </w:tcBorders>
            <w:vAlign w:val="center"/>
          </w:tcPr>
          <w:p>
            <w:pPr>
              <w:adjustRightIn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202</w:t>
            </w:r>
            <w:r>
              <w:rPr>
                <w:rFonts w:hint="eastAsia" w:cs="Times New Roman"/>
                <w:b/>
                <w:bCs/>
                <w:sz w:val="21"/>
                <w:szCs w:val="21"/>
                <w:lang w:val="en-US" w:eastAsia="zh-CN"/>
              </w:rPr>
              <w:t>6</w:t>
            </w:r>
            <w:r>
              <w:rPr>
                <w:rFonts w:hint="default" w:ascii="Times New Roman" w:hAnsi="Times New Roman" w:cs="Times New Roman"/>
                <w:b/>
                <w:bCs/>
                <w:sz w:val="21"/>
                <w:szCs w:val="21"/>
              </w:rPr>
              <w:t>年</w:t>
            </w:r>
          </w:p>
        </w:tc>
        <w:tc>
          <w:tcPr>
            <w:tcW w:w="1026" w:type="pct"/>
            <w:tcBorders>
              <w:tl2br w:val="nil"/>
              <w:tr2bl w:val="nil"/>
            </w:tcBorders>
            <w:vAlign w:val="center"/>
          </w:tcPr>
          <w:p>
            <w:pPr>
              <w:adjustRightIn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20</w:t>
            </w:r>
            <w:r>
              <w:rPr>
                <w:rFonts w:hint="eastAsia" w:cs="Times New Roman"/>
                <w:b/>
                <w:bCs/>
                <w:sz w:val="21"/>
                <w:szCs w:val="21"/>
                <w:lang w:val="en-US" w:eastAsia="zh-CN"/>
              </w:rPr>
              <w:t>32</w:t>
            </w:r>
            <w:r>
              <w:rPr>
                <w:rFonts w:hint="default" w:ascii="Times New Roman" w:hAnsi="Times New Roman" w:cs="Times New Roman"/>
                <w:b/>
                <w:bCs/>
                <w:sz w:val="21"/>
                <w:szCs w:val="21"/>
              </w:rPr>
              <w:t>年</w:t>
            </w:r>
          </w:p>
        </w:tc>
        <w:tc>
          <w:tcPr>
            <w:tcW w:w="1029" w:type="pct"/>
            <w:tcBorders>
              <w:tl2br w:val="nil"/>
              <w:tr2bl w:val="nil"/>
            </w:tcBorders>
            <w:vAlign w:val="center"/>
          </w:tcPr>
          <w:p>
            <w:pPr>
              <w:adjustRightInd w:val="0"/>
              <w:jc w:val="center"/>
              <w:rPr>
                <w:rFonts w:hint="default" w:ascii="Times New Roman" w:hAnsi="Times New Roman" w:cs="Times New Roman"/>
                <w:b/>
                <w:bCs/>
                <w:sz w:val="21"/>
                <w:szCs w:val="21"/>
              </w:rPr>
            </w:pPr>
            <w:r>
              <w:rPr>
                <w:rFonts w:hint="default" w:ascii="Times New Roman" w:hAnsi="Times New Roman" w:cs="Times New Roman"/>
                <w:b/>
                <w:bCs/>
                <w:sz w:val="21"/>
                <w:szCs w:val="21"/>
              </w:rPr>
              <w:t>20</w:t>
            </w:r>
            <w:r>
              <w:rPr>
                <w:rFonts w:hint="eastAsia" w:cs="Times New Roman"/>
                <w:b/>
                <w:bCs/>
                <w:sz w:val="21"/>
                <w:szCs w:val="21"/>
                <w:lang w:val="en-US" w:eastAsia="zh-CN"/>
              </w:rPr>
              <w:t>40</w:t>
            </w:r>
            <w:r>
              <w:rPr>
                <w:rFonts w:hint="default" w:ascii="Times New Roman" w:hAnsi="Times New Roman" w:cs="Times New Roman"/>
                <w:b/>
                <w:bCs/>
                <w:sz w:val="21"/>
                <w:szCs w:val="21"/>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17" w:type="pct"/>
            <w:tcBorders>
              <w:tl2br w:val="nil"/>
              <w:tr2bl w:val="nil"/>
            </w:tcBorders>
            <w:vAlign w:val="center"/>
          </w:tcPr>
          <w:p>
            <w:pPr>
              <w:widowControl/>
              <w:jc w:val="center"/>
              <w:rPr>
                <w:rFonts w:hint="default" w:ascii="Times New Roman" w:hAnsi="Times New Roman" w:cs="Times New Roman"/>
                <w:sz w:val="21"/>
                <w:szCs w:val="21"/>
              </w:rPr>
            </w:pPr>
            <w:r>
              <w:rPr>
                <w:rFonts w:hint="default" w:ascii="Times New Roman" w:hAnsi="Times New Roman" w:cs="Times New Roman"/>
                <w:sz w:val="21"/>
                <w:szCs w:val="21"/>
              </w:rPr>
              <w:t>福泽大道</w:t>
            </w:r>
          </w:p>
        </w:tc>
        <w:tc>
          <w:tcPr>
            <w:tcW w:w="1026" w:type="pct"/>
            <w:tcBorders>
              <w:tl2br w:val="nil"/>
              <w:tr2bl w:val="nil"/>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kern w:val="0"/>
                <w:sz w:val="21"/>
                <w:szCs w:val="21"/>
              </w:rPr>
              <w:t>10</w:t>
            </w:r>
            <w:r>
              <w:rPr>
                <w:rFonts w:hint="eastAsia" w:cs="Times New Roman"/>
                <w:kern w:val="0"/>
                <w:sz w:val="21"/>
                <w:szCs w:val="21"/>
                <w:lang w:val="en-US" w:eastAsia="zh-CN"/>
              </w:rPr>
              <w:t>285</w:t>
            </w:r>
          </w:p>
        </w:tc>
        <w:tc>
          <w:tcPr>
            <w:tcW w:w="1026" w:type="pct"/>
            <w:tcBorders>
              <w:tl2br w:val="nil"/>
              <w:tr2bl w:val="nil"/>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13130</w:t>
            </w:r>
          </w:p>
        </w:tc>
        <w:tc>
          <w:tcPr>
            <w:tcW w:w="1029" w:type="pct"/>
            <w:tcBorders>
              <w:tl2br w:val="nil"/>
              <w:tr2bl w:val="nil"/>
            </w:tcBorders>
            <w:vAlign w:val="center"/>
          </w:tcPr>
          <w:p>
            <w:pPr>
              <w:widowControl/>
              <w:jc w:val="center"/>
              <w:textAlignment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16167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00" w:type="pct"/>
            <w:gridSpan w:val="4"/>
            <w:tcBorders>
              <w:tl2br w:val="nil"/>
              <w:tr2bl w:val="nil"/>
            </w:tcBorders>
            <w:vAlign w:val="center"/>
          </w:tcPr>
          <w:p>
            <w:pPr>
              <w:widowControl/>
              <w:jc w:val="both"/>
              <w:textAlignment w:val="center"/>
              <w:rPr>
                <w:rFonts w:hint="default" w:cs="Times New Roman"/>
                <w:sz w:val="21"/>
                <w:szCs w:val="21"/>
                <w:lang w:val="en-US" w:eastAsia="zh-CN"/>
              </w:rPr>
            </w:pPr>
            <w:r>
              <w:rPr>
                <w:rFonts w:hint="eastAsia" w:cs="Times New Roman"/>
                <w:sz w:val="21"/>
                <w:szCs w:val="21"/>
                <w:lang w:val="en-US" w:eastAsia="zh-CN"/>
              </w:rPr>
              <w:t>备注：中期交通量采用内插法计算。</w:t>
            </w:r>
          </w:p>
        </w:tc>
      </w:tr>
    </w:tbl>
    <w:p>
      <w:pPr>
        <w:rPr>
          <w:rFonts w:hint="default" w:ascii="Times New Roman" w:hAnsi="Times New Roman" w:cs="Times New Roman"/>
          <w:kern w:val="0"/>
          <w:sz w:val="24"/>
          <w:lang w:val="zh-CN"/>
        </w:rPr>
      </w:pPr>
      <w:r>
        <w:rPr>
          <w:rFonts w:hint="default" w:ascii="Times New Roman" w:hAnsi="Times New Roman" w:cs="Times New Roman"/>
          <w:kern w:val="0"/>
          <w:sz w:val="24"/>
          <w:lang w:val="zh-CN"/>
        </w:rPr>
        <w:br w:type="page"/>
      </w:r>
    </w:p>
    <w:p>
      <w:pPr>
        <w:spacing w:before="120" w:beforeLines="50" w:line="360" w:lineRule="auto"/>
        <w:ind w:firstLine="482"/>
        <w:rPr>
          <w:rFonts w:hint="default" w:ascii="Times New Roman" w:hAnsi="Times New Roman" w:cs="Times New Roman"/>
          <w:kern w:val="0"/>
          <w:sz w:val="24"/>
          <w:lang w:val="zh-CN"/>
        </w:rPr>
      </w:pPr>
      <w:r>
        <w:rPr>
          <w:rFonts w:hint="default" w:ascii="Times New Roman" w:hAnsi="Times New Roman" w:cs="Times New Roman"/>
          <w:kern w:val="0"/>
          <w:sz w:val="24"/>
          <w:lang w:val="zh-CN"/>
        </w:rPr>
        <w:t>根据工程设计资料，各道路车型比如表</w:t>
      </w:r>
      <w:r>
        <w:rPr>
          <w:rFonts w:hint="default" w:ascii="Times New Roman" w:hAnsi="Times New Roman" w:cs="Times New Roman"/>
          <w:kern w:val="0"/>
          <w:sz w:val="24"/>
        </w:rPr>
        <w:t>2.2-2</w:t>
      </w:r>
      <w:r>
        <w:rPr>
          <w:rFonts w:hint="default" w:ascii="Times New Roman" w:hAnsi="Times New Roman" w:cs="Times New Roman"/>
          <w:kern w:val="0"/>
          <w:sz w:val="24"/>
          <w:lang w:val="zh-CN"/>
        </w:rPr>
        <w:t>所示：</w:t>
      </w:r>
    </w:p>
    <w:p>
      <w:pPr>
        <w:widowControl/>
        <w:snapToGrid w:val="0"/>
        <w:ind w:right="113" w:firstLine="482"/>
        <w:jc w:val="center"/>
        <w:rPr>
          <w:rFonts w:hint="default" w:ascii="Times New Roman" w:hAnsi="Times New Roman" w:cs="Times New Roman"/>
          <w:b/>
          <w:kern w:val="0"/>
          <w:sz w:val="24"/>
          <w:lang w:val="zh-CN"/>
        </w:rPr>
      </w:pPr>
      <w:r>
        <w:rPr>
          <w:rFonts w:hint="default" w:ascii="Times New Roman" w:hAnsi="Times New Roman" w:cs="Times New Roman"/>
          <w:b/>
          <w:kern w:val="0"/>
          <w:sz w:val="24"/>
          <w:lang w:val="zh-CN"/>
        </w:rPr>
        <w:t>表</w:t>
      </w:r>
      <w:r>
        <w:rPr>
          <w:rFonts w:hint="default" w:ascii="Times New Roman" w:hAnsi="Times New Roman" w:cs="Times New Roman"/>
          <w:b/>
          <w:kern w:val="0"/>
          <w:sz w:val="24"/>
        </w:rPr>
        <w:t>2.2-2</w:t>
      </w:r>
      <w:r>
        <w:rPr>
          <w:rFonts w:hint="default" w:ascii="Times New Roman" w:hAnsi="Times New Roman" w:cs="Times New Roman"/>
          <w:b/>
          <w:kern w:val="0"/>
          <w:sz w:val="24"/>
          <w:lang w:val="zh-CN"/>
        </w:rPr>
        <w:t xml:space="preserve">  各道路车型比</w:t>
      </w:r>
    </w:p>
    <w:tbl>
      <w:tblPr>
        <w:tblStyle w:val="27"/>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44"/>
        <w:gridCol w:w="2203"/>
        <w:gridCol w:w="1815"/>
        <w:gridCol w:w="1812"/>
        <w:gridCol w:w="20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78" w:type="pct"/>
            <w:tcBorders>
              <w:tl2br w:val="nil"/>
              <w:tr2bl w:val="nil"/>
            </w:tcBorders>
            <w:vAlign w:val="center"/>
          </w:tcPr>
          <w:p>
            <w:pPr>
              <w:widowControl/>
              <w:contextualSpacing/>
              <w:jc w:val="center"/>
              <w:rPr>
                <w:rFonts w:hint="default" w:ascii="Times New Roman" w:hAnsi="Times New Roman" w:cs="Times New Roman"/>
                <w:b/>
                <w:bCs/>
                <w:szCs w:val="21"/>
              </w:rPr>
            </w:pPr>
            <w:r>
              <w:rPr>
                <w:rFonts w:hint="default" w:ascii="Times New Roman" w:hAnsi="Times New Roman" w:cs="Times New Roman"/>
                <w:b/>
                <w:bCs/>
                <w:szCs w:val="21"/>
              </w:rPr>
              <w:t>路段</w:t>
            </w:r>
          </w:p>
        </w:tc>
        <w:tc>
          <w:tcPr>
            <w:tcW w:w="1187" w:type="pct"/>
            <w:tcBorders>
              <w:tl2br w:val="nil"/>
              <w:tr2bl w:val="nil"/>
            </w:tcBorders>
            <w:vAlign w:val="center"/>
          </w:tcPr>
          <w:p>
            <w:pPr>
              <w:widowControl/>
              <w:contextualSpacing/>
              <w:jc w:val="center"/>
              <w:rPr>
                <w:rFonts w:hint="default" w:ascii="Times New Roman" w:hAnsi="Times New Roman" w:cs="Times New Roman"/>
                <w:b/>
                <w:bCs/>
                <w:szCs w:val="21"/>
              </w:rPr>
            </w:pPr>
            <w:r>
              <w:rPr>
                <w:rFonts w:hint="default" w:ascii="Times New Roman" w:hAnsi="Times New Roman" w:cs="Times New Roman"/>
                <w:b/>
                <w:bCs/>
                <w:szCs w:val="21"/>
              </w:rPr>
              <w:t>车型</w:t>
            </w:r>
          </w:p>
        </w:tc>
        <w:tc>
          <w:tcPr>
            <w:tcW w:w="978" w:type="pct"/>
            <w:tcBorders>
              <w:tl2br w:val="nil"/>
              <w:tr2bl w:val="nil"/>
            </w:tcBorders>
            <w:vAlign w:val="center"/>
          </w:tcPr>
          <w:p>
            <w:pPr>
              <w:widowControl/>
              <w:contextualSpacing/>
              <w:jc w:val="center"/>
              <w:rPr>
                <w:rFonts w:hint="default" w:ascii="Times New Roman" w:hAnsi="Times New Roman" w:cs="Times New Roman"/>
                <w:b/>
                <w:bCs/>
                <w:szCs w:val="21"/>
              </w:rPr>
            </w:pPr>
            <w:r>
              <w:rPr>
                <w:rFonts w:hint="default" w:ascii="Times New Roman" w:hAnsi="Times New Roman" w:cs="Times New Roman"/>
                <w:b/>
                <w:bCs/>
                <w:szCs w:val="21"/>
              </w:rPr>
              <w:t>小型车</w:t>
            </w:r>
          </w:p>
        </w:tc>
        <w:tc>
          <w:tcPr>
            <w:tcW w:w="976" w:type="pct"/>
            <w:tcBorders>
              <w:tl2br w:val="nil"/>
              <w:tr2bl w:val="nil"/>
            </w:tcBorders>
            <w:vAlign w:val="center"/>
          </w:tcPr>
          <w:p>
            <w:pPr>
              <w:widowControl/>
              <w:contextualSpacing/>
              <w:jc w:val="center"/>
              <w:rPr>
                <w:rFonts w:hint="default" w:ascii="Times New Roman" w:hAnsi="Times New Roman" w:cs="Times New Roman"/>
                <w:b/>
                <w:bCs/>
                <w:szCs w:val="21"/>
              </w:rPr>
            </w:pPr>
            <w:r>
              <w:rPr>
                <w:rFonts w:hint="default" w:ascii="Times New Roman" w:hAnsi="Times New Roman" w:cs="Times New Roman"/>
                <w:b/>
                <w:bCs/>
                <w:szCs w:val="21"/>
              </w:rPr>
              <w:t>中型车</w:t>
            </w:r>
          </w:p>
        </w:tc>
        <w:tc>
          <w:tcPr>
            <w:tcW w:w="1079" w:type="pct"/>
            <w:tcBorders>
              <w:tl2br w:val="nil"/>
              <w:tr2bl w:val="nil"/>
            </w:tcBorders>
            <w:vAlign w:val="center"/>
          </w:tcPr>
          <w:p>
            <w:pPr>
              <w:widowControl/>
              <w:contextualSpacing/>
              <w:jc w:val="center"/>
              <w:rPr>
                <w:rFonts w:hint="default" w:ascii="Times New Roman" w:hAnsi="Times New Roman" w:cs="Times New Roman"/>
                <w:b/>
                <w:bCs/>
                <w:szCs w:val="21"/>
              </w:rPr>
            </w:pPr>
            <w:r>
              <w:rPr>
                <w:rFonts w:hint="default" w:ascii="Times New Roman" w:hAnsi="Times New Roman" w:cs="Times New Roman"/>
                <w:b/>
                <w:bCs/>
                <w:szCs w:val="21"/>
              </w:rPr>
              <w:t>大型车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78" w:type="pct"/>
            <w:vMerge w:val="restart"/>
            <w:tcBorders>
              <w:tl2br w:val="nil"/>
              <w:tr2bl w:val="nil"/>
            </w:tcBorders>
            <w:vAlign w:val="center"/>
          </w:tcPr>
          <w:p>
            <w:pPr>
              <w:widowControl/>
              <w:contextualSpacing/>
              <w:jc w:val="center"/>
              <w:rPr>
                <w:rFonts w:hint="default" w:ascii="Times New Roman" w:hAnsi="Times New Roman" w:cs="Times New Roman"/>
                <w:szCs w:val="21"/>
              </w:rPr>
            </w:pPr>
            <w:r>
              <w:rPr>
                <w:rFonts w:hint="default" w:ascii="Times New Roman" w:hAnsi="Times New Roman" w:cs="Times New Roman"/>
                <w:sz w:val="21"/>
                <w:szCs w:val="21"/>
              </w:rPr>
              <w:t>福泽大道</w:t>
            </w:r>
          </w:p>
        </w:tc>
        <w:tc>
          <w:tcPr>
            <w:tcW w:w="1187" w:type="pct"/>
            <w:tcBorders>
              <w:tl2br w:val="nil"/>
              <w:tr2bl w:val="nil"/>
            </w:tcBorders>
            <w:vAlign w:val="center"/>
          </w:tcPr>
          <w:p>
            <w:pPr>
              <w:widowControl/>
              <w:contextualSpacing/>
              <w:jc w:val="center"/>
              <w:rPr>
                <w:rFonts w:hint="default" w:ascii="Times New Roman" w:hAnsi="Times New Roman" w:cs="Times New Roman"/>
                <w:szCs w:val="21"/>
              </w:rPr>
            </w:pPr>
            <w:r>
              <w:rPr>
                <w:rFonts w:hint="default" w:ascii="Times New Roman" w:hAnsi="Times New Roman" w:cs="Times New Roman"/>
                <w:szCs w:val="21"/>
              </w:rPr>
              <w:t>车型比（%）</w:t>
            </w:r>
          </w:p>
        </w:tc>
        <w:tc>
          <w:tcPr>
            <w:tcW w:w="978" w:type="pct"/>
            <w:tcBorders>
              <w:tl2br w:val="nil"/>
              <w:tr2bl w:val="nil"/>
            </w:tcBorders>
            <w:vAlign w:val="center"/>
          </w:tcPr>
          <w:p>
            <w:pPr>
              <w:widowControl/>
              <w:contextualSpacing/>
              <w:jc w:val="center"/>
              <w:rPr>
                <w:rFonts w:hint="default" w:ascii="Times New Roman" w:hAnsi="Times New Roman" w:cs="Times New Roman"/>
                <w:szCs w:val="21"/>
              </w:rPr>
            </w:pPr>
            <w:r>
              <w:rPr>
                <w:rFonts w:hint="default" w:ascii="Times New Roman" w:hAnsi="Times New Roman" w:cs="Times New Roman"/>
                <w:szCs w:val="21"/>
              </w:rPr>
              <w:t>80</w:t>
            </w:r>
          </w:p>
        </w:tc>
        <w:tc>
          <w:tcPr>
            <w:tcW w:w="976" w:type="pct"/>
            <w:tcBorders>
              <w:tl2br w:val="nil"/>
              <w:tr2bl w:val="nil"/>
            </w:tcBorders>
            <w:vAlign w:val="center"/>
          </w:tcPr>
          <w:p>
            <w:pPr>
              <w:widowControl/>
              <w:contextualSpacing/>
              <w:jc w:val="center"/>
              <w:rPr>
                <w:rFonts w:hint="default" w:ascii="Times New Roman" w:hAnsi="Times New Roman" w:cs="Times New Roman"/>
                <w:szCs w:val="21"/>
              </w:rPr>
            </w:pPr>
            <w:r>
              <w:rPr>
                <w:rFonts w:hint="default" w:ascii="Times New Roman" w:hAnsi="Times New Roman" w:cs="Times New Roman"/>
                <w:szCs w:val="21"/>
              </w:rPr>
              <w:t>15</w:t>
            </w:r>
          </w:p>
        </w:tc>
        <w:tc>
          <w:tcPr>
            <w:tcW w:w="1079" w:type="pct"/>
            <w:tcBorders>
              <w:tl2br w:val="nil"/>
              <w:tr2bl w:val="nil"/>
            </w:tcBorders>
            <w:vAlign w:val="center"/>
          </w:tcPr>
          <w:p>
            <w:pPr>
              <w:widowControl/>
              <w:contextualSpacing/>
              <w:jc w:val="center"/>
              <w:rPr>
                <w:rFonts w:hint="default" w:ascii="Times New Roman" w:hAnsi="Times New Roman" w:cs="Times New Roman"/>
                <w:szCs w:val="21"/>
              </w:rPr>
            </w:pPr>
            <w:r>
              <w:rPr>
                <w:rFonts w:hint="default" w:ascii="Times New Roman" w:hAnsi="Times New Roman" w:cs="Times New Roman"/>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4" w:hRule="atLeast"/>
          <w:jc w:val="center"/>
        </w:trPr>
        <w:tc>
          <w:tcPr>
            <w:tcW w:w="778" w:type="pct"/>
            <w:vMerge w:val="continue"/>
            <w:tcBorders>
              <w:tl2br w:val="nil"/>
              <w:tr2bl w:val="nil"/>
            </w:tcBorders>
            <w:vAlign w:val="center"/>
          </w:tcPr>
          <w:p>
            <w:pPr>
              <w:widowControl/>
              <w:contextualSpacing/>
              <w:jc w:val="center"/>
              <w:rPr>
                <w:rFonts w:hint="default" w:ascii="Times New Roman" w:hAnsi="Times New Roman" w:cs="Times New Roman"/>
                <w:szCs w:val="21"/>
              </w:rPr>
            </w:pPr>
          </w:p>
        </w:tc>
        <w:tc>
          <w:tcPr>
            <w:tcW w:w="1187" w:type="pct"/>
            <w:tcBorders>
              <w:tl2br w:val="nil"/>
              <w:tr2bl w:val="nil"/>
            </w:tcBorders>
            <w:vAlign w:val="center"/>
          </w:tcPr>
          <w:p>
            <w:pPr>
              <w:widowControl/>
              <w:contextualSpacing/>
              <w:jc w:val="center"/>
              <w:rPr>
                <w:rFonts w:hint="default" w:ascii="Times New Roman" w:hAnsi="Times New Roman" w:cs="Times New Roman"/>
                <w:szCs w:val="21"/>
              </w:rPr>
            </w:pPr>
            <w:r>
              <w:rPr>
                <w:rFonts w:hint="default" w:ascii="Times New Roman" w:hAnsi="Times New Roman" w:cs="Times New Roman"/>
                <w:szCs w:val="21"/>
              </w:rPr>
              <w:t>昼夜比</w:t>
            </w:r>
          </w:p>
        </w:tc>
        <w:tc>
          <w:tcPr>
            <w:tcW w:w="3034" w:type="pct"/>
            <w:gridSpan w:val="3"/>
            <w:tcBorders>
              <w:tl2br w:val="nil"/>
              <w:tr2bl w:val="nil"/>
            </w:tcBorders>
            <w:vAlign w:val="center"/>
          </w:tcPr>
          <w:p>
            <w:pPr>
              <w:widowControl/>
              <w:contextualSpacing/>
              <w:jc w:val="center"/>
              <w:rPr>
                <w:rFonts w:hint="default" w:ascii="Times New Roman" w:hAnsi="Times New Roman" w:cs="Times New Roman"/>
                <w:szCs w:val="21"/>
                <w:lang w:val="en-US"/>
              </w:rPr>
            </w:pPr>
            <w:r>
              <w:rPr>
                <w:rFonts w:hint="eastAsia" w:cs="Times New Roman"/>
                <w:szCs w:val="21"/>
                <w:lang w:val="en-US" w:eastAsia="zh-CN"/>
              </w:rPr>
              <w:t>85</w:t>
            </w:r>
            <w:r>
              <w:rPr>
                <w:rFonts w:hint="default" w:ascii="Times New Roman" w:hAnsi="Times New Roman" w:cs="Times New Roman"/>
                <w:szCs w:val="21"/>
              </w:rPr>
              <w:t>：</w:t>
            </w:r>
            <w:r>
              <w:rPr>
                <w:rFonts w:hint="eastAsia" w:cs="Times New Roman"/>
                <w:szCs w:val="21"/>
                <w:lang w:val="en-US" w:eastAsia="zh-CN"/>
              </w:rPr>
              <w:t>15</w:t>
            </w:r>
          </w:p>
        </w:tc>
      </w:tr>
    </w:tbl>
    <w:p>
      <w:pPr>
        <w:spacing w:before="120" w:beforeLines="50" w:line="360" w:lineRule="auto"/>
        <w:ind w:firstLine="482"/>
        <w:jc w:val="left"/>
        <w:rPr>
          <w:color w:val="auto"/>
          <w:sz w:val="24"/>
        </w:rPr>
      </w:pPr>
      <w:r>
        <w:rPr>
          <w:rFonts w:hint="eastAsia" w:ascii="Times New Roman" w:hAnsi="Times New Roman" w:eastAsia="宋体" w:cs="Times New Roman"/>
          <w:color w:val="auto"/>
          <w:sz w:val="24"/>
          <w:lang w:val="en-US" w:eastAsia="zh-CN"/>
        </w:rPr>
        <w:t>根据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环境影响评价技术导则</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公路建设项目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HJ 1358-2024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附录B</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车型分类方法按照JTG B01中有关车型划分的标准进行，交通量换算根据工程设计文件提供的小客车标准车型，按照不同折算系数分别折算成大、中、小型车，</w:t>
      </w:r>
      <w:r>
        <w:rPr>
          <w:rFonts w:hint="eastAsia" w:eastAsia="宋体"/>
          <w:color w:val="auto"/>
          <w:sz w:val="24"/>
          <w:lang w:val="en-US" w:eastAsia="zh-CN"/>
        </w:rPr>
        <w:t>折算系数</w:t>
      </w:r>
      <w:r>
        <w:rPr>
          <w:color w:val="auto"/>
          <w:sz w:val="24"/>
        </w:rPr>
        <w:t>见</w:t>
      </w:r>
      <w:r>
        <w:rPr>
          <w:b/>
          <w:bCs/>
          <w:color w:val="auto"/>
          <w:sz w:val="24"/>
        </w:rPr>
        <w:t>表2.2</w:t>
      </w:r>
      <w:r>
        <w:rPr>
          <w:rFonts w:eastAsia="Times New Roman"/>
          <w:b/>
          <w:bCs/>
          <w:color w:val="auto"/>
          <w:sz w:val="24"/>
        </w:rPr>
        <w:t>-3</w:t>
      </w:r>
      <w:r>
        <w:rPr>
          <w:color w:val="auto"/>
          <w:sz w:val="24"/>
        </w:rPr>
        <w:t>。</w:t>
      </w:r>
    </w:p>
    <w:p>
      <w:pPr>
        <w:spacing w:line="360" w:lineRule="auto"/>
        <w:jc w:val="center"/>
        <w:rPr>
          <w:b/>
          <w:bCs/>
          <w:color w:val="auto"/>
          <w:sz w:val="24"/>
        </w:rPr>
      </w:pPr>
      <w:r>
        <w:rPr>
          <w:b/>
          <w:bCs/>
          <w:color w:val="auto"/>
          <w:sz w:val="24"/>
        </w:rPr>
        <w:t>表2.2</w:t>
      </w:r>
      <w:r>
        <w:rPr>
          <w:rFonts w:eastAsia="Times New Roman"/>
          <w:b/>
          <w:bCs/>
          <w:color w:val="auto"/>
          <w:sz w:val="24"/>
        </w:rPr>
        <w:t xml:space="preserve">-3 </w:t>
      </w:r>
      <w:r>
        <w:rPr>
          <w:b/>
          <w:bCs/>
          <w:color w:val="auto"/>
          <w:sz w:val="24"/>
        </w:rPr>
        <w:t>交通部公路机动车车型分类标准</w:t>
      </w:r>
    </w:p>
    <w:tbl>
      <w:tblPr>
        <w:tblStyle w:val="2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1571"/>
        <w:gridCol w:w="1608"/>
        <w:gridCol w:w="4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noWrap w:val="0"/>
            <w:vAlign w:val="center"/>
          </w:tcPr>
          <w:p>
            <w:pPr>
              <w:widowControl/>
              <w:contextualSpacing/>
              <w:jc w:val="center"/>
              <w:rPr>
                <w:rFonts w:hint="eastAsia" w:eastAsia="宋体"/>
                <w:b/>
                <w:bCs/>
                <w:color w:val="auto"/>
                <w:szCs w:val="21"/>
                <w:lang w:eastAsia="zh-CN"/>
              </w:rPr>
            </w:pPr>
            <w:r>
              <w:rPr>
                <w:rFonts w:hint="eastAsia"/>
                <w:b/>
                <w:bCs/>
                <w:color w:val="auto"/>
                <w:szCs w:val="21"/>
                <w:lang w:val="en-US" w:eastAsia="zh-CN"/>
              </w:rPr>
              <w:t>车型</w:t>
            </w:r>
          </w:p>
        </w:tc>
        <w:tc>
          <w:tcPr>
            <w:tcW w:w="846" w:type="pct"/>
            <w:noWrap w:val="0"/>
            <w:vAlign w:val="center"/>
          </w:tcPr>
          <w:p>
            <w:pPr>
              <w:widowControl/>
              <w:contextualSpacing/>
              <w:jc w:val="center"/>
              <w:rPr>
                <w:rFonts w:hint="default" w:eastAsia="宋体"/>
                <w:b/>
                <w:bCs/>
                <w:color w:val="auto"/>
                <w:szCs w:val="21"/>
                <w:lang w:val="en-US" w:eastAsia="zh-CN"/>
              </w:rPr>
            </w:pPr>
            <w:r>
              <w:rPr>
                <w:rFonts w:hint="eastAsia"/>
                <w:b/>
                <w:bCs/>
                <w:color w:val="auto"/>
                <w:szCs w:val="21"/>
                <w:lang w:val="en-US" w:eastAsia="zh-CN"/>
              </w:rPr>
              <w:t>汽车代表车型</w:t>
            </w:r>
          </w:p>
        </w:tc>
        <w:tc>
          <w:tcPr>
            <w:tcW w:w="866" w:type="pct"/>
            <w:noWrap w:val="0"/>
            <w:vAlign w:val="center"/>
          </w:tcPr>
          <w:p>
            <w:pPr>
              <w:widowControl/>
              <w:contextualSpacing/>
              <w:jc w:val="center"/>
              <w:rPr>
                <w:rFonts w:hint="default"/>
                <w:b/>
                <w:bCs/>
                <w:color w:val="auto"/>
                <w:szCs w:val="21"/>
                <w:lang w:val="en-US" w:eastAsia="zh-CN"/>
              </w:rPr>
            </w:pPr>
            <w:r>
              <w:rPr>
                <w:rFonts w:hint="eastAsia"/>
                <w:b/>
                <w:bCs/>
                <w:color w:val="auto"/>
                <w:szCs w:val="21"/>
                <w:lang w:val="en-US" w:eastAsia="zh-CN"/>
              </w:rPr>
              <w:t>车辆折算系数</w:t>
            </w:r>
          </w:p>
        </w:tc>
        <w:tc>
          <w:tcPr>
            <w:tcW w:w="2253" w:type="pct"/>
            <w:noWrap w:val="0"/>
            <w:vAlign w:val="center"/>
          </w:tcPr>
          <w:p>
            <w:pPr>
              <w:widowControl/>
              <w:contextualSpacing/>
              <w:jc w:val="center"/>
              <w:rPr>
                <w:rFonts w:hint="eastAsia" w:eastAsia="宋体"/>
                <w:b/>
                <w:bCs/>
                <w:color w:val="auto"/>
                <w:szCs w:val="21"/>
                <w:lang w:eastAsia="zh-CN"/>
              </w:rPr>
            </w:pPr>
            <w:r>
              <w:rPr>
                <w:rFonts w:hint="eastAsia"/>
                <w:b/>
                <w:bCs/>
                <w:color w:val="auto"/>
                <w:szCs w:val="21"/>
                <w:lang w:val="en-US" w:eastAsia="zh-CN"/>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noWrap w:val="0"/>
            <w:vAlign w:val="center"/>
          </w:tcPr>
          <w:p>
            <w:pPr>
              <w:widowControl/>
              <w:contextualSpacing/>
              <w:jc w:val="center"/>
              <w:rPr>
                <w:color w:val="auto"/>
                <w:szCs w:val="21"/>
              </w:rPr>
            </w:pPr>
            <w:r>
              <w:rPr>
                <w:color w:val="auto"/>
                <w:szCs w:val="21"/>
              </w:rPr>
              <w:t>小</w:t>
            </w:r>
          </w:p>
        </w:tc>
        <w:tc>
          <w:tcPr>
            <w:tcW w:w="846" w:type="pct"/>
            <w:noWrap w:val="0"/>
            <w:vAlign w:val="center"/>
          </w:tcPr>
          <w:p>
            <w:pPr>
              <w:widowControl/>
              <w:contextualSpacing/>
              <w:jc w:val="center"/>
              <w:rPr>
                <w:color w:val="auto"/>
                <w:szCs w:val="21"/>
              </w:rPr>
            </w:pPr>
            <w:r>
              <w:rPr>
                <w:color w:val="auto"/>
                <w:szCs w:val="21"/>
              </w:rPr>
              <w:t>小型车</w:t>
            </w:r>
          </w:p>
        </w:tc>
        <w:tc>
          <w:tcPr>
            <w:tcW w:w="866" w:type="pct"/>
            <w:noWrap w:val="0"/>
            <w:vAlign w:val="center"/>
          </w:tcPr>
          <w:p>
            <w:pPr>
              <w:widowControl/>
              <w:contextualSpacing/>
              <w:jc w:val="center"/>
              <w:rPr>
                <w:rFonts w:hint="default" w:eastAsia="宋体"/>
                <w:color w:val="auto"/>
                <w:szCs w:val="21"/>
                <w:lang w:val="en-US" w:eastAsia="zh-CN"/>
              </w:rPr>
            </w:pPr>
            <w:r>
              <w:rPr>
                <w:rFonts w:hint="eastAsia"/>
                <w:color w:val="auto"/>
                <w:szCs w:val="21"/>
                <w:lang w:val="en-US" w:eastAsia="zh-CN"/>
              </w:rPr>
              <w:t>1.0</w:t>
            </w:r>
          </w:p>
        </w:tc>
        <w:tc>
          <w:tcPr>
            <w:tcW w:w="2253" w:type="pct"/>
            <w:noWrap w:val="0"/>
            <w:vAlign w:val="center"/>
          </w:tcPr>
          <w:p>
            <w:pPr>
              <w:widowControl/>
              <w:contextualSpacing/>
              <w:jc w:val="center"/>
              <w:rPr>
                <w:color w:val="auto"/>
                <w:szCs w:val="21"/>
              </w:rPr>
            </w:pPr>
            <w:r>
              <w:rPr>
                <w:rFonts w:hint="eastAsia"/>
                <w:color w:val="auto"/>
                <w:szCs w:val="21"/>
              </w:rPr>
              <w:t>座位≤19座的客车和载质量≤2t的货车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noWrap w:val="0"/>
            <w:vAlign w:val="center"/>
          </w:tcPr>
          <w:p>
            <w:pPr>
              <w:widowControl/>
              <w:contextualSpacing/>
              <w:jc w:val="center"/>
              <w:rPr>
                <w:color w:val="auto"/>
                <w:szCs w:val="21"/>
              </w:rPr>
            </w:pPr>
            <w:r>
              <w:rPr>
                <w:color w:val="auto"/>
                <w:szCs w:val="21"/>
              </w:rPr>
              <w:t>中</w:t>
            </w:r>
          </w:p>
        </w:tc>
        <w:tc>
          <w:tcPr>
            <w:tcW w:w="846" w:type="pct"/>
            <w:noWrap w:val="0"/>
            <w:vAlign w:val="center"/>
          </w:tcPr>
          <w:p>
            <w:pPr>
              <w:widowControl/>
              <w:contextualSpacing/>
              <w:jc w:val="center"/>
              <w:rPr>
                <w:color w:val="auto"/>
                <w:szCs w:val="21"/>
              </w:rPr>
            </w:pPr>
            <w:r>
              <w:rPr>
                <w:color w:val="auto"/>
                <w:szCs w:val="21"/>
              </w:rPr>
              <w:t>中型车</w:t>
            </w:r>
          </w:p>
        </w:tc>
        <w:tc>
          <w:tcPr>
            <w:tcW w:w="866" w:type="pct"/>
            <w:noWrap w:val="0"/>
            <w:vAlign w:val="center"/>
          </w:tcPr>
          <w:p>
            <w:pPr>
              <w:widowControl/>
              <w:contextualSpacing/>
              <w:jc w:val="center"/>
              <w:rPr>
                <w:rFonts w:hint="default" w:eastAsia="宋体"/>
                <w:color w:val="auto"/>
                <w:szCs w:val="21"/>
                <w:lang w:val="en-US" w:eastAsia="zh-CN"/>
              </w:rPr>
            </w:pPr>
            <w:r>
              <w:rPr>
                <w:rFonts w:hint="eastAsia"/>
                <w:color w:val="auto"/>
                <w:szCs w:val="21"/>
                <w:lang w:val="en-US" w:eastAsia="zh-CN"/>
              </w:rPr>
              <w:t>1.5</w:t>
            </w:r>
          </w:p>
        </w:tc>
        <w:tc>
          <w:tcPr>
            <w:tcW w:w="2253" w:type="pct"/>
            <w:noWrap w:val="0"/>
            <w:vAlign w:val="center"/>
          </w:tcPr>
          <w:p>
            <w:pPr>
              <w:widowControl/>
              <w:contextualSpacing/>
              <w:jc w:val="center"/>
              <w:rPr>
                <w:color w:val="auto"/>
                <w:szCs w:val="21"/>
              </w:rPr>
            </w:pPr>
            <w:r>
              <w:rPr>
                <w:rFonts w:hint="eastAsia"/>
                <w:color w:val="auto"/>
                <w:szCs w:val="21"/>
              </w:rPr>
              <w:t>座位&gt;19座的客车和2t&lt;载质量≤7t的货车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vMerge w:val="restart"/>
            <w:noWrap w:val="0"/>
            <w:vAlign w:val="center"/>
          </w:tcPr>
          <w:p>
            <w:pPr>
              <w:widowControl/>
              <w:contextualSpacing/>
              <w:jc w:val="center"/>
              <w:rPr>
                <w:color w:val="auto"/>
                <w:szCs w:val="21"/>
              </w:rPr>
            </w:pPr>
            <w:r>
              <w:rPr>
                <w:color w:val="auto"/>
                <w:szCs w:val="21"/>
              </w:rPr>
              <w:t>大</w:t>
            </w:r>
          </w:p>
        </w:tc>
        <w:tc>
          <w:tcPr>
            <w:tcW w:w="846" w:type="pct"/>
            <w:noWrap w:val="0"/>
            <w:vAlign w:val="center"/>
          </w:tcPr>
          <w:p>
            <w:pPr>
              <w:widowControl/>
              <w:contextualSpacing/>
              <w:jc w:val="center"/>
              <w:rPr>
                <w:color w:val="auto"/>
                <w:szCs w:val="21"/>
              </w:rPr>
            </w:pPr>
            <w:r>
              <w:rPr>
                <w:color w:val="auto"/>
                <w:szCs w:val="21"/>
              </w:rPr>
              <w:t>大型车</w:t>
            </w:r>
          </w:p>
        </w:tc>
        <w:tc>
          <w:tcPr>
            <w:tcW w:w="866" w:type="pct"/>
            <w:noWrap w:val="0"/>
            <w:vAlign w:val="center"/>
          </w:tcPr>
          <w:p>
            <w:pPr>
              <w:widowControl/>
              <w:contextualSpacing/>
              <w:jc w:val="center"/>
              <w:rPr>
                <w:rFonts w:hint="default" w:eastAsia="宋体"/>
                <w:color w:val="auto"/>
                <w:szCs w:val="21"/>
                <w:lang w:val="en-US" w:eastAsia="zh-CN"/>
              </w:rPr>
            </w:pPr>
            <w:r>
              <w:rPr>
                <w:rFonts w:hint="eastAsia"/>
                <w:color w:val="auto"/>
                <w:szCs w:val="21"/>
                <w:lang w:val="en-US" w:eastAsia="zh-CN"/>
              </w:rPr>
              <w:t>2.5</w:t>
            </w:r>
          </w:p>
        </w:tc>
        <w:tc>
          <w:tcPr>
            <w:tcW w:w="2253" w:type="pct"/>
            <w:noWrap w:val="0"/>
            <w:vAlign w:val="center"/>
          </w:tcPr>
          <w:p>
            <w:pPr>
              <w:widowControl/>
              <w:contextualSpacing/>
              <w:jc w:val="center"/>
              <w:rPr>
                <w:rFonts w:hint="default" w:eastAsia="宋体"/>
                <w:color w:val="auto"/>
                <w:szCs w:val="21"/>
                <w:lang w:val="en-US" w:eastAsia="zh-CN"/>
              </w:rPr>
            </w:pPr>
            <w:r>
              <w:rPr>
                <w:color w:val="auto"/>
                <w:szCs w:val="21"/>
              </w:rPr>
              <w:t>7</w:t>
            </w:r>
            <w:r>
              <w:rPr>
                <w:rFonts w:hint="eastAsia"/>
                <w:color w:val="auto"/>
                <w:szCs w:val="21"/>
                <w:lang w:val="en-US" w:eastAsia="zh-CN"/>
              </w:rPr>
              <w:t>t</w:t>
            </w:r>
            <w:r>
              <w:rPr>
                <w:color w:val="auto"/>
                <w:szCs w:val="21"/>
              </w:rPr>
              <w:t>＜载质量≤20</w:t>
            </w:r>
            <w:r>
              <w:rPr>
                <w:rFonts w:hint="eastAsia"/>
                <w:color w:val="auto"/>
                <w:szCs w:val="21"/>
                <w:lang w:val="en-US" w:eastAsia="zh-CN"/>
              </w:rPr>
              <w:t>t的货车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3" w:type="pct"/>
            <w:vMerge w:val="continue"/>
            <w:noWrap w:val="0"/>
            <w:vAlign w:val="center"/>
          </w:tcPr>
          <w:p>
            <w:pPr>
              <w:widowControl/>
              <w:contextualSpacing/>
              <w:jc w:val="center"/>
              <w:rPr>
                <w:color w:val="auto"/>
                <w:szCs w:val="21"/>
              </w:rPr>
            </w:pPr>
          </w:p>
        </w:tc>
        <w:tc>
          <w:tcPr>
            <w:tcW w:w="846" w:type="pct"/>
            <w:noWrap w:val="0"/>
            <w:vAlign w:val="center"/>
          </w:tcPr>
          <w:p>
            <w:pPr>
              <w:widowControl/>
              <w:contextualSpacing/>
              <w:jc w:val="center"/>
              <w:rPr>
                <w:rFonts w:hint="default" w:eastAsia="宋体"/>
                <w:color w:val="auto"/>
                <w:szCs w:val="21"/>
                <w:lang w:val="en-US" w:eastAsia="zh-CN"/>
              </w:rPr>
            </w:pPr>
            <w:r>
              <w:rPr>
                <w:rFonts w:hint="eastAsia"/>
                <w:color w:val="auto"/>
                <w:szCs w:val="21"/>
                <w:lang w:val="en-US" w:eastAsia="zh-CN"/>
              </w:rPr>
              <w:t>汽车列车</w:t>
            </w:r>
          </w:p>
        </w:tc>
        <w:tc>
          <w:tcPr>
            <w:tcW w:w="866" w:type="pct"/>
            <w:noWrap w:val="0"/>
            <w:vAlign w:val="center"/>
          </w:tcPr>
          <w:p>
            <w:pPr>
              <w:widowControl/>
              <w:contextualSpacing/>
              <w:jc w:val="center"/>
              <w:rPr>
                <w:rFonts w:hint="default" w:eastAsia="宋体"/>
                <w:color w:val="auto"/>
                <w:szCs w:val="21"/>
                <w:lang w:val="en-US" w:eastAsia="zh-CN"/>
              </w:rPr>
            </w:pPr>
            <w:r>
              <w:rPr>
                <w:rFonts w:hint="eastAsia"/>
                <w:color w:val="auto"/>
                <w:szCs w:val="21"/>
                <w:lang w:val="en-US" w:eastAsia="zh-CN"/>
              </w:rPr>
              <w:t>4.0</w:t>
            </w:r>
          </w:p>
        </w:tc>
        <w:tc>
          <w:tcPr>
            <w:tcW w:w="2253" w:type="pct"/>
            <w:noWrap w:val="0"/>
            <w:vAlign w:val="center"/>
          </w:tcPr>
          <w:p>
            <w:pPr>
              <w:widowControl/>
              <w:contextualSpacing/>
              <w:jc w:val="center"/>
              <w:rPr>
                <w:color w:val="auto"/>
                <w:szCs w:val="21"/>
              </w:rPr>
            </w:pPr>
            <w:r>
              <w:rPr>
                <w:color w:val="auto"/>
                <w:szCs w:val="21"/>
              </w:rPr>
              <w:t>载质量＞20</w:t>
            </w:r>
            <w:r>
              <w:rPr>
                <w:rFonts w:hint="eastAsia"/>
                <w:color w:val="auto"/>
                <w:szCs w:val="21"/>
                <w:lang w:val="en-US" w:eastAsia="zh-CN"/>
              </w:rPr>
              <w:t>t的货车</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福泽大道</w:t>
      </w:r>
      <w:r>
        <w:rPr>
          <w:rFonts w:hint="eastAsia" w:ascii="Times New Roman" w:hAnsi="Times New Roman" w:cs="Times New Roman"/>
          <w:sz w:val="24"/>
          <w:szCs w:val="24"/>
          <w:lang w:val="en-US" w:eastAsia="zh-CN"/>
        </w:rPr>
        <w:t>连接</w:t>
      </w:r>
      <w:r>
        <w:rPr>
          <w:rFonts w:hint="default" w:ascii="Times New Roman" w:hAnsi="Times New Roman" w:cs="Times New Roman"/>
          <w:sz w:val="24"/>
          <w:szCs w:val="24"/>
        </w:rPr>
        <w:t>清繁大道</w:t>
      </w:r>
      <w:r>
        <w:rPr>
          <w:rFonts w:hint="eastAsia" w:ascii="Times New Roman" w:hAnsi="Times New Roman" w:cs="Times New Roman"/>
          <w:sz w:val="24"/>
          <w:szCs w:val="24"/>
          <w:lang w:val="en-US" w:eastAsia="zh-CN"/>
        </w:rPr>
        <w:t>和洪宽大道（远期），考虑有</w:t>
      </w:r>
      <w:r>
        <w:rPr>
          <w:color w:val="auto"/>
          <w:sz w:val="24"/>
          <w:szCs w:val="24"/>
        </w:rPr>
        <w:t>载质量＞20</w:t>
      </w:r>
      <w:r>
        <w:rPr>
          <w:rFonts w:hint="eastAsia"/>
          <w:color w:val="auto"/>
          <w:sz w:val="24"/>
          <w:szCs w:val="24"/>
          <w:lang w:val="en-US" w:eastAsia="zh-CN"/>
        </w:rPr>
        <w:t>t的货车上路，环评取</w:t>
      </w:r>
      <w:r>
        <w:rPr>
          <w:color w:val="auto"/>
          <w:kern w:val="0"/>
          <w:sz w:val="24"/>
          <w:szCs w:val="24"/>
        </w:rPr>
        <w:t>各类型车折算系数：小型车=1，中型车=1.5，大型车=</w:t>
      </w:r>
      <w:r>
        <w:rPr>
          <w:rFonts w:hint="default" w:ascii="Times New Roman" w:hAnsi="Times New Roman" w:cs="Times New Roman"/>
          <w:sz w:val="24"/>
          <w:szCs w:val="24"/>
        </w:rPr>
        <w:t>3。</w:t>
      </w:r>
    </w:p>
    <w:p>
      <w:pPr>
        <w:adjustRightInd w:val="0"/>
        <w:snapToGrid w:val="0"/>
        <w:spacing w:line="360" w:lineRule="auto"/>
        <w:ind w:firstLine="480"/>
        <w:rPr>
          <w:rFonts w:hint="eastAsia"/>
          <w:color w:val="auto"/>
          <w:sz w:val="24"/>
        </w:rPr>
      </w:pPr>
      <w:r>
        <w:rPr>
          <w:bCs/>
          <w:color w:val="auto"/>
          <w:kern w:val="0"/>
          <w:sz w:val="24"/>
          <w:szCs w:val="22"/>
        </w:rPr>
        <w:t>根据</w:t>
      </w:r>
      <w:r>
        <w:rPr>
          <w:b/>
          <w:color w:val="auto"/>
          <w:kern w:val="0"/>
          <w:sz w:val="24"/>
          <w:szCs w:val="22"/>
        </w:rPr>
        <w:t>表2</w:t>
      </w:r>
      <w:r>
        <w:rPr>
          <w:rFonts w:hint="eastAsia"/>
          <w:b/>
          <w:color w:val="auto"/>
          <w:kern w:val="0"/>
          <w:sz w:val="24"/>
          <w:szCs w:val="22"/>
        </w:rPr>
        <w:t>.2-2</w:t>
      </w:r>
      <w:r>
        <w:rPr>
          <w:bCs/>
          <w:color w:val="auto"/>
          <w:kern w:val="0"/>
          <w:sz w:val="24"/>
          <w:szCs w:val="22"/>
        </w:rPr>
        <w:t>，本项目</w:t>
      </w:r>
      <w:r>
        <w:rPr>
          <w:rFonts w:hint="eastAsia"/>
          <w:bCs/>
          <w:color w:val="auto"/>
          <w:kern w:val="0"/>
          <w:sz w:val="24"/>
          <w:szCs w:val="22"/>
        </w:rPr>
        <w:t>道路</w:t>
      </w:r>
      <w:r>
        <w:rPr>
          <w:bCs/>
          <w:color w:val="auto"/>
          <w:kern w:val="0"/>
          <w:sz w:val="24"/>
          <w:szCs w:val="22"/>
        </w:rPr>
        <w:t>车型比为小型车∶中型车∶大型车为</w:t>
      </w:r>
      <w:r>
        <w:rPr>
          <w:rFonts w:hint="eastAsia"/>
          <w:bCs/>
          <w:color w:val="auto"/>
          <w:kern w:val="0"/>
          <w:sz w:val="24"/>
          <w:szCs w:val="22"/>
          <w:lang w:val="en-US" w:eastAsia="zh-CN"/>
        </w:rPr>
        <w:t>80</w:t>
      </w:r>
      <w:r>
        <w:rPr>
          <w:rFonts w:hint="eastAsia"/>
          <w:bCs/>
          <w:color w:val="auto"/>
          <w:kern w:val="0"/>
          <w:sz w:val="24"/>
          <w:szCs w:val="22"/>
        </w:rPr>
        <w:t>.0</w:t>
      </w:r>
      <w:r>
        <w:rPr>
          <w:bCs/>
          <w:color w:val="auto"/>
          <w:kern w:val="0"/>
          <w:sz w:val="24"/>
          <w:szCs w:val="22"/>
        </w:rPr>
        <w:t>%∶</w:t>
      </w:r>
      <w:r>
        <w:rPr>
          <w:rFonts w:hint="eastAsia"/>
          <w:bCs/>
          <w:color w:val="auto"/>
          <w:kern w:val="0"/>
          <w:sz w:val="24"/>
          <w:szCs w:val="22"/>
          <w:lang w:val="en-US" w:eastAsia="zh-CN"/>
        </w:rPr>
        <w:t>15</w:t>
      </w:r>
      <w:r>
        <w:rPr>
          <w:bCs/>
          <w:color w:val="auto"/>
          <w:kern w:val="0"/>
          <w:sz w:val="24"/>
          <w:szCs w:val="22"/>
        </w:rPr>
        <w:t>%∶</w:t>
      </w:r>
      <w:r>
        <w:rPr>
          <w:rFonts w:hint="eastAsia"/>
          <w:bCs/>
          <w:color w:val="auto"/>
          <w:kern w:val="0"/>
          <w:sz w:val="24"/>
          <w:szCs w:val="22"/>
          <w:lang w:val="en-US" w:eastAsia="zh-CN"/>
        </w:rPr>
        <w:t>5</w:t>
      </w:r>
      <w:r>
        <w:rPr>
          <w:bCs/>
          <w:color w:val="auto"/>
          <w:kern w:val="0"/>
          <w:sz w:val="24"/>
          <w:szCs w:val="22"/>
        </w:rPr>
        <w:t>%，昼夜比例为</w:t>
      </w:r>
      <w:r>
        <w:rPr>
          <w:rFonts w:hint="eastAsia"/>
          <w:bCs/>
          <w:color w:val="auto"/>
          <w:kern w:val="0"/>
          <w:sz w:val="24"/>
          <w:szCs w:val="22"/>
          <w:lang w:val="en-US" w:eastAsia="zh-CN"/>
        </w:rPr>
        <w:t>85</w:t>
      </w:r>
      <w:r>
        <w:rPr>
          <w:bCs/>
          <w:color w:val="auto"/>
          <w:kern w:val="0"/>
          <w:sz w:val="24"/>
          <w:szCs w:val="22"/>
        </w:rPr>
        <w:t>∶</w:t>
      </w:r>
      <w:r>
        <w:rPr>
          <w:rFonts w:hint="eastAsia"/>
          <w:bCs/>
          <w:color w:val="auto"/>
          <w:kern w:val="0"/>
          <w:sz w:val="24"/>
          <w:szCs w:val="22"/>
          <w:lang w:val="en-US" w:eastAsia="zh-CN"/>
        </w:rPr>
        <w:t>15</w:t>
      </w:r>
      <w:r>
        <w:rPr>
          <w:bCs/>
          <w:color w:val="auto"/>
          <w:kern w:val="0"/>
          <w:sz w:val="24"/>
          <w:szCs w:val="22"/>
        </w:rPr>
        <w:t>；</w:t>
      </w:r>
      <w:r>
        <w:rPr>
          <w:color w:val="auto"/>
          <w:kern w:val="0"/>
          <w:sz w:val="24"/>
          <w:szCs w:val="22"/>
        </w:rPr>
        <w:t>昼间交通量（06：00~22：00）按日平均交通量的</w:t>
      </w:r>
      <w:r>
        <w:rPr>
          <w:rFonts w:hint="eastAsia"/>
          <w:color w:val="auto"/>
          <w:kern w:val="0"/>
          <w:sz w:val="24"/>
          <w:szCs w:val="22"/>
          <w:lang w:val="en-US" w:eastAsia="zh-CN"/>
        </w:rPr>
        <w:t>85</w:t>
      </w:r>
      <w:r>
        <w:rPr>
          <w:color w:val="auto"/>
          <w:kern w:val="0"/>
          <w:sz w:val="24"/>
          <w:szCs w:val="22"/>
        </w:rPr>
        <w:t>%计，夜间交通量（22：00~06：00）按日平均交通量的</w:t>
      </w:r>
      <w:r>
        <w:rPr>
          <w:rFonts w:hint="eastAsia"/>
          <w:color w:val="auto"/>
          <w:kern w:val="0"/>
          <w:sz w:val="24"/>
          <w:szCs w:val="22"/>
          <w:lang w:val="en-US" w:eastAsia="zh-CN"/>
        </w:rPr>
        <w:t>15</w:t>
      </w:r>
      <w:r>
        <w:rPr>
          <w:color w:val="auto"/>
          <w:kern w:val="0"/>
          <w:sz w:val="24"/>
          <w:szCs w:val="22"/>
        </w:rPr>
        <w:t>%计</w:t>
      </w:r>
      <w:r>
        <w:rPr>
          <w:rFonts w:hint="eastAsia"/>
          <w:color w:val="auto"/>
          <w:sz w:val="24"/>
        </w:rPr>
        <w:t>。</w:t>
      </w:r>
    </w:p>
    <w:p>
      <w:pPr>
        <w:pStyle w:val="62"/>
        <w:spacing w:line="360" w:lineRule="auto"/>
        <w:ind w:firstLine="480"/>
        <w:jc w:val="both"/>
        <w:rPr>
          <w:b w:val="0"/>
          <w:bCs/>
          <w:color w:val="auto"/>
          <w:kern w:val="0"/>
          <w:sz w:val="24"/>
          <w:szCs w:val="22"/>
        </w:rPr>
      </w:pPr>
      <w:r>
        <w:rPr>
          <w:b w:val="0"/>
          <w:bCs/>
          <w:color w:val="auto"/>
          <w:kern w:val="0"/>
          <w:sz w:val="24"/>
          <w:szCs w:val="22"/>
        </w:rPr>
        <w:t>根据《环境影响评价技术导则声环境》（HJ2.4-2021），计算出项目近、中、远期昼夜小时</w:t>
      </w:r>
      <w:r>
        <w:rPr>
          <w:rFonts w:hint="eastAsia"/>
          <w:b w:val="0"/>
          <w:bCs/>
          <w:color w:val="auto"/>
          <w:kern w:val="0"/>
          <w:sz w:val="24"/>
          <w:szCs w:val="22"/>
          <w:lang w:val="en-US" w:eastAsia="zh-CN"/>
        </w:rPr>
        <w:t>绝对</w:t>
      </w:r>
      <w:r>
        <w:rPr>
          <w:b w:val="0"/>
          <w:bCs/>
          <w:color w:val="auto"/>
          <w:kern w:val="0"/>
          <w:sz w:val="24"/>
          <w:szCs w:val="22"/>
        </w:rPr>
        <w:t>交通量，其交通量及车辆车型分布详见</w:t>
      </w:r>
      <w:r>
        <w:rPr>
          <w:color w:val="auto"/>
          <w:kern w:val="0"/>
          <w:sz w:val="24"/>
          <w:szCs w:val="22"/>
        </w:rPr>
        <w:t>表2.</w:t>
      </w:r>
      <w:r>
        <w:rPr>
          <w:rFonts w:hint="eastAsia"/>
          <w:color w:val="auto"/>
          <w:kern w:val="0"/>
          <w:sz w:val="24"/>
          <w:szCs w:val="22"/>
        </w:rPr>
        <w:t>2-</w:t>
      </w:r>
      <w:r>
        <w:rPr>
          <w:rFonts w:hint="eastAsia"/>
          <w:color w:val="auto"/>
          <w:kern w:val="0"/>
          <w:sz w:val="24"/>
          <w:szCs w:val="22"/>
          <w:lang w:val="en-US" w:eastAsia="zh-CN"/>
        </w:rPr>
        <w:t>4</w:t>
      </w:r>
      <w:r>
        <w:rPr>
          <w:b w:val="0"/>
          <w:bCs/>
          <w:color w:val="auto"/>
          <w:kern w:val="0"/>
          <w:sz w:val="24"/>
          <w:szCs w:val="22"/>
        </w:rPr>
        <w:t>。</w:t>
      </w:r>
    </w:p>
    <w:p>
      <w:pPr>
        <w:snapToGrid w:val="0"/>
        <w:spacing w:line="360" w:lineRule="auto"/>
        <w:ind w:firstLine="480"/>
        <w:jc w:val="center"/>
        <w:rPr>
          <w:rFonts w:hint="default" w:ascii="Times New Roman" w:hAnsi="Times New Roman" w:cs="Times New Roman"/>
          <w:sz w:val="24"/>
        </w:rPr>
      </w:pPr>
      <w:r>
        <w:rPr>
          <w:rFonts w:hint="default" w:ascii="Times New Roman" w:hAnsi="Times New Roman" w:cs="Times New Roman"/>
          <w:b/>
          <w:bCs/>
          <w:sz w:val="24"/>
        </w:rPr>
        <w:t>表2.2-</w:t>
      </w:r>
      <w:r>
        <w:rPr>
          <w:rFonts w:hint="eastAsia" w:cs="Times New Roman"/>
          <w:b/>
          <w:bCs/>
          <w:sz w:val="24"/>
          <w:lang w:val="en-US" w:eastAsia="zh-CN"/>
        </w:rPr>
        <w:t>4</w:t>
      </w:r>
      <w:r>
        <w:rPr>
          <w:rFonts w:hint="default" w:ascii="Times New Roman" w:hAnsi="Times New Roman" w:cs="Times New Roman"/>
          <w:b/>
          <w:bCs/>
          <w:sz w:val="24"/>
        </w:rPr>
        <w:t xml:space="preserve"> 项目各预测年交通量结果         单位：辆/h</w:t>
      </w:r>
    </w:p>
    <w:tbl>
      <w:tblPr>
        <w:tblStyle w:val="27"/>
        <w:tblW w:w="9135" w:type="dxa"/>
        <w:tblInd w:w="9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80"/>
        <w:gridCol w:w="1080"/>
        <w:gridCol w:w="1215"/>
        <w:gridCol w:w="1110"/>
        <w:gridCol w:w="1215"/>
        <w:gridCol w:w="1110"/>
        <w:gridCol w:w="1215"/>
        <w:gridCol w:w="111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160" w:type="dxa"/>
            <w:gridSpan w:val="2"/>
            <w:vMerge w:val="restart"/>
            <w:tcBorders>
              <w:tl2br w:val="nil"/>
              <w:tr2bl w:val="nil"/>
            </w:tcBorders>
            <w:noWrap w:val="0"/>
            <w:vAlign w:val="center"/>
          </w:tcPr>
          <w:p>
            <w:pPr>
              <w:widowControl/>
              <w:jc w:val="center"/>
              <w:textAlignment w:val="center"/>
              <w:rPr>
                <w:b/>
                <w:bCs/>
                <w:color w:val="auto"/>
                <w:szCs w:val="21"/>
              </w:rPr>
            </w:pPr>
            <w:bookmarkStart w:id="193" w:name="_Toc100489338"/>
            <w:bookmarkStart w:id="194" w:name="_Toc1003"/>
            <w:r>
              <w:rPr>
                <w:b/>
                <w:bCs/>
                <w:color w:val="auto"/>
                <w:kern w:val="0"/>
                <w:szCs w:val="21"/>
                <w:lang w:bidi="ar"/>
              </w:rPr>
              <w:t>车型</w:t>
            </w:r>
          </w:p>
        </w:tc>
        <w:tc>
          <w:tcPr>
            <w:tcW w:w="2325" w:type="dxa"/>
            <w:gridSpan w:val="2"/>
            <w:tcBorders>
              <w:tl2br w:val="nil"/>
              <w:tr2bl w:val="nil"/>
            </w:tcBorders>
            <w:noWrap w:val="0"/>
            <w:vAlign w:val="center"/>
          </w:tcPr>
          <w:p>
            <w:pPr>
              <w:widowControl/>
              <w:jc w:val="center"/>
              <w:textAlignment w:val="center"/>
              <w:rPr>
                <w:b/>
                <w:bCs/>
                <w:color w:val="auto"/>
                <w:szCs w:val="21"/>
              </w:rPr>
            </w:pPr>
            <w:r>
              <w:rPr>
                <w:b/>
                <w:bCs/>
                <w:color w:val="auto"/>
                <w:kern w:val="0"/>
                <w:szCs w:val="21"/>
                <w:lang w:bidi="ar"/>
              </w:rPr>
              <w:t>202</w:t>
            </w:r>
            <w:r>
              <w:rPr>
                <w:rFonts w:hint="eastAsia"/>
                <w:b/>
                <w:bCs/>
                <w:color w:val="auto"/>
                <w:kern w:val="0"/>
                <w:szCs w:val="21"/>
                <w:lang w:val="en-US" w:eastAsia="zh-CN" w:bidi="ar"/>
              </w:rPr>
              <w:t>6</w:t>
            </w:r>
            <w:r>
              <w:rPr>
                <w:b/>
                <w:bCs/>
                <w:color w:val="auto"/>
                <w:kern w:val="0"/>
                <w:szCs w:val="21"/>
                <w:lang w:bidi="ar"/>
              </w:rPr>
              <w:t>年</w:t>
            </w:r>
          </w:p>
        </w:tc>
        <w:tc>
          <w:tcPr>
            <w:tcW w:w="2325" w:type="dxa"/>
            <w:gridSpan w:val="2"/>
            <w:tcBorders>
              <w:tl2br w:val="nil"/>
              <w:tr2bl w:val="nil"/>
            </w:tcBorders>
            <w:noWrap w:val="0"/>
            <w:vAlign w:val="center"/>
          </w:tcPr>
          <w:p>
            <w:pPr>
              <w:widowControl/>
              <w:jc w:val="center"/>
              <w:textAlignment w:val="center"/>
              <w:rPr>
                <w:b/>
                <w:bCs/>
                <w:color w:val="auto"/>
                <w:szCs w:val="21"/>
              </w:rPr>
            </w:pPr>
            <w:r>
              <w:rPr>
                <w:b/>
                <w:bCs/>
                <w:color w:val="auto"/>
                <w:kern w:val="0"/>
                <w:szCs w:val="21"/>
                <w:lang w:bidi="ar"/>
              </w:rPr>
              <w:t>203</w:t>
            </w:r>
            <w:r>
              <w:rPr>
                <w:rFonts w:hint="eastAsia"/>
                <w:b/>
                <w:bCs/>
                <w:color w:val="auto"/>
                <w:kern w:val="0"/>
                <w:szCs w:val="21"/>
                <w:lang w:val="en-US" w:eastAsia="zh-CN" w:bidi="ar"/>
              </w:rPr>
              <w:t>2</w:t>
            </w:r>
            <w:r>
              <w:rPr>
                <w:b/>
                <w:bCs/>
                <w:color w:val="auto"/>
                <w:kern w:val="0"/>
                <w:szCs w:val="21"/>
                <w:lang w:bidi="ar"/>
              </w:rPr>
              <w:t>年</w:t>
            </w:r>
          </w:p>
        </w:tc>
        <w:tc>
          <w:tcPr>
            <w:tcW w:w="2325" w:type="dxa"/>
            <w:gridSpan w:val="2"/>
            <w:tcBorders>
              <w:tl2br w:val="nil"/>
              <w:tr2bl w:val="nil"/>
            </w:tcBorders>
            <w:noWrap w:val="0"/>
            <w:vAlign w:val="center"/>
          </w:tcPr>
          <w:p>
            <w:pPr>
              <w:widowControl/>
              <w:jc w:val="center"/>
              <w:textAlignment w:val="center"/>
              <w:rPr>
                <w:b/>
                <w:bCs/>
                <w:color w:val="auto"/>
                <w:szCs w:val="21"/>
              </w:rPr>
            </w:pPr>
            <w:r>
              <w:rPr>
                <w:b/>
                <w:bCs/>
                <w:color w:val="auto"/>
                <w:kern w:val="0"/>
                <w:szCs w:val="21"/>
                <w:lang w:bidi="ar"/>
              </w:rPr>
              <w:t>20</w:t>
            </w:r>
            <w:r>
              <w:rPr>
                <w:rFonts w:hint="eastAsia"/>
                <w:b/>
                <w:bCs/>
                <w:color w:val="auto"/>
                <w:kern w:val="0"/>
                <w:szCs w:val="21"/>
                <w:lang w:val="en-US" w:eastAsia="zh-CN" w:bidi="ar"/>
              </w:rPr>
              <w:t>40</w:t>
            </w:r>
            <w:r>
              <w:rPr>
                <w:b/>
                <w:bCs/>
                <w:color w:val="auto"/>
                <w:kern w:val="0"/>
                <w:szCs w:val="21"/>
                <w:lang w:bidi="ar"/>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160" w:type="dxa"/>
            <w:gridSpan w:val="2"/>
            <w:vMerge w:val="continue"/>
            <w:tcBorders>
              <w:tl2br w:val="nil"/>
              <w:tr2bl w:val="nil"/>
            </w:tcBorders>
            <w:noWrap w:val="0"/>
            <w:vAlign w:val="center"/>
          </w:tcPr>
          <w:p>
            <w:pPr>
              <w:jc w:val="center"/>
              <w:rPr>
                <w:b/>
                <w:bCs/>
                <w:color w:val="auto"/>
                <w:szCs w:val="21"/>
              </w:rPr>
            </w:pPr>
          </w:p>
        </w:tc>
        <w:tc>
          <w:tcPr>
            <w:tcW w:w="1215" w:type="dxa"/>
            <w:tcBorders>
              <w:tl2br w:val="nil"/>
              <w:tr2bl w:val="nil"/>
            </w:tcBorders>
            <w:noWrap w:val="0"/>
            <w:vAlign w:val="center"/>
          </w:tcPr>
          <w:p>
            <w:pPr>
              <w:widowControl/>
              <w:jc w:val="center"/>
              <w:textAlignment w:val="center"/>
              <w:rPr>
                <w:b/>
                <w:bCs/>
                <w:color w:val="auto"/>
                <w:szCs w:val="21"/>
              </w:rPr>
            </w:pPr>
            <w:r>
              <w:rPr>
                <w:b/>
                <w:bCs/>
                <w:color w:val="auto"/>
                <w:kern w:val="0"/>
                <w:szCs w:val="21"/>
                <w:lang w:bidi="ar"/>
              </w:rPr>
              <w:t>昼间</w:t>
            </w:r>
          </w:p>
        </w:tc>
        <w:tc>
          <w:tcPr>
            <w:tcW w:w="1110" w:type="dxa"/>
            <w:tcBorders>
              <w:tl2br w:val="nil"/>
              <w:tr2bl w:val="nil"/>
            </w:tcBorders>
            <w:noWrap w:val="0"/>
            <w:vAlign w:val="center"/>
          </w:tcPr>
          <w:p>
            <w:pPr>
              <w:widowControl/>
              <w:jc w:val="center"/>
              <w:textAlignment w:val="center"/>
              <w:rPr>
                <w:b/>
                <w:bCs/>
                <w:color w:val="auto"/>
                <w:szCs w:val="21"/>
              </w:rPr>
            </w:pPr>
            <w:r>
              <w:rPr>
                <w:b/>
                <w:bCs/>
                <w:color w:val="auto"/>
                <w:kern w:val="0"/>
                <w:szCs w:val="21"/>
                <w:lang w:bidi="ar"/>
              </w:rPr>
              <w:t>夜间</w:t>
            </w:r>
          </w:p>
        </w:tc>
        <w:tc>
          <w:tcPr>
            <w:tcW w:w="1215" w:type="dxa"/>
            <w:tcBorders>
              <w:tl2br w:val="nil"/>
              <w:tr2bl w:val="nil"/>
            </w:tcBorders>
            <w:noWrap w:val="0"/>
            <w:vAlign w:val="center"/>
          </w:tcPr>
          <w:p>
            <w:pPr>
              <w:widowControl/>
              <w:jc w:val="center"/>
              <w:textAlignment w:val="center"/>
              <w:rPr>
                <w:b/>
                <w:bCs/>
                <w:color w:val="auto"/>
                <w:szCs w:val="21"/>
              </w:rPr>
            </w:pPr>
            <w:r>
              <w:rPr>
                <w:b/>
                <w:bCs/>
                <w:color w:val="auto"/>
                <w:kern w:val="0"/>
                <w:szCs w:val="21"/>
                <w:lang w:bidi="ar"/>
              </w:rPr>
              <w:t>昼间</w:t>
            </w:r>
          </w:p>
        </w:tc>
        <w:tc>
          <w:tcPr>
            <w:tcW w:w="1110" w:type="dxa"/>
            <w:tcBorders>
              <w:tl2br w:val="nil"/>
              <w:tr2bl w:val="nil"/>
            </w:tcBorders>
            <w:noWrap w:val="0"/>
            <w:vAlign w:val="center"/>
          </w:tcPr>
          <w:p>
            <w:pPr>
              <w:widowControl/>
              <w:jc w:val="center"/>
              <w:textAlignment w:val="center"/>
              <w:rPr>
                <w:b/>
                <w:bCs/>
                <w:color w:val="auto"/>
                <w:szCs w:val="21"/>
              </w:rPr>
            </w:pPr>
            <w:r>
              <w:rPr>
                <w:b/>
                <w:bCs/>
                <w:color w:val="auto"/>
                <w:kern w:val="0"/>
                <w:szCs w:val="21"/>
                <w:lang w:bidi="ar"/>
              </w:rPr>
              <w:t>夜间</w:t>
            </w:r>
          </w:p>
        </w:tc>
        <w:tc>
          <w:tcPr>
            <w:tcW w:w="1215" w:type="dxa"/>
            <w:tcBorders>
              <w:tl2br w:val="nil"/>
              <w:tr2bl w:val="nil"/>
            </w:tcBorders>
            <w:noWrap w:val="0"/>
            <w:vAlign w:val="center"/>
          </w:tcPr>
          <w:p>
            <w:pPr>
              <w:widowControl/>
              <w:jc w:val="center"/>
              <w:textAlignment w:val="center"/>
              <w:rPr>
                <w:b/>
                <w:bCs/>
                <w:color w:val="auto"/>
                <w:szCs w:val="21"/>
              </w:rPr>
            </w:pPr>
            <w:r>
              <w:rPr>
                <w:b/>
                <w:bCs/>
                <w:color w:val="auto"/>
                <w:kern w:val="0"/>
                <w:szCs w:val="21"/>
                <w:lang w:bidi="ar"/>
              </w:rPr>
              <w:t>昼间</w:t>
            </w:r>
          </w:p>
        </w:tc>
        <w:tc>
          <w:tcPr>
            <w:tcW w:w="1110" w:type="dxa"/>
            <w:tcBorders>
              <w:tl2br w:val="nil"/>
              <w:tr2bl w:val="nil"/>
            </w:tcBorders>
            <w:noWrap w:val="0"/>
            <w:vAlign w:val="center"/>
          </w:tcPr>
          <w:p>
            <w:pPr>
              <w:widowControl/>
              <w:jc w:val="center"/>
              <w:textAlignment w:val="center"/>
              <w:rPr>
                <w:b/>
                <w:bCs/>
                <w:color w:val="auto"/>
                <w:szCs w:val="21"/>
              </w:rPr>
            </w:pPr>
            <w:r>
              <w:rPr>
                <w:b/>
                <w:bCs/>
                <w:color w:val="auto"/>
                <w:kern w:val="0"/>
                <w:szCs w:val="21"/>
                <w:lang w:bidi="ar"/>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0" w:type="dxa"/>
            <w:vMerge w:val="restart"/>
            <w:tcBorders>
              <w:tl2br w:val="nil"/>
              <w:tr2bl w:val="nil"/>
            </w:tcBorders>
            <w:noWrap w:val="0"/>
            <w:vAlign w:val="center"/>
          </w:tcPr>
          <w:p>
            <w:pPr>
              <w:widowControl/>
              <w:jc w:val="center"/>
              <w:textAlignment w:val="center"/>
              <w:rPr>
                <w:color w:val="auto"/>
                <w:szCs w:val="21"/>
              </w:rPr>
            </w:pPr>
            <w:r>
              <w:rPr>
                <w:rFonts w:hint="default" w:ascii="Times New Roman" w:hAnsi="Times New Roman" w:cs="Times New Roman"/>
                <w:sz w:val="21"/>
                <w:szCs w:val="21"/>
              </w:rPr>
              <w:t>福泽大道</w:t>
            </w:r>
          </w:p>
        </w:tc>
        <w:tc>
          <w:tcPr>
            <w:tcW w:w="1080" w:type="dxa"/>
            <w:tcBorders>
              <w:tl2br w:val="nil"/>
              <w:tr2bl w:val="nil"/>
            </w:tcBorders>
            <w:noWrap w:val="0"/>
            <w:vAlign w:val="center"/>
          </w:tcPr>
          <w:p>
            <w:pPr>
              <w:widowControl/>
              <w:jc w:val="center"/>
              <w:textAlignment w:val="center"/>
              <w:rPr>
                <w:color w:val="auto"/>
                <w:szCs w:val="21"/>
              </w:rPr>
            </w:pPr>
            <w:r>
              <w:rPr>
                <w:color w:val="auto"/>
                <w:kern w:val="0"/>
                <w:szCs w:val="21"/>
                <w:lang w:bidi="ar"/>
              </w:rPr>
              <w:t>小型车</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437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154 </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558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197 </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687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243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0" w:type="dxa"/>
            <w:vMerge w:val="continue"/>
            <w:tcBorders>
              <w:tl2br w:val="nil"/>
              <w:tr2bl w:val="nil"/>
            </w:tcBorders>
            <w:noWrap w:val="0"/>
            <w:vAlign w:val="center"/>
          </w:tcPr>
          <w:p>
            <w:pPr>
              <w:jc w:val="center"/>
              <w:rPr>
                <w:color w:val="auto"/>
                <w:szCs w:val="21"/>
              </w:rPr>
            </w:pPr>
          </w:p>
        </w:tc>
        <w:tc>
          <w:tcPr>
            <w:tcW w:w="1080" w:type="dxa"/>
            <w:tcBorders>
              <w:tl2br w:val="nil"/>
              <w:tr2bl w:val="nil"/>
            </w:tcBorders>
            <w:noWrap w:val="0"/>
            <w:vAlign w:val="center"/>
          </w:tcPr>
          <w:p>
            <w:pPr>
              <w:widowControl/>
              <w:jc w:val="center"/>
              <w:textAlignment w:val="center"/>
              <w:rPr>
                <w:color w:val="auto"/>
                <w:szCs w:val="21"/>
              </w:rPr>
            </w:pPr>
            <w:r>
              <w:rPr>
                <w:color w:val="auto"/>
                <w:kern w:val="0"/>
                <w:szCs w:val="21"/>
                <w:lang w:bidi="ar"/>
              </w:rPr>
              <w:t>中型车</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19 </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70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25 </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86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0" w:type="dxa"/>
            <w:vMerge w:val="continue"/>
            <w:tcBorders>
              <w:tl2br w:val="nil"/>
              <w:tr2bl w:val="nil"/>
            </w:tcBorders>
            <w:noWrap w:val="0"/>
            <w:vAlign w:val="center"/>
          </w:tcPr>
          <w:p>
            <w:pPr>
              <w:jc w:val="center"/>
              <w:rPr>
                <w:color w:val="auto"/>
                <w:szCs w:val="21"/>
              </w:rPr>
            </w:pPr>
          </w:p>
        </w:tc>
        <w:tc>
          <w:tcPr>
            <w:tcW w:w="1080" w:type="dxa"/>
            <w:tcBorders>
              <w:tl2br w:val="nil"/>
              <w:tr2bl w:val="nil"/>
            </w:tcBorders>
            <w:noWrap w:val="0"/>
            <w:vAlign w:val="center"/>
          </w:tcPr>
          <w:p>
            <w:pPr>
              <w:widowControl/>
              <w:jc w:val="center"/>
              <w:textAlignment w:val="center"/>
              <w:rPr>
                <w:color w:val="auto"/>
                <w:szCs w:val="21"/>
              </w:rPr>
            </w:pPr>
            <w:r>
              <w:rPr>
                <w:color w:val="auto"/>
                <w:kern w:val="0"/>
                <w:szCs w:val="21"/>
                <w:lang w:bidi="ar"/>
              </w:rPr>
              <w:t>大型车</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 </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12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 </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80" w:type="dxa"/>
            <w:vMerge w:val="continue"/>
            <w:tcBorders>
              <w:tl2br w:val="nil"/>
              <w:tr2bl w:val="nil"/>
            </w:tcBorders>
            <w:noWrap w:val="0"/>
            <w:vAlign w:val="center"/>
          </w:tcPr>
          <w:p>
            <w:pPr>
              <w:jc w:val="center"/>
              <w:rPr>
                <w:color w:val="auto"/>
                <w:szCs w:val="21"/>
              </w:rPr>
            </w:pPr>
          </w:p>
        </w:tc>
        <w:tc>
          <w:tcPr>
            <w:tcW w:w="1080" w:type="dxa"/>
            <w:tcBorders>
              <w:tl2br w:val="nil"/>
              <w:tr2bl w:val="nil"/>
            </w:tcBorders>
            <w:noWrap w:val="0"/>
            <w:vAlign w:val="center"/>
          </w:tcPr>
          <w:p>
            <w:pPr>
              <w:widowControl/>
              <w:jc w:val="center"/>
              <w:textAlignment w:val="center"/>
              <w:rPr>
                <w:color w:val="auto"/>
                <w:szCs w:val="21"/>
              </w:rPr>
            </w:pPr>
            <w:r>
              <w:rPr>
                <w:color w:val="auto"/>
                <w:kern w:val="0"/>
                <w:szCs w:val="21"/>
                <w:lang w:bidi="ar"/>
              </w:rPr>
              <w:t>合计</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501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177 </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639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226 </w:t>
            </w:r>
          </w:p>
        </w:tc>
        <w:tc>
          <w:tcPr>
            <w:tcW w:w="1215"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787 </w:t>
            </w:r>
          </w:p>
        </w:tc>
        <w:tc>
          <w:tcPr>
            <w:tcW w:w="1110" w:type="dxa"/>
            <w:tcBorders>
              <w:tl2br w:val="nil"/>
              <w:tr2bl w:val="nil"/>
            </w:tcBorders>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278 </w:t>
            </w:r>
          </w:p>
        </w:tc>
      </w:tr>
    </w:tbl>
    <w:p>
      <w:pPr>
        <w:adjustRightInd w:val="0"/>
        <w:snapToGrid w:val="0"/>
        <w:spacing w:before="120" w:beforeLines="50" w:after="120" w:afterLines="50" w:line="360" w:lineRule="auto"/>
        <w:outlineLvl w:val="1"/>
        <w:rPr>
          <w:rFonts w:hint="default" w:ascii="Times New Roman" w:hAnsi="Times New Roman" w:cs="Times New Roman"/>
          <w:b/>
          <w:bCs/>
          <w:snapToGrid w:val="0"/>
          <w:kern w:val="0"/>
          <w:sz w:val="30"/>
          <w:szCs w:val="30"/>
        </w:rPr>
      </w:pPr>
      <w:bookmarkStart w:id="195" w:name="_Toc9988"/>
      <w:r>
        <w:rPr>
          <w:rFonts w:hint="default" w:ascii="Times New Roman" w:hAnsi="Times New Roman" w:cs="Times New Roman"/>
          <w:b/>
          <w:bCs/>
          <w:snapToGrid w:val="0"/>
          <w:kern w:val="0"/>
          <w:sz w:val="30"/>
          <w:szCs w:val="30"/>
        </w:rPr>
        <w:t>2.3 工程分析</w:t>
      </w:r>
      <w:bookmarkEnd w:id="193"/>
      <w:bookmarkEnd w:id="194"/>
      <w:bookmarkEnd w:id="195"/>
    </w:p>
    <w:p>
      <w:pPr>
        <w:spacing w:line="360" w:lineRule="auto"/>
        <w:outlineLvl w:val="2"/>
        <w:rPr>
          <w:rFonts w:hint="default" w:ascii="Times New Roman" w:hAnsi="Times New Roman" w:cs="Times New Roman"/>
          <w:b/>
          <w:bCs/>
          <w:sz w:val="28"/>
          <w:szCs w:val="28"/>
        </w:rPr>
      </w:pPr>
      <w:r>
        <w:rPr>
          <w:rFonts w:hint="default" w:ascii="Times New Roman" w:hAnsi="Times New Roman" w:cs="Times New Roman"/>
          <w:b/>
          <w:bCs/>
          <w:sz w:val="28"/>
          <w:szCs w:val="28"/>
        </w:rPr>
        <w:t>2.3.1 施工期噪声污染源分析</w:t>
      </w:r>
    </w:p>
    <w:p>
      <w:pPr>
        <w:adjustRightInd w:val="0"/>
        <w:snapToGrid w:val="0"/>
        <w:spacing w:line="360" w:lineRule="auto"/>
        <w:ind w:firstLine="480"/>
        <w:rPr>
          <w:color w:val="auto"/>
          <w:sz w:val="24"/>
        </w:rPr>
      </w:pPr>
      <w:r>
        <w:rPr>
          <w:color w:val="auto"/>
          <w:sz w:val="24"/>
        </w:rPr>
        <w:t>施工期的主要噪声源是施工机械作业时产生的噪声，这类噪声级一般在85dB以上，</w:t>
      </w:r>
      <w:r>
        <w:rPr>
          <w:rFonts w:hint="eastAsia"/>
          <w:color w:val="auto"/>
          <w:sz w:val="24"/>
          <w:lang w:val="en-US" w:eastAsia="zh-CN"/>
        </w:rPr>
        <w:t>参考</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环境影响评价技术导则</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公路建设项目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HJ 1358-2024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附录D</w:t>
      </w:r>
      <w:r>
        <w:rPr>
          <w:rFonts w:hint="eastAsia" w:ascii="Times New Roman" w:hAnsi="Times New Roman" w:eastAsia="宋体" w:cs="Times New Roman"/>
          <w:color w:val="auto"/>
          <w:sz w:val="24"/>
          <w:lang w:eastAsia="zh-CN"/>
        </w:rPr>
        <w:t>，</w:t>
      </w:r>
      <w:r>
        <w:rPr>
          <w:color w:val="auto"/>
          <w:sz w:val="24"/>
        </w:rPr>
        <w:t>施工现场主要噪声源为机械噪声。</w:t>
      </w:r>
    </w:p>
    <w:p>
      <w:pPr>
        <w:adjustRightInd w:val="0"/>
        <w:snapToGrid w:val="0"/>
        <w:spacing w:line="360" w:lineRule="auto"/>
        <w:jc w:val="center"/>
        <w:rPr>
          <w:rFonts w:eastAsia="黑体"/>
          <w:color w:val="auto"/>
          <w:szCs w:val="21"/>
        </w:rPr>
      </w:pPr>
      <w:r>
        <w:rPr>
          <w:rFonts w:hint="eastAsia"/>
          <w:b/>
          <w:bCs/>
          <w:color w:val="auto"/>
          <w:sz w:val="24"/>
          <w:lang w:val="en-US" w:eastAsia="zh-CN"/>
        </w:rPr>
        <w:t xml:space="preserve">                </w:t>
      </w:r>
      <w:r>
        <w:rPr>
          <w:b/>
          <w:bCs/>
          <w:color w:val="auto"/>
          <w:sz w:val="24"/>
        </w:rPr>
        <w:t>表2.3-1 道路工程施工机械噪声值       单位：dB（A）</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2333"/>
        <w:gridCol w:w="2316"/>
        <w:gridCol w:w="23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施工设备名称</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 xml:space="preserve">距声源 </w:t>
            </w:r>
            <w:r>
              <w:rPr>
                <w:rFonts w:hint="default" w:ascii="Times New Roman" w:hAnsi="Times New Roman" w:eastAsia="TimesNewRomanPS-BoldMT" w:cs="Times New Roman"/>
                <w:b w:val="0"/>
                <w:bCs w:val="0"/>
                <w:i w:val="0"/>
                <w:iCs w:val="0"/>
                <w:color w:val="auto"/>
                <w:kern w:val="0"/>
                <w:sz w:val="21"/>
                <w:szCs w:val="21"/>
                <w:lang w:val="en-US" w:eastAsia="zh-CN" w:bidi="ar"/>
              </w:rPr>
              <w:t>5m</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施工设备名称</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 xml:space="preserve">距声源 </w:t>
            </w:r>
            <w:r>
              <w:rPr>
                <w:rFonts w:hint="default" w:ascii="Times New Roman" w:hAnsi="Times New Roman" w:eastAsia="TimesNewRomanPS-BoldMT" w:cs="Times New Roman"/>
                <w:b w:val="0"/>
                <w:bCs w:val="0"/>
                <w:i w:val="0"/>
                <w:iCs w:val="0"/>
                <w:color w:val="auto"/>
                <w:kern w:val="0"/>
                <w:sz w:val="21"/>
                <w:szCs w:val="21"/>
                <w:lang w:val="en-US" w:eastAsia="zh-CN" w:bidi="ar"/>
              </w:rPr>
              <w:t>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液压挖掘机</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82~90</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振动夯锤</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92~100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电动挖掘机</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80~86</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打桩机</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100~110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轮式装载机</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90~95</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静力压桩机</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70~75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推土机</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83~88</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风镐</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88~92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移动式发电机</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95~102</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混凝土输送泵</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88~95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各类压路机</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80~90</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商砼搅拌车</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85~90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重型运输车</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82~90</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混凝土震捣器</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80~88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木工电锯</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93~99</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云石机、角磨机</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90~96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电锤</w:t>
            </w:r>
          </w:p>
        </w:tc>
        <w:tc>
          <w:tcPr>
            <w:tcW w:w="1256"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100~105</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Fonts w:hint="default" w:ascii="Times New Roman" w:hAnsi="Times New Roman" w:eastAsia="宋体" w:cs="Times New Roman"/>
                <w:b w:val="0"/>
                <w:bCs w:val="0"/>
                <w:i w:val="0"/>
                <w:iCs w:val="0"/>
                <w:color w:val="auto"/>
                <w:kern w:val="0"/>
                <w:sz w:val="21"/>
                <w:szCs w:val="21"/>
                <w:lang w:val="en-US" w:eastAsia="zh-CN" w:bidi="ar"/>
              </w:rPr>
              <w:t>空压机</w:t>
            </w:r>
          </w:p>
        </w:tc>
        <w:tc>
          <w:tcPr>
            <w:tcW w:w="1247"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val="0"/>
                <w:color w:val="auto"/>
                <w:sz w:val="21"/>
                <w:szCs w:val="21"/>
              </w:rPr>
            </w:pPr>
            <w:r>
              <w:rPr>
                <w:rStyle w:val="89"/>
                <w:rFonts w:hint="default" w:ascii="Times New Roman" w:hAnsi="Times New Roman" w:cs="Times New Roman"/>
                <w:b w:val="0"/>
                <w:bCs w:val="0"/>
                <w:color w:val="auto"/>
                <w:sz w:val="21"/>
                <w:szCs w:val="21"/>
                <w:lang w:val="en-US" w:eastAsia="zh-CN" w:bidi="ar"/>
              </w:rPr>
              <w:t>88~92</w:t>
            </w:r>
          </w:p>
        </w:tc>
      </w:tr>
    </w:tbl>
    <w:p>
      <w:pPr>
        <w:keepNext/>
        <w:keepLines/>
        <w:spacing w:before="120" w:beforeLines="50" w:line="360" w:lineRule="auto"/>
        <w:outlineLvl w:val="2"/>
        <w:rPr>
          <w:rFonts w:hint="default" w:ascii="Times New Roman" w:hAnsi="Times New Roman" w:cs="Times New Roman"/>
          <w:b/>
          <w:bCs/>
          <w:sz w:val="28"/>
          <w:szCs w:val="28"/>
        </w:rPr>
      </w:pPr>
      <w:r>
        <w:rPr>
          <w:rFonts w:hint="default" w:ascii="Times New Roman" w:hAnsi="Times New Roman" w:cs="Times New Roman"/>
          <w:b/>
          <w:bCs/>
          <w:sz w:val="28"/>
          <w:szCs w:val="28"/>
        </w:rPr>
        <w:t>2.3.2 运营期噪声源分析</w:t>
      </w:r>
    </w:p>
    <w:p>
      <w:pPr>
        <w:spacing w:line="360" w:lineRule="auto"/>
        <w:ind w:firstLine="480"/>
        <w:rPr>
          <w:rFonts w:ascii="Times New Roman" w:hAnsi="Times New Roman" w:eastAsia="宋体" w:cs="Times New Roman"/>
          <w:color w:val="auto"/>
          <w:sz w:val="24"/>
        </w:rPr>
      </w:pPr>
      <w:r>
        <w:rPr>
          <w:rFonts w:ascii="Times New Roman" w:hAnsi="Times New Roman" w:eastAsia="宋体" w:cs="Times New Roman"/>
          <w:color w:val="auto"/>
          <w:sz w:val="24"/>
        </w:rPr>
        <w:t>道路投入营运后，在道路上行驶的机动车辆的噪声源为非稳态源，车辆行驶时其发动机、冷却系统以及传动系统等部件均会产生噪声；行驶中引起的气流湍动、排气系统、轮胎与路面的摩擦等也会产生噪声；由于道路路面平整度等原因而使行驶中的汽车产生整车噪声。交通噪声的大小与车速、车流量、机动车类型、道路结构、道路表面覆盖物、道路两侧建筑物、地形等多因素有关。</w:t>
      </w:r>
    </w:p>
    <w:p>
      <w:pPr>
        <w:spacing w:line="360" w:lineRule="auto"/>
        <w:ind w:firstLine="480"/>
        <w:rPr>
          <w:color w:val="auto"/>
          <w:sz w:val="24"/>
        </w:rPr>
      </w:pPr>
      <w:r>
        <w:rPr>
          <w:rFonts w:ascii="Times New Roman" w:hAnsi="Times New Roman" w:eastAsia="宋体" w:cs="Times New Roman"/>
          <w:color w:val="auto"/>
          <w:sz w:val="24"/>
        </w:rPr>
        <w:t>（1）车速</w:t>
      </w:r>
    </w:p>
    <w:p>
      <w:pPr>
        <w:spacing w:line="360" w:lineRule="auto"/>
        <w:ind w:firstLine="480"/>
        <w:rPr>
          <w:rFonts w:hint="eastAsia"/>
          <w:snapToGrid w:val="0"/>
          <w:color w:val="auto"/>
          <w:kern w:val="0"/>
          <w:sz w:val="24"/>
        </w:rPr>
      </w:pPr>
      <w:r>
        <w:rPr>
          <w:rFonts w:hint="eastAsia"/>
          <w:snapToGrid w:val="0"/>
          <w:color w:val="auto"/>
          <w:kern w:val="0"/>
          <w:sz w:val="24"/>
          <w:lang w:val="en-US" w:eastAsia="zh-CN"/>
        </w:rPr>
        <w:t>根据项目工可计算结果，项目道路远期（2040年）服务水平V/C值为0.61，</w:t>
      </w:r>
      <w:r>
        <w:rPr>
          <w:color w:val="auto"/>
          <w:sz w:val="24"/>
        </w:rPr>
        <w:t>根据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环境影响评价技术导则</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rPr>
        <w:t>公路建设项目</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HJ 1358-2024</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附录C，可采用下式计算</w:t>
      </w:r>
      <w:r>
        <w:rPr>
          <w:rFonts w:hint="eastAsia"/>
          <w:snapToGrid w:val="0"/>
          <w:color w:val="auto"/>
          <w:kern w:val="0"/>
          <w:sz w:val="24"/>
        </w:rPr>
        <w:t>各车型</w:t>
      </w:r>
      <w:r>
        <w:rPr>
          <w:rFonts w:hint="eastAsia" w:ascii="Times New Roman" w:hAnsi="Times New Roman" w:eastAsia="宋体" w:cs="Times New Roman"/>
          <w:color w:val="auto"/>
          <w:sz w:val="24"/>
          <w:lang w:val="en-US" w:eastAsia="zh-CN"/>
        </w:rPr>
        <w:t>平均车速</w:t>
      </w:r>
      <w:r>
        <w:rPr>
          <w:rFonts w:hint="eastAsia"/>
          <w:snapToGrid w:val="0"/>
          <w:color w:val="auto"/>
          <w:kern w:val="0"/>
          <w:sz w:val="24"/>
        </w:rPr>
        <w:t>：</w:t>
      </w:r>
    </w:p>
    <w:p>
      <w:pPr>
        <w:spacing w:line="360" w:lineRule="auto"/>
        <w:ind w:firstLine="480"/>
        <w:rPr>
          <w:color w:val="auto"/>
        </w:rPr>
      </w:pPr>
      <w:r>
        <w:rPr>
          <w:color w:val="auto"/>
        </w:rPr>
        <w:drawing>
          <wp:inline distT="0" distB="0" distL="114300" distR="114300">
            <wp:extent cx="2774315" cy="715645"/>
            <wp:effectExtent l="0" t="0" r="6985" b="8255"/>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pic:cNvPicPr>
                      <a:picLocks noChangeAspect="1"/>
                    </pic:cNvPicPr>
                  </pic:nvPicPr>
                  <pic:blipFill>
                    <a:blip r:embed="rId27"/>
                    <a:stretch>
                      <a:fillRect/>
                    </a:stretch>
                  </pic:blipFill>
                  <pic:spPr>
                    <a:xfrm>
                      <a:off x="0" y="0"/>
                      <a:ext cx="2774315" cy="715645"/>
                    </a:xfrm>
                    <a:prstGeom prst="rect">
                      <a:avLst/>
                    </a:prstGeom>
                    <a:noFill/>
                    <a:ln>
                      <a:noFill/>
                    </a:ln>
                  </pic:spPr>
                </pic:pic>
              </a:graphicData>
            </a:graphic>
          </wp:inline>
        </w:drawing>
      </w:r>
    </w:p>
    <w:p>
      <w:pPr>
        <w:pStyle w:val="25"/>
        <w:rPr>
          <w:color w:val="auto"/>
        </w:rPr>
      </w:pPr>
      <w:r>
        <w:rPr>
          <w:color w:val="auto"/>
        </w:rPr>
        <w:drawing>
          <wp:inline distT="0" distB="0" distL="114300" distR="114300">
            <wp:extent cx="2367280" cy="306070"/>
            <wp:effectExtent l="0" t="0" r="7620" b="11430"/>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28"/>
                    <a:stretch>
                      <a:fillRect/>
                    </a:stretch>
                  </pic:blipFill>
                  <pic:spPr>
                    <a:xfrm>
                      <a:off x="0" y="0"/>
                      <a:ext cx="2367280" cy="306070"/>
                    </a:xfrm>
                    <a:prstGeom prst="rect">
                      <a:avLst/>
                    </a:prstGeom>
                    <a:noFill/>
                    <a:ln>
                      <a:noFill/>
                    </a:ln>
                  </pic:spPr>
                </pic:pic>
              </a:graphicData>
            </a:graphic>
          </wp:inline>
        </w:drawing>
      </w:r>
    </w:p>
    <w:p>
      <w:pPr>
        <w:spacing w:line="360" w:lineRule="auto"/>
        <w:ind w:firstLine="480"/>
        <w:rPr>
          <w:rFonts w:hint="eastAsia"/>
          <w:snapToGrid w:val="0"/>
          <w:color w:val="auto"/>
          <w:kern w:val="0"/>
          <w:sz w:val="24"/>
        </w:rPr>
      </w:pPr>
      <w:r>
        <w:rPr>
          <w:rFonts w:hint="eastAsia"/>
          <w:snapToGrid w:val="0"/>
          <w:color w:val="auto"/>
          <w:kern w:val="0"/>
          <w:sz w:val="24"/>
        </w:rPr>
        <w:t>v</w:t>
      </w:r>
      <w:r>
        <w:rPr>
          <w:rFonts w:hint="eastAsia"/>
          <w:snapToGrid w:val="0"/>
          <w:color w:val="auto"/>
          <w:kern w:val="0"/>
          <w:sz w:val="24"/>
          <w:vertAlign w:val="subscript"/>
        </w:rPr>
        <w:t>i</w:t>
      </w:r>
      <w:r>
        <w:rPr>
          <w:rFonts w:hint="eastAsia"/>
          <w:snapToGrid w:val="0"/>
          <w:color w:val="auto"/>
          <w:kern w:val="0"/>
          <w:sz w:val="24"/>
        </w:rPr>
        <w:t>—第i种车型车辆的</w:t>
      </w:r>
      <w:r>
        <w:rPr>
          <w:rFonts w:hint="eastAsia"/>
          <w:snapToGrid w:val="0"/>
          <w:color w:val="auto"/>
          <w:kern w:val="0"/>
          <w:sz w:val="24"/>
          <w:lang w:val="en-US" w:eastAsia="zh-CN"/>
        </w:rPr>
        <w:t>平均</w:t>
      </w:r>
      <w:r>
        <w:rPr>
          <w:rFonts w:hint="eastAsia"/>
          <w:snapToGrid w:val="0"/>
          <w:color w:val="auto"/>
          <w:kern w:val="0"/>
          <w:sz w:val="24"/>
        </w:rPr>
        <w:t>车速，km/h；</w:t>
      </w:r>
    </w:p>
    <w:p>
      <w:pPr>
        <w:spacing w:line="360" w:lineRule="auto"/>
        <w:ind w:firstLine="480"/>
        <w:rPr>
          <w:rFonts w:hint="eastAsia"/>
          <w:snapToGrid w:val="0"/>
          <w:color w:val="auto"/>
          <w:kern w:val="0"/>
          <w:sz w:val="24"/>
        </w:rPr>
      </w:pPr>
      <w:r>
        <w:rPr>
          <w:rFonts w:hint="eastAsia"/>
          <w:snapToGrid w:val="0"/>
          <w:color w:val="auto"/>
          <w:kern w:val="0"/>
          <w:sz w:val="24"/>
        </w:rPr>
        <w:t>u</w:t>
      </w:r>
      <w:r>
        <w:rPr>
          <w:rFonts w:hint="eastAsia"/>
          <w:snapToGrid w:val="0"/>
          <w:color w:val="auto"/>
          <w:kern w:val="0"/>
          <w:sz w:val="24"/>
          <w:vertAlign w:val="subscript"/>
        </w:rPr>
        <w:t>i</w:t>
      </w:r>
      <w:r>
        <w:rPr>
          <w:rFonts w:hint="eastAsia"/>
          <w:snapToGrid w:val="0"/>
          <w:color w:val="auto"/>
          <w:kern w:val="0"/>
          <w:sz w:val="24"/>
        </w:rPr>
        <w:t>—该型车的当量车数；</w:t>
      </w:r>
    </w:p>
    <w:p>
      <w:pPr>
        <w:spacing w:line="360" w:lineRule="auto"/>
        <w:ind w:firstLine="480"/>
        <w:rPr>
          <w:rFonts w:hint="eastAsia"/>
          <w:snapToGrid w:val="0"/>
          <w:color w:val="auto"/>
          <w:kern w:val="0"/>
          <w:sz w:val="24"/>
        </w:rPr>
      </w:pPr>
      <w:r>
        <w:rPr>
          <w:rFonts w:hint="default" w:ascii="Times New Roman" w:hAnsi="Times New Roman" w:eastAsia="TimesNewRomanPS-ItalicMT" w:cs="Times New Roman"/>
          <w:b w:val="0"/>
          <w:bCs w:val="0"/>
          <w:i/>
          <w:iCs/>
          <w:color w:val="auto"/>
          <w:sz w:val="24"/>
          <w:szCs w:val="24"/>
        </w:rPr>
        <w:t>vol</w:t>
      </w:r>
      <w:r>
        <w:rPr>
          <w:rFonts w:hint="eastAsia"/>
          <w:snapToGrid w:val="0"/>
          <w:color w:val="auto"/>
          <w:kern w:val="0"/>
          <w:sz w:val="24"/>
        </w:rPr>
        <w:t>—单车道</w:t>
      </w:r>
      <w:r>
        <w:rPr>
          <w:rFonts w:hint="eastAsia"/>
          <w:snapToGrid w:val="0"/>
          <w:color w:val="auto"/>
          <w:kern w:val="0"/>
          <w:sz w:val="24"/>
          <w:lang w:val="en-US" w:eastAsia="zh-CN"/>
        </w:rPr>
        <w:t>绝对交通量</w:t>
      </w:r>
      <w:r>
        <w:rPr>
          <w:rFonts w:hint="eastAsia"/>
          <w:snapToGrid w:val="0"/>
          <w:color w:val="auto"/>
          <w:kern w:val="0"/>
          <w:sz w:val="24"/>
        </w:rPr>
        <w:t>，辆/h；</w:t>
      </w:r>
    </w:p>
    <w:p>
      <w:pPr>
        <w:spacing w:line="360" w:lineRule="auto"/>
        <w:ind w:firstLine="480"/>
        <w:rPr>
          <w:rFonts w:hint="eastAsia"/>
          <w:snapToGrid w:val="0"/>
          <w:color w:val="auto"/>
          <w:kern w:val="0"/>
          <w:sz w:val="24"/>
        </w:rPr>
      </w:pPr>
      <w:r>
        <w:rPr>
          <w:rFonts w:hint="eastAsia"/>
          <w:snapToGrid w:val="0"/>
          <w:color w:val="auto"/>
          <w:kern w:val="0"/>
          <w:sz w:val="24"/>
        </w:rPr>
        <w:t>η</w:t>
      </w:r>
      <w:r>
        <w:rPr>
          <w:rFonts w:hint="eastAsia"/>
          <w:snapToGrid w:val="0"/>
          <w:color w:val="auto"/>
          <w:kern w:val="0"/>
          <w:sz w:val="24"/>
          <w:vertAlign w:val="subscript"/>
        </w:rPr>
        <w:t>i</w:t>
      </w:r>
      <w:r>
        <w:rPr>
          <w:rFonts w:hint="eastAsia"/>
          <w:snapToGrid w:val="0"/>
          <w:color w:val="auto"/>
          <w:kern w:val="0"/>
          <w:sz w:val="24"/>
        </w:rPr>
        <w:t>——该车型的车型比；</w:t>
      </w:r>
    </w:p>
    <w:p>
      <w:pPr>
        <w:spacing w:line="360" w:lineRule="auto"/>
        <w:ind w:firstLine="480"/>
        <w:rPr>
          <w:rFonts w:hint="default" w:eastAsia="宋体"/>
          <w:snapToGrid w:val="0"/>
          <w:color w:val="auto"/>
          <w:kern w:val="0"/>
          <w:sz w:val="24"/>
          <w:lang w:val="en-US" w:eastAsia="zh-CN"/>
        </w:rPr>
      </w:pPr>
      <w:r>
        <w:rPr>
          <w:rFonts w:hint="eastAsia"/>
          <w:snapToGrid w:val="0"/>
          <w:color w:val="auto"/>
          <w:kern w:val="0"/>
          <w:sz w:val="24"/>
        </w:rPr>
        <w:t>m</w:t>
      </w:r>
      <w:r>
        <w:rPr>
          <w:rFonts w:hint="eastAsia"/>
          <w:snapToGrid w:val="0"/>
          <w:color w:val="auto"/>
          <w:kern w:val="0"/>
          <w:sz w:val="24"/>
          <w:vertAlign w:val="subscript"/>
        </w:rPr>
        <w:t>i</w:t>
      </w:r>
      <w:r>
        <w:rPr>
          <w:rFonts w:hint="eastAsia"/>
          <w:snapToGrid w:val="0"/>
          <w:color w:val="auto"/>
          <w:kern w:val="0"/>
          <w:sz w:val="24"/>
        </w:rPr>
        <w:t>—</w:t>
      </w:r>
      <w:r>
        <w:rPr>
          <w:rFonts w:hint="eastAsia"/>
          <w:snapToGrid w:val="0"/>
          <w:color w:val="auto"/>
          <w:kern w:val="0"/>
          <w:sz w:val="24"/>
          <w:lang w:val="en-US" w:eastAsia="zh-CN"/>
        </w:rPr>
        <w:t>该</w:t>
      </w:r>
      <w:r>
        <w:rPr>
          <w:rFonts w:hint="eastAsia"/>
          <w:snapToGrid w:val="0"/>
          <w:color w:val="auto"/>
          <w:kern w:val="0"/>
          <w:sz w:val="24"/>
        </w:rPr>
        <w:t>车型的加权系数；</w:t>
      </w:r>
      <w:r>
        <w:rPr>
          <w:rFonts w:hint="eastAsia"/>
          <w:snapToGrid w:val="0"/>
          <w:color w:val="auto"/>
          <w:kern w:val="0"/>
          <w:sz w:val="24"/>
          <w:lang w:val="en-US" w:eastAsia="zh-CN"/>
        </w:rPr>
        <w:t>取值见表2.3-2</w:t>
      </w:r>
    </w:p>
    <w:p>
      <w:pPr>
        <w:spacing w:line="360" w:lineRule="auto"/>
        <w:ind w:firstLine="480"/>
        <w:rPr>
          <w:rFonts w:hint="eastAsia"/>
          <w:snapToGrid w:val="0"/>
          <w:color w:val="auto"/>
          <w:kern w:val="0"/>
          <w:sz w:val="24"/>
        </w:rPr>
      </w:pPr>
      <w:r>
        <w:rPr>
          <w:rFonts w:hint="eastAsia"/>
          <w:snapToGrid w:val="0"/>
          <w:color w:val="auto"/>
          <w:kern w:val="0"/>
          <w:sz w:val="24"/>
        </w:rPr>
        <w:t>v</w:t>
      </w:r>
      <w:r>
        <w:rPr>
          <w:rFonts w:hint="eastAsia"/>
          <w:snapToGrid w:val="0"/>
          <w:color w:val="auto"/>
          <w:kern w:val="0"/>
          <w:sz w:val="24"/>
          <w:vertAlign w:val="subscript"/>
          <w:lang w:val="en-US" w:eastAsia="zh-CN"/>
        </w:rPr>
        <w:t>d</w:t>
      </w:r>
      <w:r>
        <w:rPr>
          <w:rFonts w:hint="eastAsia"/>
          <w:snapToGrid w:val="0"/>
          <w:color w:val="auto"/>
          <w:kern w:val="0"/>
          <w:sz w:val="24"/>
        </w:rPr>
        <w:t>——设计车速，km/h。</w:t>
      </w:r>
    </w:p>
    <w:p>
      <w:pPr>
        <w:spacing w:line="360" w:lineRule="auto"/>
        <w:ind w:firstLine="480"/>
        <w:rPr>
          <w:rFonts w:hint="eastAsia"/>
          <w:snapToGrid w:val="0"/>
          <w:color w:val="auto"/>
          <w:kern w:val="0"/>
          <w:sz w:val="24"/>
        </w:rPr>
      </w:pPr>
      <w:r>
        <w:rPr>
          <w:rFonts w:hint="eastAsia"/>
          <w:snapToGrid w:val="0"/>
          <w:color w:val="auto"/>
          <w:kern w:val="0"/>
          <w:sz w:val="24"/>
        </w:rPr>
        <w:t>k</w:t>
      </w:r>
      <w:r>
        <w:rPr>
          <w:rFonts w:hint="eastAsia"/>
          <w:snapToGrid w:val="0"/>
          <w:color w:val="auto"/>
          <w:kern w:val="0"/>
          <w:sz w:val="24"/>
          <w:vertAlign w:val="subscript"/>
        </w:rPr>
        <w:t>1</w:t>
      </w:r>
      <w:r>
        <w:rPr>
          <w:rFonts w:hint="eastAsia"/>
          <w:snapToGrid w:val="0"/>
          <w:color w:val="auto"/>
          <w:kern w:val="0"/>
          <w:sz w:val="24"/>
        </w:rPr>
        <w:t>、k</w:t>
      </w:r>
      <w:r>
        <w:rPr>
          <w:rFonts w:hint="eastAsia"/>
          <w:snapToGrid w:val="0"/>
          <w:color w:val="auto"/>
          <w:kern w:val="0"/>
          <w:sz w:val="24"/>
          <w:vertAlign w:val="subscript"/>
        </w:rPr>
        <w:t>2</w:t>
      </w:r>
      <w:r>
        <w:rPr>
          <w:rFonts w:hint="eastAsia"/>
          <w:snapToGrid w:val="0"/>
          <w:color w:val="auto"/>
          <w:kern w:val="0"/>
          <w:sz w:val="24"/>
        </w:rPr>
        <w:t>、k</w:t>
      </w:r>
      <w:r>
        <w:rPr>
          <w:rFonts w:hint="eastAsia"/>
          <w:snapToGrid w:val="0"/>
          <w:color w:val="auto"/>
          <w:kern w:val="0"/>
          <w:sz w:val="24"/>
          <w:vertAlign w:val="subscript"/>
        </w:rPr>
        <w:t>3</w:t>
      </w:r>
      <w:r>
        <w:rPr>
          <w:rFonts w:hint="eastAsia"/>
          <w:snapToGrid w:val="0"/>
          <w:color w:val="auto"/>
          <w:kern w:val="0"/>
          <w:sz w:val="24"/>
        </w:rPr>
        <w:t>、k</w:t>
      </w:r>
      <w:r>
        <w:rPr>
          <w:rFonts w:hint="eastAsia"/>
          <w:snapToGrid w:val="0"/>
          <w:color w:val="auto"/>
          <w:kern w:val="0"/>
          <w:sz w:val="24"/>
          <w:vertAlign w:val="subscript"/>
        </w:rPr>
        <w:t>4</w:t>
      </w:r>
      <w:r>
        <w:rPr>
          <w:rFonts w:hint="eastAsia"/>
          <w:snapToGrid w:val="0"/>
          <w:color w:val="auto"/>
          <w:kern w:val="0"/>
          <w:sz w:val="24"/>
        </w:rPr>
        <w:t>分别为系数，如</w:t>
      </w:r>
      <w:r>
        <w:rPr>
          <w:rFonts w:hint="eastAsia"/>
          <w:b/>
          <w:bCs/>
          <w:snapToGrid w:val="0"/>
          <w:color w:val="auto"/>
          <w:kern w:val="0"/>
          <w:sz w:val="24"/>
        </w:rPr>
        <w:t>表2.3-</w:t>
      </w:r>
      <w:r>
        <w:rPr>
          <w:rFonts w:hint="eastAsia"/>
          <w:b/>
          <w:bCs/>
          <w:snapToGrid w:val="0"/>
          <w:color w:val="auto"/>
          <w:kern w:val="0"/>
          <w:sz w:val="24"/>
          <w:lang w:val="en-US" w:eastAsia="zh-CN"/>
        </w:rPr>
        <w:t>2</w:t>
      </w:r>
      <w:r>
        <w:rPr>
          <w:rFonts w:hint="eastAsia"/>
          <w:snapToGrid w:val="0"/>
          <w:color w:val="auto"/>
          <w:kern w:val="0"/>
          <w:sz w:val="24"/>
        </w:rPr>
        <w:t>所示。</w:t>
      </w:r>
    </w:p>
    <w:p>
      <w:pPr>
        <w:adjustRightInd w:val="0"/>
        <w:snapToGrid w:val="0"/>
        <w:spacing w:line="360" w:lineRule="auto"/>
        <w:ind w:firstLine="480"/>
        <w:jc w:val="center"/>
        <w:rPr>
          <w:b/>
          <w:bCs/>
          <w:color w:val="auto"/>
          <w:sz w:val="24"/>
        </w:rPr>
      </w:pPr>
      <w:r>
        <w:rPr>
          <w:b/>
          <w:bCs/>
          <w:color w:val="auto"/>
          <w:sz w:val="24"/>
        </w:rPr>
        <w:t>表2.</w:t>
      </w:r>
      <w:r>
        <w:rPr>
          <w:rFonts w:hint="eastAsia"/>
          <w:b/>
          <w:bCs/>
          <w:color w:val="auto"/>
          <w:sz w:val="24"/>
        </w:rPr>
        <w:t>3</w:t>
      </w:r>
      <w:r>
        <w:rPr>
          <w:b/>
          <w:bCs/>
          <w:color w:val="auto"/>
          <w:sz w:val="24"/>
        </w:rPr>
        <w:t>-</w:t>
      </w:r>
      <w:r>
        <w:rPr>
          <w:rFonts w:hint="eastAsia"/>
          <w:b/>
          <w:bCs/>
          <w:color w:val="auto"/>
          <w:sz w:val="24"/>
          <w:lang w:val="en-US" w:eastAsia="zh-CN"/>
        </w:rPr>
        <w:t>2</w:t>
      </w:r>
      <w:r>
        <w:rPr>
          <w:b/>
          <w:bCs/>
          <w:color w:val="auto"/>
          <w:sz w:val="24"/>
        </w:rPr>
        <w:t>车速计算公式系数</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6"/>
        <w:gridCol w:w="1548"/>
        <w:gridCol w:w="1548"/>
        <w:gridCol w:w="1548"/>
        <w:gridCol w:w="1548"/>
        <w:gridCol w:w="15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tcBorders>
              <w:tl2br w:val="nil"/>
              <w:tr2bl w:val="nil"/>
            </w:tcBorders>
            <w:noWrap w:val="0"/>
            <w:vAlign w:val="center"/>
          </w:tcPr>
          <w:p>
            <w:pPr>
              <w:pStyle w:val="26"/>
              <w:spacing w:after="0"/>
              <w:ind w:left="0" w:leftChars="0" w:firstLine="0" w:firstLineChars="0"/>
              <w:jc w:val="center"/>
              <w:rPr>
                <w:color w:val="auto"/>
                <w:kern w:val="2"/>
                <w:sz w:val="21"/>
              </w:rPr>
            </w:pPr>
            <w:r>
              <w:rPr>
                <w:b/>
                <w:bCs/>
                <w:color w:val="auto"/>
                <w:kern w:val="2"/>
                <w:sz w:val="21"/>
              </w:rPr>
              <w:t>车型</w:t>
            </w:r>
          </w:p>
        </w:tc>
        <w:tc>
          <w:tcPr>
            <w:tcW w:w="1548" w:type="dxa"/>
            <w:tcBorders>
              <w:tl2br w:val="nil"/>
              <w:tr2bl w:val="nil"/>
            </w:tcBorders>
            <w:noWrap w:val="0"/>
            <w:vAlign w:val="center"/>
          </w:tcPr>
          <w:p>
            <w:pPr>
              <w:pStyle w:val="26"/>
              <w:spacing w:after="0"/>
              <w:ind w:left="0" w:leftChars="0" w:firstLine="0" w:firstLineChars="0"/>
              <w:jc w:val="center"/>
              <w:rPr>
                <w:rFonts w:hint="eastAsia" w:eastAsia="宋体"/>
                <w:color w:val="auto"/>
                <w:kern w:val="2"/>
                <w:sz w:val="21"/>
                <w:lang w:val="en-US" w:eastAsia="zh-CN"/>
              </w:rPr>
            </w:pPr>
            <w:r>
              <w:rPr>
                <w:b/>
                <w:bCs/>
                <w:i/>
                <w:color w:val="auto"/>
                <w:kern w:val="2"/>
                <w:sz w:val="21"/>
              </w:rPr>
              <w:t>k</w:t>
            </w:r>
            <w:r>
              <w:rPr>
                <w:b/>
                <w:bCs/>
                <w:color w:val="auto"/>
                <w:kern w:val="2"/>
                <w:position w:val="-5"/>
                <w:sz w:val="14"/>
              </w:rPr>
              <w:t>1</w:t>
            </w:r>
            <w:r>
              <w:rPr>
                <w:rFonts w:hint="eastAsia"/>
                <w:b/>
                <w:bCs/>
                <w:color w:val="auto"/>
                <w:kern w:val="2"/>
                <w:position w:val="-5"/>
                <w:sz w:val="14"/>
                <w:lang w:val="en-US" w:eastAsia="zh-CN"/>
              </w:rPr>
              <w:t>i</w:t>
            </w:r>
          </w:p>
        </w:tc>
        <w:tc>
          <w:tcPr>
            <w:tcW w:w="1548" w:type="dxa"/>
            <w:tcBorders>
              <w:tl2br w:val="nil"/>
              <w:tr2bl w:val="nil"/>
            </w:tcBorders>
            <w:noWrap w:val="0"/>
            <w:vAlign w:val="center"/>
          </w:tcPr>
          <w:p>
            <w:pPr>
              <w:pStyle w:val="26"/>
              <w:spacing w:after="0"/>
              <w:ind w:left="0" w:leftChars="0" w:firstLine="0" w:firstLineChars="0"/>
              <w:jc w:val="center"/>
              <w:rPr>
                <w:rFonts w:hint="eastAsia" w:eastAsia="宋体"/>
                <w:color w:val="auto"/>
                <w:kern w:val="2"/>
                <w:sz w:val="21"/>
                <w:lang w:val="en-US" w:eastAsia="zh-CN"/>
              </w:rPr>
            </w:pPr>
            <w:r>
              <w:rPr>
                <w:b/>
                <w:bCs/>
                <w:i/>
                <w:color w:val="auto"/>
                <w:kern w:val="2"/>
                <w:sz w:val="21"/>
              </w:rPr>
              <w:t>k</w:t>
            </w:r>
            <w:r>
              <w:rPr>
                <w:b/>
                <w:bCs/>
                <w:color w:val="auto"/>
                <w:kern w:val="2"/>
                <w:position w:val="-5"/>
                <w:sz w:val="14"/>
              </w:rPr>
              <w:t>2</w:t>
            </w:r>
            <w:r>
              <w:rPr>
                <w:rFonts w:hint="eastAsia"/>
                <w:b/>
                <w:bCs/>
                <w:color w:val="auto"/>
                <w:kern w:val="2"/>
                <w:position w:val="-5"/>
                <w:sz w:val="14"/>
                <w:lang w:val="en-US" w:eastAsia="zh-CN"/>
              </w:rPr>
              <w:t>i</w:t>
            </w:r>
          </w:p>
        </w:tc>
        <w:tc>
          <w:tcPr>
            <w:tcW w:w="1548" w:type="dxa"/>
            <w:tcBorders>
              <w:tl2br w:val="nil"/>
              <w:tr2bl w:val="nil"/>
            </w:tcBorders>
            <w:noWrap w:val="0"/>
            <w:vAlign w:val="center"/>
          </w:tcPr>
          <w:p>
            <w:pPr>
              <w:pStyle w:val="26"/>
              <w:spacing w:after="0"/>
              <w:ind w:left="0" w:leftChars="0" w:firstLine="0" w:firstLineChars="0"/>
              <w:jc w:val="center"/>
              <w:rPr>
                <w:rFonts w:hint="eastAsia" w:eastAsia="宋体"/>
                <w:color w:val="auto"/>
                <w:kern w:val="2"/>
                <w:sz w:val="21"/>
                <w:lang w:val="en-US" w:eastAsia="zh-CN"/>
              </w:rPr>
            </w:pPr>
            <w:r>
              <w:rPr>
                <w:b/>
                <w:bCs/>
                <w:i/>
                <w:color w:val="auto"/>
                <w:kern w:val="2"/>
                <w:sz w:val="21"/>
              </w:rPr>
              <w:t>k</w:t>
            </w:r>
            <w:r>
              <w:rPr>
                <w:b/>
                <w:bCs/>
                <w:color w:val="auto"/>
                <w:kern w:val="2"/>
                <w:position w:val="-5"/>
                <w:sz w:val="14"/>
              </w:rPr>
              <w:t>3</w:t>
            </w:r>
            <w:r>
              <w:rPr>
                <w:rFonts w:hint="eastAsia"/>
                <w:b/>
                <w:bCs/>
                <w:color w:val="auto"/>
                <w:kern w:val="2"/>
                <w:position w:val="-5"/>
                <w:sz w:val="14"/>
                <w:lang w:val="en-US" w:eastAsia="zh-CN"/>
              </w:rPr>
              <w:t>i</w:t>
            </w:r>
          </w:p>
        </w:tc>
        <w:tc>
          <w:tcPr>
            <w:tcW w:w="1548" w:type="dxa"/>
            <w:tcBorders>
              <w:tl2br w:val="nil"/>
              <w:tr2bl w:val="nil"/>
            </w:tcBorders>
            <w:noWrap w:val="0"/>
            <w:vAlign w:val="center"/>
          </w:tcPr>
          <w:p>
            <w:pPr>
              <w:pStyle w:val="26"/>
              <w:spacing w:after="0"/>
              <w:ind w:left="0" w:leftChars="0" w:firstLine="0" w:firstLineChars="0"/>
              <w:jc w:val="center"/>
              <w:rPr>
                <w:rFonts w:hint="eastAsia" w:eastAsia="宋体"/>
                <w:color w:val="auto"/>
                <w:kern w:val="2"/>
                <w:sz w:val="21"/>
                <w:lang w:val="en-US" w:eastAsia="zh-CN"/>
              </w:rPr>
            </w:pPr>
            <w:r>
              <w:rPr>
                <w:b/>
                <w:bCs/>
                <w:i/>
                <w:color w:val="auto"/>
                <w:kern w:val="2"/>
                <w:sz w:val="21"/>
              </w:rPr>
              <w:t>k</w:t>
            </w:r>
            <w:r>
              <w:rPr>
                <w:b/>
                <w:bCs/>
                <w:color w:val="auto"/>
                <w:kern w:val="2"/>
                <w:position w:val="-5"/>
                <w:sz w:val="14"/>
              </w:rPr>
              <w:t>4</w:t>
            </w:r>
            <w:r>
              <w:rPr>
                <w:rFonts w:hint="eastAsia"/>
                <w:b/>
                <w:bCs/>
                <w:color w:val="auto"/>
                <w:kern w:val="2"/>
                <w:position w:val="-5"/>
                <w:sz w:val="14"/>
                <w:lang w:val="en-US" w:eastAsia="zh-CN"/>
              </w:rPr>
              <w:t>i</w:t>
            </w:r>
          </w:p>
        </w:tc>
        <w:tc>
          <w:tcPr>
            <w:tcW w:w="1548" w:type="dxa"/>
            <w:tcBorders>
              <w:tl2br w:val="nil"/>
              <w:tr2bl w:val="nil"/>
            </w:tcBorders>
            <w:noWrap w:val="0"/>
            <w:vAlign w:val="center"/>
          </w:tcPr>
          <w:p>
            <w:pPr>
              <w:pStyle w:val="26"/>
              <w:spacing w:after="0"/>
              <w:ind w:left="0" w:leftChars="0" w:firstLine="0" w:firstLineChars="0"/>
              <w:jc w:val="center"/>
              <w:rPr>
                <w:color w:val="auto"/>
                <w:kern w:val="2"/>
                <w:sz w:val="21"/>
              </w:rPr>
            </w:pPr>
            <w:r>
              <w:rPr>
                <w:b/>
                <w:bCs/>
                <w:i/>
                <w:color w:val="auto"/>
                <w:kern w:val="2"/>
                <w:sz w:val="21"/>
              </w:rPr>
              <w:t>m</w:t>
            </w:r>
            <w:r>
              <w:rPr>
                <w:b/>
                <w:bCs/>
                <w:i/>
                <w:color w:val="auto"/>
                <w:kern w:val="2"/>
                <w:position w:val="-5"/>
                <w:sz w:val="14"/>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tcBorders>
              <w:tl2br w:val="nil"/>
              <w:tr2bl w:val="nil"/>
            </w:tcBorders>
            <w:noWrap w:val="0"/>
            <w:vAlign w:val="center"/>
          </w:tcPr>
          <w:p>
            <w:pPr>
              <w:adjustRightInd w:val="0"/>
              <w:jc w:val="center"/>
              <w:outlineLvl w:val="1"/>
              <w:rPr>
                <w:rFonts w:hint="eastAsia"/>
                <w:color w:val="auto"/>
                <w:szCs w:val="21"/>
              </w:rPr>
            </w:pPr>
            <w:bookmarkStart w:id="196" w:name="_Toc4282"/>
            <w:bookmarkStart w:id="197" w:name="_Toc8988"/>
            <w:bookmarkStart w:id="198" w:name="_Toc26291"/>
            <w:r>
              <w:rPr>
                <w:rFonts w:hint="eastAsia"/>
                <w:color w:val="auto"/>
                <w:szCs w:val="21"/>
              </w:rPr>
              <w:t>小型车</w:t>
            </w:r>
            <w:bookmarkEnd w:id="196"/>
            <w:bookmarkEnd w:id="197"/>
            <w:bookmarkEnd w:id="198"/>
          </w:p>
        </w:tc>
        <w:tc>
          <w:tcPr>
            <w:tcW w:w="1548" w:type="dxa"/>
            <w:tcBorders>
              <w:tl2br w:val="nil"/>
              <w:tr2bl w:val="nil"/>
            </w:tcBorders>
            <w:noWrap w:val="0"/>
            <w:vAlign w:val="center"/>
          </w:tcPr>
          <w:p>
            <w:pPr>
              <w:adjustRightInd w:val="0"/>
              <w:jc w:val="center"/>
              <w:outlineLvl w:val="1"/>
              <w:rPr>
                <w:rFonts w:hint="eastAsia"/>
                <w:color w:val="auto"/>
                <w:szCs w:val="21"/>
              </w:rPr>
            </w:pPr>
            <w:bookmarkStart w:id="199" w:name="_Toc3400"/>
            <w:bookmarkStart w:id="200" w:name="_Toc26009"/>
            <w:bookmarkStart w:id="201" w:name="_Toc22403"/>
            <w:r>
              <w:rPr>
                <w:rFonts w:hint="eastAsia"/>
                <w:color w:val="auto"/>
                <w:szCs w:val="21"/>
              </w:rPr>
              <w:t>-0.061748</w:t>
            </w:r>
            <w:bookmarkEnd w:id="199"/>
            <w:bookmarkEnd w:id="200"/>
            <w:bookmarkEnd w:id="201"/>
          </w:p>
        </w:tc>
        <w:tc>
          <w:tcPr>
            <w:tcW w:w="1548" w:type="dxa"/>
            <w:tcBorders>
              <w:tl2br w:val="nil"/>
              <w:tr2bl w:val="nil"/>
            </w:tcBorders>
            <w:noWrap w:val="0"/>
            <w:vAlign w:val="center"/>
          </w:tcPr>
          <w:p>
            <w:pPr>
              <w:adjustRightInd w:val="0"/>
              <w:jc w:val="center"/>
              <w:outlineLvl w:val="1"/>
              <w:rPr>
                <w:rFonts w:hint="eastAsia"/>
                <w:color w:val="auto"/>
                <w:szCs w:val="21"/>
              </w:rPr>
            </w:pPr>
            <w:bookmarkStart w:id="202" w:name="_Toc3520"/>
            <w:bookmarkStart w:id="203" w:name="_Toc21916"/>
            <w:bookmarkStart w:id="204" w:name="_Toc27972"/>
            <w:r>
              <w:rPr>
                <w:rFonts w:hint="eastAsia"/>
                <w:color w:val="auto"/>
                <w:szCs w:val="21"/>
              </w:rPr>
              <w:t>149.65</w:t>
            </w:r>
            <w:bookmarkEnd w:id="202"/>
            <w:bookmarkEnd w:id="203"/>
            <w:bookmarkEnd w:id="204"/>
          </w:p>
        </w:tc>
        <w:tc>
          <w:tcPr>
            <w:tcW w:w="1548" w:type="dxa"/>
            <w:tcBorders>
              <w:tl2br w:val="nil"/>
              <w:tr2bl w:val="nil"/>
            </w:tcBorders>
            <w:noWrap w:val="0"/>
            <w:vAlign w:val="center"/>
          </w:tcPr>
          <w:p>
            <w:pPr>
              <w:adjustRightInd w:val="0"/>
              <w:jc w:val="center"/>
              <w:outlineLvl w:val="1"/>
              <w:rPr>
                <w:rFonts w:hint="eastAsia"/>
                <w:color w:val="auto"/>
                <w:szCs w:val="21"/>
              </w:rPr>
            </w:pPr>
            <w:bookmarkStart w:id="205" w:name="_Toc25549"/>
            <w:bookmarkStart w:id="206" w:name="_Toc5160"/>
            <w:bookmarkStart w:id="207" w:name="_Toc94"/>
            <w:r>
              <w:rPr>
                <w:rFonts w:hint="eastAsia"/>
                <w:color w:val="auto"/>
                <w:szCs w:val="21"/>
              </w:rPr>
              <w:t>-0.000023696</w:t>
            </w:r>
            <w:bookmarkEnd w:id="205"/>
            <w:bookmarkEnd w:id="206"/>
            <w:bookmarkEnd w:id="207"/>
          </w:p>
        </w:tc>
        <w:tc>
          <w:tcPr>
            <w:tcW w:w="1548" w:type="dxa"/>
            <w:tcBorders>
              <w:tl2br w:val="nil"/>
              <w:tr2bl w:val="nil"/>
            </w:tcBorders>
            <w:noWrap w:val="0"/>
            <w:vAlign w:val="center"/>
          </w:tcPr>
          <w:p>
            <w:pPr>
              <w:adjustRightInd w:val="0"/>
              <w:jc w:val="center"/>
              <w:outlineLvl w:val="1"/>
              <w:rPr>
                <w:rFonts w:hint="eastAsia"/>
                <w:color w:val="auto"/>
                <w:szCs w:val="21"/>
              </w:rPr>
            </w:pPr>
            <w:bookmarkStart w:id="208" w:name="_Toc9923"/>
            <w:bookmarkStart w:id="209" w:name="_Toc2335"/>
            <w:bookmarkStart w:id="210" w:name="_Toc28332"/>
            <w:r>
              <w:rPr>
                <w:rFonts w:hint="eastAsia"/>
                <w:color w:val="auto"/>
                <w:szCs w:val="21"/>
              </w:rPr>
              <w:t>-0.02099</w:t>
            </w:r>
            <w:bookmarkEnd w:id="208"/>
            <w:bookmarkEnd w:id="209"/>
            <w:bookmarkEnd w:id="210"/>
          </w:p>
        </w:tc>
        <w:tc>
          <w:tcPr>
            <w:tcW w:w="1548" w:type="dxa"/>
            <w:tcBorders>
              <w:tl2br w:val="nil"/>
              <w:tr2bl w:val="nil"/>
            </w:tcBorders>
            <w:noWrap w:val="0"/>
            <w:vAlign w:val="center"/>
          </w:tcPr>
          <w:p>
            <w:pPr>
              <w:adjustRightInd w:val="0"/>
              <w:jc w:val="center"/>
              <w:outlineLvl w:val="1"/>
              <w:rPr>
                <w:rFonts w:hint="eastAsia"/>
                <w:color w:val="auto"/>
                <w:szCs w:val="21"/>
              </w:rPr>
            </w:pPr>
            <w:bookmarkStart w:id="211" w:name="_Toc6811"/>
            <w:bookmarkStart w:id="212" w:name="_Toc15516"/>
            <w:bookmarkStart w:id="213" w:name="_Toc22270"/>
            <w:r>
              <w:rPr>
                <w:rFonts w:hint="eastAsia"/>
                <w:color w:val="auto"/>
                <w:szCs w:val="21"/>
              </w:rPr>
              <w:t>1.2102</w:t>
            </w:r>
            <w:bookmarkEnd w:id="211"/>
            <w:bookmarkEnd w:id="212"/>
            <w:bookmarkEnd w:id="213"/>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7" w:type="dxa"/>
            <w:tcBorders>
              <w:tl2br w:val="nil"/>
              <w:tr2bl w:val="nil"/>
            </w:tcBorders>
            <w:noWrap w:val="0"/>
            <w:vAlign w:val="center"/>
          </w:tcPr>
          <w:p>
            <w:pPr>
              <w:adjustRightInd w:val="0"/>
              <w:jc w:val="center"/>
              <w:outlineLvl w:val="1"/>
              <w:rPr>
                <w:rFonts w:hint="eastAsia"/>
                <w:color w:val="auto"/>
                <w:szCs w:val="21"/>
              </w:rPr>
            </w:pPr>
            <w:bookmarkStart w:id="214" w:name="_Toc10129"/>
            <w:bookmarkStart w:id="215" w:name="_Toc11511"/>
            <w:bookmarkStart w:id="216" w:name="_Toc22312"/>
            <w:r>
              <w:rPr>
                <w:rFonts w:hint="eastAsia"/>
                <w:color w:val="auto"/>
                <w:szCs w:val="21"/>
              </w:rPr>
              <w:t>大</w:t>
            </w:r>
            <w:r>
              <w:rPr>
                <w:rFonts w:hint="eastAsia"/>
                <w:color w:val="auto"/>
                <w:szCs w:val="21"/>
                <w:lang w:eastAsia="zh-CN"/>
              </w:rPr>
              <w:t>、</w:t>
            </w:r>
            <w:r>
              <w:rPr>
                <w:rFonts w:hint="eastAsia"/>
                <w:color w:val="auto"/>
                <w:szCs w:val="21"/>
              </w:rPr>
              <w:t>中型车</w:t>
            </w:r>
            <w:bookmarkEnd w:id="214"/>
            <w:bookmarkEnd w:id="215"/>
            <w:bookmarkEnd w:id="216"/>
          </w:p>
        </w:tc>
        <w:tc>
          <w:tcPr>
            <w:tcW w:w="1548" w:type="dxa"/>
            <w:tcBorders>
              <w:tl2br w:val="nil"/>
              <w:tr2bl w:val="nil"/>
            </w:tcBorders>
            <w:noWrap w:val="0"/>
            <w:vAlign w:val="center"/>
          </w:tcPr>
          <w:p>
            <w:pPr>
              <w:adjustRightInd w:val="0"/>
              <w:jc w:val="center"/>
              <w:outlineLvl w:val="1"/>
              <w:rPr>
                <w:rFonts w:hint="eastAsia"/>
                <w:color w:val="auto"/>
                <w:szCs w:val="21"/>
              </w:rPr>
            </w:pPr>
            <w:bookmarkStart w:id="217" w:name="_Toc29380"/>
            <w:bookmarkStart w:id="218" w:name="_Toc18209"/>
            <w:r>
              <w:rPr>
                <w:rFonts w:hint="eastAsia"/>
                <w:color w:val="auto"/>
                <w:szCs w:val="21"/>
              </w:rPr>
              <w:t>-0.051900</w:t>
            </w:r>
            <w:bookmarkEnd w:id="217"/>
            <w:bookmarkEnd w:id="218"/>
          </w:p>
        </w:tc>
        <w:tc>
          <w:tcPr>
            <w:tcW w:w="1548" w:type="dxa"/>
            <w:tcBorders>
              <w:tl2br w:val="nil"/>
              <w:tr2bl w:val="nil"/>
            </w:tcBorders>
            <w:noWrap w:val="0"/>
            <w:vAlign w:val="center"/>
          </w:tcPr>
          <w:p>
            <w:pPr>
              <w:adjustRightInd w:val="0"/>
              <w:jc w:val="center"/>
              <w:outlineLvl w:val="1"/>
              <w:rPr>
                <w:rFonts w:hint="eastAsia" w:eastAsia="宋体"/>
                <w:color w:val="auto"/>
                <w:szCs w:val="21"/>
                <w:lang w:eastAsia="zh-CN"/>
              </w:rPr>
            </w:pPr>
            <w:bookmarkStart w:id="219" w:name="_Toc12142"/>
            <w:bookmarkStart w:id="220" w:name="_Toc32598"/>
            <w:bookmarkStart w:id="221" w:name="_Toc21849"/>
            <w:r>
              <w:rPr>
                <w:rFonts w:hint="eastAsia"/>
                <w:color w:val="auto"/>
                <w:szCs w:val="21"/>
              </w:rPr>
              <w:t>149.3</w:t>
            </w:r>
            <w:bookmarkEnd w:id="219"/>
            <w:r>
              <w:rPr>
                <w:rFonts w:hint="eastAsia"/>
                <w:color w:val="auto"/>
                <w:szCs w:val="21"/>
                <w:lang w:val="en-US" w:eastAsia="zh-CN"/>
              </w:rPr>
              <w:t>9</w:t>
            </w:r>
            <w:bookmarkEnd w:id="220"/>
            <w:bookmarkEnd w:id="221"/>
          </w:p>
        </w:tc>
        <w:tc>
          <w:tcPr>
            <w:tcW w:w="1548" w:type="dxa"/>
            <w:tcBorders>
              <w:tl2br w:val="nil"/>
              <w:tr2bl w:val="nil"/>
            </w:tcBorders>
            <w:noWrap w:val="0"/>
            <w:vAlign w:val="center"/>
          </w:tcPr>
          <w:p>
            <w:pPr>
              <w:adjustRightInd w:val="0"/>
              <w:jc w:val="center"/>
              <w:outlineLvl w:val="1"/>
              <w:rPr>
                <w:rFonts w:hint="eastAsia"/>
                <w:color w:val="auto"/>
                <w:szCs w:val="21"/>
              </w:rPr>
            </w:pPr>
            <w:bookmarkStart w:id="222" w:name="_Toc24672"/>
            <w:bookmarkStart w:id="223" w:name="_Toc31084"/>
            <w:r>
              <w:rPr>
                <w:rFonts w:hint="eastAsia"/>
                <w:color w:val="auto"/>
                <w:szCs w:val="21"/>
              </w:rPr>
              <w:t>-0.000014202</w:t>
            </w:r>
            <w:bookmarkEnd w:id="222"/>
            <w:bookmarkEnd w:id="223"/>
          </w:p>
        </w:tc>
        <w:tc>
          <w:tcPr>
            <w:tcW w:w="1548" w:type="dxa"/>
            <w:tcBorders>
              <w:tl2br w:val="nil"/>
              <w:tr2bl w:val="nil"/>
            </w:tcBorders>
            <w:noWrap w:val="0"/>
            <w:vAlign w:val="center"/>
          </w:tcPr>
          <w:p>
            <w:pPr>
              <w:adjustRightInd w:val="0"/>
              <w:jc w:val="center"/>
              <w:outlineLvl w:val="1"/>
              <w:rPr>
                <w:rFonts w:hint="eastAsia"/>
                <w:color w:val="auto"/>
                <w:szCs w:val="21"/>
              </w:rPr>
            </w:pPr>
            <w:bookmarkStart w:id="224" w:name="_Toc31275"/>
            <w:bookmarkStart w:id="225" w:name="_Toc8366"/>
            <w:r>
              <w:rPr>
                <w:rFonts w:hint="eastAsia"/>
                <w:color w:val="auto"/>
                <w:szCs w:val="21"/>
              </w:rPr>
              <w:t>-0.01254</w:t>
            </w:r>
            <w:bookmarkEnd w:id="224"/>
            <w:bookmarkEnd w:id="225"/>
          </w:p>
        </w:tc>
        <w:tc>
          <w:tcPr>
            <w:tcW w:w="1548" w:type="dxa"/>
            <w:tcBorders>
              <w:tl2br w:val="nil"/>
              <w:tr2bl w:val="nil"/>
            </w:tcBorders>
            <w:noWrap w:val="0"/>
            <w:vAlign w:val="center"/>
          </w:tcPr>
          <w:p>
            <w:pPr>
              <w:adjustRightInd w:val="0"/>
              <w:jc w:val="center"/>
              <w:outlineLvl w:val="1"/>
              <w:rPr>
                <w:rFonts w:hint="eastAsia"/>
                <w:color w:val="auto"/>
                <w:szCs w:val="21"/>
              </w:rPr>
            </w:pPr>
            <w:bookmarkStart w:id="226" w:name="_Toc12647"/>
            <w:bookmarkStart w:id="227" w:name="_Toc17027"/>
            <w:r>
              <w:rPr>
                <w:rFonts w:hint="eastAsia"/>
                <w:color w:val="auto"/>
                <w:szCs w:val="21"/>
              </w:rPr>
              <w:t>0.70957</w:t>
            </w:r>
            <w:bookmarkEnd w:id="226"/>
            <w:bookmarkEnd w:id="227"/>
          </w:p>
        </w:tc>
      </w:tr>
    </w:tbl>
    <w:p>
      <w:pPr>
        <w:spacing w:before="120" w:beforeLines="50" w:line="360" w:lineRule="auto"/>
        <w:ind w:firstLine="482"/>
        <w:rPr>
          <w:rFonts w:hint="eastAsia"/>
          <w:color w:val="auto"/>
          <w:sz w:val="24"/>
        </w:rPr>
      </w:pPr>
      <w:r>
        <w:rPr>
          <w:color w:val="auto"/>
          <w:sz w:val="24"/>
          <w:szCs w:val="24"/>
        </w:rPr>
        <w:t>本项目道路设计车速为</w:t>
      </w:r>
      <w:r>
        <w:rPr>
          <w:rFonts w:hint="eastAsia" w:cs="Times New Roman"/>
          <w:color w:val="auto"/>
          <w:sz w:val="24"/>
          <w:szCs w:val="24"/>
          <w:lang w:val="en-US" w:eastAsia="zh-CN"/>
        </w:rPr>
        <w:t>4</w:t>
      </w:r>
      <w:r>
        <w:rPr>
          <w:color w:val="auto"/>
          <w:sz w:val="24"/>
          <w:szCs w:val="24"/>
        </w:rPr>
        <w:t>0km/h</w:t>
      </w:r>
      <w:r>
        <w:rPr>
          <w:rFonts w:hint="eastAsia"/>
          <w:color w:val="auto"/>
          <w:sz w:val="24"/>
          <w:szCs w:val="24"/>
          <w:lang w:eastAsia="zh-CN"/>
        </w:rPr>
        <w:t>，</w:t>
      </w:r>
      <w:r>
        <w:rPr>
          <w:rFonts w:hint="eastAsia"/>
          <w:color w:val="auto"/>
          <w:sz w:val="24"/>
          <w:szCs w:val="24"/>
          <w:lang w:val="en-US" w:eastAsia="zh-CN"/>
        </w:rPr>
        <w:t>则</w:t>
      </w:r>
      <w:r>
        <w:rPr>
          <w:rFonts w:hint="eastAsia"/>
          <w:color w:val="auto"/>
          <w:sz w:val="24"/>
          <w:szCs w:val="24"/>
        </w:rPr>
        <w:t>预测</w:t>
      </w:r>
      <w:r>
        <w:rPr>
          <w:rFonts w:hint="eastAsia"/>
          <w:color w:val="auto"/>
          <w:sz w:val="24"/>
          <w:szCs w:val="24"/>
          <w:lang w:val="en-US" w:eastAsia="zh-CN"/>
        </w:rPr>
        <w:t>平均车速（</w:t>
      </w:r>
      <w:r>
        <w:rPr>
          <w:rFonts w:ascii="宋体" w:hAnsi="宋体" w:eastAsia="宋体" w:cs="宋体"/>
          <w:b w:val="0"/>
          <w:bCs w:val="0"/>
          <w:i w:val="0"/>
          <w:iCs w:val="0"/>
          <w:color w:val="auto"/>
          <w:sz w:val="24"/>
          <w:szCs w:val="24"/>
        </w:rPr>
        <w:t>夜间车速取值与昼间相同</w:t>
      </w:r>
      <w:r>
        <w:rPr>
          <w:rFonts w:hint="eastAsia"/>
          <w:color w:val="auto"/>
          <w:sz w:val="24"/>
          <w:szCs w:val="24"/>
          <w:lang w:val="en-US" w:eastAsia="zh-CN"/>
        </w:rPr>
        <w:t>）</w:t>
      </w:r>
      <w:r>
        <w:rPr>
          <w:rFonts w:hint="eastAsia"/>
          <w:color w:val="auto"/>
          <w:sz w:val="24"/>
        </w:rPr>
        <w:t>见</w:t>
      </w:r>
      <w:r>
        <w:rPr>
          <w:rFonts w:hint="eastAsia"/>
          <w:b/>
          <w:bCs/>
          <w:color w:val="auto"/>
          <w:sz w:val="24"/>
        </w:rPr>
        <w:t>表2.3-</w:t>
      </w:r>
      <w:r>
        <w:rPr>
          <w:rFonts w:hint="eastAsia"/>
          <w:b/>
          <w:bCs/>
          <w:color w:val="auto"/>
          <w:sz w:val="24"/>
          <w:lang w:val="en-US" w:eastAsia="zh-CN"/>
        </w:rPr>
        <w:t>3</w:t>
      </w:r>
      <w:r>
        <w:rPr>
          <w:rFonts w:hint="eastAsia"/>
          <w:color w:val="auto"/>
          <w:sz w:val="24"/>
        </w:rPr>
        <w:t>。</w:t>
      </w:r>
    </w:p>
    <w:p>
      <w:pPr>
        <w:adjustRightInd w:val="0"/>
        <w:snapToGrid w:val="0"/>
        <w:spacing w:line="360" w:lineRule="auto"/>
        <w:ind w:firstLine="480"/>
        <w:jc w:val="center"/>
        <w:rPr>
          <w:b/>
          <w:bCs/>
          <w:color w:val="auto"/>
          <w:sz w:val="24"/>
        </w:rPr>
      </w:pPr>
      <w:r>
        <w:rPr>
          <w:rFonts w:hint="eastAsia"/>
          <w:b/>
          <w:bCs/>
          <w:color w:val="auto"/>
          <w:sz w:val="24"/>
          <w:lang w:val="en-US" w:eastAsia="zh-CN"/>
        </w:rPr>
        <w:t>表</w:t>
      </w:r>
      <w:r>
        <w:rPr>
          <w:rFonts w:hint="eastAsia"/>
          <w:b/>
          <w:bCs/>
          <w:color w:val="auto"/>
          <w:sz w:val="24"/>
        </w:rPr>
        <w:t>2.3-</w:t>
      </w:r>
      <w:r>
        <w:rPr>
          <w:rFonts w:hint="eastAsia"/>
          <w:b/>
          <w:bCs/>
          <w:color w:val="auto"/>
          <w:sz w:val="24"/>
          <w:lang w:val="en-US" w:eastAsia="zh-CN"/>
        </w:rPr>
        <w:t>3</w:t>
      </w:r>
      <w:r>
        <w:rPr>
          <w:rFonts w:hint="eastAsia"/>
          <w:b/>
          <w:bCs/>
          <w:color w:val="auto"/>
          <w:sz w:val="24"/>
        </w:rPr>
        <w:t>运营各特征年各车型预测车速  单位：km/h</w:t>
      </w:r>
    </w:p>
    <w:tbl>
      <w:tblPr>
        <w:tblStyle w:val="27"/>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83"/>
        <w:gridCol w:w="1441"/>
        <w:gridCol w:w="1058"/>
        <w:gridCol w:w="1058"/>
        <w:gridCol w:w="1058"/>
        <w:gridCol w:w="1058"/>
        <w:gridCol w:w="1058"/>
        <w:gridCol w:w="106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blHeader/>
        </w:trPr>
        <w:tc>
          <w:tcPr>
            <w:tcW w:w="1575" w:type="pct"/>
            <w:gridSpan w:val="2"/>
            <w:vMerge w:val="restart"/>
            <w:noWrap w:val="0"/>
            <w:vAlign w:val="center"/>
          </w:tcPr>
          <w:p>
            <w:pPr>
              <w:widowControl/>
              <w:jc w:val="center"/>
              <w:textAlignment w:val="center"/>
              <w:rPr>
                <w:b/>
                <w:bCs/>
                <w:color w:val="auto"/>
                <w:szCs w:val="21"/>
              </w:rPr>
            </w:pPr>
            <w:r>
              <w:rPr>
                <w:b/>
                <w:bCs/>
                <w:color w:val="auto"/>
                <w:kern w:val="0"/>
                <w:szCs w:val="21"/>
                <w:lang w:bidi="ar"/>
              </w:rPr>
              <w:t>车型</w:t>
            </w:r>
          </w:p>
        </w:tc>
        <w:tc>
          <w:tcPr>
            <w:tcW w:w="2116" w:type="dxa"/>
            <w:gridSpan w:val="2"/>
            <w:noWrap w:val="0"/>
            <w:vAlign w:val="center"/>
          </w:tcPr>
          <w:p>
            <w:pPr>
              <w:adjustRightInd w:val="0"/>
              <w:jc w:val="center"/>
              <w:rPr>
                <w:b/>
                <w:bCs/>
                <w:color w:val="auto"/>
                <w:szCs w:val="21"/>
              </w:rPr>
            </w:pPr>
            <w:r>
              <w:rPr>
                <w:rFonts w:hint="default" w:ascii="Times New Roman" w:hAnsi="Times New Roman" w:cs="Times New Roman"/>
                <w:b/>
                <w:bCs/>
                <w:sz w:val="21"/>
                <w:szCs w:val="21"/>
              </w:rPr>
              <w:t>202</w:t>
            </w:r>
            <w:r>
              <w:rPr>
                <w:rFonts w:hint="eastAsia" w:cs="Times New Roman"/>
                <w:b/>
                <w:bCs/>
                <w:sz w:val="21"/>
                <w:szCs w:val="21"/>
                <w:lang w:val="en-US" w:eastAsia="zh-CN"/>
              </w:rPr>
              <w:t>6</w:t>
            </w:r>
            <w:r>
              <w:rPr>
                <w:rFonts w:hint="default" w:ascii="Times New Roman" w:hAnsi="Times New Roman" w:cs="Times New Roman"/>
                <w:b/>
                <w:bCs/>
                <w:sz w:val="21"/>
                <w:szCs w:val="21"/>
              </w:rPr>
              <w:t>年</w:t>
            </w:r>
          </w:p>
        </w:tc>
        <w:tc>
          <w:tcPr>
            <w:tcW w:w="2116" w:type="dxa"/>
            <w:gridSpan w:val="2"/>
            <w:noWrap w:val="0"/>
            <w:vAlign w:val="center"/>
          </w:tcPr>
          <w:p>
            <w:pPr>
              <w:adjustRightInd w:val="0"/>
              <w:jc w:val="center"/>
              <w:rPr>
                <w:b/>
                <w:bCs/>
                <w:color w:val="auto"/>
                <w:szCs w:val="21"/>
              </w:rPr>
            </w:pPr>
            <w:r>
              <w:rPr>
                <w:rFonts w:hint="default" w:ascii="Times New Roman" w:hAnsi="Times New Roman" w:cs="Times New Roman"/>
                <w:b/>
                <w:bCs/>
                <w:sz w:val="21"/>
                <w:szCs w:val="21"/>
              </w:rPr>
              <w:t>20</w:t>
            </w:r>
            <w:r>
              <w:rPr>
                <w:rFonts w:hint="eastAsia" w:cs="Times New Roman"/>
                <w:b/>
                <w:bCs/>
                <w:sz w:val="21"/>
                <w:szCs w:val="21"/>
                <w:lang w:val="en-US" w:eastAsia="zh-CN"/>
              </w:rPr>
              <w:t>32</w:t>
            </w:r>
            <w:r>
              <w:rPr>
                <w:rFonts w:hint="default" w:ascii="Times New Roman" w:hAnsi="Times New Roman" w:cs="Times New Roman"/>
                <w:b/>
                <w:bCs/>
                <w:sz w:val="21"/>
                <w:szCs w:val="21"/>
              </w:rPr>
              <w:t>年</w:t>
            </w:r>
          </w:p>
        </w:tc>
        <w:tc>
          <w:tcPr>
            <w:tcW w:w="2123" w:type="dxa"/>
            <w:gridSpan w:val="2"/>
            <w:noWrap w:val="0"/>
            <w:vAlign w:val="center"/>
          </w:tcPr>
          <w:p>
            <w:pPr>
              <w:adjustRightInd w:val="0"/>
              <w:jc w:val="center"/>
              <w:rPr>
                <w:b/>
                <w:bCs/>
                <w:color w:val="auto"/>
                <w:szCs w:val="21"/>
              </w:rPr>
            </w:pPr>
            <w:r>
              <w:rPr>
                <w:rFonts w:hint="default" w:ascii="Times New Roman" w:hAnsi="Times New Roman" w:cs="Times New Roman"/>
                <w:b/>
                <w:bCs/>
                <w:sz w:val="21"/>
                <w:szCs w:val="21"/>
              </w:rPr>
              <w:t>20</w:t>
            </w:r>
            <w:r>
              <w:rPr>
                <w:rFonts w:hint="eastAsia" w:cs="Times New Roman"/>
                <w:b/>
                <w:bCs/>
                <w:sz w:val="21"/>
                <w:szCs w:val="21"/>
                <w:lang w:val="en-US" w:eastAsia="zh-CN"/>
              </w:rPr>
              <w:t>40</w:t>
            </w:r>
            <w:r>
              <w:rPr>
                <w:rFonts w:hint="default" w:ascii="Times New Roman" w:hAnsi="Times New Roman" w:cs="Times New Roman"/>
                <w:b/>
                <w:bCs/>
                <w:sz w:val="21"/>
                <w:szCs w:val="21"/>
              </w:rPr>
              <w:t>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blHeader/>
        </w:trPr>
        <w:tc>
          <w:tcPr>
            <w:tcW w:w="1575" w:type="pct"/>
            <w:gridSpan w:val="2"/>
            <w:vMerge w:val="continue"/>
            <w:noWrap w:val="0"/>
            <w:vAlign w:val="center"/>
          </w:tcPr>
          <w:p>
            <w:pPr>
              <w:jc w:val="center"/>
              <w:rPr>
                <w:b/>
                <w:bCs/>
                <w:color w:val="auto"/>
                <w:szCs w:val="21"/>
              </w:rPr>
            </w:pPr>
          </w:p>
        </w:tc>
        <w:tc>
          <w:tcPr>
            <w:tcW w:w="570" w:type="pct"/>
            <w:noWrap w:val="0"/>
            <w:vAlign w:val="center"/>
          </w:tcPr>
          <w:p>
            <w:pPr>
              <w:widowControl/>
              <w:jc w:val="center"/>
              <w:textAlignment w:val="center"/>
              <w:rPr>
                <w:b/>
                <w:bCs/>
                <w:color w:val="auto"/>
                <w:szCs w:val="21"/>
              </w:rPr>
            </w:pPr>
            <w:r>
              <w:rPr>
                <w:b/>
                <w:bCs/>
                <w:color w:val="auto"/>
                <w:kern w:val="0"/>
                <w:szCs w:val="21"/>
                <w:lang w:bidi="ar"/>
              </w:rPr>
              <w:t>昼间</w:t>
            </w:r>
          </w:p>
        </w:tc>
        <w:tc>
          <w:tcPr>
            <w:tcW w:w="570" w:type="pct"/>
            <w:noWrap w:val="0"/>
            <w:vAlign w:val="center"/>
          </w:tcPr>
          <w:p>
            <w:pPr>
              <w:widowControl/>
              <w:jc w:val="center"/>
              <w:textAlignment w:val="center"/>
              <w:rPr>
                <w:b/>
                <w:bCs/>
                <w:color w:val="auto"/>
                <w:szCs w:val="21"/>
              </w:rPr>
            </w:pPr>
            <w:r>
              <w:rPr>
                <w:b/>
                <w:bCs/>
                <w:color w:val="auto"/>
                <w:kern w:val="0"/>
                <w:szCs w:val="21"/>
                <w:lang w:bidi="ar"/>
              </w:rPr>
              <w:t>夜间</w:t>
            </w:r>
          </w:p>
        </w:tc>
        <w:tc>
          <w:tcPr>
            <w:tcW w:w="570" w:type="pct"/>
            <w:noWrap w:val="0"/>
            <w:vAlign w:val="center"/>
          </w:tcPr>
          <w:p>
            <w:pPr>
              <w:widowControl/>
              <w:jc w:val="center"/>
              <w:textAlignment w:val="center"/>
              <w:rPr>
                <w:b/>
                <w:bCs/>
                <w:color w:val="auto"/>
                <w:szCs w:val="21"/>
              </w:rPr>
            </w:pPr>
            <w:r>
              <w:rPr>
                <w:b/>
                <w:bCs/>
                <w:color w:val="auto"/>
                <w:kern w:val="0"/>
                <w:szCs w:val="21"/>
                <w:lang w:bidi="ar"/>
              </w:rPr>
              <w:t>昼间</w:t>
            </w:r>
          </w:p>
        </w:tc>
        <w:tc>
          <w:tcPr>
            <w:tcW w:w="570" w:type="pct"/>
            <w:noWrap w:val="0"/>
            <w:vAlign w:val="center"/>
          </w:tcPr>
          <w:p>
            <w:pPr>
              <w:widowControl/>
              <w:jc w:val="center"/>
              <w:textAlignment w:val="center"/>
              <w:rPr>
                <w:b/>
                <w:bCs/>
                <w:color w:val="auto"/>
                <w:szCs w:val="21"/>
              </w:rPr>
            </w:pPr>
            <w:r>
              <w:rPr>
                <w:b/>
                <w:bCs/>
                <w:color w:val="auto"/>
                <w:kern w:val="0"/>
                <w:szCs w:val="21"/>
                <w:lang w:bidi="ar"/>
              </w:rPr>
              <w:t>夜间</w:t>
            </w:r>
          </w:p>
        </w:tc>
        <w:tc>
          <w:tcPr>
            <w:tcW w:w="570" w:type="pct"/>
            <w:noWrap w:val="0"/>
            <w:vAlign w:val="center"/>
          </w:tcPr>
          <w:p>
            <w:pPr>
              <w:widowControl/>
              <w:jc w:val="center"/>
              <w:textAlignment w:val="center"/>
              <w:rPr>
                <w:b/>
                <w:bCs/>
                <w:color w:val="auto"/>
                <w:szCs w:val="21"/>
              </w:rPr>
            </w:pPr>
            <w:r>
              <w:rPr>
                <w:b/>
                <w:bCs/>
                <w:color w:val="auto"/>
                <w:kern w:val="0"/>
                <w:szCs w:val="21"/>
                <w:lang w:bidi="ar"/>
              </w:rPr>
              <w:t>昼间</w:t>
            </w:r>
          </w:p>
        </w:tc>
        <w:tc>
          <w:tcPr>
            <w:tcW w:w="573" w:type="pct"/>
            <w:noWrap w:val="0"/>
            <w:vAlign w:val="center"/>
          </w:tcPr>
          <w:p>
            <w:pPr>
              <w:widowControl/>
              <w:jc w:val="center"/>
              <w:textAlignment w:val="center"/>
              <w:rPr>
                <w:b/>
                <w:bCs/>
                <w:color w:val="auto"/>
                <w:szCs w:val="21"/>
              </w:rPr>
            </w:pPr>
            <w:r>
              <w:rPr>
                <w:b/>
                <w:bCs/>
                <w:color w:val="auto"/>
                <w:kern w:val="0"/>
                <w:szCs w:val="21"/>
                <w:lang w:bidi="ar"/>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99" w:type="pct"/>
            <w:vMerge w:val="restart"/>
            <w:noWrap w:val="0"/>
            <w:vAlign w:val="center"/>
          </w:tcPr>
          <w:p>
            <w:pPr>
              <w:widowControl/>
              <w:jc w:val="center"/>
              <w:textAlignment w:val="center"/>
              <w:rPr>
                <w:color w:val="auto"/>
                <w:szCs w:val="21"/>
              </w:rPr>
            </w:pPr>
            <w:r>
              <w:rPr>
                <w:rFonts w:hint="default" w:ascii="Times New Roman" w:hAnsi="Times New Roman" w:cs="Times New Roman"/>
                <w:sz w:val="21"/>
                <w:szCs w:val="21"/>
              </w:rPr>
              <w:t>福泽大道</w:t>
            </w:r>
          </w:p>
        </w:tc>
        <w:tc>
          <w:tcPr>
            <w:tcW w:w="776" w:type="pct"/>
            <w:noWrap w:val="0"/>
            <w:vAlign w:val="center"/>
          </w:tcPr>
          <w:p>
            <w:pPr>
              <w:widowControl/>
              <w:jc w:val="center"/>
              <w:textAlignment w:val="center"/>
              <w:rPr>
                <w:color w:val="auto"/>
                <w:szCs w:val="21"/>
              </w:rPr>
            </w:pPr>
            <w:r>
              <w:rPr>
                <w:color w:val="auto"/>
                <w:kern w:val="0"/>
                <w:szCs w:val="21"/>
                <w:lang w:bidi="ar"/>
              </w:rPr>
              <w:t>小型车</w:t>
            </w:r>
          </w:p>
        </w:tc>
        <w:tc>
          <w:tcPr>
            <w:tcW w:w="570" w:type="pct"/>
            <w:noWrap w:val="0"/>
            <w:vAlign w:val="center"/>
          </w:tcPr>
          <w:p>
            <w:pPr>
              <w:widowControl/>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34</w:t>
            </w:r>
          </w:p>
        </w:tc>
        <w:tc>
          <w:tcPr>
            <w:tcW w:w="570" w:type="pct"/>
            <w:noWrap w:val="0"/>
            <w:vAlign w:val="center"/>
          </w:tcPr>
          <w:p>
            <w:pPr>
              <w:widowControl/>
              <w:jc w:val="center"/>
              <w:textAlignment w:val="center"/>
              <w:rPr>
                <w:rFonts w:ascii="Times New Roman" w:hAnsi="Times New Roman" w:eastAsia="宋体" w:cs="Times New Roman"/>
                <w:color w:val="auto"/>
                <w:kern w:val="0"/>
                <w:szCs w:val="21"/>
                <w:lang w:bidi="ar"/>
              </w:rPr>
            </w:pPr>
            <w:r>
              <w:rPr>
                <w:rFonts w:hint="eastAsia" w:cs="Times New Roman"/>
                <w:color w:val="auto"/>
                <w:kern w:val="0"/>
                <w:szCs w:val="21"/>
                <w:lang w:val="en-US" w:eastAsia="zh-CN" w:bidi="ar"/>
              </w:rPr>
              <w:t>34</w:t>
            </w:r>
          </w:p>
        </w:tc>
        <w:tc>
          <w:tcPr>
            <w:tcW w:w="570" w:type="pct"/>
            <w:noWrap w:val="0"/>
            <w:vAlign w:val="center"/>
          </w:tcPr>
          <w:p>
            <w:pPr>
              <w:widowControl/>
              <w:jc w:val="center"/>
              <w:textAlignment w:val="center"/>
              <w:rPr>
                <w:rFonts w:ascii="Times New Roman" w:hAnsi="Times New Roman" w:eastAsia="宋体" w:cs="Times New Roman"/>
                <w:color w:val="auto"/>
                <w:kern w:val="0"/>
                <w:szCs w:val="21"/>
                <w:lang w:bidi="ar"/>
              </w:rPr>
            </w:pPr>
            <w:r>
              <w:rPr>
                <w:rFonts w:hint="eastAsia" w:cs="Times New Roman"/>
                <w:color w:val="auto"/>
                <w:kern w:val="0"/>
                <w:szCs w:val="21"/>
                <w:lang w:val="en-US" w:eastAsia="zh-CN" w:bidi="ar"/>
              </w:rPr>
              <w:t>34</w:t>
            </w:r>
          </w:p>
        </w:tc>
        <w:tc>
          <w:tcPr>
            <w:tcW w:w="570" w:type="pct"/>
            <w:noWrap w:val="0"/>
            <w:vAlign w:val="center"/>
          </w:tcPr>
          <w:p>
            <w:pPr>
              <w:widowControl/>
              <w:jc w:val="center"/>
              <w:textAlignment w:val="center"/>
              <w:rPr>
                <w:rFonts w:ascii="Times New Roman" w:hAnsi="Times New Roman" w:eastAsia="宋体" w:cs="Times New Roman"/>
                <w:color w:val="auto"/>
                <w:kern w:val="0"/>
                <w:szCs w:val="21"/>
                <w:lang w:bidi="ar"/>
              </w:rPr>
            </w:pPr>
            <w:r>
              <w:rPr>
                <w:rFonts w:hint="eastAsia" w:cs="Times New Roman"/>
                <w:color w:val="auto"/>
                <w:kern w:val="0"/>
                <w:szCs w:val="21"/>
                <w:lang w:val="en-US" w:eastAsia="zh-CN" w:bidi="ar"/>
              </w:rPr>
              <w:t>34</w:t>
            </w:r>
          </w:p>
        </w:tc>
        <w:tc>
          <w:tcPr>
            <w:tcW w:w="570" w:type="pct"/>
            <w:noWrap w:val="0"/>
            <w:vAlign w:val="center"/>
          </w:tcPr>
          <w:p>
            <w:pPr>
              <w:widowControl/>
              <w:jc w:val="center"/>
              <w:textAlignment w:val="center"/>
              <w:rPr>
                <w:rFonts w:ascii="Times New Roman" w:hAnsi="Times New Roman" w:eastAsia="宋体" w:cs="Times New Roman"/>
                <w:color w:val="auto"/>
                <w:kern w:val="0"/>
                <w:szCs w:val="21"/>
                <w:lang w:bidi="ar"/>
              </w:rPr>
            </w:pPr>
            <w:r>
              <w:rPr>
                <w:rFonts w:hint="eastAsia" w:cs="Times New Roman"/>
                <w:color w:val="auto"/>
                <w:kern w:val="0"/>
                <w:szCs w:val="21"/>
                <w:lang w:val="en-US" w:eastAsia="zh-CN" w:bidi="ar"/>
              </w:rPr>
              <w:t>34</w:t>
            </w:r>
          </w:p>
        </w:tc>
        <w:tc>
          <w:tcPr>
            <w:tcW w:w="573" w:type="pct"/>
            <w:noWrap w:val="0"/>
            <w:vAlign w:val="center"/>
          </w:tcPr>
          <w:p>
            <w:pPr>
              <w:widowControl/>
              <w:jc w:val="center"/>
              <w:textAlignment w:val="center"/>
              <w:rPr>
                <w:rFonts w:ascii="Times New Roman" w:hAnsi="Times New Roman" w:eastAsia="宋体" w:cs="Times New Roman"/>
                <w:color w:val="auto"/>
                <w:kern w:val="0"/>
                <w:szCs w:val="21"/>
                <w:lang w:bidi="ar"/>
              </w:rPr>
            </w:pPr>
            <w:r>
              <w:rPr>
                <w:rFonts w:hint="eastAsia" w:cs="Times New Roman"/>
                <w:color w:val="auto"/>
                <w:kern w:val="0"/>
                <w:szCs w:val="21"/>
                <w:lang w:val="en-US" w:eastAsia="zh-CN" w:bidi="ar"/>
              </w:rPr>
              <w:t>34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0" w:hRule="atLeast"/>
        </w:trPr>
        <w:tc>
          <w:tcPr>
            <w:tcW w:w="799" w:type="pct"/>
            <w:vMerge w:val="continue"/>
            <w:noWrap w:val="0"/>
            <w:vAlign w:val="center"/>
          </w:tcPr>
          <w:p>
            <w:pPr>
              <w:jc w:val="center"/>
              <w:rPr>
                <w:color w:val="auto"/>
                <w:szCs w:val="21"/>
              </w:rPr>
            </w:pPr>
          </w:p>
        </w:tc>
        <w:tc>
          <w:tcPr>
            <w:tcW w:w="776" w:type="pct"/>
            <w:noWrap w:val="0"/>
            <w:vAlign w:val="center"/>
          </w:tcPr>
          <w:p>
            <w:pPr>
              <w:widowControl/>
              <w:jc w:val="center"/>
              <w:textAlignment w:val="center"/>
              <w:rPr>
                <w:color w:val="auto"/>
                <w:szCs w:val="21"/>
              </w:rPr>
            </w:pPr>
            <w:r>
              <w:rPr>
                <w:color w:val="auto"/>
                <w:kern w:val="0"/>
                <w:szCs w:val="21"/>
                <w:lang w:bidi="ar"/>
              </w:rPr>
              <w:t>中型车</w:t>
            </w:r>
          </w:p>
        </w:tc>
        <w:tc>
          <w:tcPr>
            <w:tcW w:w="570" w:type="pct"/>
            <w:noWrap w:val="0"/>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24</w:t>
            </w:r>
          </w:p>
        </w:tc>
        <w:tc>
          <w:tcPr>
            <w:tcW w:w="570"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c>
          <w:tcPr>
            <w:tcW w:w="570"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c>
          <w:tcPr>
            <w:tcW w:w="570"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c>
          <w:tcPr>
            <w:tcW w:w="570"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c>
          <w:tcPr>
            <w:tcW w:w="573"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trPr>
        <w:tc>
          <w:tcPr>
            <w:tcW w:w="799" w:type="pct"/>
            <w:vMerge w:val="continue"/>
            <w:noWrap w:val="0"/>
            <w:vAlign w:val="center"/>
          </w:tcPr>
          <w:p>
            <w:pPr>
              <w:jc w:val="center"/>
              <w:rPr>
                <w:color w:val="auto"/>
                <w:szCs w:val="21"/>
              </w:rPr>
            </w:pPr>
          </w:p>
        </w:tc>
        <w:tc>
          <w:tcPr>
            <w:tcW w:w="776" w:type="pct"/>
            <w:noWrap w:val="0"/>
            <w:vAlign w:val="center"/>
          </w:tcPr>
          <w:p>
            <w:pPr>
              <w:widowControl/>
              <w:jc w:val="center"/>
              <w:textAlignment w:val="center"/>
              <w:rPr>
                <w:color w:val="auto"/>
                <w:szCs w:val="21"/>
              </w:rPr>
            </w:pPr>
            <w:r>
              <w:rPr>
                <w:color w:val="auto"/>
                <w:kern w:val="0"/>
                <w:szCs w:val="21"/>
                <w:lang w:bidi="ar"/>
              </w:rPr>
              <w:t>大型车</w:t>
            </w:r>
          </w:p>
        </w:tc>
        <w:tc>
          <w:tcPr>
            <w:tcW w:w="570"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c>
          <w:tcPr>
            <w:tcW w:w="570"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c>
          <w:tcPr>
            <w:tcW w:w="570"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c>
          <w:tcPr>
            <w:tcW w:w="570"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c>
          <w:tcPr>
            <w:tcW w:w="570"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c>
          <w:tcPr>
            <w:tcW w:w="573" w:type="pct"/>
            <w:noWrap w:val="0"/>
            <w:vAlign w:val="center"/>
          </w:tcPr>
          <w:p>
            <w:pPr>
              <w:widowControl/>
              <w:jc w:val="center"/>
              <w:textAlignment w:val="center"/>
              <w:rPr>
                <w:color w:val="auto"/>
                <w:szCs w:val="21"/>
              </w:rPr>
            </w:pPr>
            <w:r>
              <w:rPr>
                <w:rFonts w:hint="eastAsia"/>
                <w:color w:val="auto"/>
                <w:kern w:val="0"/>
                <w:szCs w:val="21"/>
                <w:lang w:val="en-US" w:eastAsia="zh-CN" w:bidi="ar"/>
              </w:rPr>
              <w:t>24</w:t>
            </w:r>
          </w:p>
        </w:tc>
      </w:tr>
    </w:tbl>
    <w:p>
      <w:pPr>
        <w:spacing w:before="120" w:beforeLines="50" w:line="360" w:lineRule="auto"/>
        <w:ind w:firstLine="482"/>
        <w:rPr>
          <w:snapToGrid w:val="0"/>
          <w:color w:val="auto"/>
          <w:kern w:val="0"/>
          <w:sz w:val="24"/>
        </w:rPr>
      </w:pPr>
      <w:r>
        <w:rPr>
          <w:snapToGrid w:val="0"/>
          <w:color w:val="auto"/>
          <w:kern w:val="0"/>
          <w:sz w:val="24"/>
        </w:rPr>
        <w:t>(4)噪声辐射声级</w:t>
      </w:r>
    </w:p>
    <w:p>
      <w:pPr>
        <w:spacing w:line="360" w:lineRule="auto"/>
        <w:ind w:firstLine="480"/>
        <w:rPr>
          <w:snapToGrid w:val="0"/>
          <w:color w:val="auto"/>
          <w:kern w:val="0"/>
          <w:sz w:val="24"/>
        </w:rPr>
      </w:pPr>
      <w:r>
        <w:rPr>
          <w:snapToGrid w:val="0"/>
          <w:color w:val="auto"/>
          <w:kern w:val="0"/>
          <w:sz w:val="24"/>
        </w:rPr>
        <w:t>各车型在参照点(7.5m处)的平均辐射噪声级Loi按下式计算：</w:t>
      </w:r>
    </w:p>
    <w:p>
      <w:pPr>
        <w:spacing w:line="360" w:lineRule="auto"/>
        <w:ind w:firstLine="468" w:firstLineChars="195"/>
        <w:jc w:val="center"/>
        <w:rPr>
          <w:color w:val="auto"/>
          <w:sz w:val="24"/>
        </w:rPr>
      </w:pPr>
      <w:r>
        <w:rPr>
          <w:color w:val="auto"/>
          <w:sz w:val="24"/>
        </w:rPr>
        <w:t>小型车：</w:t>
      </w:r>
      <w:r>
        <w:rPr>
          <w:i/>
          <w:color w:val="auto"/>
          <w:sz w:val="24"/>
        </w:rPr>
        <w:t>L</w:t>
      </w:r>
      <w:r>
        <w:rPr>
          <w:i/>
          <w:color w:val="auto"/>
          <w:sz w:val="24"/>
          <w:vertAlign w:val="subscript"/>
        </w:rPr>
        <w:t>oS</w:t>
      </w:r>
      <w:r>
        <w:rPr>
          <w:color w:val="auto"/>
          <w:sz w:val="24"/>
        </w:rPr>
        <w:t>=12.6+34.73lg</w:t>
      </w:r>
      <w:r>
        <w:rPr>
          <w:i/>
          <w:color w:val="auto"/>
          <w:sz w:val="24"/>
        </w:rPr>
        <w:t>V</w:t>
      </w:r>
      <w:r>
        <w:rPr>
          <w:i/>
          <w:color w:val="auto"/>
          <w:sz w:val="24"/>
          <w:vertAlign w:val="subscript"/>
        </w:rPr>
        <w:t>S</w:t>
      </w:r>
      <w:r>
        <w:rPr>
          <w:color w:val="auto"/>
          <w:sz w:val="24"/>
        </w:rPr>
        <w:t>；</w:t>
      </w:r>
    </w:p>
    <w:p>
      <w:pPr>
        <w:spacing w:line="360" w:lineRule="auto"/>
        <w:ind w:firstLine="468" w:firstLineChars="195"/>
        <w:jc w:val="center"/>
        <w:rPr>
          <w:color w:val="auto"/>
          <w:sz w:val="24"/>
        </w:rPr>
      </w:pPr>
      <w:r>
        <w:rPr>
          <w:color w:val="auto"/>
          <w:sz w:val="24"/>
        </w:rPr>
        <w:t>中型车：</w:t>
      </w:r>
      <w:r>
        <w:rPr>
          <w:i/>
          <w:color w:val="auto"/>
          <w:sz w:val="24"/>
        </w:rPr>
        <w:t>L</w:t>
      </w:r>
      <w:r>
        <w:rPr>
          <w:i/>
          <w:color w:val="auto"/>
          <w:sz w:val="24"/>
          <w:vertAlign w:val="subscript"/>
        </w:rPr>
        <w:t>oM</w:t>
      </w:r>
      <w:r>
        <w:rPr>
          <w:color w:val="auto"/>
          <w:sz w:val="24"/>
        </w:rPr>
        <w:t>=8.8+40.48lg</w:t>
      </w:r>
      <w:r>
        <w:rPr>
          <w:i/>
          <w:color w:val="auto"/>
          <w:sz w:val="24"/>
        </w:rPr>
        <w:t>V</w:t>
      </w:r>
      <w:r>
        <w:rPr>
          <w:i/>
          <w:color w:val="auto"/>
          <w:sz w:val="24"/>
          <w:vertAlign w:val="subscript"/>
        </w:rPr>
        <w:t>M</w:t>
      </w:r>
      <w:r>
        <w:rPr>
          <w:color w:val="auto"/>
          <w:sz w:val="24"/>
        </w:rPr>
        <w:t>；</w:t>
      </w:r>
    </w:p>
    <w:p>
      <w:pPr>
        <w:spacing w:line="360" w:lineRule="auto"/>
        <w:ind w:firstLine="468" w:firstLineChars="195"/>
        <w:jc w:val="center"/>
        <w:rPr>
          <w:color w:val="auto"/>
          <w:sz w:val="24"/>
        </w:rPr>
      </w:pPr>
      <w:r>
        <w:rPr>
          <w:color w:val="auto"/>
          <w:sz w:val="24"/>
        </w:rPr>
        <w:t>大型车：</w:t>
      </w:r>
      <w:r>
        <w:rPr>
          <w:i/>
          <w:color w:val="auto"/>
          <w:sz w:val="24"/>
        </w:rPr>
        <w:t>L</w:t>
      </w:r>
      <w:r>
        <w:rPr>
          <w:i/>
          <w:color w:val="auto"/>
          <w:sz w:val="24"/>
          <w:vertAlign w:val="subscript"/>
        </w:rPr>
        <w:t>oL</w:t>
      </w:r>
      <w:r>
        <w:rPr>
          <w:color w:val="auto"/>
          <w:sz w:val="24"/>
        </w:rPr>
        <w:t>=22.0+36.32lg</w:t>
      </w:r>
      <w:r>
        <w:rPr>
          <w:i/>
          <w:color w:val="auto"/>
          <w:sz w:val="24"/>
        </w:rPr>
        <w:t>V</w:t>
      </w:r>
      <w:r>
        <w:rPr>
          <w:i/>
          <w:color w:val="auto"/>
          <w:sz w:val="24"/>
          <w:vertAlign w:val="subscript"/>
        </w:rPr>
        <w:t>L</w:t>
      </w:r>
      <w:r>
        <w:rPr>
          <w:color w:val="auto"/>
          <w:sz w:val="24"/>
        </w:rPr>
        <w:t>。</w:t>
      </w:r>
    </w:p>
    <w:p>
      <w:pPr>
        <w:spacing w:line="360" w:lineRule="auto"/>
        <w:ind w:firstLine="480"/>
        <w:rPr>
          <w:snapToGrid w:val="0"/>
          <w:color w:val="auto"/>
          <w:kern w:val="0"/>
          <w:sz w:val="24"/>
        </w:rPr>
      </w:pPr>
      <w:r>
        <w:rPr>
          <w:snapToGrid w:val="0"/>
          <w:color w:val="auto"/>
          <w:kern w:val="0"/>
          <w:sz w:val="24"/>
        </w:rPr>
        <w:t>式中：右下角注S、M、L分别代表小、中、大车型；</w:t>
      </w:r>
    </w:p>
    <w:p>
      <w:pPr>
        <w:spacing w:line="360" w:lineRule="auto"/>
        <w:ind w:firstLine="1197" w:firstLineChars="499"/>
        <w:rPr>
          <w:color w:val="auto"/>
          <w:sz w:val="24"/>
        </w:rPr>
      </w:pPr>
      <w:r>
        <w:rPr>
          <w:i/>
          <w:color w:val="auto"/>
          <w:sz w:val="24"/>
        </w:rPr>
        <w:t>V</w:t>
      </w:r>
      <w:r>
        <w:rPr>
          <w:i/>
          <w:color w:val="auto"/>
          <w:sz w:val="24"/>
          <w:vertAlign w:val="subscript"/>
        </w:rPr>
        <w:t>i</w:t>
      </w:r>
      <w:r>
        <w:rPr>
          <w:color w:val="auto"/>
          <w:sz w:val="24"/>
        </w:rPr>
        <w:t>－该车型车辆的平均行驶速度，km/h。</w:t>
      </w:r>
    </w:p>
    <w:p>
      <w:pPr>
        <w:spacing w:line="360" w:lineRule="auto"/>
        <w:ind w:firstLine="480"/>
        <w:rPr>
          <w:snapToGrid w:val="0"/>
          <w:color w:val="auto"/>
          <w:kern w:val="0"/>
          <w:sz w:val="24"/>
        </w:rPr>
      </w:pPr>
      <w:r>
        <w:rPr>
          <w:snapToGrid w:val="0"/>
          <w:color w:val="auto"/>
          <w:kern w:val="0"/>
          <w:sz w:val="24"/>
        </w:rPr>
        <w:t>根据以上公式，计算项目运营各期小型车单车7.5m处平均辐射声级见</w:t>
      </w:r>
      <w:r>
        <w:rPr>
          <w:rFonts w:hint="eastAsia"/>
          <w:b/>
          <w:bCs/>
          <w:snapToGrid w:val="0"/>
          <w:color w:val="auto"/>
          <w:kern w:val="0"/>
          <w:sz w:val="24"/>
        </w:rPr>
        <w:t>表</w:t>
      </w:r>
      <w:r>
        <w:rPr>
          <w:b/>
          <w:bCs/>
          <w:snapToGrid w:val="0"/>
          <w:color w:val="auto"/>
          <w:kern w:val="0"/>
          <w:sz w:val="24"/>
        </w:rPr>
        <w:t>2.3-</w:t>
      </w:r>
      <w:r>
        <w:rPr>
          <w:rFonts w:hint="eastAsia"/>
          <w:b/>
          <w:bCs/>
          <w:snapToGrid w:val="0"/>
          <w:color w:val="auto"/>
          <w:kern w:val="0"/>
          <w:sz w:val="24"/>
          <w:lang w:val="en-US" w:eastAsia="zh-CN"/>
        </w:rPr>
        <w:t>4</w:t>
      </w:r>
      <w:r>
        <w:rPr>
          <w:snapToGrid w:val="0"/>
          <w:color w:val="auto"/>
          <w:kern w:val="0"/>
          <w:sz w:val="24"/>
        </w:rPr>
        <w:t>。</w:t>
      </w:r>
    </w:p>
    <w:p>
      <w:pPr>
        <w:adjustRightInd w:val="0"/>
        <w:snapToGrid w:val="0"/>
        <w:spacing w:line="360" w:lineRule="auto"/>
        <w:ind w:firstLine="480"/>
        <w:jc w:val="center"/>
        <w:rPr>
          <w:rFonts w:hint="default" w:ascii="Times New Roman" w:hAnsi="Times New Roman" w:cs="Times New Roman"/>
        </w:rPr>
      </w:pPr>
      <w:r>
        <w:rPr>
          <w:rFonts w:hint="default" w:ascii="Times New Roman" w:hAnsi="Times New Roman" w:cs="Times New Roman"/>
          <w:b/>
          <w:bCs/>
          <w:sz w:val="24"/>
        </w:rPr>
        <w:t>表2.3-</w:t>
      </w:r>
      <w:r>
        <w:rPr>
          <w:rFonts w:hint="eastAsia" w:cs="Times New Roman"/>
          <w:b/>
          <w:bCs/>
          <w:sz w:val="24"/>
          <w:lang w:val="en-US" w:eastAsia="zh-CN"/>
        </w:rPr>
        <w:t>4</w:t>
      </w:r>
      <w:r>
        <w:rPr>
          <w:rFonts w:hint="default" w:ascii="Times New Roman" w:hAnsi="Times New Roman" w:cs="Times New Roman"/>
          <w:b/>
          <w:bCs/>
          <w:sz w:val="24"/>
        </w:rPr>
        <w:t xml:space="preserve">   运营各预测年各车型平均辐射声级   单位：dB（A）</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016"/>
        <w:gridCol w:w="1159"/>
        <w:gridCol w:w="1161"/>
        <w:gridCol w:w="1159"/>
        <w:gridCol w:w="1161"/>
        <w:gridCol w:w="1159"/>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03" w:type="pct"/>
            <w:vMerge w:val="restart"/>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道路等级</w:t>
            </w:r>
          </w:p>
        </w:tc>
        <w:tc>
          <w:tcPr>
            <w:tcW w:w="547" w:type="pct"/>
            <w:vMerge w:val="restart"/>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车型</w:t>
            </w:r>
          </w:p>
        </w:tc>
        <w:tc>
          <w:tcPr>
            <w:tcW w:w="1249" w:type="pct"/>
            <w:gridSpan w:val="2"/>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2024年</w:t>
            </w:r>
          </w:p>
        </w:tc>
        <w:tc>
          <w:tcPr>
            <w:tcW w:w="1249" w:type="pct"/>
            <w:gridSpan w:val="2"/>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2030年</w:t>
            </w:r>
          </w:p>
        </w:tc>
        <w:tc>
          <w:tcPr>
            <w:tcW w:w="1249" w:type="pct"/>
            <w:gridSpan w:val="2"/>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2038年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703" w:type="pct"/>
            <w:vMerge w:val="continue"/>
            <w:vAlign w:val="center"/>
          </w:tcPr>
          <w:p>
            <w:pPr>
              <w:widowControl/>
              <w:jc w:val="center"/>
              <w:rPr>
                <w:rFonts w:hint="default" w:ascii="Times New Roman" w:hAnsi="Times New Roman" w:cs="Times New Roman"/>
                <w:b/>
                <w:bCs/>
                <w:kern w:val="0"/>
                <w:szCs w:val="21"/>
              </w:rPr>
            </w:pPr>
          </w:p>
        </w:tc>
        <w:tc>
          <w:tcPr>
            <w:tcW w:w="547" w:type="pct"/>
            <w:vMerge w:val="continue"/>
            <w:vAlign w:val="center"/>
          </w:tcPr>
          <w:p>
            <w:pPr>
              <w:widowControl/>
              <w:jc w:val="center"/>
              <w:rPr>
                <w:rFonts w:hint="default" w:ascii="Times New Roman" w:hAnsi="Times New Roman" w:cs="Times New Roman"/>
                <w:b/>
                <w:bCs/>
                <w:kern w:val="0"/>
                <w:szCs w:val="21"/>
              </w:rPr>
            </w:pPr>
          </w:p>
        </w:tc>
        <w:tc>
          <w:tcPr>
            <w:tcW w:w="624" w:type="pct"/>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昼间</w:t>
            </w:r>
          </w:p>
        </w:tc>
        <w:tc>
          <w:tcPr>
            <w:tcW w:w="625" w:type="pct"/>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夜间</w:t>
            </w:r>
          </w:p>
        </w:tc>
        <w:tc>
          <w:tcPr>
            <w:tcW w:w="624" w:type="pct"/>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昼间</w:t>
            </w:r>
          </w:p>
        </w:tc>
        <w:tc>
          <w:tcPr>
            <w:tcW w:w="625" w:type="pct"/>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夜间</w:t>
            </w:r>
          </w:p>
        </w:tc>
        <w:tc>
          <w:tcPr>
            <w:tcW w:w="624" w:type="pct"/>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昼间</w:t>
            </w:r>
          </w:p>
        </w:tc>
        <w:tc>
          <w:tcPr>
            <w:tcW w:w="625" w:type="pct"/>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3" w:type="pct"/>
            <w:vMerge w:val="restar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sz w:val="21"/>
                <w:szCs w:val="21"/>
              </w:rPr>
              <w:t>福泽大道</w:t>
            </w:r>
          </w:p>
        </w:tc>
        <w:tc>
          <w:tcPr>
            <w:tcW w:w="547" w:type="pc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小型车</w:t>
            </w:r>
          </w:p>
        </w:tc>
        <w:tc>
          <w:tcPr>
            <w:tcW w:w="1159" w:type="dxa"/>
            <w:vAlign w:val="center"/>
          </w:tcPr>
          <w:p>
            <w:pPr>
              <w:widowControl/>
              <w:jc w:val="center"/>
              <w:textAlignment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 xml:space="preserve">65.8 </w:t>
            </w:r>
          </w:p>
        </w:tc>
        <w:tc>
          <w:tcPr>
            <w:tcW w:w="1161"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65.8 </w:t>
            </w:r>
          </w:p>
        </w:tc>
        <w:tc>
          <w:tcPr>
            <w:tcW w:w="1159"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65.8 </w:t>
            </w:r>
          </w:p>
        </w:tc>
        <w:tc>
          <w:tcPr>
            <w:tcW w:w="1161"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65.8 </w:t>
            </w:r>
          </w:p>
        </w:tc>
        <w:tc>
          <w:tcPr>
            <w:tcW w:w="1159"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65.8 </w:t>
            </w:r>
          </w:p>
        </w:tc>
        <w:tc>
          <w:tcPr>
            <w:tcW w:w="1162"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65.8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3" w:type="pct"/>
            <w:vMerge w:val="continue"/>
            <w:vAlign w:val="center"/>
          </w:tcPr>
          <w:p>
            <w:pPr>
              <w:widowControl/>
              <w:jc w:val="center"/>
              <w:rPr>
                <w:rFonts w:hint="default" w:ascii="Times New Roman" w:hAnsi="Times New Roman" w:cs="Times New Roman"/>
                <w:kern w:val="0"/>
                <w:szCs w:val="21"/>
              </w:rPr>
            </w:pPr>
          </w:p>
        </w:tc>
        <w:tc>
          <w:tcPr>
            <w:tcW w:w="547" w:type="pc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中型车</w:t>
            </w:r>
          </w:p>
        </w:tc>
        <w:tc>
          <w:tcPr>
            <w:tcW w:w="1159" w:type="dxa"/>
            <w:vAlign w:val="center"/>
          </w:tcPr>
          <w:p>
            <w:pPr>
              <w:widowControl/>
              <w:jc w:val="center"/>
              <w:textAlignment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 xml:space="preserve">64.7 </w:t>
            </w:r>
          </w:p>
        </w:tc>
        <w:tc>
          <w:tcPr>
            <w:tcW w:w="1161"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64.7 </w:t>
            </w:r>
          </w:p>
        </w:tc>
        <w:tc>
          <w:tcPr>
            <w:tcW w:w="1159"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64.7 </w:t>
            </w:r>
          </w:p>
        </w:tc>
        <w:tc>
          <w:tcPr>
            <w:tcW w:w="1161"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64.7 </w:t>
            </w:r>
          </w:p>
        </w:tc>
        <w:tc>
          <w:tcPr>
            <w:tcW w:w="1159"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64.7 </w:t>
            </w:r>
          </w:p>
        </w:tc>
        <w:tc>
          <w:tcPr>
            <w:tcW w:w="1162"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64.7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03" w:type="pct"/>
            <w:vMerge w:val="continue"/>
            <w:vAlign w:val="center"/>
          </w:tcPr>
          <w:p>
            <w:pPr>
              <w:widowControl/>
              <w:jc w:val="center"/>
              <w:rPr>
                <w:rFonts w:hint="default" w:ascii="Times New Roman" w:hAnsi="Times New Roman" w:cs="Times New Roman"/>
                <w:kern w:val="0"/>
                <w:szCs w:val="21"/>
              </w:rPr>
            </w:pPr>
          </w:p>
        </w:tc>
        <w:tc>
          <w:tcPr>
            <w:tcW w:w="547" w:type="pct"/>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大型车</w:t>
            </w:r>
          </w:p>
        </w:tc>
        <w:tc>
          <w:tcPr>
            <w:tcW w:w="1159" w:type="dxa"/>
            <w:vAlign w:val="center"/>
          </w:tcPr>
          <w:p>
            <w:pPr>
              <w:widowControl/>
              <w:jc w:val="center"/>
              <w:textAlignment w:val="center"/>
              <w:rPr>
                <w:rFonts w:hint="default" w:ascii="Times New Roman" w:hAnsi="Times New Roman" w:eastAsia="宋体" w:cs="Times New Roman"/>
                <w:kern w:val="0"/>
                <w:szCs w:val="21"/>
              </w:rPr>
            </w:pPr>
            <w:r>
              <w:rPr>
                <w:rFonts w:hint="eastAsia" w:ascii="Times New Roman" w:hAnsi="Times New Roman" w:eastAsia="宋体" w:cs="Times New Roman"/>
                <w:kern w:val="0"/>
                <w:szCs w:val="21"/>
                <w:lang w:val="en-US" w:eastAsia="zh-CN"/>
              </w:rPr>
              <w:t xml:space="preserve">72.1 </w:t>
            </w:r>
          </w:p>
        </w:tc>
        <w:tc>
          <w:tcPr>
            <w:tcW w:w="1161"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72.1 </w:t>
            </w:r>
          </w:p>
        </w:tc>
        <w:tc>
          <w:tcPr>
            <w:tcW w:w="1159"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72.1 </w:t>
            </w:r>
          </w:p>
        </w:tc>
        <w:tc>
          <w:tcPr>
            <w:tcW w:w="1161"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72.1 </w:t>
            </w:r>
          </w:p>
        </w:tc>
        <w:tc>
          <w:tcPr>
            <w:tcW w:w="1159"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72.1 </w:t>
            </w:r>
          </w:p>
        </w:tc>
        <w:tc>
          <w:tcPr>
            <w:tcW w:w="1162" w:type="dxa"/>
            <w:vAlign w:val="center"/>
          </w:tcPr>
          <w:p>
            <w:pPr>
              <w:widowControl/>
              <w:jc w:val="center"/>
              <w:textAlignment w:val="center"/>
              <w:rPr>
                <w:rFonts w:hint="default" w:ascii="Times New Roman" w:hAnsi="Times New Roman" w:cs="Times New Roman"/>
                <w:kern w:val="0"/>
                <w:szCs w:val="21"/>
              </w:rPr>
            </w:pPr>
            <w:r>
              <w:rPr>
                <w:rFonts w:hint="eastAsia" w:ascii="Times New Roman" w:hAnsi="Times New Roman" w:eastAsia="宋体" w:cs="Times New Roman"/>
                <w:kern w:val="0"/>
                <w:szCs w:val="21"/>
                <w:lang w:val="en-US" w:eastAsia="zh-CN"/>
              </w:rPr>
              <w:t xml:space="preserve">72.1 </w:t>
            </w:r>
          </w:p>
        </w:tc>
      </w:tr>
    </w:tbl>
    <w:p>
      <w:pPr>
        <w:keepNext/>
        <w:keepLines/>
        <w:spacing w:line="360" w:lineRule="auto"/>
        <w:outlineLvl w:val="0"/>
        <w:rPr>
          <w:rFonts w:hint="default" w:ascii="Times New Roman" w:hAnsi="Times New Roman" w:eastAsia="黑体" w:cs="Times New Roman"/>
          <w:b/>
          <w:bCs/>
          <w:snapToGrid w:val="0"/>
          <w:kern w:val="0"/>
          <w:sz w:val="30"/>
          <w:szCs w:val="30"/>
        </w:rPr>
      </w:pPr>
      <w:bookmarkStart w:id="228" w:name="_Toc10654"/>
      <w:bookmarkStart w:id="229" w:name="_Toc30867"/>
      <w:r>
        <w:rPr>
          <w:rFonts w:hint="default" w:ascii="Times New Roman" w:hAnsi="Times New Roman" w:eastAsia="黑体" w:cs="Times New Roman"/>
          <w:b/>
          <w:bCs/>
          <w:snapToGrid w:val="0"/>
          <w:kern w:val="0"/>
          <w:sz w:val="30"/>
          <w:szCs w:val="30"/>
        </w:rPr>
        <w:br w:type="page"/>
      </w:r>
      <w:bookmarkStart w:id="230" w:name="_Toc774"/>
      <w:bookmarkStart w:id="231" w:name="_Toc23806"/>
      <w:r>
        <w:rPr>
          <w:rFonts w:hint="default" w:ascii="Times New Roman" w:hAnsi="Times New Roman" w:eastAsia="宋体" w:cs="Times New Roman"/>
          <w:b/>
          <w:bCs/>
          <w:kern w:val="44"/>
          <w:sz w:val="32"/>
        </w:rPr>
        <w:t>3 环境质量现状调查</w:t>
      </w:r>
      <w:bookmarkEnd w:id="228"/>
      <w:bookmarkEnd w:id="229"/>
      <w:bookmarkEnd w:id="230"/>
      <w:bookmarkEnd w:id="231"/>
    </w:p>
    <w:p>
      <w:pPr>
        <w:keepNext/>
        <w:keepLines/>
        <w:spacing w:line="360" w:lineRule="auto"/>
        <w:outlineLvl w:val="1"/>
        <w:rPr>
          <w:rFonts w:hint="default" w:ascii="Times New Roman" w:hAnsi="Times New Roman" w:eastAsia="宋体" w:cs="Times New Roman"/>
          <w:b/>
          <w:bCs/>
          <w:sz w:val="30"/>
          <w:szCs w:val="30"/>
          <w:lang w:eastAsia="zh-CN"/>
        </w:rPr>
      </w:pPr>
      <w:bookmarkStart w:id="232" w:name="_Toc19863"/>
      <w:bookmarkStart w:id="233" w:name="_Toc9419"/>
      <w:bookmarkStart w:id="234" w:name="_Toc22002"/>
      <w:r>
        <w:rPr>
          <w:rFonts w:hint="default" w:ascii="Times New Roman" w:hAnsi="Times New Roman" w:eastAsia="宋体" w:cs="Times New Roman"/>
          <w:b/>
          <w:bCs/>
          <w:sz w:val="30"/>
          <w:szCs w:val="30"/>
        </w:rPr>
        <w:t xml:space="preserve">3.1 </w:t>
      </w:r>
      <w:r>
        <w:rPr>
          <w:rFonts w:hint="default" w:ascii="Times New Roman" w:hAnsi="Times New Roman" w:eastAsia="宋体" w:cs="Times New Roman"/>
          <w:b/>
          <w:bCs/>
          <w:sz w:val="30"/>
          <w:szCs w:val="30"/>
          <w:lang w:val="en-US" w:eastAsia="zh-CN"/>
        </w:rPr>
        <w:t>地形地貌</w:t>
      </w:r>
      <w:bookmarkEnd w:id="232"/>
      <w:bookmarkEnd w:id="233"/>
    </w:p>
    <w:p>
      <w:pPr>
        <w:adjustRightInd w:val="0"/>
        <w:snapToGrid w:val="0"/>
        <w:spacing w:line="360" w:lineRule="auto"/>
        <w:ind w:firstLine="480" w:firstLineChars="200"/>
        <w:jc w:val="left"/>
        <w:rPr>
          <w:rFonts w:ascii="Times New Roman" w:hAnsi="Times New Roman" w:eastAsia="宋体" w:cs="Times New Roman"/>
          <w:color w:val="auto"/>
          <w:kern w:val="0"/>
          <w:sz w:val="24"/>
          <w:lang w:val="zh-CN"/>
        </w:rPr>
      </w:pPr>
      <w:r>
        <w:rPr>
          <w:rFonts w:hint="eastAsia" w:ascii="Times New Roman" w:hAnsi="Times New Roman" w:eastAsia="宋体" w:cs="Times New Roman"/>
          <w:color w:val="auto"/>
          <w:kern w:val="0"/>
          <w:sz w:val="24"/>
          <w:lang w:val="en-US" w:eastAsia="zh-CN"/>
        </w:rPr>
        <w:t>根据本项目《岩土工程勘察报告》，项目</w:t>
      </w:r>
      <w:r>
        <w:rPr>
          <w:rFonts w:ascii="Times New Roman" w:hAnsi="Times New Roman" w:eastAsia="宋体" w:cs="Times New Roman"/>
          <w:color w:val="auto"/>
          <w:kern w:val="0"/>
          <w:sz w:val="24"/>
          <w:lang w:val="zh-CN"/>
        </w:rPr>
        <w:t>位于</w:t>
      </w:r>
      <w:r>
        <w:rPr>
          <w:rFonts w:hint="default" w:ascii="Times New Roman" w:hAnsi="Times New Roman" w:eastAsia="宋体" w:cs="Times New Roman"/>
          <w:color w:val="auto"/>
          <w:kern w:val="0"/>
          <w:sz w:val="24"/>
          <w:lang w:val="zh-CN"/>
        </w:rPr>
        <w:t>福清市</w:t>
      </w:r>
      <w:r>
        <w:rPr>
          <w:rFonts w:hint="eastAsia" w:ascii="Times New Roman" w:hAnsi="Times New Roman" w:eastAsia="宋体" w:cs="Times New Roman"/>
          <w:color w:val="auto"/>
          <w:kern w:val="0"/>
          <w:sz w:val="24"/>
          <w:lang w:val="en-US" w:eastAsia="zh-CN"/>
        </w:rPr>
        <w:t>龙山街道、海口镇，福清市东部新城组团，</w:t>
      </w:r>
      <w:r>
        <w:rPr>
          <w:rFonts w:ascii="Times New Roman" w:hAnsi="Times New Roman" w:eastAsia="宋体" w:cs="Times New Roman"/>
          <w:color w:val="auto"/>
          <w:kern w:val="0"/>
          <w:sz w:val="24"/>
          <w:lang w:val="en-US" w:eastAsia="zh-CN"/>
        </w:rPr>
        <w:t>本项目场地原始地貌属山前冲洪积平原地貌单元，但因建设开发，原始地形已不复存在。根据场地现状地形，现场地地面标高为</w:t>
      </w:r>
      <w:r>
        <w:rPr>
          <w:rFonts w:hint="default" w:ascii="Times New Roman" w:hAnsi="Times New Roman" w:eastAsia="宋体" w:cs="Times New Roman"/>
          <w:color w:val="auto"/>
          <w:kern w:val="0"/>
          <w:sz w:val="24"/>
          <w:lang w:val="en-US" w:eastAsia="zh-CN"/>
        </w:rPr>
        <w:t>15.89</w:t>
      </w:r>
      <w:r>
        <w:rPr>
          <w:rFonts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35.21m</w:t>
      </w:r>
      <w:r>
        <w:rPr>
          <w:rFonts w:ascii="Times New Roman" w:hAnsi="Times New Roman" w:eastAsia="宋体" w:cs="Times New Roman"/>
          <w:color w:val="auto"/>
          <w:kern w:val="0"/>
          <w:sz w:val="24"/>
          <w:lang w:val="en-US" w:eastAsia="zh-CN"/>
        </w:rPr>
        <w:t>，场地地势呈南低北高，地面坡度约</w:t>
      </w:r>
      <w:r>
        <w:rPr>
          <w:rFonts w:hint="default" w:ascii="Times New Roman" w:hAnsi="Times New Roman" w:eastAsia="宋体" w:cs="Times New Roman"/>
          <w:color w:val="auto"/>
          <w:kern w:val="0"/>
          <w:sz w:val="24"/>
          <w:lang w:val="en-US" w:eastAsia="zh-CN"/>
        </w:rPr>
        <w:t>3</w:t>
      </w:r>
      <w:r>
        <w:rPr>
          <w:rFonts w:ascii="Times New Roman" w:hAnsi="Times New Roman" w:eastAsia="宋体"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5°</w:t>
      </w:r>
      <w:r>
        <w:rPr>
          <w:rFonts w:ascii="Times New Roman" w:hAnsi="Times New Roman" w:eastAsia="宋体" w:cs="Times New Roman"/>
          <w:color w:val="auto"/>
          <w:kern w:val="0"/>
          <w:sz w:val="24"/>
          <w:lang w:val="en-US" w:eastAsia="zh-CN"/>
        </w:rPr>
        <w:t>。场地原地貌主要为菜地、农田、耕植地、果树林、灌溉使用的水渠及自然山地等。</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根据钻探揭露，场地覆盖层主要有人工填土层（</w:t>
      </w:r>
      <w:r>
        <w:rPr>
          <w:rFonts w:hint="default" w:ascii="Times New Roman" w:hAnsi="Times New Roman" w:eastAsia="宋体" w:cs="Times New Roman"/>
          <w:color w:val="auto"/>
          <w:kern w:val="0"/>
          <w:sz w:val="24"/>
          <w:lang w:val="en-US" w:eastAsia="zh-CN"/>
        </w:rPr>
        <w:t>Q</w:t>
      </w:r>
      <w:r>
        <w:rPr>
          <w:rFonts w:hint="default" w:ascii="Times New Roman" w:hAnsi="Times New Roman" w:eastAsia="宋体" w:cs="Times New Roman"/>
          <w:color w:val="auto"/>
          <w:kern w:val="0"/>
          <w:sz w:val="24"/>
          <w:vertAlign w:val="subscript"/>
          <w:lang w:val="en-US" w:eastAsia="zh-CN"/>
        </w:rPr>
        <w:t>4</w:t>
      </w:r>
      <w:r>
        <w:rPr>
          <w:rFonts w:hint="default" w:ascii="Times New Roman" w:hAnsi="Times New Roman" w:eastAsia="宋体" w:cs="Times New Roman"/>
          <w:color w:val="auto"/>
          <w:kern w:val="0"/>
          <w:sz w:val="24"/>
          <w:vertAlign w:val="superscript"/>
          <w:lang w:val="en-US" w:eastAsia="zh-CN"/>
        </w:rPr>
        <w:t>ml</w:t>
      </w:r>
      <w:r>
        <w:rPr>
          <w:rFonts w:hint="eastAsia" w:ascii="Times New Roman" w:hAnsi="Times New Roman" w:eastAsia="宋体" w:cs="Times New Roman"/>
          <w:color w:val="auto"/>
          <w:kern w:val="0"/>
          <w:sz w:val="24"/>
          <w:lang w:val="en-US" w:eastAsia="zh-CN"/>
        </w:rPr>
        <w:t>）素填土层，第四系冲洪积层（</w:t>
      </w:r>
      <w:r>
        <w:rPr>
          <w:rFonts w:hint="default" w:ascii="Times New Roman" w:hAnsi="Times New Roman" w:eastAsia="宋体" w:cs="Times New Roman"/>
          <w:color w:val="auto"/>
          <w:kern w:val="0"/>
          <w:sz w:val="24"/>
          <w:lang w:val="en-US" w:eastAsia="zh-CN"/>
        </w:rPr>
        <w:t>Q</w:t>
      </w:r>
      <w:r>
        <w:rPr>
          <w:rFonts w:hint="default" w:ascii="Times New Roman" w:hAnsi="Times New Roman" w:eastAsia="宋体" w:cs="Times New Roman"/>
          <w:color w:val="auto"/>
          <w:kern w:val="0"/>
          <w:sz w:val="24"/>
          <w:vertAlign w:val="subscript"/>
          <w:lang w:val="en-US" w:eastAsia="zh-CN"/>
        </w:rPr>
        <w:t xml:space="preserve">4 </w:t>
      </w:r>
      <w:r>
        <w:rPr>
          <w:rFonts w:hint="default" w:ascii="Times New Roman" w:hAnsi="Times New Roman" w:eastAsia="宋体" w:cs="Times New Roman"/>
          <w:color w:val="auto"/>
          <w:kern w:val="0"/>
          <w:sz w:val="24"/>
          <w:vertAlign w:val="superscript"/>
          <w:lang w:val="en-US" w:eastAsia="zh-CN"/>
        </w:rPr>
        <w:t>al+pl</w:t>
      </w:r>
      <w:r>
        <w:rPr>
          <w:rFonts w:hint="eastAsia" w:ascii="Times New Roman" w:hAnsi="Times New Roman" w:eastAsia="宋体" w:cs="Times New Roman"/>
          <w:color w:val="auto"/>
          <w:kern w:val="0"/>
          <w:sz w:val="24"/>
          <w:lang w:val="en-US" w:eastAsia="zh-CN"/>
        </w:rPr>
        <w:t>）粉质黏土、卵石及碎石层，第四系坡积成因（</w:t>
      </w:r>
      <w:r>
        <w:rPr>
          <w:rFonts w:hint="default" w:ascii="Times New Roman" w:hAnsi="Times New Roman" w:eastAsia="宋体" w:cs="Times New Roman"/>
          <w:color w:val="auto"/>
          <w:kern w:val="0"/>
          <w:sz w:val="24"/>
          <w:lang w:val="en-US" w:eastAsia="zh-CN"/>
        </w:rPr>
        <w:t>Q</w:t>
      </w:r>
      <w:r>
        <w:rPr>
          <w:rFonts w:hint="default" w:ascii="Times New Roman" w:hAnsi="Times New Roman" w:eastAsia="宋体" w:cs="Times New Roman"/>
          <w:color w:val="auto"/>
          <w:kern w:val="0"/>
          <w:sz w:val="24"/>
          <w:vertAlign w:val="subscript"/>
          <w:lang w:val="en-US" w:eastAsia="zh-CN"/>
        </w:rPr>
        <w:t xml:space="preserve">4 </w:t>
      </w:r>
      <w:r>
        <w:rPr>
          <w:rFonts w:hint="default" w:ascii="Times New Roman" w:hAnsi="Times New Roman" w:eastAsia="宋体" w:cs="Times New Roman"/>
          <w:color w:val="auto"/>
          <w:kern w:val="0"/>
          <w:sz w:val="24"/>
          <w:vertAlign w:val="superscript"/>
          <w:lang w:val="en-US" w:eastAsia="zh-CN"/>
        </w:rPr>
        <w:t>dll</w:t>
      </w:r>
      <w:r>
        <w:rPr>
          <w:rFonts w:hint="eastAsia" w:ascii="Times New Roman" w:hAnsi="Times New Roman" w:eastAsia="宋体" w:cs="Times New Roman"/>
          <w:color w:val="auto"/>
          <w:kern w:val="0"/>
          <w:sz w:val="24"/>
          <w:lang w:val="en-US" w:eastAsia="zh-CN"/>
        </w:rPr>
        <w:t>）粉质黏土，下部为南园群小溪组凝灰岩类岩石及风化层（</w:t>
      </w:r>
      <w:r>
        <w:rPr>
          <w:rFonts w:hint="default" w:ascii="Times New Roman" w:hAnsi="Times New Roman" w:eastAsia="宋体" w:cs="Times New Roman"/>
          <w:color w:val="auto"/>
          <w:kern w:val="0"/>
          <w:sz w:val="24"/>
          <w:lang w:val="en-US" w:eastAsia="zh-CN"/>
        </w:rPr>
        <w:t>J</w:t>
      </w:r>
      <w:r>
        <w:rPr>
          <w:rFonts w:hint="default" w:ascii="Times New Roman" w:hAnsi="Times New Roman" w:eastAsia="宋体" w:cs="Times New Roman"/>
          <w:color w:val="auto"/>
          <w:kern w:val="0"/>
          <w:sz w:val="24"/>
          <w:vertAlign w:val="subscript"/>
          <w:lang w:val="en-US" w:eastAsia="zh-CN"/>
        </w:rPr>
        <w:t>3</w:t>
      </w:r>
      <w:r>
        <w:rPr>
          <w:rFonts w:hint="eastAsia" w:ascii="Times New Roman" w:hAnsi="Times New Roman" w:eastAsia="宋体" w:cs="Times New Roman"/>
          <w:color w:val="auto"/>
          <w:kern w:val="0"/>
          <w:sz w:val="24"/>
          <w:lang w:val="en-US" w:eastAsia="zh-CN"/>
        </w:rPr>
        <w:t>）。</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国标《中国地震动参数区划图》(GB18306-2001)福建省区域划一览表，本区场地抗震设防烈度为7度，基本地震动峰值加速度为0.10g，设计地震分组为第三组。建筑设防类别为丙类。场地及邻近地区全新世以来未见活动断裂，场地较稳定，可作为建设用地。</w:t>
      </w:r>
    </w:p>
    <w:p>
      <w:pPr>
        <w:pStyle w:val="7"/>
        <w:spacing w:line="360" w:lineRule="auto"/>
        <w:ind w:firstLine="0"/>
        <w:outlineLvl w:val="1"/>
        <w:rPr>
          <w:rFonts w:hint="default" w:ascii="Times New Roman" w:hAnsi="Times New Roman" w:eastAsia="宋体" w:cs="Times New Roman"/>
          <w:b/>
          <w:bCs/>
          <w:snapToGrid w:val="0"/>
          <w:color w:val="auto"/>
          <w:kern w:val="0"/>
          <w:sz w:val="30"/>
          <w:szCs w:val="30"/>
          <w:lang w:val="en-US" w:eastAsia="zh-CN"/>
        </w:rPr>
      </w:pPr>
      <w:bookmarkStart w:id="235" w:name="_Toc17857"/>
      <w:bookmarkStart w:id="236" w:name="_Toc25725"/>
      <w:r>
        <w:rPr>
          <w:rFonts w:hint="default" w:ascii="Times New Roman" w:hAnsi="Times New Roman" w:eastAsia="宋体" w:cs="Times New Roman"/>
          <w:b/>
          <w:bCs/>
          <w:snapToGrid w:val="0"/>
          <w:color w:val="auto"/>
          <w:kern w:val="0"/>
          <w:sz w:val="30"/>
          <w:szCs w:val="30"/>
        </w:rPr>
        <w:t>3.</w:t>
      </w:r>
      <w:r>
        <w:rPr>
          <w:rFonts w:hint="eastAsia" w:ascii="Times New Roman" w:hAnsi="Times New Roman" w:eastAsia="宋体" w:cs="Times New Roman"/>
          <w:b/>
          <w:bCs/>
          <w:snapToGrid w:val="0"/>
          <w:color w:val="auto"/>
          <w:kern w:val="0"/>
          <w:sz w:val="30"/>
          <w:szCs w:val="30"/>
          <w:lang w:val="en-US" w:eastAsia="zh-CN"/>
        </w:rPr>
        <w:t>2</w:t>
      </w:r>
      <w:r>
        <w:rPr>
          <w:rFonts w:hint="default" w:ascii="Times New Roman" w:hAnsi="Times New Roman" w:eastAsia="宋体" w:cs="Times New Roman"/>
          <w:b/>
          <w:bCs/>
          <w:snapToGrid w:val="0"/>
          <w:color w:val="auto"/>
          <w:kern w:val="0"/>
          <w:sz w:val="30"/>
          <w:szCs w:val="30"/>
        </w:rPr>
        <w:t xml:space="preserve"> </w:t>
      </w:r>
      <w:r>
        <w:rPr>
          <w:rFonts w:hint="eastAsia" w:ascii="Times New Roman" w:hAnsi="Times New Roman" w:eastAsia="宋体" w:cs="Times New Roman"/>
          <w:b/>
          <w:bCs/>
          <w:snapToGrid w:val="0"/>
          <w:color w:val="auto"/>
          <w:kern w:val="0"/>
          <w:sz w:val="30"/>
          <w:szCs w:val="30"/>
          <w:lang w:val="en-US" w:eastAsia="zh-CN"/>
        </w:rPr>
        <w:t>周边主要声源调查</w:t>
      </w:r>
      <w:bookmarkEnd w:id="235"/>
      <w:bookmarkEnd w:id="236"/>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rPr>
      </w:pPr>
      <w:r>
        <w:rPr>
          <w:rFonts w:hint="eastAsia" w:cs="Times New Roman"/>
          <w:color w:val="auto"/>
          <w:kern w:val="0"/>
          <w:sz w:val="24"/>
          <w:lang w:val="en-US" w:eastAsia="zh-CN"/>
        </w:rPr>
        <w:t>项目清繁大道至纬二路段左右地块正在建设福清市体育会展中心，现状主要为施工噪声，项目纬二路至纬一路段左右地块为农田、荒地、花卉种植基地等，有人群社会活动噪声</w:t>
      </w:r>
      <w:r>
        <w:rPr>
          <w:rFonts w:hint="eastAsia" w:ascii="Times New Roman" w:hAnsi="Times New Roman" w:eastAsia="宋体" w:cs="Times New Roman"/>
          <w:color w:val="auto"/>
          <w:kern w:val="0"/>
          <w:sz w:val="24"/>
          <w:lang w:val="en-US" w:eastAsia="zh-CN"/>
        </w:rPr>
        <w:t>。</w:t>
      </w:r>
    </w:p>
    <w:p>
      <w:pPr>
        <w:pStyle w:val="7"/>
        <w:spacing w:line="360" w:lineRule="auto"/>
        <w:ind w:firstLine="0"/>
        <w:outlineLvl w:val="1"/>
        <w:rPr>
          <w:rFonts w:hint="default" w:eastAsia="宋体"/>
          <w:b/>
          <w:bCs/>
          <w:color w:val="auto"/>
          <w:lang w:val="en-US" w:eastAsia="zh-CN"/>
        </w:rPr>
      </w:pPr>
      <w:bookmarkStart w:id="237" w:name="_Toc23878"/>
      <w:bookmarkStart w:id="238" w:name="_Toc32641"/>
      <w:r>
        <w:rPr>
          <w:rFonts w:eastAsia="黑体"/>
          <w:b/>
          <w:bCs/>
          <w:snapToGrid w:val="0"/>
          <w:color w:val="auto"/>
          <w:kern w:val="0"/>
          <w:sz w:val="30"/>
          <w:szCs w:val="30"/>
        </w:rPr>
        <w:t>3.</w:t>
      </w:r>
      <w:r>
        <w:rPr>
          <w:rFonts w:hint="eastAsia" w:eastAsia="黑体"/>
          <w:b/>
          <w:bCs/>
          <w:snapToGrid w:val="0"/>
          <w:color w:val="auto"/>
          <w:kern w:val="0"/>
          <w:sz w:val="30"/>
          <w:szCs w:val="30"/>
          <w:lang w:val="en-US" w:eastAsia="zh-CN"/>
        </w:rPr>
        <w:t>3</w:t>
      </w:r>
      <w:r>
        <w:rPr>
          <w:rFonts w:eastAsia="黑体"/>
          <w:b/>
          <w:bCs/>
          <w:snapToGrid w:val="0"/>
          <w:color w:val="auto"/>
          <w:kern w:val="0"/>
          <w:sz w:val="30"/>
          <w:szCs w:val="30"/>
        </w:rPr>
        <w:t xml:space="preserve"> </w:t>
      </w:r>
      <w:r>
        <w:rPr>
          <w:b/>
          <w:bCs/>
          <w:snapToGrid w:val="0"/>
          <w:color w:val="auto"/>
          <w:kern w:val="0"/>
          <w:sz w:val="30"/>
          <w:szCs w:val="30"/>
        </w:rPr>
        <w:t>声环境</w:t>
      </w:r>
      <w:r>
        <w:rPr>
          <w:rFonts w:hint="eastAsia"/>
          <w:b/>
          <w:bCs/>
          <w:snapToGrid w:val="0"/>
          <w:color w:val="auto"/>
          <w:kern w:val="0"/>
          <w:sz w:val="30"/>
          <w:szCs w:val="30"/>
        </w:rPr>
        <w:t>质量</w:t>
      </w:r>
      <w:r>
        <w:rPr>
          <w:b/>
          <w:bCs/>
          <w:snapToGrid w:val="0"/>
          <w:color w:val="auto"/>
          <w:kern w:val="0"/>
          <w:sz w:val="30"/>
          <w:szCs w:val="30"/>
        </w:rPr>
        <w:t>现状监测</w:t>
      </w:r>
      <w:r>
        <w:rPr>
          <w:rFonts w:hint="eastAsia"/>
          <w:b/>
          <w:bCs/>
          <w:snapToGrid w:val="0"/>
          <w:color w:val="auto"/>
          <w:kern w:val="0"/>
          <w:sz w:val="30"/>
          <w:szCs w:val="30"/>
          <w:lang w:val="en-US" w:eastAsia="zh-CN"/>
        </w:rPr>
        <w:t>与评价</w:t>
      </w:r>
      <w:bookmarkEnd w:id="237"/>
      <w:bookmarkEnd w:id="238"/>
    </w:p>
    <w:bookmarkEnd w:id="234"/>
    <w:p>
      <w:pPr>
        <w:adjustRightInd w:val="0"/>
        <w:snapToGrid w:val="0"/>
        <w:spacing w:line="360" w:lineRule="auto"/>
        <w:ind w:firstLine="480" w:firstLineChars="200"/>
        <w:jc w:val="left"/>
        <w:rPr>
          <w:color w:val="auto"/>
          <w:kern w:val="0"/>
          <w:sz w:val="24"/>
          <w:lang w:val="zh-CN"/>
        </w:rPr>
      </w:pPr>
      <w:r>
        <w:rPr>
          <w:color w:val="auto"/>
          <w:kern w:val="0"/>
          <w:sz w:val="24"/>
          <w:lang w:val="zh-CN"/>
        </w:rPr>
        <w:t>为了解区域声环境</w:t>
      </w:r>
      <w:r>
        <w:rPr>
          <w:rFonts w:hint="eastAsia"/>
          <w:color w:val="auto"/>
          <w:kern w:val="0"/>
          <w:sz w:val="24"/>
        </w:rPr>
        <w:t>质量</w:t>
      </w:r>
      <w:r>
        <w:rPr>
          <w:color w:val="auto"/>
          <w:kern w:val="0"/>
          <w:sz w:val="24"/>
          <w:lang w:val="zh-CN"/>
        </w:rPr>
        <w:t>现状，本评价</w:t>
      </w:r>
      <w:r>
        <w:rPr>
          <w:rFonts w:hint="eastAsia"/>
          <w:color w:val="auto"/>
          <w:kern w:val="0"/>
          <w:sz w:val="24"/>
        </w:rPr>
        <w:t>单</w:t>
      </w:r>
      <w:r>
        <w:rPr>
          <w:rFonts w:hint="eastAsia" w:ascii="Times New Roman" w:hAnsi="Times New Roman" w:eastAsia="宋体" w:cs="Times New Roman"/>
          <w:color w:val="auto"/>
          <w:kern w:val="0"/>
          <w:sz w:val="24"/>
          <w:lang w:val="zh-CN"/>
        </w:rPr>
        <w:t>位委托</w:t>
      </w:r>
      <w:r>
        <w:rPr>
          <w:rFonts w:hint="eastAsia" w:cs="Times New Roman"/>
          <w:color w:val="auto"/>
          <w:kern w:val="0"/>
          <w:sz w:val="24"/>
          <w:lang w:val="en-US" w:eastAsia="zh-CN"/>
        </w:rPr>
        <w:t>福建创投环境检测</w:t>
      </w:r>
      <w:r>
        <w:rPr>
          <w:rFonts w:hint="default" w:ascii="Times New Roman" w:hAnsi="Times New Roman" w:eastAsia="宋体" w:cs="Times New Roman"/>
          <w:color w:val="auto"/>
          <w:kern w:val="0"/>
          <w:sz w:val="24"/>
          <w:lang w:val="zh-CN"/>
        </w:rPr>
        <w:t>有限公司</w:t>
      </w:r>
      <w:r>
        <w:rPr>
          <w:color w:val="auto"/>
          <w:kern w:val="0"/>
          <w:sz w:val="24"/>
          <w:lang w:val="zh-CN"/>
        </w:rPr>
        <w:t>于202</w:t>
      </w:r>
      <w:r>
        <w:rPr>
          <w:rFonts w:hint="eastAsia"/>
          <w:color w:val="auto"/>
          <w:kern w:val="0"/>
          <w:sz w:val="24"/>
          <w:lang w:val="en-US" w:eastAsia="zh-CN"/>
        </w:rPr>
        <w:t>4</w:t>
      </w:r>
      <w:r>
        <w:rPr>
          <w:color w:val="auto"/>
          <w:kern w:val="0"/>
          <w:sz w:val="24"/>
          <w:lang w:val="zh-CN"/>
        </w:rPr>
        <w:t>年</w:t>
      </w:r>
      <w:r>
        <w:rPr>
          <w:rFonts w:hint="eastAsia"/>
          <w:color w:val="auto"/>
          <w:kern w:val="0"/>
          <w:sz w:val="24"/>
          <w:lang w:val="en-US" w:eastAsia="zh-CN"/>
        </w:rPr>
        <w:t>12</w:t>
      </w:r>
      <w:r>
        <w:rPr>
          <w:color w:val="auto"/>
          <w:kern w:val="0"/>
          <w:sz w:val="24"/>
          <w:lang w:val="zh-CN"/>
        </w:rPr>
        <w:t>月</w:t>
      </w:r>
      <w:r>
        <w:rPr>
          <w:rFonts w:hint="eastAsia"/>
          <w:color w:val="auto"/>
          <w:kern w:val="0"/>
          <w:sz w:val="24"/>
        </w:rPr>
        <w:t>1</w:t>
      </w:r>
      <w:r>
        <w:rPr>
          <w:rFonts w:hint="eastAsia"/>
          <w:color w:val="auto"/>
          <w:kern w:val="0"/>
          <w:sz w:val="24"/>
          <w:lang w:val="en-US" w:eastAsia="zh-CN"/>
        </w:rPr>
        <w:t>2</w:t>
      </w:r>
      <w:r>
        <w:rPr>
          <w:color w:val="auto"/>
          <w:kern w:val="0"/>
          <w:sz w:val="24"/>
          <w:lang w:val="zh-CN"/>
        </w:rPr>
        <w:t>日</w:t>
      </w:r>
      <w:r>
        <w:rPr>
          <w:rFonts w:hint="eastAsia"/>
          <w:color w:val="auto"/>
          <w:kern w:val="0"/>
          <w:sz w:val="24"/>
          <w:lang w:val="zh-CN"/>
        </w:rPr>
        <w:t>对</w:t>
      </w:r>
      <w:r>
        <w:rPr>
          <w:rFonts w:hint="eastAsia"/>
          <w:color w:val="auto"/>
          <w:kern w:val="0"/>
          <w:sz w:val="24"/>
        </w:rPr>
        <w:t>本项目</w:t>
      </w:r>
      <w:r>
        <w:rPr>
          <w:color w:val="auto"/>
          <w:kern w:val="0"/>
          <w:sz w:val="24"/>
          <w:lang w:val="zh-CN"/>
        </w:rPr>
        <w:t>沿线</w:t>
      </w:r>
      <w:r>
        <w:rPr>
          <w:rFonts w:hint="eastAsia"/>
          <w:color w:val="auto"/>
          <w:kern w:val="0"/>
          <w:sz w:val="24"/>
          <w:lang w:val="en-US" w:eastAsia="zh-CN"/>
        </w:rPr>
        <w:t>声环境</w:t>
      </w:r>
      <w:r>
        <w:rPr>
          <w:color w:val="auto"/>
          <w:kern w:val="0"/>
          <w:sz w:val="24"/>
          <w:lang w:val="zh-CN"/>
        </w:rPr>
        <w:t>现状进行</w:t>
      </w:r>
      <w:r>
        <w:rPr>
          <w:rFonts w:hint="eastAsia"/>
          <w:color w:val="auto"/>
          <w:kern w:val="0"/>
          <w:sz w:val="24"/>
          <w:lang w:val="en-US" w:eastAsia="zh-CN"/>
        </w:rPr>
        <w:t>监测</w:t>
      </w:r>
      <w:r>
        <w:rPr>
          <w:color w:val="auto"/>
          <w:kern w:val="0"/>
          <w:sz w:val="24"/>
          <w:lang w:val="zh-CN"/>
        </w:rPr>
        <w:t>，监测点位详见</w:t>
      </w:r>
      <w:r>
        <w:rPr>
          <w:rFonts w:hint="eastAsia"/>
          <w:b/>
          <w:bCs/>
          <w:color w:val="auto"/>
          <w:kern w:val="0"/>
          <w:sz w:val="24"/>
          <w:lang w:val="en-US" w:eastAsia="zh-CN"/>
        </w:rPr>
        <w:t>附图13</w:t>
      </w:r>
      <w:r>
        <w:rPr>
          <w:color w:val="auto"/>
          <w:kern w:val="0"/>
          <w:sz w:val="24"/>
          <w:lang w:val="zh-CN"/>
        </w:rPr>
        <w:t>。</w:t>
      </w:r>
    </w:p>
    <w:p>
      <w:pPr>
        <w:spacing w:line="360" w:lineRule="auto"/>
        <w:ind w:firstLine="480"/>
        <w:outlineLvl w:val="0"/>
        <w:rPr>
          <w:rFonts w:hint="default" w:ascii="Times New Roman" w:hAnsi="Times New Roman" w:cs="Times New Roman"/>
          <w:sz w:val="24"/>
        </w:rPr>
      </w:pPr>
      <w:bookmarkStart w:id="239" w:name="_Toc11790"/>
      <w:bookmarkStart w:id="240" w:name="_Toc30075"/>
      <w:r>
        <w:rPr>
          <w:rFonts w:hint="default" w:ascii="Times New Roman" w:hAnsi="Times New Roman" w:cs="Times New Roman"/>
          <w:sz w:val="24"/>
        </w:rPr>
        <w:t>1、监测点位布设</w:t>
      </w:r>
      <w:bookmarkEnd w:id="239"/>
      <w:bookmarkEnd w:id="240"/>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根据道路评价范围内噪声污染源分布情况及区域环境状况，本着“以点和代表性区段为主，点段结合，反馈全线”的评价原则，在项目沿线共设置4个监测点，详见表3.</w:t>
      </w:r>
      <w:r>
        <w:rPr>
          <w:rFonts w:hint="eastAsia" w:cs="Times New Roman"/>
          <w:sz w:val="24"/>
          <w:lang w:val="en-US" w:eastAsia="zh-CN"/>
        </w:rPr>
        <w:t>3</w:t>
      </w:r>
      <w:r>
        <w:rPr>
          <w:rFonts w:hint="default" w:ascii="Times New Roman" w:hAnsi="Times New Roman" w:cs="Times New Roman"/>
          <w:sz w:val="24"/>
        </w:rPr>
        <w:t>-1和附图1</w:t>
      </w:r>
      <w:r>
        <w:rPr>
          <w:rFonts w:hint="eastAsia" w:cs="Times New Roman"/>
          <w:sz w:val="24"/>
          <w:lang w:val="en-US" w:eastAsia="zh-CN"/>
        </w:rPr>
        <w:t>3</w:t>
      </w:r>
      <w:r>
        <w:rPr>
          <w:rFonts w:hint="default" w:ascii="Times New Roman" w:hAnsi="Times New Roman" w:cs="Times New Roman"/>
          <w:sz w:val="24"/>
        </w:rPr>
        <w:t>。</w:t>
      </w:r>
    </w:p>
    <w:p>
      <w:pPr>
        <w:rPr>
          <w:rFonts w:hint="default" w:ascii="Times New Roman" w:hAnsi="Times New Roman" w:cs="Times New Roman"/>
          <w:b/>
          <w:sz w:val="24"/>
        </w:rPr>
      </w:pPr>
      <w:r>
        <w:rPr>
          <w:rFonts w:hint="default" w:ascii="Times New Roman" w:hAnsi="Times New Roman" w:cs="Times New Roman"/>
          <w:b/>
          <w:sz w:val="24"/>
        </w:rPr>
        <w:br w:type="page"/>
      </w:r>
    </w:p>
    <w:p>
      <w:pPr>
        <w:spacing w:line="360" w:lineRule="auto"/>
        <w:jc w:val="center"/>
        <w:rPr>
          <w:rFonts w:hint="default" w:ascii="Times New Roman" w:hAnsi="Times New Roman" w:cs="Times New Roman"/>
          <w:b/>
          <w:sz w:val="24"/>
        </w:rPr>
      </w:pPr>
      <w:r>
        <w:rPr>
          <w:rFonts w:hint="default" w:ascii="Times New Roman" w:hAnsi="Times New Roman" w:cs="Times New Roman"/>
          <w:b/>
          <w:sz w:val="24"/>
        </w:rPr>
        <w:t>表3.</w:t>
      </w:r>
      <w:r>
        <w:rPr>
          <w:rFonts w:hint="eastAsia" w:cs="Times New Roman"/>
          <w:b/>
          <w:sz w:val="24"/>
          <w:lang w:val="en-US" w:eastAsia="zh-CN"/>
        </w:rPr>
        <w:t>3</w:t>
      </w:r>
      <w:r>
        <w:rPr>
          <w:rFonts w:hint="default" w:ascii="Times New Roman" w:hAnsi="Times New Roman" w:cs="Times New Roman"/>
          <w:b/>
          <w:sz w:val="24"/>
        </w:rPr>
        <w:t>-1  声环境监测布点</w:t>
      </w:r>
    </w:p>
    <w:tbl>
      <w:tblPr>
        <w:tblStyle w:val="2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3165"/>
        <w:gridCol w:w="1804"/>
        <w:gridCol w:w="1804"/>
        <w:gridCol w:w="17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0" w:type="pct"/>
            <w:tcMar>
              <w:left w:w="0" w:type="dxa"/>
              <w:right w:w="0" w:type="dxa"/>
            </w:tcMar>
            <w:vAlign w:val="center"/>
          </w:tcPr>
          <w:p>
            <w:pPr>
              <w:tabs>
                <w:tab w:val="left" w:pos="1260"/>
                <w:tab w:val="left" w:pos="1449"/>
                <w:tab w:val="left" w:pos="3825"/>
              </w:tabs>
              <w:jc w:val="center"/>
              <w:textAlignment w:val="baseline"/>
              <w:rPr>
                <w:rFonts w:hint="default" w:ascii="Times New Roman" w:hAnsi="Times New Roman" w:cs="Times New Roman"/>
                <w:b/>
                <w:bCs/>
                <w:szCs w:val="21"/>
              </w:rPr>
            </w:pPr>
            <w:bookmarkStart w:id="241" w:name="OLE_LINK3"/>
            <w:r>
              <w:rPr>
                <w:rFonts w:hint="default" w:ascii="Times New Roman" w:hAnsi="Times New Roman" w:cs="Times New Roman"/>
                <w:b/>
                <w:bCs/>
                <w:szCs w:val="21"/>
              </w:rPr>
              <w:t>序号</w:t>
            </w:r>
          </w:p>
        </w:tc>
        <w:tc>
          <w:tcPr>
            <w:tcW w:w="1724" w:type="pct"/>
            <w:tcMar>
              <w:left w:w="0" w:type="dxa"/>
              <w:right w:w="0" w:type="dxa"/>
            </w:tcMar>
            <w:vAlign w:val="center"/>
          </w:tcPr>
          <w:p>
            <w:pPr>
              <w:tabs>
                <w:tab w:val="left" w:pos="1260"/>
                <w:tab w:val="left" w:pos="1449"/>
                <w:tab w:val="left" w:pos="3825"/>
              </w:tabs>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监测点位名称</w:t>
            </w:r>
          </w:p>
        </w:tc>
        <w:tc>
          <w:tcPr>
            <w:tcW w:w="983" w:type="pct"/>
            <w:vAlign w:val="center"/>
          </w:tcPr>
          <w:p>
            <w:pPr>
              <w:tabs>
                <w:tab w:val="left" w:pos="1260"/>
                <w:tab w:val="left" w:pos="1449"/>
                <w:tab w:val="left" w:pos="3825"/>
              </w:tabs>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监测点编号</w:t>
            </w:r>
          </w:p>
        </w:tc>
        <w:tc>
          <w:tcPr>
            <w:tcW w:w="983" w:type="pct"/>
            <w:vAlign w:val="center"/>
          </w:tcPr>
          <w:p>
            <w:pPr>
              <w:tabs>
                <w:tab w:val="left" w:pos="1260"/>
                <w:tab w:val="left" w:pos="1449"/>
                <w:tab w:val="left" w:pos="3825"/>
              </w:tabs>
              <w:jc w:val="center"/>
              <w:textAlignment w:val="baseline"/>
              <w:rPr>
                <w:rFonts w:hint="default" w:ascii="Times New Roman" w:hAnsi="Times New Roman" w:cs="Times New Roman"/>
                <w:b/>
                <w:bCs/>
                <w:szCs w:val="21"/>
              </w:rPr>
            </w:pPr>
            <w:r>
              <w:rPr>
                <w:rFonts w:hint="default" w:ascii="Times New Roman" w:hAnsi="Times New Roman" w:eastAsia="宋体" w:cs="Times New Roman"/>
                <w:b/>
                <w:bCs/>
                <w:color w:val="auto"/>
                <w:sz w:val="21"/>
                <w:szCs w:val="21"/>
              </w:rPr>
              <w:t>声环境标准</w:t>
            </w:r>
          </w:p>
        </w:tc>
        <w:tc>
          <w:tcPr>
            <w:tcW w:w="979" w:type="pct"/>
            <w:vAlign w:val="center"/>
          </w:tcPr>
          <w:p>
            <w:pPr>
              <w:tabs>
                <w:tab w:val="left" w:pos="1260"/>
                <w:tab w:val="left" w:pos="1449"/>
                <w:tab w:val="left" w:pos="3825"/>
              </w:tabs>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监测对象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0" w:type="pct"/>
            <w:tcMar>
              <w:left w:w="0" w:type="dxa"/>
              <w:right w:w="0" w:type="dxa"/>
            </w:tcMar>
            <w:vAlign w:val="center"/>
          </w:tcPr>
          <w:p>
            <w:pPr>
              <w:tabs>
                <w:tab w:val="left" w:pos="1260"/>
                <w:tab w:val="left" w:pos="1449"/>
                <w:tab w:val="left" w:pos="3825"/>
              </w:tabs>
              <w:jc w:val="center"/>
              <w:textAlignment w:val="baseline"/>
              <w:rPr>
                <w:rFonts w:hint="default" w:ascii="Times New Roman" w:hAnsi="Times New Roman" w:cs="Times New Roman"/>
                <w:szCs w:val="21"/>
              </w:rPr>
            </w:pPr>
            <w:r>
              <w:rPr>
                <w:rFonts w:hint="default" w:ascii="Times New Roman" w:hAnsi="Times New Roman" w:cs="Times New Roman"/>
                <w:szCs w:val="21"/>
              </w:rPr>
              <w:t>1</w:t>
            </w:r>
          </w:p>
        </w:tc>
        <w:tc>
          <w:tcPr>
            <w:tcW w:w="1724" w:type="pct"/>
            <w:tcMar>
              <w:left w:w="0" w:type="dxa"/>
              <w:right w:w="0" w:type="dxa"/>
            </w:tcMar>
            <w:vAlign w:val="center"/>
          </w:tcPr>
          <w:p>
            <w:pPr>
              <w:spacing w:line="240" w:lineRule="auto"/>
              <w:jc w:val="center"/>
              <w:rPr>
                <w:rFonts w:hint="default" w:ascii="Times New Roman" w:hAnsi="Times New Roman" w:cs="Times New Roman"/>
                <w:szCs w:val="21"/>
              </w:rPr>
            </w:pPr>
            <w:r>
              <w:rPr>
                <w:rFonts w:hint="eastAsia" w:cs="Times New Roman"/>
                <w:color w:val="auto"/>
                <w:spacing w:val="6"/>
                <w:szCs w:val="21"/>
                <w:lang w:val="en-US" w:eastAsia="zh-CN"/>
              </w:rPr>
              <w:t>道路起点</w:t>
            </w:r>
          </w:p>
        </w:tc>
        <w:tc>
          <w:tcPr>
            <w:tcW w:w="98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N1</w:t>
            </w:r>
          </w:p>
        </w:tc>
        <w:tc>
          <w:tcPr>
            <w:tcW w:w="983" w:type="pct"/>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4a</w:t>
            </w:r>
          </w:p>
        </w:tc>
        <w:tc>
          <w:tcPr>
            <w:tcW w:w="979" w:type="pct"/>
            <w:vAlign w:val="center"/>
          </w:tcPr>
          <w:p>
            <w:pPr>
              <w:tabs>
                <w:tab w:val="left" w:pos="1260"/>
                <w:tab w:val="left" w:pos="1449"/>
                <w:tab w:val="left" w:pos="3825"/>
              </w:tabs>
              <w:jc w:val="center"/>
              <w:textAlignment w:val="baseline"/>
              <w:rPr>
                <w:rFonts w:hint="default" w:ascii="Times New Roman" w:hAnsi="Times New Roman" w:cs="Times New Roman"/>
                <w:szCs w:val="21"/>
              </w:rPr>
            </w:pPr>
            <w:r>
              <w:rPr>
                <w:rFonts w:hint="default" w:ascii="Times New Roman" w:hAnsi="Times New Roman" w:cs="Times New Roman"/>
                <w:szCs w:val="21"/>
              </w:rPr>
              <w:t>噪声现状值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0" w:type="pct"/>
            <w:tcMar>
              <w:left w:w="0" w:type="dxa"/>
              <w:right w:w="0" w:type="dxa"/>
            </w:tcMar>
            <w:vAlign w:val="center"/>
          </w:tcPr>
          <w:p>
            <w:pPr>
              <w:tabs>
                <w:tab w:val="left" w:pos="1260"/>
                <w:tab w:val="left" w:pos="1449"/>
                <w:tab w:val="left" w:pos="3825"/>
              </w:tabs>
              <w:jc w:val="center"/>
              <w:textAlignment w:val="baseline"/>
              <w:rPr>
                <w:rFonts w:hint="default" w:ascii="Times New Roman" w:hAnsi="Times New Roman" w:cs="Times New Roman"/>
                <w:szCs w:val="21"/>
              </w:rPr>
            </w:pPr>
            <w:r>
              <w:rPr>
                <w:rFonts w:hint="default" w:ascii="Times New Roman" w:hAnsi="Times New Roman" w:cs="Times New Roman"/>
                <w:szCs w:val="21"/>
              </w:rPr>
              <w:t>2</w:t>
            </w:r>
          </w:p>
        </w:tc>
        <w:tc>
          <w:tcPr>
            <w:tcW w:w="1724" w:type="pct"/>
            <w:tcMar>
              <w:left w:w="0" w:type="dxa"/>
              <w:right w:w="0" w:type="dxa"/>
            </w:tcMar>
            <w:vAlign w:val="center"/>
          </w:tcPr>
          <w:p>
            <w:pPr>
              <w:spacing w:line="240" w:lineRule="auto"/>
              <w:jc w:val="center"/>
              <w:rPr>
                <w:rFonts w:hint="default" w:ascii="Times New Roman" w:hAnsi="Times New Roman" w:cs="Times New Roman"/>
                <w:szCs w:val="21"/>
              </w:rPr>
            </w:pPr>
            <w:r>
              <w:rPr>
                <w:rFonts w:hint="eastAsia" w:cs="Times New Roman"/>
                <w:color w:val="auto"/>
                <w:spacing w:val="6"/>
                <w:szCs w:val="21"/>
                <w:lang w:val="en-US" w:eastAsia="zh-CN"/>
              </w:rPr>
              <w:t>道路终点</w:t>
            </w:r>
          </w:p>
        </w:tc>
        <w:tc>
          <w:tcPr>
            <w:tcW w:w="98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N2</w:t>
            </w:r>
          </w:p>
        </w:tc>
        <w:tc>
          <w:tcPr>
            <w:tcW w:w="983" w:type="pct"/>
            <w:vAlign w:val="center"/>
          </w:tcPr>
          <w:p>
            <w:pPr>
              <w:jc w:val="center"/>
              <w:rPr>
                <w:rFonts w:hint="default" w:ascii="Times New Roman" w:hAnsi="Times New Roman" w:cs="Times New Roman"/>
                <w:szCs w:val="21"/>
              </w:rPr>
            </w:pPr>
            <w:r>
              <w:rPr>
                <w:rFonts w:hint="eastAsia" w:cs="Times New Roman"/>
                <w:szCs w:val="21"/>
                <w:lang w:val="en-US" w:eastAsia="zh-CN"/>
              </w:rPr>
              <w:t>4a</w:t>
            </w:r>
          </w:p>
        </w:tc>
        <w:tc>
          <w:tcPr>
            <w:tcW w:w="979" w:type="pct"/>
            <w:vAlign w:val="center"/>
          </w:tcPr>
          <w:p>
            <w:pPr>
              <w:tabs>
                <w:tab w:val="left" w:pos="1260"/>
                <w:tab w:val="left" w:pos="1449"/>
                <w:tab w:val="left" w:pos="3825"/>
              </w:tabs>
              <w:jc w:val="center"/>
              <w:textAlignment w:val="baseline"/>
              <w:rPr>
                <w:rFonts w:hint="default" w:ascii="Times New Roman" w:hAnsi="Times New Roman" w:cs="Times New Roman"/>
                <w:szCs w:val="21"/>
              </w:rPr>
            </w:pPr>
            <w:r>
              <w:rPr>
                <w:rFonts w:hint="default" w:ascii="Times New Roman" w:hAnsi="Times New Roman" w:cs="Times New Roman"/>
                <w:szCs w:val="21"/>
              </w:rPr>
              <w:t>噪声现状值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0" w:type="pct"/>
            <w:tcMar>
              <w:left w:w="0" w:type="dxa"/>
              <w:right w:w="0" w:type="dxa"/>
            </w:tcMar>
            <w:vAlign w:val="center"/>
          </w:tcPr>
          <w:p>
            <w:pPr>
              <w:tabs>
                <w:tab w:val="left" w:pos="1260"/>
                <w:tab w:val="left" w:pos="1449"/>
                <w:tab w:val="left" w:pos="3825"/>
              </w:tabs>
              <w:jc w:val="center"/>
              <w:textAlignment w:val="baseline"/>
              <w:rPr>
                <w:rFonts w:hint="default" w:ascii="Times New Roman" w:hAnsi="Times New Roman" w:cs="Times New Roman"/>
                <w:szCs w:val="21"/>
              </w:rPr>
            </w:pPr>
            <w:r>
              <w:rPr>
                <w:rFonts w:hint="default" w:ascii="Times New Roman" w:hAnsi="Times New Roman" w:cs="Times New Roman"/>
                <w:szCs w:val="21"/>
              </w:rPr>
              <w:t>3</w:t>
            </w:r>
          </w:p>
        </w:tc>
        <w:tc>
          <w:tcPr>
            <w:tcW w:w="1724" w:type="pct"/>
            <w:tcMar>
              <w:left w:w="0" w:type="dxa"/>
              <w:right w:w="0" w:type="dxa"/>
            </w:tcMar>
            <w:vAlign w:val="center"/>
          </w:tcPr>
          <w:p>
            <w:pPr>
              <w:spacing w:line="240" w:lineRule="auto"/>
              <w:jc w:val="center"/>
              <w:rPr>
                <w:rFonts w:hint="default" w:ascii="Times New Roman" w:hAnsi="Times New Roman" w:cs="Times New Roman"/>
                <w:szCs w:val="21"/>
              </w:rPr>
            </w:pPr>
            <w:r>
              <w:rPr>
                <w:rFonts w:hint="eastAsia" w:cs="Times New Roman"/>
                <w:color w:val="auto"/>
                <w:spacing w:val="6"/>
                <w:szCs w:val="21"/>
                <w:lang w:val="en-US" w:eastAsia="zh-CN"/>
              </w:rPr>
              <w:t>路左规划居住用地</w:t>
            </w:r>
          </w:p>
        </w:tc>
        <w:tc>
          <w:tcPr>
            <w:tcW w:w="98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N3</w:t>
            </w:r>
          </w:p>
        </w:tc>
        <w:tc>
          <w:tcPr>
            <w:tcW w:w="98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2类</w:t>
            </w:r>
          </w:p>
        </w:tc>
        <w:tc>
          <w:tcPr>
            <w:tcW w:w="979" w:type="pct"/>
            <w:vAlign w:val="center"/>
          </w:tcPr>
          <w:p>
            <w:pPr>
              <w:tabs>
                <w:tab w:val="left" w:pos="1260"/>
                <w:tab w:val="left" w:pos="1449"/>
                <w:tab w:val="left" w:pos="3825"/>
              </w:tabs>
              <w:jc w:val="center"/>
              <w:textAlignment w:val="baseline"/>
              <w:rPr>
                <w:rFonts w:hint="default" w:ascii="Times New Roman" w:hAnsi="Times New Roman" w:cs="Times New Roman"/>
                <w:szCs w:val="21"/>
              </w:rPr>
            </w:pPr>
            <w:r>
              <w:rPr>
                <w:rFonts w:hint="default" w:ascii="Times New Roman" w:hAnsi="Times New Roman" w:cs="Times New Roman"/>
                <w:szCs w:val="21"/>
              </w:rPr>
              <w:t>噪声现状值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0" w:type="pct"/>
            <w:tcMar>
              <w:left w:w="0" w:type="dxa"/>
              <w:right w:w="0" w:type="dxa"/>
            </w:tcMar>
            <w:vAlign w:val="center"/>
          </w:tcPr>
          <w:p>
            <w:pPr>
              <w:tabs>
                <w:tab w:val="left" w:pos="1260"/>
                <w:tab w:val="left" w:pos="1449"/>
                <w:tab w:val="left" w:pos="3825"/>
              </w:tabs>
              <w:jc w:val="center"/>
              <w:textAlignment w:val="baseline"/>
              <w:rPr>
                <w:rFonts w:hint="default" w:ascii="Times New Roman" w:hAnsi="Times New Roman" w:cs="Times New Roman"/>
                <w:szCs w:val="21"/>
              </w:rPr>
            </w:pPr>
            <w:r>
              <w:rPr>
                <w:rFonts w:hint="default" w:ascii="Times New Roman" w:hAnsi="Times New Roman" w:cs="Times New Roman"/>
                <w:szCs w:val="21"/>
              </w:rPr>
              <w:t>4</w:t>
            </w:r>
          </w:p>
        </w:tc>
        <w:tc>
          <w:tcPr>
            <w:tcW w:w="1724" w:type="pct"/>
            <w:tcMar>
              <w:left w:w="0" w:type="dxa"/>
              <w:right w:w="0" w:type="dxa"/>
            </w:tcMar>
            <w:vAlign w:val="center"/>
          </w:tcPr>
          <w:p>
            <w:pPr>
              <w:spacing w:line="240" w:lineRule="auto"/>
              <w:jc w:val="center"/>
              <w:rPr>
                <w:rFonts w:hint="default" w:ascii="Times New Roman" w:hAnsi="Times New Roman" w:cs="Times New Roman"/>
                <w:szCs w:val="21"/>
              </w:rPr>
            </w:pPr>
            <w:r>
              <w:rPr>
                <w:rFonts w:hint="eastAsia" w:cs="Times New Roman"/>
                <w:color w:val="auto"/>
                <w:spacing w:val="6"/>
                <w:szCs w:val="21"/>
                <w:lang w:val="en-US" w:eastAsia="zh-CN"/>
              </w:rPr>
              <w:t>路右规划教育科研用地</w:t>
            </w:r>
          </w:p>
        </w:tc>
        <w:tc>
          <w:tcPr>
            <w:tcW w:w="98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N4</w:t>
            </w:r>
          </w:p>
        </w:tc>
        <w:tc>
          <w:tcPr>
            <w:tcW w:w="983"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2类</w:t>
            </w:r>
          </w:p>
        </w:tc>
        <w:tc>
          <w:tcPr>
            <w:tcW w:w="979" w:type="pct"/>
            <w:vAlign w:val="center"/>
          </w:tcPr>
          <w:p>
            <w:pPr>
              <w:tabs>
                <w:tab w:val="left" w:pos="1260"/>
                <w:tab w:val="left" w:pos="1449"/>
                <w:tab w:val="left" w:pos="3825"/>
              </w:tabs>
              <w:jc w:val="center"/>
              <w:textAlignment w:val="baseline"/>
              <w:rPr>
                <w:rFonts w:hint="default" w:ascii="Times New Roman" w:hAnsi="Times New Roman" w:cs="Times New Roman"/>
                <w:szCs w:val="21"/>
              </w:rPr>
            </w:pPr>
            <w:r>
              <w:rPr>
                <w:rFonts w:hint="default" w:ascii="Times New Roman" w:hAnsi="Times New Roman" w:cs="Times New Roman"/>
                <w:szCs w:val="21"/>
              </w:rPr>
              <w:t>噪声现状值</w:t>
            </w:r>
          </w:p>
        </w:tc>
      </w:tr>
      <w:bookmarkEnd w:id="241"/>
    </w:tbl>
    <w:p>
      <w:pPr>
        <w:spacing w:before="120" w:beforeLines="50" w:line="360" w:lineRule="auto"/>
        <w:ind w:firstLine="480" w:firstLineChars="200"/>
        <w:outlineLvl w:val="0"/>
        <w:rPr>
          <w:rFonts w:hint="default" w:ascii="Times New Roman" w:hAnsi="Times New Roman" w:cs="Times New Roman"/>
          <w:sz w:val="24"/>
        </w:rPr>
      </w:pPr>
      <w:bookmarkStart w:id="242" w:name="_Toc14828"/>
      <w:bookmarkStart w:id="243" w:name="_Toc19498"/>
      <w:r>
        <w:rPr>
          <w:rFonts w:hint="default" w:ascii="Times New Roman" w:hAnsi="Times New Roman" w:cs="Times New Roman"/>
          <w:sz w:val="24"/>
        </w:rPr>
        <w:t>2、监测时间和监测频率</w:t>
      </w:r>
      <w:bookmarkEnd w:id="242"/>
      <w:bookmarkEnd w:id="243"/>
    </w:p>
    <w:p>
      <w:pPr>
        <w:spacing w:line="360" w:lineRule="auto"/>
        <w:ind w:firstLine="480" w:firstLineChars="200"/>
        <w:rPr>
          <w:rFonts w:hint="default" w:ascii="Times New Roman" w:hAnsi="Times New Roman" w:cs="Times New Roman"/>
          <w:sz w:val="24"/>
        </w:rPr>
      </w:pPr>
      <w:r>
        <w:rPr>
          <w:rFonts w:hint="eastAsia" w:cs="Times New Roman"/>
          <w:color w:val="auto"/>
          <w:kern w:val="0"/>
          <w:sz w:val="24"/>
          <w:lang w:val="en-US" w:eastAsia="zh-CN"/>
        </w:rPr>
        <w:t>福建创投环境检测</w:t>
      </w:r>
      <w:r>
        <w:rPr>
          <w:rFonts w:hint="default" w:ascii="Times New Roman" w:hAnsi="Times New Roman" w:eastAsia="宋体" w:cs="Times New Roman"/>
          <w:color w:val="auto"/>
          <w:kern w:val="0"/>
          <w:sz w:val="24"/>
          <w:lang w:val="zh-CN"/>
        </w:rPr>
        <w:t>有限公司</w:t>
      </w:r>
      <w:r>
        <w:rPr>
          <w:rFonts w:hint="default" w:ascii="Times New Roman" w:hAnsi="Times New Roman" w:cs="Times New Roman"/>
          <w:sz w:val="24"/>
        </w:rPr>
        <w:t>于</w:t>
      </w:r>
      <w:r>
        <w:rPr>
          <w:color w:val="auto"/>
          <w:kern w:val="0"/>
          <w:sz w:val="24"/>
          <w:lang w:val="zh-CN"/>
        </w:rPr>
        <w:t>202</w:t>
      </w:r>
      <w:r>
        <w:rPr>
          <w:rFonts w:hint="eastAsia"/>
          <w:color w:val="auto"/>
          <w:kern w:val="0"/>
          <w:sz w:val="24"/>
          <w:lang w:val="en-US" w:eastAsia="zh-CN"/>
        </w:rPr>
        <w:t>4</w:t>
      </w:r>
      <w:r>
        <w:rPr>
          <w:color w:val="auto"/>
          <w:kern w:val="0"/>
          <w:sz w:val="24"/>
          <w:lang w:val="zh-CN"/>
        </w:rPr>
        <w:t>年</w:t>
      </w:r>
      <w:r>
        <w:rPr>
          <w:rFonts w:hint="eastAsia"/>
          <w:color w:val="auto"/>
          <w:kern w:val="0"/>
          <w:sz w:val="24"/>
          <w:lang w:val="en-US" w:eastAsia="zh-CN"/>
        </w:rPr>
        <w:t>12</w:t>
      </w:r>
      <w:r>
        <w:rPr>
          <w:color w:val="auto"/>
          <w:kern w:val="0"/>
          <w:sz w:val="24"/>
          <w:lang w:val="zh-CN"/>
        </w:rPr>
        <w:t>月</w:t>
      </w:r>
      <w:r>
        <w:rPr>
          <w:rFonts w:hint="eastAsia"/>
          <w:color w:val="auto"/>
          <w:kern w:val="0"/>
          <w:sz w:val="24"/>
        </w:rPr>
        <w:t>1</w:t>
      </w:r>
      <w:r>
        <w:rPr>
          <w:rFonts w:hint="eastAsia"/>
          <w:color w:val="auto"/>
          <w:kern w:val="0"/>
          <w:sz w:val="24"/>
          <w:lang w:val="en-US" w:eastAsia="zh-CN"/>
        </w:rPr>
        <w:t>2</w:t>
      </w:r>
      <w:r>
        <w:rPr>
          <w:color w:val="auto"/>
          <w:kern w:val="0"/>
          <w:sz w:val="24"/>
          <w:lang w:val="zh-CN"/>
        </w:rPr>
        <w:t>日</w:t>
      </w:r>
      <w:r>
        <w:rPr>
          <w:rFonts w:hint="default" w:ascii="Times New Roman" w:hAnsi="Times New Roman" w:cs="Times New Roman"/>
          <w:sz w:val="24"/>
        </w:rPr>
        <w:t>对本项目沿线现状噪声进行了监测，昼间、夜间各一次。</w:t>
      </w:r>
    </w:p>
    <w:p>
      <w:pPr>
        <w:spacing w:line="360" w:lineRule="auto"/>
        <w:ind w:firstLine="480" w:firstLineChars="200"/>
        <w:outlineLvl w:val="0"/>
        <w:rPr>
          <w:rFonts w:hint="default" w:ascii="Times New Roman" w:hAnsi="Times New Roman" w:cs="Times New Roman"/>
          <w:sz w:val="24"/>
        </w:rPr>
      </w:pPr>
      <w:bookmarkStart w:id="244" w:name="_Toc17950"/>
      <w:bookmarkStart w:id="245" w:name="_Toc3823"/>
      <w:r>
        <w:rPr>
          <w:rFonts w:hint="default" w:ascii="Times New Roman" w:hAnsi="Times New Roman" w:cs="Times New Roman"/>
          <w:sz w:val="24"/>
        </w:rPr>
        <w:t>3、监测方法和仪器</w:t>
      </w:r>
      <w:bookmarkEnd w:id="244"/>
      <w:bookmarkEnd w:id="245"/>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采用2型以上积分式声级计，根据《声环境质量标准》（GB3096-2008）和《环境影响评价技术导则声环境》（HJ2.4-2021）进行环境噪声监测。</w:t>
      </w:r>
    </w:p>
    <w:p>
      <w:pPr>
        <w:spacing w:line="360" w:lineRule="auto"/>
        <w:ind w:firstLine="480"/>
        <w:outlineLvl w:val="0"/>
        <w:rPr>
          <w:rFonts w:hint="default" w:ascii="Times New Roman" w:hAnsi="Times New Roman" w:cs="Times New Roman"/>
          <w:sz w:val="24"/>
        </w:rPr>
      </w:pPr>
      <w:bookmarkStart w:id="246" w:name="_Toc10366"/>
      <w:bookmarkStart w:id="247" w:name="_Toc747"/>
      <w:r>
        <w:rPr>
          <w:rFonts w:hint="default" w:ascii="Times New Roman" w:hAnsi="Times New Roman" w:cs="Times New Roman"/>
          <w:sz w:val="24"/>
        </w:rPr>
        <w:t>4、监测结果</w:t>
      </w:r>
      <w:bookmarkEnd w:id="246"/>
      <w:bookmarkEnd w:id="247"/>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各环境噪声监测点周围主要声源为</w:t>
      </w:r>
      <w:r>
        <w:rPr>
          <w:rFonts w:hint="eastAsia" w:cs="Times New Roman"/>
          <w:sz w:val="24"/>
          <w:lang w:val="en-US" w:eastAsia="zh-CN"/>
        </w:rPr>
        <w:t>施工噪声、</w:t>
      </w:r>
      <w:r>
        <w:rPr>
          <w:rFonts w:hint="eastAsia"/>
          <w:color w:val="auto"/>
          <w:sz w:val="24"/>
        </w:rPr>
        <w:t>社会生活</w:t>
      </w:r>
      <w:r>
        <w:rPr>
          <w:rFonts w:hint="default" w:ascii="Times New Roman" w:hAnsi="Times New Roman" w:cs="Times New Roman"/>
          <w:sz w:val="24"/>
        </w:rPr>
        <w:t>噪声，噪声监测结果见表3</w:t>
      </w:r>
      <w:r>
        <w:rPr>
          <w:rFonts w:hint="eastAsia" w:cs="Times New Roman"/>
          <w:sz w:val="24"/>
          <w:lang w:val="en-US" w:eastAsia="zh-CN"/>
        </w:rPr>
        <w:t>.3</w:t>
      </w:r>
      <w:r>
        <w:rPr>
          <w:rFonts w:hint="default" w:ascii="Times New Roman" w:hAnsi="Times New Roman" w:cs="Times New Roman"/>
          <w:sz w:val="24"/>
        </w:rPr>
        <w:t>-2。</w:t>
      </w:r>
    </w:p>
    <w:p>
      <w:pPr>
        <w:spacing w:line="360" w:lineRule="auto"/>
        <w:jc w:val="center"/>
        <w:rPr>
          <w:rFonts w:hint="default" w:ascii="Times New Roman" w:hAnsi="Times New Roman" w:cs="Times New Roman"/>
          <w:b/>
          <w:bCs/>
          <w:sz w:val="24"/>
        </w:rPr>
      </w:pPr>
      <w:r>
        <w:rPr>
          <w:rFonts w:hint="default" w:ascii="Times New Roman" w:hAnsi="Times New Roman" w:cs="Times New Roman"/>
          <w:b/>
          <w:bCs/>
          <w:sz w:val="24"/>
        </w:rPr>
        <w:t>表3.</w:t>
      </w:r>
      <w:r>
        <w:rPr>
          <w:rFonts w:hint="eastAsia" w:cs="Times New Roman"/>
          <w:b/>
          <w:bCs/>
          <w:sz w:val="24"/>
          <w:lang w:val="en-US" w:eastAsia="zh-CN"/>
        </w:rPr>
        <w:t>3</w:t>
      </w:r>
      <w:r>
        <w:rPr>
          <w:rFonts w:hint="default" w:ascii="Times New Roman" w:hAnsi="Times New Roman" w:cs="Times New Roman"/>
          <w:b/>
          <w:bCs/>
          <w:sz w:val="24"/>
        </w:rPr>
        <w:t>-2 声环境质量现状监测结果一览表</w:t>
      </w:r>
    </w:p>
    <w:tbl>
      <w:tblPr>
        <w:tblStyle w:val="2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728"/>
        <w:gridCol w:w="2441"/>
        <w:gridCol w:w="1158"/>
        <w:gridCol w:w="1461"/>
        <w:gridCol w:w="1309"/>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495" w:type="pct"/>
            <w:vMerge w:val="restart"/>
            <w:tcBorders>
              <w:top w:val="single" w:color="auto" w:sz="12" w:space="0"/>
              <w:left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检测日期</w:t>
            </w:r>
          </w:p>
        </w:tc>
        <w:tc>
          <w:tcPr>
            <w:tcW w:w="392" w:type="pct"/>
            <w:vMerge w:val="restart"/>
            <w:tcBorders>
              <w:top w:val="single" w:color="auto" w:sz="12" w:space="0"/>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点位编号</w:t>
            </w:r>
          </w:p>
        </w:tc>
        <w:tc>
          <w:tcPr>
            <w:tcW w:w="1315" w:type="pct"/>
            <w:vMerge w:val="restart"/>
            <w:tcBorders>
              <w:top w:val="single" w:color="auto" w:sz="12" w:space="0"/>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点位名称</w:t>
            </w:r>
          </w:p>
        </w:tc>
        <w:tc>
          <w:tcPr>
            <w:tcW w:w="1409" w:type="pct"/>
            <w:gridSpan w:val="2"/>
            <w:tcBorders>
              <w:top w:val="single" w:color="auto" w:sz="12" w:space="0"/>
              <w:right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检测结果Leq（dB（A））</w:t>
            </w:r>
          </w:p>
        </w:tc>
        <w:tc>
          <w:tcPr>
            <w:tcW w:w="705" w:type="pct"/>
            <w:vMerge w:val="restart"/>
            <w:tcBorders>
              <w:top w:val="single" w:color="auto" w:sz="12" w:space="0"/>
              <w:right w:val="nil"/>
            </w:tcBorders>
            <w:vAlign w:val="center"/>
          </w:tcPr>
          <w:p>
            <w:pPr>
              <w:pStyle w:val="90"/>
              <w:spacing w:line="240" w:lineRule="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标准限值</w:t>
            </w:r>
          </w:p>
          <w:p>
            <w:pPr>
              <w:pStyle w:val="90"/>
              <w:spacing w:line="240" w:lineRule="auto"/>
              <w:rPr>
                <w:rFonts w:hint="default" w:ascii="Times New Roman" w:hAnsi="Times New Roman" w:cs="Times New Roman"/>
                <w:b/>
                <w:bCs/>
                <w:szCs w:val="21"/>
              </w:rPr>
            </w:pP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dB（A）</w:t>
            </w:r>
            <w:r>
              <w:rPr>
                <w:rFonts w:hint="default" w:ascii="Times New Roman" w:hAnsi="Times New Roman" w:eastAsia="宋体" w:cs="Times New Roman"/>
                <w:b/>
                <w:bCs/>
                <w:color w:val="auto"/>
                <w:sz w:val="21"/>
                <w:szCs w:val="21"/>
                <w:highlight w:val="none"/>
                <w:lang w:eastAsia="zh-CN"/>
              </w:rPr>
              <w:t>）</w:t>
            </w:r>
          </w:p>
        </w:tc>
        <w:tc>
          <w:tcPr>
            <w:tcW w:w="681" w:type="pct"/>
            <w:vMerge w:val="restart"/>
            <w:tcBorders>
              <w:top w:val="single" w:color="auto" w:sz="12" w:space="0"/>
              <w:right w:val="nil"/>
            </w:tcBorders>
            <w:vAlign w:val="center"/>
          </w:tcPr>
          <w:p>
            <w:pPr>
              <w:pStyle w:val="90"/>
              <w:spacing w:line="240" w:lineRule="auto"/>
              <w:rPr>
                <w:rFonts w:hint="default" w:ascii="Times New Roman" w:hAnsi="Times New Roman" w:cs="Times New Roman"/>
                <w:b/>
                <w:bCs/>
                <w:szCs w:val="21"/>
              </w:rPr>
            </w:pPr>
            <w:r>
              <w:rPr>
                <w:rFonts w:hint="eastAsia" w:ascii="Times New Roman" w:hAnsi="Times New Roman" w:eastAsia="宋体" w:cs="Times New Roman"/>
                <w:b/>
                <w:bCs/>
                <w:color w:val="auto"/>
                <w:sz w:val="21"/>
                <w:szCs w:val="21"/>
                <w:highlight w:val="no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blHeader/>
          <w:jc w:val="center"/>
        </w:trPr>
        <w:tc>
          <w:tcPr>
            <w:tcW w:w="495" w:type="pct"/>
            <w:vMerge w:val="continue"/>
            <w:tcBorders>
              <w:left w:val="nil"/>
            </w:tcBorders>
            <w:vAlign w:val="center"/>
          </w:tcPr>
          <w:p>
            <w:pPr>
              <w:jc w:val="center"/>
              <w:rPr>
                <w:rFonts w:hint="default" w:ascii="Times New Roman" w:hAnsi="Times New Roman" w:cs="Times New Roman"/>
                <w:b/>
                <w:bCs/>
                <w:szCs w:val="21"/>
              </w:rPr>
            </w:pPr>
          </w:p>
        </w:tc>
        <w:tc>
          <w:tcPr>
            <w:tcW w:w="392" w:type="pct"/>
            <w:vMerge w:val="continue"/>
            <w:vAlign w:val="center"/>
          </w:tcPr>
          <w:p>
            <w:pPr>
              <w:jc w:val="center"/>
              <w:rPr>
                <w:rFonts w:hint="default" w:ascii="Times New Roman" w:hAnsi="Times New Roman" w:cs="Times New Roman"/>
                <w:b/>
                <w:bCs/>
                <w:szCs w:val="21"/>
              </w:rPr>
            </w:pPr>
          </w:p>
        </w:tc>
        <w:tc>
          <w:tcPr>
            <w:tcW w:w="1315" w:type="pct"/>
            <w:vMerge w:val="continue"/>
            <w:vAlign w:val="center"/>
          </w:tcPr>
          <w:p>
            <w:pPr>
              <w:jc w:val="center"/>
              <w:rPr>
                <w:rFonts w:hint="default" w:ascii="Times New Roman" w:hAnsi="Times New Roman" w:cs="Times New Roman"/>
                <w:b/>
                <w:bCs/>
                <w:szCs w:val="21"/>
              </w:rPr>
            </w:pPr>
          </w:p>
        </w:tc>
        <w:tc>
          <w:tcPr>
            <w:tcW w:w="624" w:type="pct"/>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昼间</w:t>
            </w:r>
          </w:p>
        </w:tc>
        <w:tc>
          <w:tcPr>
            <w:tcW w:w="785" w:type="pct"/>
            <w:tcBorders>
              <w:right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夜间</w:t>
            </w:r>
          </w:p>
        </w:tc>
        <w:tc>
          <w:tcPr>
            <w:tcW w:w="705" w:type="pct"/>
            <w:vMerge w:val="continue"/>
            <w:tcBorders>
              <w:right w:val="nil"/>
            </w:tcBorders>
            <w:vAlign w:val="center"/>
          </w:tcPr>
          <w:p>
            <w:pPr>
              <w:jc w:val="center"/>
              <w:rPr>
                <w:rFonts w:hint="default" w:ascii="Times New Roman" w:hAnsi="Times New Roman" w:cs="Times New Roman"/>
                <w:b/>
                <w:bCs/>
                <w:szCs w:val="21"/>
              </w:rPr>
            </w:pPr>
          </w:p>
        </w:tc>
        <w:tc>
          <w:tcPr>
            <w:tcW w:w="681" w:type="pct"/>
            <w:vMerge w:val="continue"/>
            <w:tcBorders>
              <w:right w:val="nil"/>
            </w:tcBorders>
            <w:vAlign w:val="center"/>
          </w:tcPr>
          <w:p>
            <w:pPr>
              <w:jc w:val="center"/>
              <w:rPr>
                <w:rFonts w:hint="default" w:ascii="Times New Roman" w:hAnsi="Times New Roman"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5" w:type="pct"/>
            <w:vMerge w:val="restart"/>
            <w:tcBorders>
              <w:left w:val="nil"/>
            </w:tcBorders>
            <w:vAlign w:val="center"/>
          </w:tcPr>
          <w:p>
            <w:pPr>
              <w:pStyle w:val="91"/>
              <w:jc w:val="center"/>
              <w:rPr>
                <w:rFonts w:hint="eastAsia" w:cs="Times New Roman"/>
                <w:bCs/>
                <w:color w:val="auto"/>
                <w:sz w:val="21"/>
                <w:szCs w:val="21"/>
                <w:lang w:eastAsia="zh-CN"/>
              </w:rPr>
            </w:pPr>
            <w:r>
              <w:rPr>
                <w:rFonts w:hint="eastAsia" w:cs="Times New Roman"/>
                <w:bCs/>
                <w:color w:val="auto"/>
                <w:sz w:val="21"/>
                <w:szCs w:val="21"/>
                <w:lang w:eastAsia="zh-CN"/>
              </w:rPr>
              <w:t>202</w:t>
            </w:r>
            <w:r>
              <w:rPr>
                <w:rFonts w:hint="eastAsia" w:cs="Times New Roman"/>
                <w:bCs/>
                <w:color w:val="auto"/>
                <w:sz w:val="21"/>
                <w:szCs w:val="21"/>
                <w:lang w:val="en-US" w:eastAsia="zh-CN"/>
              </w:rPr>
              <w:t>4</w:t>
            </w:r>
            <w:r>
              <w:rPr>
                <w:rFonts w:hint="eastAsia" w:cs="Times New Roman"/>
                <w:bCs/>
                <w:color w:val="auto"/>
                <w:sz w:val="21"/>
                <w:szCs w:val="21"/>
                <w:lang w:eastAsia="zh-CN"/>
              </w:rPr>
              <w:t>年</w:t>
            </w:r>
          </w:p>
          <w:p>
            <w:pPr>
              <w:jc w:val="center"/>
              <w:rPr>
                <w:rFonts w:hint="default" w:ascii="Times New Roman" w:hAnsi="Times New Roman" w:cs="Times New Roman"/>
                <w:szCs w:val="21"/>
              </w:rPr>
            </w:pPr>
            <w:r>
              <w:rPr>
                <w:rFonts w:hint="eastAsia" w:cs="Times New Roman"/>
                <w:bCs/>
                <w:color w:val="auto"/>
                <w:sz w:val="21"/>
                <w:szCs w:val="21"/>
                <w:lang w:val="en-US" w:eastAsia="zh-CN"/>
              </w:rPr>
              <w:t>12月12日</w:t>
            </w:r>
          </w:p>
        </w:tc>
        <w:tc>
          <w:tcPr>
            <w:tcW w:w="39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N1</w:t>
            </w:r>
          </w:p>
        </w:tc>
        <w:tc>
          <w:tcPr>
            <w:tcW w:w="1315" w:type="pct"/>
            <w:vAlign w:val="center"/>
          </w:tcPr>
          <w:p>
            <w:pPr>
              <w:spacing w:line="240" w:lineRule="auto"/>
              <w:jc w:val="center"/>
              <w:rPr>
                <w:rFonts w:hint="default" w:ascii="Times New Roman" w:hAnsi="Times New Roman" w:cs="Times New Roman"/>
                <w:szCs w:val="21"/>
              </w:rPr>
            </w:pPr>
            <w:r>
              <w:rPr>
                <w:rFonts w:hint="eastAsia" w:cs="Times New Roman"/>
                <w:color w:val="auto"/>
                <w:spacing w:val="6"/>
                <w:szCs w:val="21"/>
                <w:lang w:val="en-US" w:eastAsia="zh-CN"/>
              </w:rPr>
              <w:t>道路起点</w:t>
            </w:r>
          </w:p>
        </w:tc>
        <w:tc>
          <w:tcPr>
            <w:tcW w:w="624" w:type="pct"/>
            <w:vAlign w:val="center"/>
          </w:tcPr>
          <w:p>
            <w:pPr>
              <w:keepNext w:val="0"/>
              <w:keepLines w:val="0"/>
              <w:widowControl/>
              <w:suppressLineNumbers w:val="0"/>
              <w:jc w:val="center"/>
              <w:textAlignment w:val="center"/>
              <w:rPr>
                <w:rFonts w:hint="default" w:ascii="Times New Roman" w:hAnsi="Times New Roman" w:cs="Times New Roman"/>
                <w:szCs w:val="21"/>
              </w:rPr>
            </w:pPr>
          </w:p>
        </w:tc>
        <w:tc>
          <w:tcPr>
            <w:tcW w:w="785" w:type="pct"/>
            <w:tcBorders>
              <w:right w:val="nil"/>
            </w:tcBorders>
            <w:vAlign w:val="center"/>
          </w:tcPr>
          <w:p>
            <w:pPr>
              <w:keepNext w:val="0"/>
              <w:keepLines w:val="0"/>
              <w:widowControl/>
              <w:suppressLineNumbers w:val="0"/>
              <w:jc w:val="center"/>
              <w:textAlignment w:val="center"/>
              <w:rPr>
                <w:rFonts w:hint="default" w:ascii="Times New Roman" w:hAnsi="Times New Roman" w:cs="Times New Roman"/>
                <w:szCs w:val="21"/>
              </w:rPr>
            </w:pPr>
          </w:p>
        </w:tc>
        <w:tc>
          <w:tcPr>
            <w:tcW w:w="705" w:type="pct"/>
            <w:vMerge w:val="restart"/>
            <w:tcBorders>
              <w:right w:val="nil"/>
            </w:tcBorders>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昼间≤</w:t>
            </w:r>
            <w:r>
              <w:rPr>
                <w:rFonts w:hint="eastAsia" w:ascii="Times New Roman" w:hAnsi="Times New Roman" w:eastAsia="宋体" w:cs="Times New Roman"/>
                <w:color w:val="auto"/>
                <w:kern w:val="0"/>
                <w:sz w:val="21"/>
                <w:szCs w:val="21"/>
                <w:highlight w:val="none"/>
                <w:lang w:val="en-US" w:eastAsia="zh-CN" w:bidi="ar-SA"/>
              </w:rPr>
              <w:t>70，</w:t>
            </w:r>
            <w:r>
              <w:rPr>
                <w:rFonts w:hint="default" w:ascii="Times New Roman" w:hAnsi="Times New Roman" w:eastAsia="宋体" w:cs="Times New Roman"/>
                <w:color w:val="auto"/>
                <w:sz w:val="21"/>
                <w:szCs w:val="21"/>
                <w:highlight w:val="none"/>
                <w:lang w:val="en-US" w:eastAsia="zh-CN"/>
              </w:rPr>
              <w:t>夜间≤</w:t>
            </w:r>
            <w:r>
              <w:rPr>
                <w:rFonts w:hint="default" w:ascii="Times New Roman" w:hAnsi="Times New Roman" w:eastAsia="宋体" w:cs="Times New Roman"/>
                <w:color w:val="auto"/>
                <w:kern w:val="0"/>
                <w:sz w:val="21"/>
                <w:szCs w:val="21"/>
                <w:highlight w:val="none"/>
                <w:lang w:val="en-US" w:eastAsia="zh-CN" w:bidi="ar-SA"/>
              </w:rPr>
              <w:t>5</w:t>
            </w:r>
            <w:r>
              <w:rPr>
                <w:rFonts w:hint="eastAsia" w:ascii="Times New Roman" w:hAnsi="Times New Roman" w:eastAsia="宋体" w:cs="Times New Roman"/>
                <w:color w:val="auto"/>
                <w:kern w:val="0"/>
                <w:sz w:val="21"/>
                <w:szCs w:val="21"/>
                <w:highlight w:val="none"/>
                <w:lang w:val="en-US" w:eastAsia="zh-CN" w:bidi="ar-SA"/>
              </w:rPr>
              <w:t>5</w:t>
            </w:r>
          </w:p>
        </w:tc>
        <w:tc>
          <w:tcPr>
            <w:tcW w:w="681" w:type="pct"/>
            <w:tcBorders>
              <w:right w:val="nil"/>
            </w:tcBorders>
            <w:shd w:val="clear" w:color="auto" w:fill="auto"/>
            <w:vAlign w:val="center"/>
          </w:tcPr>
          <w:p>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5" w:type="pct"/>
            <w:vMerge w:val="continue"/>
            <w:tcBorders>
              <w:left w:val="nil"/>
            </w:tcBorders>
            <w:vAlign w:val="center"/>
          </w:tcPr>
          <w:p>
            <w:pPr>
              <w:jc w:val="center"/>
              <w:rPr>
                <w:rFonts w:hint="default" w:ascii="Times New Roman" w:hAnsi="Times New Roman" w:cs="Times New Roman"/>
                <w:szCs w:val="21"/>
              </w:rPr>
            </w:pPr>
          </w:p>
        </w:tc>
        <w:tc>
          <w:tcPr>
            <w:tcW w:w="39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N2</w:t>
            </w:r>
          </w:p>
        </w:tc>
        <w:tc>
          <w:tcPr>
            <w:tcW w:w="1315" w:type="pct"/>
            <w:vAlign w:val="center"/>
          </w:tcPr>
          <w:p>
            <w:pPr>
              <w:spacing w:line="240" w:lineRule="auto"/>
              <w:jc w:val="center"/>
              <w:rPr>
                <w:rFonts w:hint="default" w:ascii="Times New Roman" w:hAnsi="Times New Roman" w:cs="Times New Roman"/>
                <w:szCs w:val="21"/>
              </w:rPr>
            </w:pPr>
            <w:r>
              <w:rPr>
                <w:rFonts w:hint="eastAsia" w:cs="Times New Roman"/>
                <w:color w:val="auto"/>
                <w:spacing w:val="6"/>
                <w:szCs w:val="21"/>
                <w:lang w:val="en-US" w:eastAsia="zh-CN"/>
              </w:rPr>
              <w:t>道路终点</w:t>
            </w:r>
          </w:p>
        </w:tc>
        <w:tc>
          <w:tcPr>
            <w:tcW w:w="624" w:type="pct"/>
            <w:vAlign w:val="center"/>
          </w:tcPr>
          <w:p>
            <w:pPr>
              <w:keepNext w:val="0"/>
              <w:keepLines w:val="0"/>
              <w:widowControl/>
              <w:suppressLineNumbers w:val="0"/>
              <w:jc w:val="center"/>
              <w:textAlignment w:val="center"/>
              <w:rPr>
                <w:rFonts w:hint="default" w:ascii="Times New Roman" w:hAnsi="Times New Roman" w:cs="Times New Roman"/>
                <w:szCs w:val="21"/>
              </w:rPr>
            </w:pPr>
          </w:p>
        </w:tc>
        <w:tc>
          <w:tcPr>
            <w:tcW w:w="785" w:type="pct"/>
            <w:tcBorders>
              <w:right w:val="nil"/>
            </w:tcBorders>
            <w:vAlign w:val="center"/>
          </w:tcPr>
          <w:p>
            <w:pPr>
              <w:keepNext w:val="0"/>
              <w:keepLines w:val="0"/>
              <w:widowControl/>
              <w:suppressLineNumbers w:val="0"/>
              <w:jc w:val="center"/>
              <w:textAlignment w:val="center"/>
              <w:rPr>
                <w:rFonts w:hint="default" w:ascii="Times New Roman" w:hAnsi="Times New Roman" w:cs="Times New Roman"/>
                <w:szCs w:val="21"/>
              </w:rPr>
            </w:pPr>
          </w:p>
        </w:tc>
        <w:tc>
          <w:tcPr>
            <w:tcW w:w="705" w:type="pct"/>
            <w:vMerge w:val="continue"/>
            <w:tcBorders>
              <w:right w:val="nil"/>
            </w:tcBorders>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p>
        </w:tc>
        <w:tc>
          <w:tcPr>
            <w:tcW w:w="681" w:type="pct"/>
            <w:tcBorders>
              <w:right w:val="nil"/>
            </w:tcBorders>
            <w:shd w:val="clear" w:color="auto" w:fill="auto"/>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5" w:type="pct"/>
            <w:vMerge w:val="continue"/>
            <w:tcBorders>
              <w:left w:val="nil"/>
            </w:tcBorders>
            <w:vAlign w:val="center"/>
          </w:tcPr>
          <w:p>
            <w:pPr>
              <w:jc w:val="center"/>
              <w:rPr>
                <w:rFonts w:hint="default" w:ascii="Times New Roman" w:hAnsi="Times New Roman" w:cs="Times New Roman"/>
                <w:szCs w:val="21"/>
              </w:rPr>
            </w:pPr>
          </w:p>
        </w:tc>
        <w:tc>
          <w:tcPr>
            <w:tcW w:w="39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N3</w:t>
            </w:r>
          </w:p>
        </w:tc>
        <w:tc>
          <w:tcPr>
            <w:tcW w:w="1315" w:type="pct"/>
            <w:vAlign w:val="center"/>
          </w:tcPr>
          <w:p>
            <w:pPr>
              <w:spacing w:line="240" w:lineRule="auto"/>
              <w:jc w:val="center"/>
              <w:rPr>
                <w:rFonts w:hint="default" w:ascii="Times New Roman" w:hAnsi="Times New Roman" w:cs="Times New Roman"/>
                <w:szCs w:val="21"/>
              </w:rPr>
            </w:pPr>
            <w:r>
              <w:rPr>
                <w:rFonts w:hint="eastAsia" w:cs="Times New Roman"/>
                <w:color w:val="auto"/>
                <w:spacing w:val="6"/>
                <w:szCs w:val="21"/>
                <w:lang w:val="en-US" w:eastAsia="zh-CN"/>
              </w:rPr>
              <w:t>路左规划居住用地</w:t>
            </w:r>
          </w:p>
        </w:tc>
        <w:tc>
          <w:tcPr>
            <w:tcW w:w="624" w:type="pct"/>
            <w:vAlign w:val="center"/>
          </w:tcPr>
          <w:p>
            <w:pPr>
              <w:keepNext w:val="0"/>
              <w:keepLines w:val="0"/>
              <w:widowControl/>
              <w:suppressLineNumbers w:val="0"/>
              <w:jc w:val="center"/>
              <w:textAlignment w:val="center"/>
              <w:rPr>
                <w:rFonts w:hint="default" w:ascii="Times New Roman" w:hAnsi="Times New Roman" w:cs="Times New Roman"/>
                <w:szCs w:val="21"/>
              </w:rPr>
            </w:pPr>
          </w:p>
        </w:tc>
        <w:tc>
          <w:tcPr>
            <w:tcW w:w="785" w:type="pct"/>
            <w:tcBorders>
              <w:right w:val="nil"/>
            </w:tcBorders>
            <w:vAlign w:val="center"/>
          </w:tcPr>
          <w:p>
            <w:pPr>
              <w:keepNext w:val="0"/>
              <w:keepLines w:val="0"/>
              <w:widowControl/>
              <w:suppressLineNumbers w:val="0"/>
              <w:jc w:val="center"/>
              <w:textAlignment w:val="center"/>
              <w:rPr>
                <w:rFonts w:hint="default" w:ascii="Times New Roman" w:hAnsi="Times New Roman" w:cs="Times New Roman"/>
                <w:szCs w:val="21"/>
              </w:rPr>
            </w:pPr>
          </w:p>
        </w:tc>
        <w:tc>
          <w:tcPr>
            <w:tcW w:w="705" w:type="pct"/>
            <w:vMerge w:val="restart"/>
            <w:tcBorders>
              <w:right w:val="nil"/>
            </w:tcBorders>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昼间≤</w:t>
            </w:r>
            <w:r>
              <w:rPr>
                <w:rFonts w:hint="default" w:ascii="Times New Roman" w:hAnsi="Times New Roman" w:eastAsia="宋体" w:cs="Times New Roman"/>
                <w:color w:val="auto"/>
                <w:kern w:val="0"/>
                <w:sz w:val="21"/>
                <w:szCs w:val="21"/>
                <w:highlight w:val="none"/>
                <w:lang w:val="en-US" w:eastAsia="zh-CN" w:bidi="ar-SA"/>
              </w:rPr>
              <w:t>60</w:t>
            </w:r>
            <w:r>
              <w:rPr>
                <w:rFonts w:hint="eastAsia" w:ascii="Times New Roman" w:hAnsi="Times New Roman" w:eastAsia="宋体" w:cs="Times New Roman"/>
                <w:color w:val="auto"/>
                <w:kern w:val="0"/>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rPr>
              <w:t>夜间≤</w:t>
            </w:r>
            <w:r>
              <w:rPr>
                <w:rFonts w:hint="default" w:ascii="Times New Roman" w:hAnsi="Times New Roman" w:eastAsia="宋体" w:cs="Times New Roman"/>
                <w:color w:val="auto"/>
                <w:kern w:val="0"/>
                <w:sz w:val="21"/>
                <w:szCs w:val="21"/>
                <w:highlight w:val="none"/>
                <w:lang w:val="en-US" w:eastAsia="zh-CN" w:bidi="ar-SA"/>
              </w:rPr>
              <w:t>50</w:t>
            </w:r>
          </w:p>
        </w:tc>
        <w:tc>
          <w:tcPr>
            <w:tcW w:w="681" w:type="pct"/>
            <w:tcBorders>
              <w:right w:val="nil"/>
            </w:tcBorders>
            <w:shd w:val="clear" w:color="auto" w:fill="auto"/>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5" w:type="pct"/>
            <w:vMerge w:val="continue"/>
            <w:tcBorders>
              <w:left w:val="nil"/>
            </w:tcBorders>
            <w:vAlign w:val="center"/>
          </w:tcPr>
          <w:p>
            <w:pPr>
              <w:jc w:val="center"/>
              <w:rPr>
                <w:rFonts w:hint="default" w:ascii="Times New Roman" w:hAnsi="Times New Roman" w:cs="Times New Roman"/>
                <w:szCs w:val="21"/>
              </w:rPr>
            </w:pPr>
          </w:p>
        </w:tc>
        <w:tc>
          <w:tcPr>
            <w:tcW w:w="392"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N4</w:t>
            </w:r>
          </w:p>
        </w:tc>
        <w:tc>
          <w:tcPr>
            <w:tcW w:w="1315" w:type="pct"/>
            <w:vAlign w:val="center"/>
          </w:tcPr>
          <w:p>
            <w:pPr>
              <w:spacing w:line="240" w:lineRule="auto"/>
              <w:jc w:val="center"/>
              <w:rPr>
                <w:rFonts w:hint="default" w:ascii="Times New Roman" w:hAnsi="Times New Roman" w:cs="Times New Roman"/>
                <w:szCs w:val="21"/>
              </w:rPr>
            </w:pPr>
            <w:r>
              <w:rPr>
                <w:rFonts w:hint="eastAsia" w:cs="Times New Roman"/>
                <w:color w:val="auto"/>
                <w:spacing w:val="6"/>
                <w:szCs w:val="21"/>
                <w:lang w:val="en-US" w:eastAsia="zh-CN"/>
              </w:rPr>
              <w:t>路右规划教育科研用地</w:t>
            </w:r>
          </w:p>
        </w:tc>
        <w:tc>
          <w:tcPr>
            <w:tcW w:w="624" w:type="pct"/>
            <w:vAlign w:val="center"/>
          </w:tcPr>
          <w:p>
            <w:pPr>
              <w:keepNext w:val="0"/>
              <w:keepLines w:val="0"/>
              <w:widowControl/>
              <w:suppressLineNumbers w:val="0"/>
              <w:jc w:val="center"/>
              <w:textAlignment w:val="center"/>
              <w:rPr>
                <w:rFonts w:hint="default" w:ascii="Times New Roman" w:hAnsi="Times New Roman" w:cs="Times New Roman"/>
                <w:szCs w:val="21"/>
              </w:rPr>
            </w:pPr>
          </w:p>
        </w:tc>
        <w:tc>
          <w:tcPr>
            <w:tcW w:w="785" w:type="pct"/>
            <w:tcBorders>
              <w:right w:val="nil"/>
            </w:tcBorders>
            <w:vAlign w:val="center"/>
          </w:tcPr>
          <w:p>
            <w:pPr>
              <w:keepNext w:val="0"/>
              <w:keepLines w:val="0"/>
              <w:widowControl/>
              <w:suppressLineNumbers w:val="0"/>
              <w:jc w:val="center"/>
              <w:textAlignment w:val="center"/>
              <w:rPr>
                <w:rFonts w:hint="default" w:ascii="Times New Roman" w:hAnsi="Times New Roman" w:cs="Times New Roman"/>
                <w:szCs w:val="21"/>
              </w:rPr>
            </w:pPr>
          </w:p>
        </w:tc>
        <w:tc>
          <w:tcPr>
            <w:tcW w:w="705" w:type="pct"/>
            <w:vMerge w:val="continue"/>
            <w:tcBorders>
              <w:right w:val="nil"/>
            </w:tcBorders>
            <w:vAlign w:val="center"/>
          </w:tcPr>
          <w:p>
            <w:pPr>
              <w:keepNext w:val="0"/>
              <w:keepLines w:val="0"/>
              <w:widowControl/>
              <w:suppressLineNumbers w:val="0"/>
              <w:jc w:val="center"/>
              <w:textAlignment w:val="center"/>
              <w:rPr>
                <w:rFonts w:hint="eastAsia" w:cs="Times New Roman"/>
                <w:color w:val="auto"/>
                <w:kern w:val="2"/>
                <w:sz w:val="21"/>
                <w:szCs w:val="21"/>
                <w:lang w:val="en-US" w:eastAsia="zh-CN" w:bidi="ar-SA"/>
              </w:rPr>
            </w:pPr>
          </w:p>
        </w:tc>
        <w:tc>
          <w:tcPr>
            <w:tcW w:w="681" w:type="pct"/>
            <w:tcBorders>
              <w:right w:val="nil"/>
            </w:tcBorders>
            <w:shd w:val="clear" w:color="auto" w:fill="auto"/>
            <w:vAlign w:val="center"/>
          </w:tcPr>
          <w:p>
            <w:pPr>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613" w:type="pct"/>
            <w:gridSpan w:val="5"/>
            <w:tcBorders>
              <w:left w:val="nil"/>
              <w:bottom w:val="single" w:color="auto" w:sz="12" w:space="0"/>
              <w:right w:val="nil"/>
            </w:tcBorders>
            <w:vAlign w:val="center"/>
          </w:tcPr>
          <w:p>
            <w:pPr>
              <w:rPr>
                <w:rFonts w:hint="default" w:ascii="Times New Roman" w:hAnsi="Times New Roman" w:cs="Times New Roman"/>
                <w:szCs w:val="21"/>
              </w:rPr>
            </w:pPr>
            <w:r>
              <w:rPr>
                <w:rFonts w:hint="default" w:ascii="Times New Roman" w:hAnsi="Times New Roman" w:cs="Times New Roman"/>
                <w:szCs w:val="21"/>
              </w:rPr>
              <w:t>备注：检测当天天气</w:t>
            </w:r>
            <w:r>
              <w:rPr>
                <w:rFonts w:hint="eastAsia" w:cs="Times New Roman"/>
                <w:szCs w:val="21"/>
                <w:lang w:val="en-US" w:eastAsia="zh-CN"/>
              </w:rPr>
              <w:t>多云</w:t>
            </w:r>
            <w:r>
              <w:rPr>
                <w:rFonts w:hint="default" w:ascii="Times New Roman" w:hAnsi="Times New Roman" w:cs="Times New Roman"/>
                <w:szCs w:val="21"/>
              </w:rPr>
              <w:t>，风速</w:t>
            </w:r>
            <w:r>
              <w:rPr>
                <w:rFonts w:hint="eastAsia" w:cs="Times New Roman"/>
                <w:bCs/>
                <w:color w:val="auto"/>
                <w:szCs w:val="21"/>
                <w:lang w:val="en-US" w:eastAsia="zh-CN"/>
              </w:rPr>
              <w:t>1.2</w:t>
            </w:r>
            <w:r>
              <w:rPr>
                <w:rFonts w:hint="default" w:ascii="Times New Roman" w:hAnsi="Times New Roman" w:cs="Times New Roman"/>
                <w:bCs/>
                <w:color w:val="auto"/>
                <w:szCs w:val="21"/>
              </w:rPr>
              <w:t>～</w:t>
            </w:r>
            <w:r>
              <w:rPr>
                <w:rFonts w:hint="eastAsia" w:cs="Times New Roman"/>
                <w:bCs/>
                <w:color w:val="auto"/>
                <w:szCs w:val="21"/>
                <w:lang w:val="en-US" w:eastAsia="zh-CN"/>
              </w:rPr>
              <w:t>1.8</w:t>
            </w:r>
            <w:r>
              <w:rPr>
                <w:rFonts w:hint="default" w:ascii="Times New Roman" w:hAnsi="Times New Roman" w:cs="Times New Roman"/>
                <w:szCs w:val="21"/>
              </w:rPr>
              <w:t>m/s</w:t>
            </w:r>
          </w:p>
        </w:tc>
        <w:tc>
          <w:tcPr>
            <w:tcW w:w="705" w:type="pct"/>
            <w:tcBorders>
              <w:left w:val="nil"/>
              <w:bottom w:val="single" w:color="auto" w:sz="12" w:space="0"/>
              <w:right w:val="nil"/>
            </w:tcBorders>
            <w:vAlign w:val="center"/>
          </w:tcPr>
          <w:p>
            <w:pPr>
              <w:rPr>
                <w:rFonts w:hint="default" w:ascii="Times New Roman" w:hAnsi="Times New Roman" w:cs="Times New Roman"/>
                <w:szCs w:val="21"/>
              </w:rPr>
            </w:pPr>
          </w:p>
        </w:tc>
        <w:tc>
          <w:tcPr>
            <w:tcW w:w="681" w:type="pct"/>
            <w:tcBorders>
              <w:left w:val="nil"/>
              <w:bottom w:val="single" w:color="auto" w:sz="12" w:space="0"/>
              <w:right w:val="nil"/>
            </w:tcBorders>
            <w:vAlign w:val="center"/>
          </w:tcPr>
          <w:p>
            <w:pPr>
              <w:rPr>
                <w:rFonts w:hint="default" w:ascii="Times New Roman" w:hAnsi="Times New Roman" w:cs="Times New Roman"/>
                <w:szCs w:val="21"/>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textAlignment w:val="auto"/>
        <w:rPr>
          <w:rFonts w:hint="default" w:ascii="Times New Roman" w:hAnsi="Times New Roman" w:cs="Times New Roman"/>
          <w:kern w:val="0"/>
          <w:sz w:val="24"/>
          <w:lang w:val="zh-CN"/>
        </w:rPr>
      </w:pPr>
      <w:r>
        <w:rPr>
          <w:rFonts w:hint="default" w:ascii="Times New Roman" w:hAnsi="Times New Roman" w:cs="Times New Roman"/>
          <w:kern w:val="0"/>
          <w:sz w:val="24"/>
          <w:lang w:val="zh-CN"/>
        </w:rPr>
        <w:t>由表</w:t>
      </w:r>
      <w:r>
        <w:rPr>
          <w:rFonts w:hint="default" w:ascii="Times New Roman" w:hAnsi="Times New Roman" w:cs="Times New Roman"/>
          <w:kern w:val="0"/>
          <w:sz w:val="24"/>
        </w:rPr>
        <w:t>3.</w:t>
      </w:r>
      <w:r>
        <w:rPr>
          <w:rFonts w:hint="eastAsia" w:cs="Times New Roman"/>
          <w:kern w:val="0"/>
          <w:sz w:val="24"/>
          <w:lang w:val="en-US" w:eastAsia="zh-CN"/>
        </w:rPr>
        <w:t>3</w:t>
      </w:r>
      <w:r>
        <w:rPr>
          <w:rFonts w:hint="default" w:ascii="Times New Roman" w:hAnsi="Times New Roman" w:cs="Times New Roman"/>
          <w:kern w:val="0"/>
          <w:sz w:val="24"/>
        </w:rPr>
        <w:t>-2监测结果</w:t>
      </w:r>
      <w:r>
        <w:rPr>
          <w:rFonts w:hint="default" w:ascii="Times New Roman" w:hAnsi="Times New Roman" w:cs="Times New Roman"/>
          <w:kern w:val="0"/>
          <w:sz w:val="24"/>
          <w:lang w:val="zh-CN"/>
        </w:rPr>
        <w:t>可以看出，</w:t>
      </w:r>
      <w:r>
        <w:rPr>
          <w:rFonts w:hint="default" w:ascii="Times New Roman" w:hAnsi="Times New Roman" w:cs="Times New Roman"/>
          <w:sz w:val="24"/>
        </w:rPr>
        <w:t>福泽大道</w:t>
      </w:r>
      <w:r>
        <w:rPr>
          <w:rFonts w:hint="eastAsia"/>
          <w:color w:val="auto"/>
          <w:kern w:val="0"/>
          <w:sz w:val="24"/>
          <w:szCs w:val="24"/>
          <w:lang w:val="zh-CN"/>
        </w:rPr>
        <w:t>沿线</w:t>
      </w:r>
      <w:r>
        <w:rPr>
          <w:rFonts w:hint="eastAsia"/>
          <w:color w:val="auto"/>
          <w:sz w:val="24"/>
          <w:szCs w:val="24"/>
        </w:rPr>
        <w:t>昼、夜间声环境可满足</w:t>
      </w:r>
      <w:r>
        <w:rPr>
          <w:color w:val="auto"/>
          <w:sz w:val="24"/>
          <w:szCs w:val="24"/>
        </w:rPr>
        <w:t>《声环境质量标准》（GB3096-2008）</w:t>
      </w:r>
      <w:r>
        <w:rPr>
          <w:rFonts w:hint="eastAsia"/>
          <w:color w:val="auto"/>
          <w:sz w:val="24"/>
          <w:szCs w:val="24"/>
        </w:rPr>
        <w:t>4a类标准</w:t>
      </w:r>
      <w:r>
        <w:rPr>
          <w:rFonts w:hint="eastAsia"/>
          <w:color w:val="auto"/>
          <w:sz w:val="24"/>
          <w:szCs w:val="24"/>
          <w:lang w:eastAsia="zh-CN"/>
        </w:rPr>
        <w:t>，</w:t>
      </w:r>
      <w:r>
        <w:rPr>
          <w:rFonts w:hint="eastAsia" w:ascii="Times New Roman" w:hAnsi="Times New Roman" w:eastAsia="宋体" w:cs="Times New Roman"/>
          <w:kern w:val="0"/>
          <w:sz w:val="24"/>
          <w:lang w:val="en-US" w:eastAsia="zh-CN"/>
        </w:rPr>
        <w:t>规划居住用地、教育科研用地</w:t>
      </w:r>
      <w:r>
        <w:rPr>
          <w:rFonts w:hint="eastAsia"/>
          <w:color w:val="auto"/>
          <w:sz w:val="24"/>
          <w:szCs w:val="24"/>
          <w:lang w:val="en-US" w:eastAsia="zh-CN"/>
        </w:rPr>
        <w:t>现状</w:t>
      </w:r>
      <w:r>
        <w:rPr>
          <w:rFonts w:hint="eastAsia"/>
          <w:color w:val="auto"/>
          <w:sz w:val="24"/>
        </w:rPr>
        <w:t>昼、夜间声环境</w:t>
      </w:r>
      <w:r>
        <w:rPr>
          <w:rFonts w:hint="default" w:ascii="Times New Roman" w:hAnsi="Times New Roman" w:cs="Times New Roman"/>
          <w:kern w:val="0"/>
          <w:sz w:val="24"/>
          <w:lang w:val="zh-CN"/>
        </w:rPr>
        <w:t>符合</w:t>
      </w:r>
      <w:r>
        <w:rPr>
          <w:rFonts w:hint="default" w:ascii="Times New Roman" w:hAnsi="Times New Roman" w:cs="Times New Roman"/>
          <w:sz w:val="24"/>
        </w:rPr>
        <w:t>《声环境质量标准》（GB3096-2008）</w:t>
      </w:r>
      <w:r>
        <w:rPr>
          <w:rFonts w:hint="default" w:ascii="Times New Roman" w:hAnsi="Times New Roman" w:cs="Times New Roman"/>
          <w:kern w:val="0"/>
          <w:sz w:val="24"/>
        </w:rPr>
        <w:t>2类标准</w:t>
      </w:r>
      <w:r>
        <w:rPr>
          <w:rFonts w:hint="default" w:ascii="Times New Roman" w:hAnsi="Times New Roman" w:cs="Times New Roman"/>
          <w:kern w:val="0"/>
          <w:sz w:val="24"/>
          <w:lang w:val="zh-CN"/>
        </w:rPr>
        <w:t>要求。</w:t>
      </w:r>
      <w:r>
        <w:rPr>
          <w:rFonts w:hint="eastAsia"/>
          <w:color w:val="auto"/>
          <w:sz w:val="24"/>
          <w:lang w:val="en-US" w:eastAsia="zh-CN"/>
        </w:rPr>
        <w:t>各监测点位无超标，</w:t>
      </w:r>
      <w:r>
        <w:rPr>
          <w:rFonts w:hint="eastAsia"/>
          <w:color w:val="auto"/>
          <w:kern w:val="0"/>
          <w:sz w:val="24"/>
        </w:rPr>
        <w:t>项目道路沿线总体声环境质量良好</w:t>
      </w:r>
      <w:r>
        <w:rPr>
          <w:rFonts w:hint="default" w:ascii="Times New Roman" w:hAnsi="Times New Roman" w:cs="Times New Roman"/>
          <w:kern w:val="0"/>
          <w:sz w:val="24"/>
          <w:lang w:val="zh-CN"/>
        </w:rPr>
        <w:t>。</w:t>
      </w:r>
    </w:p>
    <w:p>
      <w:pPr>
        <w:keepNext/>
        <w:keepLines/>
        <w:spacing w:line="360" w:lineRule="auto"/>
        <w:outlineLvl w:val="0"/>
        <w:rPr>
          <w:rFonts w:hint="default" w:ascii="Times New Roman" w:hAnsi="Times New Roman" w:cs="Times New Roman"/>
          <w:b/>
          <w:bCs/>
          <w:kern w:val="44"/>
          <w:sz w:val="32"/>
        </w:rPr>
      </w:pPr>
      <w:bookmarkStart w:id="248" w:name="_Toc19134"/>
      <w:bookmarkStart w:id="249" w:name="_Toc17631"/>
      <w:bookmarkStart w:id="250" w:name="_Toc8932"/>
      <w:bookmarkStart w:id="251" w:name="_Toc7793"/>
      <w:r>
        <w:rPr>
          <w:rFonts w:hint="default" w:ascii="Times New Roman" w:hAnsi="Times New Roman" w:cs="Times New Roman"/>
          <w:b/>
          <w:bCs/>
          <w:kern w:val="44"/>
          <w:sz w:val="32"/>
        </w:rPr>
        <w:t>4 声环境影响预测和评价</w:t>
      </w:r>
      <w:bookmarkEnd w:id="248"/>
      <w:bookmarkEnd w:id="249"/>
      <w:bookmarkEnd w:id="250"/>
      <w:bookmarkEnd w:id="251"/>
    </w:p>
    <w:p>
      <w:pPr>
        <w:keepNext/>
        <w:keepLines/>
        <w:spacing w:line="360" w:lineRule="auto"/>
        <w:outlineLvl w:val="1"/>
        <w:rPr>
          <w:rFonts w:hint="default" w:ascii="Times New Roman" w:hAnsi="Times New Roman" w:cs="Times New Roman"/>
          <w:b/>
          <w:bCs/>
          <w:sz w:val="30"/>
          <w:szCs w:val="30"/>
        </w:rPr>
      </w:pPr>
      <w:bookmarkStart w:id="252" w:name="_Toc11560"/>
      <w:bookmarkStart w:id="253" w:name="_Toc27087"/>
      <w:bookmarkStart w:id="254" w:name="_Toc25104"/>
      <w:r>
        <w:rPr>
          <w:rFonts w:hint="default" w:ascii="Times New Roman" w:hAnsi="Times New Roman" w:cs="Times New Roman"/>
          <w:b/>
          <w:bCs/>
          <w:sz w:val="30"/>
          <w:szCs w:val="30"/>
        </w:rPr>
        <w:t>4.1 施工期声环境影响分析</w:t>
      </w:r>
      <w:bookmarkEnd w:id="252"/>
      <w:bookmarkEnd w:id="253"/>
      <w:bookmarkEnd w:id="254"/>
    </w:p>
    <w:p>
      <w:pPr>
        <w:keepNext/>
        <w:keepLines/>
        <w:spacing w:line="360" w:lineRule="auto"/>
        <w:outlineLvl w:val="2"/>
        <w:rPr>
          <w:rFonts w:hint="default" w:ascii="Times New Roman" w:hAnsi="Times New Roman" w:cs="Times New Roman"/>
          <w:b/>
          <w:bCs/>
          <w:sz w:val="28"/>
          <w:szCs w:val="28"/>
        </w:rPr>
      </w:pPr>
      <w:r>
        <w:rPr>
          <w:rFonts w:hint="default" w:ascii="Times New Roman" w:hAnsi="Times New Roman" w:cs="Times New Roman"/>
          <w:b/>
          <w:bCs/>
          <w:sz w:val="28"/>
          <w:szCs w:val="28"/>
        </w:rPr>
        <w:t>4.1.1 施工期不同阶段噪声源分析</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道路建设施工阶段的主要噪声源来自于施工机械的施工噪声和运输车辆的辐射噪声，这部分噪声虽然是暂时的，但由于拟建项目施工工期</w:t>
      </w:r>
      <w:r>
        <w:rPr>
          <w:rFonts w:hint="eastAsia" w:cs="Times New Roman"/>
          <w:snapToGrid w:val="0"/>
          <w:kern w:val="0"/>
          <w:sz w:val="24"/>
          <w:lang w:val="en-US" w:eastAsia="zh-CN"/>
        </w:rPr>
        <w:t>较长</w:t>
      </w:r>
      <w:r>
        <w:rPr>
          <w:rFonts w:hint="default" w:ascii="Times New Roman" w:hAnsi="Times New Roman" w:cs="Times New Roman"/>
          <w:snapToGrid w:val="0"/>
          <w:kern w:val="0"/>
          <w:sz w:val="24"/>
        </w:rPr>
        <w:t>，施工机械较多，这些施工机械一般都具有高噪声、无规则等特点，如不加以控制，往往会对附近的声环境敏感点产生较大的影响。</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道路建设项目的施工作业噪声主要来自于施工的机械噪声。根据道路工程施工特点，可以把施工过程分为三个阶段：路基与桥涵施工、路面施工、交通工程施工。</w:t>
      </w:r>
    </w:p>
    <w:p>
      <w:pPr>
        <w:adjustRightInd w:val="0"/>
        <w:snapToGrid w:val="0"/>
        <w:spacing w:line="360" w:lineRule="auto"/>
        <w:ind w:firstLine="480"/>
        <w:rPr>
          <w:rFonts w:hint="eastAsia" w:ascii="Times New Roman" w:hAnsi="Times New Roman" w:eastAsia="宋体" w:cs="Times New Roman"/>
          <w:snapToGrid w:val="0"/>
          <w:kern w:val="0"/>
          <w:sz w:val="24"/>
          <w:lang w:eastAsia="zh-CN"/>
        </w:rPr>
      </w:pPr>
      <w:r>
        <w:rPr>
          <w:rFonts w:hint="default" w:ascii="Times New Roman" w:hAnsi="Times New Roman" w:cs="Times New Roman"/>
          <w:snapToGrid w:val="0"/>
          <w:kern w:val="0"/>
          <w:sz w:val="24"/>
        </w:rPr>
        <w:t>（1）路基施工：该工序是耗时最长、所用施工机械最多、噪声最强的阶段</w:t>
      </w:r>
      <w:r>
        <w:rPr>
          <w:rFonts w:hint="eastAsia" w:cs="Times New Roman"/>
          <w:snapToGrid w:val="0"/>
          <w:kern w:val="0"/>
          <w:sz w:val="24"/>
          <w:lang w:eastAsia="zh-CN"/>
        </w:rPr>
        <w:t>。</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该阶段主要包括处理地基、路基平整、挖填土方、逐层压实路面</w:t>
      </w:r>
      <w:r>
        <w:rPr>
          <w:rFonts w:hint="eastAsia"/>
          <w:snapToGrid w:val="0"/>
          <w:color w:val="auto"/>
          <w:kern w:val="0"/>
          <w:sz w:val="24"/>
        </w:rPr>
        <w:t>、桥墩基础施工</w:t>
      </w:r>
      <w:r>
        <w:rPr>
          <w:rFonts w:hint="default" w:ascii="Times New Roman" w:hAnsi="Times New Roman" w:cs="Times New Roman"/>
          <w:snapToGrid w:val="0"/>
          <w:kern w:val="0"/>
          <w:sz w:val="24"/>
        </w:rPr>
        <w:t>等施工工艺，这一过程还伴随着大量运输物料车辆进出施工现场。该阶段需用的施工机械包括</w:t>
      </w:r>
      <w:r>
        <w:rPr>
          <w:color w:val="auto"/>
          <w:sz w:val="24"/>
        </w:rPr>
        <w:t>振动夯锤</w:t>
      </w:r>
      <w:r>
        <w:rPr>
          <w:rFonts w:hint="eastAsia"/>
          <w:color w:val="auto"/>
          <w:sz w:val="24"/>
        </w:rPr>
        <w:t>、</w:t>
      </w:r>
      <w:r>
        <w:rPr>
          <w:snapToGrid w:val="0"/>
          <w:color w:val="auto"/>
          <w:kern w:val="0"/>
          <w:sz w:val="24"/>
        </w:rPr>
        <w:t>装载机、推土机、平地机、挖掘机</w:t>
      </w:r>
      <w:r>
        <w:rPr>
          <w:rFonts w:hint="eastAsia"/>
          <w:snapToGrid w:val="0"/>
          <w:color w:val="auto"/>
          <w:kern w:val="0"/>
          <w:sz w:val="24"/>
        </w:rPr>
        <w:t>、钻机</w:t>
      </w:r>
      <w:r>
        <w:rPr>
          <w:rFonts w:hint="default" w:ascii="Times New Roman" w:hAnsi="Times New Roman" w:cs="Times New Roman"/>
          <w:snapToGrid w:val="0"/>
          <w:kern w:val="0"/>
          <w:sz w:val="24"/>
        </w:rPr>
        <w:t>等。</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（2）路面施工：该工序继路基施工结束后开展，主要是对全线摊铺，用到的施工机械主要是摊铺机，该阶段道路施工噪声相对路基施工段较小。</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（3）交通工程施工：该工序主要是对道路的交通通讯设施进行安装、标志标线进行完善，该工序基本不用大型施工机械，因此噪声的影响更小。</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上述施工过程中，都伴有建筑材料的运输车辆所带来的辐射噪声，建材运输时，运输道路会不可避免的选择一些敏感点附近的现有道路，这些运输车辆发出的辐射噪声会对沿线的声环境敏感点产生一定影响。</w:t>
      </w:r>
    </w:p>
    <w:p>
      <w:pPr>
        <w:keepNext/>
        <w:keepLines/>
        <w:spacing w:line="360" w:lineRule="auto"/>
        <w:outlineLvl w:val="2"/>
        <w:rPr>
          <w:b/>
          <w:bCs/>
          <w:color w:val="auto"/>
          <w:sz w:val="28"/>
          <w:szCs w:val="28"/>
        </w:rPr>
      </w:pPr>
      <w:r>
        <w:rPr>
          <w:b/>
          <w:bCs/>
          <w:color w:val="auto"/>
          <w:sz w:val="28"/>
          <w:szCs w:val="28"/>
        </w:rPr>
        <w:t>4.1.2 施工期噪声</w:t>
      </w:r>
      <w:r>
        <w:rPr>
          <w:rFonts w:hint="eastAsia"/>
          <w:b/>
          <w:bCs/>
          <w:color w:val="auto"/>
          <w:sz w:val="28"/>
          <w:szCs w:val="28"/>
        </w:rPr>
        <w:t>影响分析</w:t>
      </w:r>
    </w:p>
    <w:p>
      <w:pPr>
        <w:pStyle w:val="92"/>
        <w:adjustRightInd w:val="0"/>
        <w:snapToGrid w:val="0"/>
        <w:ind w:firstLine="480"/>
        <w:rPr>
          <w:rFonts w:eastAsia="宋体"/>
          <w:color w:val="auto"/>
          <w:kern w:val="0"/>
          <w:sz w:val="24"/>
        </w:rPr>
      </w:pPr>
      <w:r>
        <w:rPr>
          <w:rFonts w:eastAsia="宋体"/>
          <w:color w:val="auto"/>
          <w:kern w:val="0"/>
          <w:sz w:val="24"/>
        </w:rPr>
        <w:t>（</w:t>
      </w:r>
      <w:r>
        <w:rPr>
          <w:rFonts w:hint="eastAsia" w:eastAsia="宋体"/>
          <w:color w:val="auto"/>
          <w:kern w:val="0"/>
          <w:sz w:val="24"/>
        </w:rPr>
        <w:t>1</w:t>
      </w:r>
      <w:r>
        <w:rPr>
          <w:rFonts w:eastAsia="宋体"/>
          <w:color w:val="auto"/>
          <w:kern w:val="0"/>
          <w:sz w:val="24"/>
        </w:rPr>
        <w:t>）施工噪声影响预测</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施工机械的噪声可近似视为点声源处理，根据点声源噪声衰减模式，估算距离声源不同距离处的噪声值，预测模式如下：</w:t>
      </w:r>
    </w:p>
    <w:p>
      <w:pPr>
        <w:adjustRightInd w:val="0"/>
        <w:snapToGrid w:val="0"/>
        <w:spacing w:line="360" w:lineRule="auto"/>
        <w:ind w:firstLine="480"/>
        <w:jc w:val="center"/>
        <w:rPr>
          <w:rFonts w:hint="default" w:ascii="Times New Roman" w:hAnsi="Times New Roman" w:cs="Times New Roman"/>
          <w:snapToGrid w:val="0"/>
          <w:kern w:val="0"/>
          <w:sz w:val="24"/>
        </w:rPr>
      </w:pPr>
      <w:r>
        <w:rPr>
          <w:rFonts w:hint="default" w:ascii="Times New Roman" w:hAnsi="Times New Roman" w:cs="Times New Roman"/>
          <w:sz w:val="24"/>
        </w:rPr>
        <w:object>
          <v:shape id="_x0000_i1025" o:spt="75" type="#_x0000_t75" style="height:36pt;width:116.25pt;" o:ole="t" filled="f" coordsize="21600,21600">
            <v:path/>
            <v:fill on="f" focussize="0,0"/>
            <v:stroke/>
            <v:imagedata r:id="rId30" o:title=""/>
            <o:lock v:ext="edit" aspectratio="t"/>
            <w10:wrap type="none"/>
            <w10:anchorlock/>
          </v:shape>
          <o:OLEObject Type="Embed" ProgID="Equation.3" ShapeID="_x0000_i1025" DrawAspect="Content" ObjectID="_1468075725" r:id="rId29">
            <o:LockedField>false</o:LockedField>
          </o:OLEObject>
        </w:objec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式中：L</w:t>
      </w:r>
      <w:r>
        <w:rPr>
          <w:rFonts w:hint="default" w:ascii="Times New Roman" w:hAnsi="Times New Roman" w:cs="Times New Roman"/>
          <w:sz w:val="24"/>
          <w:vertAlign w:val="subscript"/>
        </w:rPr>
        <w:t>i</w:t>
      </w:r>
      <w:r>
        <w:rPr>
          <w:rFonts w:hint="default" w:ascii="Times New Roman" w:hAnsi="Times New Roman" w:cs="Times New Roman"/>
          <w:sz w:val="24"/>
        </w:rPr>
        <w:t>和L</w:t>
      </w:r>
      <w:r>
        <w:rPr>
          <w:rFonts w:hint="default" w:ascii="Times New Roman" w:hAnsi="Times New Roman" w:cs="Times New Roman"/>
          <w:sz w:val="24"/>
          <w:vertAlign w:val="subscript"/>
        </w:rPr>
        <w:t>0</w:t>
      </w:r>
      <w:r>
        <w:rPr>
          <w:rFonts w:hint="default" w:ascii="Times New Roman" w:hAnsi="Times New Roman" w:cs="Times New Roman"/>
          <w:sz w:val="24"/>
        </w:rPr>
        <w:t>分别为距离设备R</w:t>
      </w:r>
      <w:r>
        <w:rPr>
          <w:rFonts w:hint="default" w:ascii="Times New Roman" w:hAnsi="Times New Roman" w:cs="Times New Roman"/>
          <w:sz w:val="24"/>
          <w:vertAlign w:val="subscript"/>
        </w:rPr>
        <w:t>i</w:t>
      </w:r>
      <w:r>
        <w:rPr>
          <w:rFonts w:hint="default" w:ascii="Times New Roman" w:hAnsi="Times New Roman" w:cs="Times New Roman"/>
          <w:sz w:val="24"/>
        </w:rPr>
        <w:t>和R</w:t>
      </w:r>
      <w:r>
        <w:rPr>
          <w:rFonts w:hint="default" w:ascii="Times New Roman" w:hAnsi="Times New Roman" w:cs="Times New Roman"/>
          <w:sz w:val="24"/>
          <w:vertAlign w:val="subscript"/>
        </w:rPr>
        <w:t>0</w:t>
      </w:r>
      <w:r>
        <w:rPr>
          <w:rFonts w:hint="default" w:ascii="Times New Roman" w:hAnsi="Times New Roman" w:cs="Times New Roman"/>
          <w:sz w:val="24"/>
        </w:rPr>
        <w:t>处的设备噪声级；ΔL为障碍物、植被、空气等产生的附加衰减量。</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对于多台施工机械对某个预测点的影响，应进行</w:t>
      </w:r>
      <w:r>
        <w:rPr>
          <w:color w:val="auto"/>
          <w:sz w:val="24"/>
        </w:rPr>
        <w:t>声级</w:t>
      </w:r>
      <w:r>
        <w:rPr>
          <w:rFonts w:hint="eastAsia"/>
          <w:color w:val="auto"/>
          <w:sz w:val="24"/>
          <w:lang w:val="en-US" w:eastAsia="zh-CN"/>
        </w:rPr>
        <w:t>叠</w:t>
      </w:r>
      <w:r>
        <w:rPr>
          <w:color w:val="auto"/>
          <w:sz w:val="24"/>
        </w:rPr>
        <w:t>加</w:t>
      </w:r>
      <w:r>
        <w:rPr>
          <w:rFonts w:hint="default" w:ascii="Times New Roman" w:hAnsi="Times New Roman" w:cs="Times New Roman"/>
          <w:sz w:val="24"/>
        </w:rPr>
        <w:t>：</w:t>
      </w:r>
    </w:p>
    <w:p>
      <w:pPr>
        <w:pStyle w:val="26"/>
        <w:spacing w:line="360" w:lineRule="auto"/>
        <w:ind w:left="0" w:leftChars="0" w:firstLine="0" w:firstLineChars="0"/>
        <w:jc w:val="center"/>
        <w:rPr>
          <w:rFonts w:hint="default" w:ascii="Times New Roman" w:hAnsi="Times New Roman" w:cs="Times New Roman"/>
        </w:rPr>
      </w:pPr>
      <w:r>
        <w:rPr>
          <w:rFonts w:hint="default" w:ascii="Times New Roman" w:hAnsi="Times New Roman" w:cs="Times New Roman"/>
        </w:rPr>
        <w:object>
          <v:shape id="_x0000_i1026" o:spt="75" type="#_x0000_t75" style="height:21pt;width:88.5pt;" o:ole="t" filled="f" coordsize="21600,21600">
            <v:path/>
            <v:fill on="f" focussize="0,0"/>
            <v:stroke/>
            <v:imagedata r:id="rId32" o:title=""/>
            <o:lock v:ext="edit" aspectratio="t"/>
            <w10:wrap type="none"/>
            <w10:anchorlock/>
          </v:shape>
          <o:OLEObject Type="Embed" ProgID="Equation.3" ShapeID="_x0000_i1026" DrawAspect="Content" ObjectID="_1468075726" r:id="rId31">
            <o:LockedField>false</o:LockedField>
          </o:OLEObject>
        </w:object>
      </w:r>
    </w:p>
    <w:p>
      <w:pPr>
        <w:adjustRightInd w:val="0"/>
        <w:snapToGrid w:val="0"/>
        <w:spacing w:line="360" w:lineRule="auto"/>
        <w:ind w:firstLine="480"/>
        <w:rPr>
          <w:snapToGrid w:val="0"/>
          <w:color w:val="auto"/>
          <w:kern w:val="0"/>
          <w:sz w:val="24"/>
        </w:rPr>
      </w:pPr>
      <w:r>
        <w:rPr>
          <w:rFonts w:hint="eastAsia"/>
          <w:snapToGrid w:val="0"/>
          <w:color w:val="auto"/>
          <w:kern w:val="0"/>
          <w:sz w:val="24"/>
        </w:rPr>
        <w:t>（2）施工噪声影响分析</w:t>
      </w:r>
    </w:p>
    <w:p>
      <w:pPr>
        <w:adjustRightInd w:val="0"/>
        <w:snapToGrid w:val="0"/>
        <w:spacing w:line="360" w:lineRule="auto"/>
        <w:ind w:firstLine="480"/>
        <w:rPr>
          <w:snapToGrid w:val="0"/>
          <w:color w:val="auto"/>
          <w:kern w:val="0"/>
          <w:sz w:val="24"/>
        </w:rPr>
      </w:pPr>
      <w:r>
        <w:rPr>
          <w:snapToGrid w:val="0"/>
          <w:color w:val="auto"/>
          <w:kern w:val="0"/>
          <w:sz w:val="24"/>
        </w:rPr>
        <w:t>根据上述点声源预测模式，本项目主要施工机械不同距离处的噪声见</w:t>
      </w:r>
      <w:r>
        <w:rPr>
          <w:b/>
          <w:bCs/>
          <w:snapToGrid w:val="0"/>
          <w:color w:val="auto"/>
          <w:kern w:val="0"/>
          <w:sz w:val="24"/>
        </w:rPr>
        <w:t>表4.1-1</w:t>
      </w:r>
      <w:r>
        <w:rPr>
          <w:snapToGrid w:val="0"/>
          <w:color w:val="auto"/>
          <w:kern w:val="0"/>
          <w:sz w:val="24"/>
        </w:rPr>
        <w:t>。</w:t>
      </w:r>
    </w:p>
    <w:p>
      <w:pPr>
        <w:spacing w:line="360" w:lineRule="auto"/>
        <w:ind w:firstLine="482"/>
        <w:jc w:val="center"/>
        <w:rPr>
          <w:color w:val="auto"/>
          <w:sz w:val="24"/>
        </w:rPr>
      </w:pPr>
      <w:r>
        <w:rPr>
          <w:b/>
          <w:bCs/>
          <w:color w:val="auto"/>
          <w:sz w:val="24"/>
        </w:rPr>
        <w:t>表4.1-1   各种施工设施噪声源强及其噪声值随距离的衰减</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42"/>
        <w:gridCol w:w="802"/>
        <w:gridCol w:w="970"/>
        <w:gridCol w:w="953"/>
        <w:gridCol w:w="970"/>
        <w:gridCol w:w="953"/>
        <w:gridCol w:w="953"/>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机械名称</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50m</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100m</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150m</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200m</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250m</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300m</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400m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液压挖掘机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58</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54</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电动挖掘机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66</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56</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52</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50</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轮式装载机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75</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69</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65</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63</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61</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59</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推土机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68</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62</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58</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52</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移动式发电机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82</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72</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68</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66</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各类压路机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58</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54</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重型运输车</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58</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54</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木工电锯</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79</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73</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69</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67</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65</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63</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电锤</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85</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79</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75</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73</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71</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69</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振动夯锤</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80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68</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64</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打桩机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90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84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80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78</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74</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静力压桩机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55</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49</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45</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43</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41</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39</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风镐</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72</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62</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58</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56</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混凝土输送泵</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75</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69</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65</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63</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61</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59</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商砼搅拌车</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60</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58</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54</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混凝土震捣器</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68</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62</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58</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52</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云石机、角磨机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76</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66</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64</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62</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60</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宋体" w:hAnsi="宋体" w:eastAsia="宋体" w:cs="宋体"/>
                <w:b w:val="0"/>
                <w:bCs w:val="0"/>
                <w:i w:val="0"/>
                <w:iCs w:val="0"/>
                <w:color w:val="auto"/>
                <w:kern w:val="0"/>
                <w:sz w:val="21"/>
                <w:szCs w:val="21"/>
                <w:lang w:val="en-US" w:eastAsia="zh-CN" w:bidi="ar"/>
              </w:rPr>
              <w:t>空压机</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72</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66</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62</w:t>
            </w:r>
          </w:p>
        </w:tc>
        <w:tc>
          <w:tcPr>
            <w:tcW w:w="5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60</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58</w:t>
            </w:r>
          </w:p>
        </w:tc>
        <w:tc>
          <w:tcPr>
            <w:tcW w:w="5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56</w:t>
            </w:r>
          </w:p>
        </w:tc>
        <w:tc>
          <w:tcPr>
            <w:tcW w:w="6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color w:val="auto"/>
                <w:sz w:val="21"/>
                <w:szCs w:val="21"/>
              </w:rPr>
            </w:pPr>
            <w:r>
              <w:rPr>
                <w:rFonts w:ascii="TimesNewRomanPSMT" w:hAnsi="TimesNewRomanPSMT" w:eastAsia="TimesNewRomanPSMT" w:cs="TimesNewRomanPSMT"/>
                <w:b w:val="0"/>
                <w:bCs w:val="0"/>
                <w:i w:val="0"/>
                <w:iCs w:val="0"/>
                <w:color w:val="auto"/>
                <w:kern w:val="0"/>
                <w:sz w:val="21"/>
                <w:szCs w:val="21"/>
                <w:lang w:val="en-US" w:eastAsia="zh-CN" w:bidi="ar"/>
              </w:rPr>
              <w:t>54</w:t>
            </w:r>
          </w:p>
        </w:tc>
      </w:tr>
    </w:tbl>
    <w:p>
      <w:pPr>
        <w:spacing w:before="120" w:beforeLines="50" w:line="360" w:lineRule="auto"/>
        <w:ind w:firstLine="482"/>
        <w:rPr>
          <w:snapToGrid w:val="0"/>
          <w:color w:val="auto"/>
          <w:kern w:val="0"/>
          <w:sz w:val="24"/>
        </w:rPr>
      </w:pPr>
      <w:r>
        <w:rPr>
          <w:snapToGrid w:val="0"/>
          <w:color w:val="auto"/>
          <w:kern w:val="0"/>
          <w:sz w:val="24"/>
        </w:rPr>
        <w:t>依据施工噪声预测结果，</w:t>
      </w:r>
      <w:r>
        <w:rPr>
          <w:color w:val="auto"/>
          <w:kern w:val="0"/>
          <w:sz w:val="24"/>
        </w:rPr>
        <w:t>结合《建筑施工场界环境噪声排放标准》（GB12523-2011）中噪声限值（昼间70dB（A），夜间55dB（A）），由</w:t>
      </w:r>
      <w:r>
        <w:rPr>
          <w:b/>
          <w:bCs/>
          <w:color w:val="auto"/>
          <w:kern w:val="0"/>
          <w:sz w:val="24"/>
        </w:rPr>
        <w:t>表</w:t>
      </w:r>
      <w:r>
        <w:rPr>
          <w:rFonts w:hint="eastAsia"/>
          <w:b/>
          <w:bCs/>
          <w:color w:val="auto"/>
          <w:kern w:val="0"/>
          <w:sz w:val="24"/>
        </w:rPr>
        <w:t>4.1-1</w:t>
      </w:r>
      <w:r>
        <w:rPr>
          <w:color w:val="auto"/>
          <w:kern w:val="0"/>
          <w:sz w:val="24"/>
        </w:rPr>
        <w:t>预测结果分析，道路建设过程施工噪声将对沿线声环境质量产生一定的影</w:t>
      </w:r>
      <w:r>
        <w:rPr>
          <w:color w:val="auto"/>
          <w:kern w:val="0"/>
          <w:sz w:val="24"/>
          <w:szCs w:val="24"/>
        </w:rPr>
        <w:t>响，</w:t>
      </w:r>
      <w:r>
        <w:rPr>
          <w:rFonts w:ascii="宋体" w:hAnsi="宋体" w:eastAsia="宋体" w:cs="宋体"/>
          <w:b w:val="0"/>
          <w:bCs w:val="0"/>
          <w:i w:val="0"/>
          <w:iCs w:val="0"/>
          <w:color w:val="auto"/>
          <w:sz w:val="24"/>
          <w:szCs w:val="24"/>
        </w:rPr>
        <w:t>单台施工机械约在</w:t>
      </w:r>
      <w:r>
        <w:rPr>
          <w:rFonts w:ascii="TimesNewRomanPSMT" w:hAnsi="TimesNewRomanPSMT" w:eastAsia="TimesNewRomanPSMT" w:cs="TimesNewRomanPSMT"/>
          <w:b w:val="0"/>
          <w:bCs w:val="0"/>
          <w:i w:val="0"/>
          <w:iCs w:val="0"/>
          <w:color w:val="auto"/>
          <w:sz w:val="24"/>
          <w:szCs w:val="24"/>
        </w:rPr>
        <w:t>50m</w:t>
      </w:r>
      <w:r>
        <w:rPr>
          <w:rFonts w:ascii="宋体" w:hAnsi="宋体" w:eastAsia="宋体" w:cs="宋体"/>
          <w:b w:val="0"/>
          <w:bCs w:val="0"/>
          <w:i w:val="0"/>
          <w:iCs w:val="0"/>
          <w:color w:val="auto"/>
          <w:sz w:val="24"/>
          <w:szCs w:val="24"/>
        </w:rPr>
        <w:t>以外噪声值才基本能达到施工阶段场界昼间噪声限值，夜间则需在</w:t>
      </w:r>
      <w:r>
        <w:rPr>
          <w:rFonts w:hint="eastAsia" w:ascii="TimesNewRomanPSMT" w:hAnsi="TimesNewRomanPSMT" w:eastAsia="宋体" w:cs="TimesNewRomanPSMT"/>
          <w:b w:val="0"/>
          <w:bCs w:val="0"/>
          <w:i w:val="0"/>
          <w:iCs w:val="0"/>
          <w:color w:val="auto"/>
          <w:sz w:val="24"/>
          <w:szCs w:val="24"/>
          <w:lang w:val="en-US" w:eastAsia="zh-CN"/>
        </w:rPr>
        <w:t>20</w:t>
      </w:r>
      <w:r>
        <w:rPr>
          <w:rFonts w:ascii="TimesNewRomanPSMT" w:hAnsi="TimesNewRomanPSMT" w:eastAsia="TimesNewRomanPSMT" w:cs="TimesNewRomanPSMT"/>
          <w:b w:val="0"/>
          <w:bCs w:val="0"/>
          <w:i w:val="0"/>
          <w:iCs w:val="0"/>
          <w:color w:val="auto"/>
          <w:sz w:val="24"/>
          <w:szCs w:val="24"/>
        </w:rPr>
        <w:t>0m</w:t>
      </w:r>
      <w:r>
        <w:rPr>
          <w:rFonts w:ascii="宋体" w:hAnsi="宋体" w:eastAsia="宋体" w:cs="宋体"/>
          <w:b w:val="0"/>
          <w:bCs w:val="0"/>
          <w:i w:val="0"/>
          <w:iCs w:val="0"/>
          <w:color w:val="auto"/>
          <w:sz w:val="24"/>
          <w:szCs w:val="24"/>
        </w:rPr>
        <w:t>以外才能达到要求</w:t>
      </w:r>
      <w:r>
        <w:rPr>
          <w:color w:val="auto"/>
          <w:kern w:val="0"/>
          <w:sz w:val="24"/>
          <w:szCs w:val="24"/>
        </w:rPr>
        <w:t>。</w:t>
      </w:r>
      <w:r>
        <w:rPr>
          <w:snapToGrid w:val="0"/>
          <w:color w:val="auto"/>
          <w:kern w:val="0"/>
          <w:sz w:val="24"/>
        </w:rPr>
        <w:t>而对照《声环境质量标准》（GB3096-2008）中的2类标准（昼间60dB；夜间50dB），在没有声屏障衰减情况下，单一施工机械作业时，昼间施工噪声的影响范围大约在施工场地周边150m以内，夜间施工噪声的影响范围较大，影响范围大约在施工场地周边将超出2</w:t>
      </w:r>
      <w:r>
        <w:rPr>
          <w:rFonts w:hint="eastAsia"/>
          <w:snapToGrid w:val="0"/>
          <w:color w:val="auto"/>
          <w:kern w:val="0"/>
          <w:sz w:val="24"/>
          <w:lang w:val="en-US" w:eastAsia="zh-CN"/>
        </w:rPr>
        <w:t>5</w:t>
      </w:r>
      <w:r>
        <w:rPr>
          <w:snapToGrid w:val="0"/>
          <w:color w:val="auto"/>
          <w:kern w:val="0"/>
          <w:sz w:val="24"/>
        </w:rPr>
        <w:t>0m。在施工现场，可能出现多台机械设备同时作业的情况，各设备噪声叠加后增量约3~8dB，这种情况下施工噪声对环境的影响将有所增大，其影响范围及影响程度将随使用设备的种类、数量以及施工阶段的不同而出现波动。</w:t>
      </w:r>
    </w:p>
    <w:p>
      <w:pPr>
        <w:spacing w:line="360" w:lineRule="auto"/>
        <w:ind w:firstLine="480"/>
        <w:rPr>
          <w:rFonts w:hint="eastAsia"/>
          <w:color w:val="auto"/>
          <w:sz w:val="24"/>
          <w:lang w:val="en-US" w:eastAsia="zh-CN"/>
        </w:rPr>
      </w:pPr>
      <w:r>
        <w:rPr>
          <w:rFonts w:hint="eastAsia"/>
          <w:snapToGrid w:val="0"/>
          <w:color w:val="auto"/>
          <w:kern w:val="0"/>
          <w:sz w:val="24"/>
          <w:lang w:val="en-US" w:eastAsia="zh-CN"/>
        </w:rPr>
        <w:t>项目施工沿线现状无声环境保护目标，工程</w:t>
      </w:r>
      <w:r>
        <w:rPr>
          <w:rFonts w:hint="eastAsia"/>
          <w:color w:val="auto"/>
          <w:sz w:val="24"/>
          <w:lang w:val="en-US" w:eastAsia="zh-CN"/>
        </w:rPr>
        <w:t>施工噪声对环境的影响在可接受范围内。</w:t>
      </w:r>
    </w:p>
    <w:p>
      <w:pPr>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施工单位应严格执行《中华人民共和国噪声污染防治法》和《建筑施工场界环境噪声排放标准》（GB12523-2011）、《建筑施工噪声管理办法》相关要求，做好以下几点：</w:t>
      </w:r>
    </w:p>
    <w:p>
      <w:pPr>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①禁止使用冲击式打桩机，所有打桩工序均采用沉管灌注桩；</w:t>
      </w:r>
    </w:p>
    <w:p>
      <w:pPr>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②施工单位要加强操作人员的环境意识，对一些零星的手工作业。如拆装模板、装卸建材，尽可能做到轻拿轻放，并辅以一定的减缓措施，如铺设草包等；</w:t>
      </w:r>
    </w:p>
    <w:p>
      <w:pPr>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③施工期间对于噪声值较高</w:t>
      </w:r>
      <w:r>
        <w:rPr>
          <w:rFonts w:hint="eastAsia" w:cs="Times New Roman"/>
          <w:color w:val="auto"/>
          <w:sz w:val="24"/>
          <w:lang w:val="en-US" w:eastAsia="zh-CN"/>
        </w:rPr>
        <w:t>的</w:t>
      </w:r>
      <w:r>
        <w:rPr>
          <w:rFonts w:hint="eastAsia" w:ascii="Times New Roman" w:hAnsi="Times New Roman" w:eastAsia="宋体" w:cs="Times New Roman"/>
          <w:color w:val="auto"/>
          <w:sz w:val="24"/>
        </w:rPr>
        <w:t>固定设备需设操作棚或临时声屏障；</w:t>
      </w:r>
    </w:p>
    <w:p>
      <w:pPr>
        <w:spacing w:line="360" w:lineRule="auto"/>
        <w:ind w:firstLine="48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④合理安排施工作业时间，禁止在午间（</w:t>
      </w:r>
      <w:r>
        <w:rPr>
          <w:rFonts w:hint="eastAsia" w:ascii="Times New Roman" w:hAnsi="Times New Roman" w:eastAsia="宋体" w:cs="Times New Roman"/>
          <w:color w:val="auto"/>
          <w:sz w:val="24"/>
          <w:lang w:val="en-US" w:eastAsia="zh-CN"/>
        </w:rPr>
        <w:t>12:0</w:t>
      </w:r>
      <w:r>
        <w:rPr>
          <w:rFonts w:hint="eastAsia" w:ascii="Times New Roman" w:hAnsi="Times New Roman" w:eastAsia="宋体" w:cs="Times New Roman"/>
          <w:color w:val="auto"/>
          <w:sz w:val="24"/>
        </w:rPr>
        <w:t>0-14:00）从事打桩等高噪声作业。禁止在夜间施工，因工艺因素或其它特殊原因确需夜间施工的应提前向</w:t>
      </w:r>
      <w:r>
        <w:rPr>
          <w:rFonts w:hint="eastAsia" w:hAnsi="宋体"/>
          <w:color w:val="auto"/>
          <w:sz w:val="24"/>
          <w:lang w:val="en-US" w:eastAsia="zh-CN"/>
        </w:rPr>
        <w:t>当地有关部门</w:t>
      </w:r>
      <w:r>
        <w:rPr>
          <w:rFonts w:hint="eastAsia" w:ascii="Times New Roman" w:hAnsi="Times New Roman" w:eastAsia="宋体" w:cs="Times New Roman"/>
          <w:color w:val="auto"/>
          <w:sz w:val="24"/>
        </w:rPr>
        <w:t>申请，并依法接受监督。</w:t>
      </w:r>
    </w:p>
    <w:p>
      <w:pPr>
        <w:spacing w:line="360" w:lineRule="auto"/>
        <w:ind w:firstLine="480"/>
        <w:rPr>
          <w:rFonts w:hint="eastAsia"/>
          <w:color w:val="auto"/>
          <w:sz w:val="24"/>
          <w:lang w:eastAsia="zh-CN"/>
        </w:rPr>
      </w:pPr>
      <w:r>
        <w:rPr>
          <w:rFonts w:hint="eastAsia" w:ascii="Times New Roman" w:hAnsi="Times New Roman" w:eastAsia="宋体" w:cs="Times New Roman"/>
          <w:color w:val="auto"/>
          <w:sz w:val="24"/>
        </w:rPr>
        <w:t>采用上述措施后，</w:t>
      </w:r>
      <w:r>
        <w:rPr>
          <w:rFonts w:hint="eastAsia" w:ascii="Times New Roman" w:hAnsi="Times New Roman" w:eastAsia="宋体" w:cs="Times New Roman"/>
          <w:color w:val="auto"/>
          <w:sz w:val="24"/>
          <w:lang w:val="en-US" w:eastAsia="zh-CN"/>
        </w:rPr>
        <w:t>施工</w:t>
      </w:r>
      <w:r>
        <w:rPr>
          <w:rFonts w:hint="eastAsia"/>
          <w:color w:val="auto"/>
          <w:sz w:val="24"/>
        </w:rPr>
        <w:t>噪声的环境影响</w:t>
      </w:r>
      <w:r>
        <w:rPr>
          <w:rFonts w:hint="eastAsia"/>
          <w:color w:val="auto"/>
          <w:sz w:val="24"/>
          <w:lang w:val="en-US" w:eastAsia="zh-CN"/>
        </w:rPr>
        <w:t>将</w:t>
      </w:r>
      <w:r>
        <w:rPr>
          <w:rFonts w:hint="eastAsia"/>
          <w:color w:val="auto"/>
          <w:sz w:val="24"/>
        </w:rPr>
        <w:t>有所缓解</w:t>
      </w:r>
      <w:r>
        <w:rPr>
          <w:snapToGrid w:val="0"/>
          <w:color w:val="auto"/>
          <w:kern w:val="0"/>
          <w:sz w:val="24"/>
        </w:rPr>
        <w:t>，同时施工噪声的影响是短暂的，项目施工结束后噪声影响也将随即消除</w:t>
      </w:r>
      <w:r>
        <w:rPr>
          <w:rFonts w:hint="eastAsia"/>
          <w:color w:val="auto"/>
          <w:sz w:val="24"/>
          <w:lang w:eastAsia="zh-CN"/>
        </w:rPr>
        <w:t>。</w:t>
      </w:r>
    </w:p>
    <w:p>
      <w:pPr>
        <w:keepNext/>
        <w:keepLines/>
        <w:spacing w:line="360" w:lineRule="auto"/>
        <w:outlineLvl w:val="2"/>
        <w:rPr>
          <w:b/>
          <w:bCs/>
          <w:color w:val="auto"/>
          <w:sz w:val="28"/>
          <w:szCs w:val="28"/>
        </w:rPr>
      </w:pPr>
      <w:r>
        <w:rPr>
          <w:b/>
          <w:bCs/>
          <w:color w:val="auto"/>
          <w:sz w:val="28"/>
          <w:szCs w:val="28"/>
        </w:rPr>
        <w:t xml:space="preserve">4.1.3 </w:t>
      </w:r>
      <w:r>
        <w:rPr>
          <w:rFonts w:hint="eastAsia"/>
          <w:b/>
          <w:bCs/>
          <w:color w:val="auto"/>
          <w:sz w:val="28"/>
          <w:szCs w:val="28"/>
        </w:rPr>
        <w:t>施工期土石方、施工材料运输对交通压力及噪声影响分析</w:t>
      </w:r>
    </w:p>
    <w:p>
      <w:pPr>
        <w:spacing w:line="360" w:lineRule="auto"/>
        <w:ind w:firstLine="482"/>
        <w:rPr>
          <w:rFonts w:hint="eastAsia"/>
          <w:color w:val="auto"/>
          <w:sz w:val="24"/>
        </w:rPr>
      </w:pPr>
      <w:r>
        <w:rPr>
          <w:rFonts w:hint="eastAsia"/>
          <w:color w:val="auto"/>
          <w:sz w:val="24"/>
        </w:rPr>
        <w:t>根据土石方平衡，项目余方量为</w:t>
      </w:r>
      <w:r>
        <w:rPr>
          <w:rFonts w:hint="eastAsia"/>
          <w:color w:val="auto"/>
          <w:sz w:val="24"/>
          <w:lang w:val="en-US" w:eastAsia="zh-CN"/>
        </w:rPr>
        <w:t>7.05</w:t>
      </w:r>
      <w:r>
        <w:rPr>
          <w:color w:val="auto"/>
          <w:sz w:val="24"/>
        </w:rPr>
        <w:t>万</w:t>
      </w:r>
      <w:r>
        <w:rPr>
          <w:rFonts w:hint="eastAsia"/>
          <w:color w:val="auto"/>
          <w:sz w:val="24"/>
        </w:rPr>
        <w:t>m</w:t>
      </w:r>
      <w:r>
        <w:rPr>
          <w:rFonts w:hint="eastAsia"/>
          <w:color w:val="auto"/>
          <w:sz w:val="24"/>
          <w:vertAlign w:val="superscript"/>
        </w:rPr>
        <w:t>3</w:t>
      </w:r>
      <w:r>
        <w:rPr>
          <w:rFonts w:hint="eastAsia"/>
          <w:color w:val="auto"/>
          <w:sz w:val="24"/>
        </w:rPr>
        <w:t>，</w:t>
      </w:r>
      <w:r>
        <w:rPr>
          <w:rFonts w:hint="eastAsia" w:ascii="Times New Roman" w:hAnsi="Times New Roman" w:eastAsia="宋体" w:cs="Times New Roman"/>
          <w:color w:val="auto"/>
          <w:sz w:val="24"/>
          <w:lang w:val="en-US" w:eastAsia="zh-CN"/>
        </w:rPr>
        <w:t>将由福清市建筑垃圾资源信息平台进行调配，并按照平台调配路线进行运输。</w:t>
      </w:r>
      <w:r>
        <w:rPr>
          <w:rFonts w:hint="eastAsia"/>
          <w:color w:val="auto"/>
          <w:sz w:val="24"/>
        </w:rPr>
        <w:t>余方运输车输将增加区域交通量，自卸车噪声辐射源强较大，运输车辆发出的辐射噪声会对沿线的声环境敏感点产生一定影响。项目施工材料将依托现有道路运输，将增加其交通量，会对沿线敏感目标声环境质量造成一定的影响。</w:t>
      </w:r>
    </w:p>
    <w:p>
      <w:pPr>
        <w:spacing w:line="360" w:lineRule="auto"/>
        <w:ind w:firstLine="482"/>
        <w:rPr>
          <w:rFonts w:hint="eastAsia"/>
          <w:color w:val="auto"/>
          <w:sz w:val="24"/>
        </w:rPr>
      </w:pPr>
      <w:r>
        <w:rPr>
          <w:rFonts w:hint="eastAsia"/>
          <w:color w:val="auto"/>
          <w:sz w:val="24"/>
        </w:rPr>
        <w:t>项目运输路线主要为环城公路，现有交通量较大，本项目增加的交通量总体来说对现状噪声影响不大。</w:t>
      </w:r>
    </w:p>
    <w:p>
      <w:pPr>
        <w:spacing w:line="360" w:lineRule="auto"/>
        <w:ind w:firstLine="482"/>
        <w:rPr>
          <w:color w:val="auto"/>
        </w:rPr>
      </w:pPr>
      <w:r>
        <w:rPr>
          <w:rFonts w:hint="eastAsia"/>
          <w:color w:val="auto"/>
          <w:sz w:val="24"/>
        </w:rPr>
        <w:t>要求建设单位加强施工管理，合理安排车辆行驶时间（尽量避开居民上下班高峰期及休息时间段、学校上下课高峰期及上课时间段），同时在经过敏感目标分布路段减速慢行，禁止鸣笛，做好车辆的日常检修，防止车辆运行不正常产生的噪声。通过采取以上措施，施工期土石方、施工材料运输对沿线敏感目标的影响较小，并且这种影响随着施工期的结束而消失。</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通过采取以上措施，项目施工期噪声对周边环境的影响在可接受范围内。</w:t>
      </w:r>
    </w:p>
    <w:p>
      <w:pPr>
        <w:keepNext/>
        <w:keepLines/>
        <w:spacing w:line="360" w:lineRule="auto"/>
        <w:outlineLvl w:val="1"/>
        <w:rPr>
          <w:rFonts w:hint="default" w:ascii="Times New Roman" w:hAnsi="Times New Roman" w:cs="Times New Roman"/>
          <w:b/>
          <w:bCs/>
          <w:sz w:val="30"/>
          <w:szCs w:val="30"/>
        </w:rPr>
      </w:pPr>
      <w:bookmarkStart w:id="255" w:name="_Toc30512"/>
      <w:bookmarkStart w:id="256" w:name="_Toc10395"/>
      <w:bookmarkStart w:id="257" w:name="_Toc3591"/>
      <w:r>
        <w:rPr>
          <w:rFonts w:hint="default" w:ascii="Times New Roman" w:hAnsi="Times New Roman" w:cs="Times New Roman"/>
          <w:b/>
          <w:bCs/>
          <w:sz w:val="30"/>
          <w:szCs w:val="30"/>
        </w:rPr>
        <w:t>4.2运营期声环境影响分析</w:t>
      </w:r>
      <w:bookmarkEnd w:id="255"/>
      <w:bookmarkEnd w:id="256"/>
      <w:bookmarkEnd w:id="257"/>
    </w:p>
    <w:p>
      <w:pPr>
        <w:spacing w:line="360" w:lineRule="auto"/>
        <w:outlineLvl w:val="2"/>
        <w:rPr>
          <w:rFonts w:hint="default" w:ascii="Times New Roman" w:hAnsi="Times New Roman" w:cs="Times New Roman"/>
          <w:b/>
          <w:sz w:val="28"/>
        </w:rPr>
      </w:pPr>
      <w:r>
        <w:rPr>
          <w:rFonts w:hint="default" w:ascii="Times New Roman" w:hAnsi="Times New Roman" w:cs="Times New Roman"/>
          <w:b/>
          <w:sz w:val="28"/>
        </w:rPr>
        <w:t>4.2.1预测模型</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根据本工程的工程特点、沿线环境特征及工程设计交通量等因素，采用《环境影响评价技术导则-声环境》(HJ2.4-2021)提出的公路交通噪声预测模式进行预测，其计算模式如下：</w:t>
      </w:r>
    </w:p>
    <w:p>
      <w:pPr>
        <w:spacing w:line="360" w:lineRule="auto"/>
        <w:ind w:firstLine="480"/>
        <w:jc w:val="left"/>
        <w:rPr>
          <w:rFonts w:hint="default" w:ascii="Times New Roman" w:hAnsi="Times New Roman" w:cs="Times New Roman"/>
          <w:sz w:val="24"/>
        </w:rPr>
      </w:pPr>
      <w:r>
        <w:rPr>
          <w:rFonts w:hint="default" w:ascii="Times New Roman" w:hAnsi="Times New Roman" w:cs="Times New Roman"/>
          <w:sz w:val="24"/>
        </w:rPr>
        <w:t>（1）第i类车等效声级的预测模式</w:t>
      </w:r>
    </w:p>
    <w:p>
      <w:pPr>
        <w:spacing w:line="360" w:lineRule="auto"/>
        <w:jc w:val="center"/>
        <w:rPr>
          <w:color w:val="auto"/>
          <w:sz w:val="24"/>
        </w:rPr>
      </w:pPr>
      <w:r>
        <w:rPr>
          <w:color w:val="auto"/>
        </w:rPr>
        <w:drawing>
          <wp:inline distT="0" distB="0" distL="114300" distR="114300">
            <wp:extent cx="4918075" cy="1372235"/>
            <wp:effectExtent l="0" t="0" r="9525" b="12065"/>
            <wp:docPr id="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5"/>
                    <pic:cNvPicPr>
                      <a:picLocks noChangeAspect="1"/>
                    </pic:cNvPicPr>
                  </pic:nvPicPr>
                  <pic:blipFill>
                    <a:blip r:embed="rId33"/>
                    <a:stretch>
                      <a:fillRect/>
                    </a:stretch>
                  </pic:blipFill>
                  <pic:spPr>
                    <a:xfrm>
                      <a:off x="0" y="0"/>
                      <a:ext cx="4918075" cy="1372235"/>
                    </a:xfrm>
                    <a:prstGeom prst="rect">
                      <a:avLst/>
                    </a:prstGeom>
                    <a:noFill/>
                    <a:ln>
                      <a:noFill/>
                    </a:ln>
                  </pic:spPr>
                </pic:pic>
              </a:graphicData>
            </a:graphic>
          </wp:inline>
        </w:drawing>
      </w:r>
    </w:p>
    <w:p>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eastAsia="TimesNewRomanPS-ItalicMT" w:cs="Times New Roman"/>
          <w:b w:val="0"/>
          <w:bCs w:val="0"/>
          <w:i/>
          <w:iCs/>
          <w:color w:val="auto"/>
          <w:sz w:val="22"/>
          <w:szCs w:val="22"/>
        </w:rPr>
        <w:t>Leq(h)</w:t>
      </w:r>
      <w:r>
        <w:rPr>
          <w:rFonts w:hint="default" w:ascii="Times New Roman" w:hAnsi="Times New Roman" w:eastAsia="TimesNewRomanPS-ItalicMT" w:cs="Times New Roman"/>
          <w:b w:val="0"/>
          <w:bCs w:val="0"/>
          <w:i/>
          <w:iCs/>
          <w:color w:val="auto"/>
          <w:sz w:val="14"/>
          <w:szCs w:val="14"/>
        </w:rPr>
        <w:t>i</w:t>
      </w:r>
      <w:r>
        <w:rPr>
          <w:rFonts w:hint="default" w:ascii="Times New Roman" w:hAnsi="Times New Roman" w:cs="Times New Roman"/>
          <w:color w:val="auto"/>
          <w:sz w:val="24"/>
        </w:rPr>
        <w:t>——第i类车的小时等效声级，dB(A)；</w:t>
      </w:r>
    </w:p>
    <w:p>
      <w:pPr>
        <w:spacing w:line="360" w:lineRule="auto"/>
        <w:ind w:firstLine="480"/>
        <w:jc w:val="left"/>
        <w:rPr>
          <w:rFonts w:hint="default" w:ascii="Times New Roman" w:hAnsi="Times New Roman" w:cs="Times New Roman"/>
          <w:color w:val="auto"/>
          <w:sz w:val="24"/>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828040</wp:posOffset>
                </wp:positionH>
                <wp:positionV relativeFrom="paragraph">
                  <wp:posOffset>22860</wp:posOffset>
                </wp:positionV>
                <wp:extent cx="199390" cy="635"/>
                <wp:effectExtent l="0" t="0" r="0" b="0"/>
                <wp:wrapNone/>
                <wp:docPr id="27" name="直接连接符 27"/>
                <wp:cNvGraphicFramePr/>
                <a:graphic xmlns:a="http://schemas.openxmlformats.org/drawingml/2006/main">
                  <a:graphicData uri="http://schemas.microsoft.com/office/word/2010/wordprocessingShape">
                    <wps:wsp>
                      <wps:cNvCnPr/>
                      <wps:spPr>
                        <a:xfrm>
                          <a:off x="0" y="0"/>
                          <a:ext cx="199390" cy="635"/>
                        </a:xfrm>
                        <a:prstGeom prst="line">
                          <a:avLst/>
                        </a:prstGeom>
                        <a:ln w="9525" cap="flat" cmpd="sng">
                          <a:solidFill>
                            <a:srgbClr val="000001"/>
                          </a:solidFill>
                          <a:prstDash val="solid"/>
                          <a:headEnd type="none" w="med" len="sm"/>
                          <a:tailEnd type="none" w="med" len="med"/>
                        </a:ln>
                      </wps:spPr>
                      <wps:bodyPr upright="1"/>
                    </wps:wsp>
                  </a:graphicData>
                </a:graphic>
              </wp:anchor>
            </w:drawing>
          </mc:Choice>
          <mc:Fallback>
            <w:pict>
              <v:line id="_x0000_s1026" o:spid="_x0000_s1026" o:spt="20" style="position:absolute;left:0pt;margin-left:65.2pt;margin-top:1.8pt;height:0.05pt;width:15.7pt;z-index:251666432;mso-width-relative:page;mso-height-relative:page;" filled="f" stroked="t" coordsize="21600,21600" o:gfxdata="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Azgp0wAAAAcBAAAPAAAAAAAAAAEAIAAAACIAAABkcnMvZG93bnJldi54bWxQSwEC&#10;FAAUAAAACACHTuJAKvRUn/kBAADmAwAADgAAAAAAAAABACAAAAAiAQAAZHJzL2Uyb0RvYy54bWxQ&#10;SwUGAAAAAAYABgBZAQAAjQUAAAAA&#10;">
                <v:fill on="f" focussize="0,0"/>
                <v:stroke color="#000001" joinstyle="round" startarrowlength="short"/>
                <v:imagedata o:title=""/>
                <o:lock v:ext="edit" aspectratio="f"/>
              </v:line>
            </w:pict>
          </mc:Fallback>
        </mc:AlternateContent>
      </w:r>
      <w:r>
        <w:rPr>
          <w:rFonts w:hint="default" w:ascii="Times New Roman" w:hAnsi="Times New Roman" w:cs="Times New Roman"/>
          <w:color w:val="auto"/>
          <w:sz w:val="24"/>
        </w:rPr>
        <w:t xml:space="preserve">  </w:t>
      </w:r>
      <w:r>
        <w:rPr>
          <w:rFonts w:hint="default" w:ascii="Times New Roman" w:hAnsi="Times New Roman" w:cs="Times New Roman"/>
          <w:color w:val="auto"/>
          <w:sz w:val="24"/>
          <w:szCs w:val="24"/>
        </w:rPr>
        <w:t xml:space="preserve">    </w:t>
      </w:r>
      <w:r>
        <w:rPr>
          <w:rFonts w:hint="default" w:ascii="Times New Roman" w:hAnsi="Times New Roman" w:eastAsia="SymbolMT" w:cs="Times New Roman"/>
          <w:b w:val="0"/>
          <w:bCs w:val="0"/>
          <w:i w:val="0"/>
          <w:iCs w:val="0"/>
          <w:color w:val="auto"/>
          <w:sz w:val="24"/>
          <w:szCs w:val="24"/>
        </w:rPr>
        <w:t>(</w:t>
      </w:r>
      <w:r>
        <w:rPr>
          <w:rFonts w:hint="default" w:ascii="Times New Roman" w:hAnsi="Times New Roman" w:eastAsia="TimesNewRomanPS-ItalicMT" w:cs="Times New Roman"/>
          <w:b w:val="0"/>
          <w:bCs w:val="0"/>
          <w:i/>
          <w:iCs/>
          <w:color w:val="auto"/>
          <w:sz w:val="24"/>
          <w:szCs w:val="24"/>
        </w:rPr>
        <w:t>L</w:t>
      </w:r>
      <w:r>
        <w:rPr>
          <w:rFonts w:hint="eastAsia" w:ascii="Times New Roman" w:hAnsi="Times New Roman" w:eastAsia="宋体" w:cs="Times New Roman"/>
          <w:b w:val="0"/>
          <w:bCs w:val="0"/>
          <w:i w:val="0"/>
          <w:iCs w:val="0"/>
          <w:color w:val="auto"/>
          <w:sz w:val="24"/>
          <w:szCs w:val="24"/>
          <w:vertAlign w:val="subscript"/>
          <w:lang w:val="en-US" w:eastAsia="zh-CN"/>
        </w:rPr>
        <w:t>O</w:t>
      </w:r>
      <w:r>
        <w:rPr>
          <w:rFonts w:hint="default" w:ascii="Times New Roman" w:hAnsi="Times New Roman" w:eastAsia="TimesNewRomanPS-ItalicMT" w:cs="Times New Roman"/>
          <w:b w:val="0"/>
          <w:bCs w:val="0"/>
          <w:i/>
          <w:iCs/>
          <w:color w:val="auto"/>
          <w:sz w:val="24"/>
          <w:szCs w:val="24"/>
          <w:vertAlign w:val="subscript"/>
        </w:rPr>
        <w:t>E</w:t>
      </w:r>
      <w:r>
        <w:rPr>
          <w:rFonts w:hint="default" w:ascii="Times New Roman" w:hAnsi="Times New Roman" w:eastAsia="TimesNewRomanPS-ItalicMT" w:cs="Times New Roman"/>
          <w:b w:val="0"/>
          <w:bCs w:val="0"/>
          <w:i/>
          <w:iCs/>
          <w:color w:val="auto"/>
          <w:sz w:val="24"/>
          <w:szCs w:val="24"/>
        </w:rPr>
        <w:t xml:space="preserve"> </w:t>
      </w:r>
      <w:r>
        <w:rPr>
          <w:rFonts w:hint="default" w:ascii="Times New Roman" w:hAnsi="Times New Roman" w:eastAsia="SymbolMT" w:cs="Times New Roman"/>
          <w:b w:val="0"/>
          <w:bCs w:val="0"/>
          <w:i w:val="0"/>
          <w:iCs w:val="0"/>
          <w:color w:val="auto"/>
          <w:sz w:val="24"/>
          <w:szCs w:val="24"/>
        </w:rPr>
        <w:t>)</w:t>
      </w:r>
      <w:r>
        <w:rPr>
          <w:rFonts w:hint="default" w:ascii="Times New Roman" w:hAnsi="Times New Roman" w:eastAsia="TimesNewRomanPS-ItalicMT" w:cs="Times New Roman"/>
          <w:b w:val="0"/>
          <w:bCs w:val="0"/>
          <w:i/>
          <w:iCs/>
          <w:color w:val="auto"/>
          <w:sz w:val="24"/>
          <w:szCs w:val="24"/>
        </w:rPr>
        <w:t xml:space="preserve">i </w:t>
      </w:r>
      <w:r>
        <w:rPr>
          <w:rFonts w:hint="default" w:ascii="Times New Roman" w:hAnsi="Times New Roman" w:cs="Times New Roman"/>
          <w:color w:val="auto"/>
          <w:sz w:val="24"/>
        </w:rPr>
        <w:t>——第i类车速度为Vi，km/h；水平距离为7.5m处的能量平均A声级，dB(A)；</w:t>
      </w:r>
    </w:p>
    <w:p>
      <w:pPr>
        <w:spacing w:line="360" w:lineRule="auto"/>
        <w:ind w:firstLine="480"/>
        <w:jc w:val="left"/>
        <w:rPr>
          <w:rFonts w:hint="default" w:ascii="Times New Roman" w:hAnsi="Times New Roman" w:cs="Times New Roman"/>
          <w:color w:val="auto"/>
          <w:sz w:val="24"/>
        </w:rPr>
      </w:pPr>
      <w:r>
        <w:rPr>
          <w:rFonts w:hint="default" w:ascii="Times New Roman" w:hAnsi="Times New Roman" w:cs="Times New Roman"/>
          <w:color w:val="auto"/>
          <w:sz w:val="24"/>
        </w:rPr>
        <w:t xml:space="preserve">      Ni ——昼间，夜间通过某个预测点的第i类车平均小时车流量，辆/h；</w:t>
      </w:r>
    </w:p>
    <w:p>
      <w:pPr>
        <w:spacing w:line="360" w:lineRule="auto"/>
        <w:ind w:firstLine="480"/>
        <w:jc w:val="left"/>
        <w:rPr>
          <w:color w:val="auto"/>
          <w:sz w:val="24"/>
        </w:rPr>
      </w:pPr>
      <w:r>
        <w:rPr>
          <w:color w:val="auto"/>
          <w:sz w:val="24"/>
        </w:rPr>
        <w:t xml:space="preserve">      r ——从车道中心线到预测点的距离，m；</w:t>
      </w:r>
    </w:p>
    <w:p>
      <w:pPr>
        <w:spacing w:line="360" w:lineRule="auto"/>
        <w:ind w:firstLine="480"/>
        <w:jc w:val="left"/>
        <w:rPr>
          <w:color w:val="auto"/>
          <w:sz w:val="24"/>
        </w:rPr>
      </w:pPr>
      <w:r>
        <w:rPr>
          <w:color w:val="auto"/>
          <w:sz w:val="24"/>
        </w:rPr>
        <w:t xml:space="preserve">      Vi——第i类车的平均车速，km/h；</w:t>
      </w:r>
    </w:p>
    <w:p>
      <w:pPr>
        <w:spacing w:line="360" w:lineRule="auto"/>
        <w:ind w:firstLine="480"/>
        <w:jc w:val="left"/>
        <w:rPr>
          <w:color w:val="auto"/>
          <w:sz w:val="24"/>
        </w:rPr>
      </w:pPr>
      <w:r>
        <w:rPr>
          <w:color w:val="auto"/>
          <w:sz w:val="24"/>
        </w:rPr>
        <w:t xml:space="preserve">      T——计算等效声级的时间，1h；</w:t>
      </w:r>
    </w:p>
    <w:p>
      <w:pPr>
        <w:spacing w:line="360" w:lineRule="auto"/>
        <w:ind w:firstLine="480"/>
        <w:jc w:val="left"/>
        <w:rPr>
          <w:color w:val="auto"/>
          <w:sz w:val="24"/>
        </w:rPr>
      </w:pPr>
      <w:r>
        <w:rPr>
          <w:color w:val="auto"/>
        </w:rPr>
        <mc:AlternateContent>
          <mc:Choice Requires="wpg">
            <w:drawing>
              <wp:anchor distT="0" distB="0" distL="114300" distR="114300" simplePos="0" relativeHeight="251667456" behindDoc="0" locked="0" layoutInCell="1" allowOverlap="1">
                <wp:simplePos x="0" y="0"/>
                <wp:positionH relativeFrom="page">
                  <wp:posOffset>2915285</wp:posOffset>
                </wp:positionH>
                <wp:positionV relativeFrom="paragraph">
                  <wp:posOffset>219710</wp:posOffset>
                </wp:positionV>
                <wp:extent cx="2108200" cy="1061085"/>
                <wp:effectExtent l="635" t="0" r="0" b="0"/>
                <wp:wrapNone/>
                <wp:docPr id="33" name="组合 33"/>
                <wp:cNvGraphicFramePr/>
                <a:graphic xmlns:a="http://schemas.openxmlformats.org/drawingml/2006/main">
                  <a:graphicData uri="http://schemas.microsoft.com/office/word/2010/wordprocessingGroup">
                    <wpg:wgp>
                      <wpg:cNvGrpSpPr/>
                      <wpg:grpSpPr>
                        <a:xfrm>
                          <a:off x="0" y="0"/>
                          <a:ext cx="2108200" cy="1061085"/>
                          <a:chOff x="4277" y="415"/>
                          <a:chExt cx="3320" cy="1671"/>
                        </a:xfrm>
                      </wpg:grpSpPr>
                      <wps:wsp>
                        <wps:cNvPr id="16" name="直接连接符 16"/>
                        <wps:cNvCnPr/>
                        <wps:spPr>
                          <a:xfrm>
                            <a:off x="4315" y="673"/>
                            <a:ext cx="3032" cy="0"/>
                          </a:xfrm>
                          <a:prstGeom prst="line">
                            <a:avLst/>
                          </a:prstGeom>
                          <a:ln w="9525" cap="flat" cmpd="sng">
                            <a:solidFill>
                              <a:srgbClr val="20282F"/>
                            </a:solidFill>
                            <a:prstDash val="solid"/>
                            <a:headEnd type="none" w="med" len="med"/>
                            <a:tailEnd type="none" w="med" len="med"/>
                          </a:ln>
                        </wps:spPr>
                        <wps:bodyPr upright="1"/>
                      </wps:wsp>
                      <pic:pic xmlns:pic="http://schemas.openxmlformats.org/drawingml/2006/picture">
                        <pic:nvPicPr>
                          <pic:cNvPr id="28" name="图片 5"/>
                          <pic:cNvPicPr>
                            <a:picLocks noChangeAspect="1"/>
                          </pic:cNvPicPr>
                        </pic:nvPicPr>
                        <pic:blipFill>
                          <a:blip r:embed="rId34"/>
                          <a:stretch>
                            <a:fillRect/>
                          </a:stretch>
                        </pic:blipFill>
                        <pic:spPr>
                          <a:xfrm>
                            <a:off x="5645" y="1603"/>
                            <a:ext cx="197" cy="106"/>
                          </a:xfrm>
                          <a:prstGeom prst="rect">
                            <a:avLst/>
                          </a:prstGeom>
                          <a:noFill/>
                          <a:ln>
                            <a:noFill/>
                          </a:ln>
                        </pic:spPr>
                      </pic:pic>
                      <wps:wsp>
                        <wps:cNvPr id="29" name="直接连接符 18"/>
                        <wps:cNvCnPr/>
                        <wps:spPr>
                          <a:xfrm flipH="1">
                            <a:off x="5647" y="673"/>
                            <a:ext cx="1700" cy="1167"/>
                          </a:xfrm>
                          <a:prstGeom prst="line">
                            <a:avLst/>
                          </a:prstGeom>
                          <a:ln w="9525" cap="flat" cmpd="sng">
                            <a:solidFill>
                              <a:srgbClr val="20282F"/>
                            </a:solidFill>
                            <a:prstDash val="solid"/>
                            <a:headEnd type="none" w="med" len="med"/>
                            <a:tailEnd type="none" w="med" len="med"/>
                          </a:ln>
                        </wps:spPr>
                        <wps:bodyPr upright="1"/>
                      </wps:wsp>
                      <wps:wsp>
                        <wps:cNvPr id="30" name="直接连接符 19"/>
                        <wps:cNvCnPr/>
                        <wps:spPr>
                          <a:xfrm>
                            <a:off x="5647" y="768"/>
                            <a:ext cx="101" cy="0"/>
                          </a:xfrm>
                          <a:prstGeom prst="line">
                            <a:avLst/>
                          </a:prstGeom>
                          <a:ln w="9525" cap="flat" cmpd="sng">
                            <a:solidFill>
                              <a:srgbClr val="20282F"/>
                            </a:solidFill>
                            <a:prstDash val="solid"/>
                            <a:headEnd type="none" w="med" len="med"/>
                            <a:tailEnd type="none" w="med" len="med"/>
                          </a:ln>
                        </wps:spPr>
                        <wps:bodyPr upright="1"/>
                      </wps:wsp>
                      <wps:wsp>
                        <wps:cNvPr id="31" name="直接连接符 20"/>
                        <wps:cNvCnPr/>
                        <wps:spPr>
                          <a:xfrm flipH="1" flipV="1">
                            <a:off x="4315" y="673"/>
                            <a:ext cx="1332" cy="1167"/>
                          </a:xfrm>
                          <a:prstGeom prst="line">
                            <a:avLst/>
                          </a:prstGeom>
                          <a:ln w="9525" cap="flat" cmpd="sng">
                            <a:solidFill>
                              <a:srgbClr val="20282F"/>
                            </a:solidFill>
                            <a:prstDash val="solid"/>
                            <a:headEnd type="none" w="med" len="med"/>
                            <a:tailEnd type="none" w="med" len="med"/>
                          </a:ln>
                        </wps:spPr>
                        <wps:bodyPr upright="1"/>
                      </wps:wsp>
                      <wps:wsp>
                        <wps:cNvPr id="32" name="直接连接符 21"/>
                        <wps:cNvCnPr/>
                        <wps:spPr>
                          <a:xfrm flipV="1">
                            <a:off x="5748" y="673"/>
                            <a:ext cx="0" cy="95"/>
                          </a:xfrm>
                          <a:prstGeom prst="line">
                            <a:avLst/>
                          </a:prstGeom>
                          <a:ln w="9525" cap="flat" cmpd="sng">
                            <a:solidFill>
                              <a:srgbClr val="20282F"/>
                            </a:solidFill>
                            <a:prstDash val="solid"/>
                            <a:headEnd type="none" w="med" len="med"/>
                            <a:tailEnd type="none" w="med" len="med"/>
                          </a:ln>
                        </wps:spPr>
                        <wps:bodyPr upright="1"/>
                      </wps:wsp>
                      <wps:wsp>
                        <wps:cNvPr id="34" name="直接连接符 22"/>
                        <wps:cNvCnPr/>
                        <wps:spPr>
                          <a:xfrm flipV="1">
                            <a:off x="5647" y="673"/>
                            <a:ext cx="0" cy="1167"/>
                          </a:xfrm>
                          <a:prstGeom prst="line">
                            <a:avLst/>
                          </a:prstGeom>
                          <a:ln w="9525" cap="flat" cmpd="sng">
                            <a:solidFill>
                              <a:srgbClr val="20282F"/>
                            </a:solidFill>
                            <a:prstDash val="solid"/>
                            <a:headEnd type="none" w="med" len="med"/>
                            <a:tailEnd type="none" w="med" len="med"/>
                          </a:ln>
                        </wps:spPr>
                        <wps:bodyPr upright="1"/>
                      </wps:wsp>
                      <wps:wsp>
                        <wps:cNvPr id="35" name="任意多边形 23"/>
                        <wps:cNvSpPr/>
                        <wps:spPr>
                          <a:xfrm>
                            <a:off x="5527" y="1681"/>
                            <a:ext cx="120" cy="55"/>
                          </a:xfrm>
                          <a:custGeom>
                            <a:avLst/>
                            <a:gdLst/>
                            <a:ahLst/>
                            <a:cxnLst/>
                            <a:pathLst>
                              <a:path w="120" h="55">
                                <a:moveTo>
                                  <a:pt x="120" y="0"/>
                                </a:moveTo>
                                <a:lnTo>
                                  <a:pt x="54" y="15"/>
                                </a:lnTo>
                                <a:lnTo>
                                  <a:pt x="9" y="45"/>
                                </a:lnTo>
                                <a:lnTo>
                                  <a:pt x="0" y="55"/>
                                </a:lnTo>
                              </a:path>
                            </a:pathLst>
                          </a:custGeom>
                          <a:noFill/>
                          <a:ln w="1778" cap="flat" cmpd="sng">
                            <a:solidFill>
                              <a:srgbClr val="20282F"/>
                            </a:solidFill>
                            <a:prstDash val="solid"/>
                            <a:headEnd type="none" w="med" len="med"/>
                            <a:tailEnd type="none" w="med" len="med"/>
                          </a:ln>
                        </wps:spPr>
                        <wps:bodyPr upright="1"/>
                      </wps:wsp>
                      <pic:pic xmlns:pic="http://schemas.openxmlformats.org/drawingml/2006/picture">
                        <pic:nvPicPr>
                          <pic:cNvPr id="36" name="图片 12"/>
                          <pic:cNvPicPr>
                            <a:picLocks noChangeAspect="1"/>
                          </pic:cNvPicPr>
                        </pic:nvPicPr>
                        <pic:blipFill>
                          <a:blip r:embed="rId35"/>
                          <a:stretch>
                            <a:fillRect/>
                          </a:stretch>
                        </pic:blipFill>
                        <pic:spPr>
                          <a:xfrm>
                            <a:off x="4276" y="441"/>
                            <a:ext cx="413" cy="250"/>
                          </a:xfrm>
                          <a:prstGeom prst="rect">
                            <a:avLst/>
                          </a:prstGeom>
                          <a:noFill/>
                          <a:ln>
                            <a:noFill/>
                          </a:ln>
                        </pic:spPr>
                      </pic:pic>
                      <pic:pic xmlns:pic="http://schemas.openxmlformats.org/drawingml/2006/picture">
                        <pic:nvPicPr>
                          <pic:cNvPr id="37" name="图片 13"/>
                          <pic:cNvPicPr>
                            <a:picLocks noChangeAspect="1"/>
                          </pic:cNvPicPr>
                        </pic:nvPicPr>
                        <pic:blipFill>
                          <a:blip r:embed="rId36"/>
                          <a:stretch>
                            <a:fillRect/>
                          </a:stretch>
                        </pic:blipFill>
                        <pic:spPr>
                          <a:xfrm>
                            <a:off x="7351" y="415"/>
                            <a:ext cx="245" cy="250"/>
                          </a:xfrm>
                          <a:prstGeom prst="rect">
                            <a:avLst/>
                          </a:prstGeom>
                          <a:noFill/>
                          <a:ln>
                            <a:noFill/>
                          </a:ln>
                        </pic:spPr>
                      </pic:pic>
                      <pic:pic xmlns:pic="http://schemas.openxmlformats.org/drawingml/2006/picture">
                        <pic:nvPicPr>
                          <pic:cNvPr id="38" name="图片 14"/>
                          <pic:cNvPicPr>
                            <a:picLocks noChangeAspect="1"/>
                          </pic:cNvPicPr>
                        </pic:nvPicPr>
                        <pic:blipFill>
                          <a:blip r:embed="rId35"/>
                          <a:stretch>
                            <a:fillRect/>
                          </a:stretch>
                        </pic:blipFill>
                        <pic:spPr>
                          <a:xfrm>
                            <a:off x="5440" y="1365"/>
                            <a:ext cx="413" cy="248"/>
                          </a:xfrm>
                          <a:prstGeom prst="rect">
                            <a:avLst/>
                          </a:prstGeom>
                          <a:noFill/>
                          <a:ln>
                            <a:noFill/>
                          </a:ln>
                        </pic:spPr>
                      </pic:pic>
                      <pic:pic xmlns:pic="http://schemas.openxmlformats.org/drawingml/2006/picture">
                        <pic:nvPicPr>
                          <pic:cNvPr id="39" name="图片 15"/>
                          <pic:cNvPicPr>
                            <a:picLocks noChangeAspect="1"/>
                          </pic:cNvPicPr>
                        </pic:nvPicPr>
                        <pic:blipFill>
                          <a:blip r:embed="rId37"/>
                          <a:stretch>
                            <a:fillRect/>
                          </a:stretch>
                        </pic:blipFill>
                        <pic:spPr>
                          <a:xfrm>
                            <a:off x="5709" y="1356"/>
                            <a:ext cx="411" cy="250"/>
                          </a:xfrm>
                          <a:prstGeom prst="rect">
                            <a:avLst/>
                          </a:prstGeom>
                          <a:noFill/>
                          <a:ln>
                            <a:noFill/>
                          </a:ln>
                        </pic:spPr>
                      </pic:pic>
                      <pic:pic xmlns:pic="http://schemas.openxmlformats.org/drawingml/2006/picture">
                        <pic:nvPicPr>
                          <pic:cNvPr id="40" name="图片 16"/>
                          <pic:cNvPicPr>
                            <a:picLocks noChangeAspect="1"/>
                          </pic:cNvPicPr>
                        </pic:nvPicPr>
                        <pic:blipFill>
                          <a:blip r:embed="rId38"/>
                          <a:stretch>
                            <a:fillRect/>
                          </a:stretch>
                        </pic:blipFill>
                        <pic:spPr>
                          <a:xfrm>
                            <a:off x="5611" y="1809"/>
                            <a:ext cx="243" cy="276"/>
                          </a:xfrm>
                          <a:prstGeom prst="rect">
                            <a:avLst/>
                          </a:prstGeom>
                          <a:noFill/>
                          <a:ln>
                            <a:noFill/>
                          </a:ln>
                        </pic:spPr>
                      </pic:pic>
                      <wps:wsp>
                        <wps:cNvPr id="41" name="文本框 29"/>
                        <wps:cNvSpPr txBox="1"/>
                        <wps:spPr>
                          <a:xfrm>
                            <a:off x="4277" y="467"/>
                            <a:ext cx="113" cy="168"/>
                          </a:xfrm>
                          <a:prstGeom prst="rect">
                            <a:avLst/>
                          </a:prstGeom>
                          <a:noFill/>
                          <a:ln>
                            <a:noFill/>
                          </a:ln>
                        </wps:spPr>
                        <wps:txbx>
                          <w:txbxContent>
                            <w:p>
                              <w:pPr>
                                <w:spacing w:before="0" w:line="167" w:lineRule="exact"/>
                                <w:ind w:left="0" w:right="0" w:firstLine="0"/>
                                <w:jc w:val="left"/>
                                <w:rPr>
                                  <w:rFonts w:ascii="Times New Roman"/>
                                  <w:i/>
                                  <w:sz w:val="15"/>
                                </w:rPr>
                              </w:pPr>
                              <w:r>
                                <w:rPr>
                                  <w:rFonts w:ascii="Times New Roman"/>
                                  <w:i/>
                                  <w:w w:val="100"/>
                                  <w:sz w:val="15"/>
                                </w:rPr>
                                <w:t>A</w:t>
                              </w:r>
                            </w:p>
                          </w:txbxContent>
                        </wps:txbx>
                        <wps:bodyPr lIns="0" tIns="0" rIns="0" bIns="0" upright="1"/>
                      </wps:wsp>
                      <wps:wsp>
                        <wps:cNvPr id="42" name="文本框 31"/>
                        <wps:cNvSpPr txBox="1"/>
                        <wps:spPr>
                          <a:xfrm>
                            <a:off x="7352" y="474"/>
                            <a:ext cx="113" cy="168"/>
                          </a:xfrm>
                          <a:prstGeom prst="rect">
                            <a:avLst/>
                          </a:prstGeom>
                          <a:noFill/>
                          <a:ln>
                            <a:noFill/>
                          </a:ln>
                        </wps:spPr>
                        <wps:txbx>
                          <w:txbxContent>
                            <w:p>
                              <w:pPr>
                                <w:spacing w:before="0" w:line="167" w:lineRule="exact"/>
                                <w:ind w:left="0" w:right="0" w:firstLine="0"/>
                                <w:jc w:val="left"/>
                                <w:rPr>
                                  <w:rFonts w:ascii="Times New Roman"/>
                                  <w:i/>
                                  <w:sz w:val="15"/>
                                </w:rPr>
                              </w:pPr>
                              <w:r>
                                <w:rPr>
                                  <w:rFonts w:ascii="Times New Roman"/>
                                  <w:i/>
                                  <w:w w:val="100"/>
                                  <w:sz w:val="15"/>
                                </w:rPr>
                                <w:t>B</w:t>
                              </w:r>
                            </w:p>
                          </w:txbxContent>
                        </wps:txbx>
                        <wps:bodyPr lIns="0" tIns="0" rIns="0" bIns="0" upright="1"/>
                      </wps:wsp>
                      <wps:wsp>
                        <wps:cNvPr id="43" name="文本框 32"/>
                        <wps:cNvSpPr txBox="1"/>
                        <wps:spPr>
                          <a:xfrm>
                            <a:off x="5441" y="1384"/>
                            <a:ext cx="433" cy="653"/>
                          </a:xfrm>
                          <a:prstGeom prst="rect">
                            <a:avLst/>
                          </a:prstGeom>
                          <a:noFill/>
                          <a:ln>
                            <a:noFill/>
                          </a:ln>
                        </wps:spPr>
                        <wps:txbx>
                          <w:txbxContent>
                            <w:p>
                              <w:pPr>
                                <w:spacing w:before="0" w:line="215" w:lineRule="exact"/>
                                <w:ind w:left="31" w:right="49" w:firstLine="0"/>
                                <w:jc w:val="center"/>
                                <w:rPr>
                                  <w:rFonts w:ascii="Times New Roman" w:hAnsi="Times New Roman"/>
                                  <w:sz w:val="10"/>
                                </w:rPr>
                              </w:pPr>
                              <w:r>
                                <w:rPr>
                                  <w:rFonts w:ascii="Times New Roman" w:hAnsi="Times New Roman"/>
                                  <w:i/>
                                  <w:position w:val="2"/>
                                  <w:sz w:val="15"/>
                                </w:rPr>
                                <w:t>ψ</w:t>
                              </w:r>
                              <w:r>
                                <w:rPr>
                                  <w:rFonts w:ascii="Times New Roman" w:hAnsi="Times New Roman"/>
                                  <w:sz w:val="10"/>
                                </w:rPr>
                                <w:t xml:space="preserve">1 </w:t>
                              </w:r>
                              <w:r>
                                <w:rPr>
                                  <w:rFonts w:ascii="Times New Roman" w:hAnsi="Times New Roman"/>
                                  <w:i/>
                                  <w:position w:val="3"/>
                                  <w:sz w:val="15"/>
                                </w:rPr>
                                <w:t>ψ</w:t>
                              </w:r>
                              <w:r>
                                <w:rPr>
                                  <w:rFonts w:ascii="Times New Roman" w:hAnsi="Times New Roman"/>
                                  <w:position w:val="-2"/>
                                  <w:sz w:val="10"/>
                                </w:rPr>
                                <w:t>2</w:t>
                              </w:r>
                            </w:p>
                            <w:p>
                              <w:pPr>
                                <w:spacing w:before="8" w:line="240" w:lineRule="auto"/>
                                <w:rPr>
                                  <w:sz w:val="20"/>
                                </w:rPr>
                              </w:pPr>
                            </w:p>
                            <w:p>
                              <w:pPr>
                                <w:spacing w:before="0"/>
                                <w:ind w:left="0" w:right="0" w:firstLine="0"/>
                                <w:jc w:val="center"/>
                                <w:rPr>
                                  <w:rFonts w:ascii="Times New Roman"/>
                                  <w:i/>
                                  <w:sz w:val="15"/>
                                </w:rPr>
                              </w:pPr>
                              <w:r>
                                <w:rPr>
                                  <w:rFonts w:ascii="Times New Roman"/>
                                  <w:i/>
                                  <w:w w:val="100"/>
                                  <w:sz w:val="15"/>
                                </w:rPr>
                                <w:t>P</w:t>
                              </w:r>
                            </w:p>
                          </w:txbxContent>
                        </wps:txbx>
                        <wps:bodyPr lIns="0" tIns="0" rIns="0" bIns="0" upright="1"/>
                      </wps:wsp>
                    </wpg:wgp>
                  </a:graphicData>
                </a:graphic>
              </wp:anchor>
            </w:drawing>
          </mc:Choice>
          <mc:Fallback>
            <w:pict>
              <v:group id="_x0000_s1026" o:spid="_x0000_s1026" o:spt="203" style="position:absolute;left:0pt;margin-left:229.55pt;margin-top:17.3pt;height:83.55pt;width:166pt;mso-position-horizontal-relative:page;z-index:251667456;mso-width-relative:page;mso-height-relative:page;" coordorigin="4277,415" coordsize="3320,1671" o:gfxdata="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">
                <o:lock v:ext="edit" aspectratio="f"/>
                <v:line id="_x0000_s1026" o:spid="_x0000_s1026" o:spt="20" style="position:absolute;left:4315;top:673;height:0;width:3032;" filled="f" stroked="t" coordsize="21600,21600" o:gfxdata="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rc2C8AAAA&#10;2wAAAA8AAAAAAAAAAQAgAAAAIgAAAGRycy9kb3ducmV2LnhtbFBLAQIUABQAAAAIAIdO4kAzLwWe&#10;OwAAADkAAAAQAAAAAAAAAAEAIAAAAAsBAABkcnMvc2hhcGV4bWwueG1sUEsFBgAAAAAGAAYAWwEA&#10;ALUDAAAAAA==&#10;">
                  <v:fill on="f" focussize="0,0"/>
                  <v:stroke color="#20282F" joinstyle="round"/>
                  <v:imagedata o:title=""/>
                  <o:lock v:ext="edit" aspectratio="f"/>
                </v:line>
                <v:shape id="图片 5" o:spid="_x0000_s1026" o:spt="75" type="#_x0000_t75" style="position:absolute;left:5645;top:1603;height:106;width:197;" filled="f" o:preferrelative="t" stroked="f" coordsize="21600,21600" o:gfxdata="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X4GTugAAANsA&#10;AAAPAAAAAAAAAAEAIAAAACIAAABkcnMvZG93bnJldi54bWxQSwECFAAUAAAACACHTuJAMy8FnjsA&#10;AAA5AAAAEAAAAAAAAAABACAAAAAJAQAAZHJzL3NoYXBleG1sLnhtbFBLBQYAAAAABgAGAFsBAACz&#10;AwAAAAA=&#10;">
                  <v:fill on="f" focussize="0,0"/>
                  <v:stroke on="f"/>
                  <v:imagedata r:id="rId34" o:title=""/>
                  <o:lock v:ext="edit" aspectratio="t"/>
                </v:shape>
                <v:line id="直接连接符 18" o:spid="_x0000_s1026" o:spt="20" style="position:absolute;left:5647;top:673;flip:x;height:1167;width:1700;" filled="f" stroked="t" coordsize="21600,21600" o:gfxdata="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QLNWvQAA&#10;ANsAAAAPAAAAAAAAAAEAIAAAACIAAABkcnMvZG93bnJldi54bWxQSwECFAAUAAAACACHTuJAMy8F&#10;njsAAAA5AAAAEAAAAAAAAAABACAAAAAMAQAAZHJzL3NoYXBleG1sLnhtbFBLBQYAAAAABgAGAFsB&#10;AAC2AwAAAAA=&#10;">
                  <v:fill on="f" focussize="0,0"/>
                  <v:stroke color="#20282F" joinstyle="round"/>
                  <v:imagedata o:title=""/>
                  <o:lock v:ext="edit" aspectratio="f"/>
                </v:line>
                <v:line id="直接连接符 19" o:spid="_x0000_s1026" o:spt="20" style="position:absolute;left:5647;top:768;height:0;width:101;" filled="f" stroked="t" coordsize="21600,21600" o:gfxdata="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7Eu+8AAAA&#10;2wAAAA8AAAAAAAAAAQAgAAAAIgAAAGRycy9kb3ducmV2LnhtbFBLAQIUABQAAAAIAIdO4kAzLwWe&#10;OwAAADkAAAAQAAAAAAAAAAEAIAAAAAsBAABkcnMvc2hhcGV4bWwueG1sUEsFBgAAAAAGAAYAWwEA&#10;ALUDAAAAAA==&#10;">
                  <v:fill on="f" focussize="0,0"/>
                  <v:stroke color="#20282F" joinstyle="round"/>
                  <v:imagedata o:title=""/>
                  <o:lock v:ext="edit" aspectratio="f"/>
                </v:line>
                <v:line id="直接连接符 20" o:spid="_x0000_s1026" o:spt="20" style="position:absolute;left:4315;top:673;flip:x y;height:1167;width:1332;" filled="f" stroked="t" coordsize="21600,21600" o:gfxdata="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bvUnvQAA&#10;ANsAAAAPAAAAAAAAAAEAIAAAACIAAABkcnMvZG93bnJldi54bWxQSwECFAAUAAAACACHTuJAMy8F&#10;njsAAAA5AAAAEAAAAAAAAAABACAAAAAMAQAAZHJzL3NoYXBleG1sLnhtbFBLBQYAAAAABgAGAFsB&#10;AAC2AwAAAAA=&#10;">
                  <v:fill on="f" focussize="0,0"/>
                  <v:stroke color="#20282F" joinstyle="round"/>
                  <v:imagedata o:title=""/>
                  <o:lock v:ext="edit" aspectratio="f"/>
                </v:line>
                <v:line id="直接连接符 21" o:spid="_x0000_s1026" o:spt="20" style="position:absolute;left:5748;top:673;flip:y;height:95;width:0;" filled="f" stroked="t" coordsize="21600,21600" o:gfxdata="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Pbf6vQAA&#10;ANsAAAAPAAAAAAAAAAEAIAAAACIAAABkcnMvZG93bnJldi54bWxQSwECFAAUAAAACACHTuJAMy8F&#10;njsAAAA5AAAAEAAAAAAAAAABACAAAAAMAQAAZHJzL3NoYXBleG1sLnhtbFBLBQYAAAAABgAGAFsB&#10;AAC2AwAAAAA=&#10;">
                  <v:fill on="f" focussize="0,0"/>
                  <v:stroke color="#20282F" joinstyle="round"/>
                  <v:imagedata o:title=""/>
                  <o:lock v:ext="edit" aspectratio="f"/>
                </v:line>
                <v:line id="直接连接符 22" o:spid="_x0000_s1026" o:spt="20" style="position:absolute;left:5647;top:673;flip:y;height:1167;width:0;" filled="f" stroked="t" coordsize="21600,21600" o:gfxdata="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mIoVvQAA&#10;ANsAAAAPAAAAAAAAAAEAIAAAACIAAABkcnMvZG93bnJldi54bWxQSwECFAAUAAAACACHTuJAMy8F&#10;njsAAAA5AAAAEAAAAAAAAAABACAAAAAMAQAAZHJzL3NoYXBleG1sLnhtbFBLBQYAAAAABgAGAFsB&#10;AAC2AwAAAAA=&#10;">
                  <v:fill on="f" focussize="0,0"/>
                  <v:stroke color="#20282F" joinstyle="round"/>
                  <v:imagedata o:title=""/>
                  <o:lock v:ext="edit" aspectratio="f"/>
                </v:line>
                <v:shape id="任意多边形 23" o:spid="_x0000_s1026" o:spt="100" style="position:absolute;left:5527;top:1681;height:55;width:120;" filled="f" stroked="t" coordsize="120,55" o:gfxdata="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zd5+/&#10;AAAA2wAAAA8AAAAAAAAAAQAgAAAAIgAAAGRycy9kb3ducmV2LnhtbFBLAQIUABQAAAAIAIdO4kAz&#10;LwWeOwAAADkAAAAQAAAAAAAAAAEAIAAAAA4BAABkcnMvc2hhcGV4bWwueG1sUEsFBgAAAAAGAAYA&#10;WwEAALgDAAAAAA==&#10;" path="m120,0l54,15,9,45,0,55e">
                  <v:fill on="f" focussize="0,0"/>
                  <v:stroke weight="0.14pt" color="#20282F" joinstyle="round"/>
                  <v:imagedata o:title=""/>
                  <o:lock v:ext="edit" aspectratio="f"/>
                </v:shape>
                <v:shape id="图片 12" o:spid="_x0000_s1026" o:spt="75" type="#_x0000_t75" style="position:absolute;left:4276;top:441;height:250;width:413;" filled="f" o:preferrelative="t" stroked="f" coordsize="21600,21600" o:gfxdata="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7Jyi8AAAA&#10;2wAAAA8AAAAAAAAAAQAgAAAAIgAAAGRycy9kb3ducmV2LnhtbFBLAQIUABQAAAAIAIdO4kAzLwWe&#10;OwAAADkAAAAQAAAAAAAAAAEAIAAAAAsBAABkcnMvc2hhcGV4bWwueG1sUEsFBgAAAAAGAAYAWwEA&#10;ALUDAAAAAA==&#10;">
                  <v:fill on="f" focussize="0,0"/>
                  <v:stroke on="f"/>
                  <v:imagedata r:id="rId35" o:title=""/>
                  <o:lock v:ext="edit" aspectratio="t"/>
                </v:shape>
                <v:shape id="图片 13" o:spid="_x0000_s1026" o:spt="75" type="#_x0000_t75" style="position:absolute;left:7351;top:415;height:250;width:245;" filled="f" o:preferrelative="t" stroked="f" coordsize="21600,21600" o:gfxdata="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2A8JvQAA&#10;ANsAAAAPAAAAAAAAAAEAIAAAACIAAABkcnMvZG93bnJldi54bWxQSwECFAAUAAAACACHTuJAMy8F&#10;njsAAAA5AAAAEAAAAAAAAAABACAAAAAMAQAAZHJzL3NoYXBleG1sLnhtbFBLBQYAAAAABgAGAFsB&#10;AAC2AwAAAAA=&#10;">
                  <v:fill on="f" focussize="0,0"/>
                  <v:stroke on="f"/>
                  <v:imagedata r:id="rId36" o:title=""/>
                  <o:lock v:ext="edit" aspectratio="t"/>
                </v:shape>
                <v:shape id="图片 14" o:spid="_x0000_s1026" o:spt="75" type="#_x0000_t75" style="position:absolute;left:5440;top:1365;height:248;width:413;" filled="f" o:preferrelative="t" stroked="f" coordsize="21600,21600" o:gfxdata="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6BbBugAAANsA&#10;AAAPAAAAAAAAAAEAIAAAACIAAABkcnMvZG93bnJldi54bWxQSwECFAAUAAAACACHTuJAMy8FnjsA&#10;AAA5AAAAEAAAAAAAAAABACAAAAAJAQAAZHJzL3NoYXBleG1sLnhtbFBLBQYAAAAABgAGAFsBAACz&#10;AwAAAAA=&#10;">
                  <v:fill on="f" focussize="0,0"/>
                  <v:stroke on="f"/>
                  <v:imagedata r:id="rId35" o:title=""/>
                  <o:lock v:ext="edit" aspectratio="t"/>
                </v:shape>
                <v:shape id="图片 15" o:spid="_x0000_s1026" o:spt="75" type="#_x0000_t75" style="position:absolute;left:5709;top:1356;height:250;width:411;" filled="f" o:preferrelative="t" stroked="f" coordsize="21600,21600" o:gfxdata="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ilrq8AAAA&#10;2wAAAA8AAAAAAAAAAQAgAAAAIgAAAGRycy9kb3ducmV2LnhtbFBLAQIUABQAAAAIAIdO4kAzLwWe&#10;OwAAADkAAAAQAAAAAAAAAAEAIAAAAAsBAABkcnMvc2hhcGV4bWwueG1sUEsFBgAAAAAGAAYAWwEA&#10;ALUDAAAAAA==&#10;">
                  <v:fill on="f" focussize="0,0"/>
                  <v:stroke on="f"/>
                  <v:imagedata r:id="rId37" o:title=""/>
                  <o:lock v:ext="edit" aspectratio="t"/>
                </v:shape>
                <v:shape id="图片 16" o:spid="_x0000_s1026" o:spt="75" type="#_x0000_t75" style="position:absolute;left:5611;top:1809;height:276;width:243;" filled="f" o:preferrelative="t" stroked="f" coordsize="21600,21600" o:gfxdata="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KsDm8AAAA&#10;2wAAAA8AAAAAAAAAAQAgAAAAIgAAAGRycy9kb3ducmV2LnhtbFBLAQIUABQAAAAIAIdO4kAzLwWe&#10;OwAAADkAAAAQAAAAAAAAAAEAIAAAAAsBAABkcnMvc2hhcGV4bWwueG1sUEsFBgAAAAAGAAYAWwEA&#10;ALUDAAAAAA==&#10;">
                  <v:fill on="f" focussize="0,0"/>
                  <v:stroke on="f"/>
                  <v:imagedata r:id="rId38" o:title=""/>
                  <o:lock v:ext="edit" aspectratio="t"/>
                </v:shape>
                <v:shape id="文本框 29" o:spid="_x0000_s1026" o:spt="202" type="#_x0000_t202" style="position:absolute;left:4277;top:467;height:168;width:113;" filled="f" stroked="f" coordsize="21600,21600" o:gfxdata="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Xs+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67" w:lineRule="exact"/>
                          <w:ind w:left="0" w:right="0" w:firstLine="0"/>
                          <w:jc w:val="left"/>
                          <w:rPr>
                            <w:rFonts w:ascii="Times New Roman"/>
                            <w:i/>
                            <w:sz w:val="15"/>
                          </w:rPr>
                        </w:pPr>
                        <w:r>
                          <w:rPr>
                            <w:rFonts w:ascii="Times New Roman"/>
                            <w:i/>
                            <w:w w:val="100"/>
                            <w:sz w:val="15"/>
                          </w:rPr>
                          <w:t>A</w:t>
                        </w:r>
                      </w:p>
                    </w:txbxContent>
                  </v:textbox>
                </v:shape>
                <v:shape id="文本框 31" o:spid="_x0000_s1026" o:spt="202" type="#_x0000_t202" style="position:absolute;left:7352;top:474;height:168;width:113;" filled="f" stroked="f" coordsize="21600,21600" o:gfxdata="UEsDBAoAAAAAAIdO4kAAAAAAAAAAAAAAAAAEAAAAZHJzL1BLAwQUAAAACACHTuJAhiflSb4AAADb&#10;AAAADwAAAGRycy9kb3ducmV2LnhtbEWPzWrDMBCE74W+g9hCb42UUEL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lS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67" w:lineRule="exact"/>
                          <w:ind w:left="0" w:right="0" w:firstLine="0"/>
                          <w:jc w:val="left"/>
                          <w:rPr>
                            <w:rFonts w:ascii="Times New Roman"/>
                            <w:i/>
                            <w:sz w:val="15"/>
                          </w:rPr>
                        </w:pPr>
                        <w:r>
                          <w:rPr>
                            <w:rFonts w:ascii="Times New Roman"/>
                            <w:i/>
                            <w:w w:val="100"/>
                            <w:sz w:val="15"/>
                          </w:rPr>
                          <w:t>B</w:t>
                        </w:r>
                      </w:p>
                    </w:txbxContent>
                  </v:textbox>
                </v:shape>
                <v:shape id="文本框 32" o:spid="_x0000_s1026" o:spt="202" type="#_x0000_t202" style="position:absolute;left:5441;top:1384;height:653;width:433;"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15" w:lineRule="exact"/>
                          <w:ind w:left="31" w:right="49" w:firstLine="0"/>
                          <w:jc w:val="center"/>
                          <w:rPr>
                            <w:rFonts w:ascii="Times New Roman" w:hAnsi="Times New Roman"/>
                            <w:sz w:val="10"/>
                          </w:rPr>
                        </w:pPr>
                        <w:r>
                          <w:rPr>
                            <w:rFonts w:ascii="Times New Roman" w:hAnsi="Times New Roman"/>
                            <w:i/>
                            <w:position w:val="2"/>
                            <w:sz w:val="15"/>
                          </w:rPr>
                          <w:t>ψ</w:t>
                        </w:r>
                        <w:r>
                          <w:rPr>
                            <w:rFonts w:ascii="Times New Roman" w:hAnsi="Times New Roman"/>
                            <w:sz w:val="10"/>
                          </w:rPr>
                          <w:t xml:space="preserve">1 </w:t>
                        </w:r>
                        <w:r>
                          <w:rPr>
                            <w:rFonts w:ascii="Times New Roman" w:hAnsi="Times New Roman"/>
                            <w:i/>
                            <w:position w:val="3"/>
                            <w:sz w:val="15"/>
                          </w:rPr>
                          <w:t>ψ</w:t>
                        </w:r>
                        <w:r>
                          <w:rPr>
                            <w:rFonts w:ascii="Times New Roman" w:hAnsi="Times New Roman"/>
                            <w:position w:val="-2"/>
                            <w:sz w:val="10"/>
                          </w:rPr>
                          <w:t>2</w:t>
                        </w:r>
                      </w:p>
                      <w:p>
                        <w:pPr>
                          <w:spacing w:before="8" w:line="240" w:lineRule="auto"/>
                          <w:rPr>
                            <w:sz w:val="20"/>
                          </w:rPr>
                        </w:pPr>
                      </w:p>
                      <w:p>
                        <w:pPr>
                          <w:spacing w:before="0"/>
                          <w:ind w:left="0" w:right="0" w:firstLine="0"/>
                          <w:jc w:val="center"/>
                          <w:rPr>
                            <w:rFonts w:ascii="Times New Roman"/>
                            <w:i/>
                            <w:sz w:val="15"/>
                          </w:rPr>
                        </w:pPr>
                        <w:r>
                          <w:rPr>
                            <w:rFonts w:ascii="Times New Roman"/>
                            <w:i/>
                            <w:w w:val="100"/>
                            <w:sz w:val="15"/>
                          </w:rPr>
                          <w:t>P</w:t>
                        </w:r>
                      </w:p>
                    </w:txbxContent>
                  </v:textbox>
                </v:shape>
              </v:group>
            </w:pict>
          </mc:Fallback>
        </mc:AlternateContent>
      </w:r>
      <w:r>
        <w:rPr>
          <w:color w:val="auto"/>
          <w:sz w:val="24"/>
        </w:rPr>
        <w:t xml:space="preserve">     ψ</w:t>
      </w:r>
      <w:r>
        <w:rPr>
          <w:color w:val="auto"/>
          <w:sz w:val="24"/>
          <w:vertAlign w:val="subscript"/>
        </w:rPr>
        <w:t>1</w:t>
      </w:r>
      <w:r>
        <w:rPr>
          <w:color w:val="auto"/>
          <w:sz w:val="24"/>
        </w:rPr>
        <w:t>、ψ</w:t>
      </w:r>
      <w:r>
        <w:rPr>
          <w:color w:val="auto"/>
          <w:sz w:val="24"/>
          <w:vertAlign w:val="subscript"/>
        </w:rPr>
        <w:t>2</w:t>
      </w:r>
      <w:r>
        <w:rPr>
          <w:color w:val="auto"/>
          <w:sz w:val="24"/>
        </w:rPr>
        <w:t>——预测点到有限长路段两端的张角，弧度，如图</w:t>
      </w:r>
      <w:r>
        <w:rPr>
          <w:rFonts w:hint="eastAsia"/>
          <w:color w:val="auto"/>
          <w:sz w:val="24"/>
          <w:lang w:val="en-US" w:eastAsia="zh-CN"/>
        </w:rPr>
        <w:t>4</w:t>
      </w:r>
      <w:r>
        <w:rPr>
          <w:color w:val="auto"/>
          <w:sz w:val="24"/>
        </w:rPr>
        <w:t>.</w:t>
      </w:r>
      <w:r>
        <w:rPr>
          <w:rFonts w:hint="eastAsia"/>
          <w:color w:val="auto"/>
          <w:sz w:val="24"/>
          <w:lang w:val="en-US" w:eastAsia="zh-CN"/>
        </w:rPr>
        <w:t>2</w:t>
      </w:r>
      <w:r>
        <w:rPr>
          <w:color w:val="auto"/>
          <w:sz w:val="24"/>
        </w:rPr>
        <w:t>-1所示；</w:t>
      </w:r>
    </w:p>
    <w:p>
      <w:pPr>
        <w:adjustRightInd w:val="0"/>
        <w:jc w:val="center"/>
        <w:textAlignment w:val="baseline"/>
        <w:rPr>
          <w:color w:val="auto"/>
          <w:kern w:val="0"/>
          <w:sz w:val="24"/>
        </w:rPr>
      </w:pPr>
    </w:p>
    <w:p>
      <w:pPr>
        <w:adjustRightInd w:val="0"/>
        <w:jc w:val="center"/>
        <w:textAlignment w:val="baseline"/>
        <w:rPr>
          <w:color w:val="auto"/>
          <w:kern w:val="0"/>
          <w:sz w:val="24"/>
        </w:rPr>
      </w:pPr>
    </w:p>
    <w:p>
      <w:pPr>
        <w:adjustRightInd w:val="0"/>
        <w:jc w:val="center"/>
        <w:textAlignment w:val="baseline"/>
        <w:rPr>
          <w:color w:val="auto"/>
          <w:kern w:val="0"/>
          <w:sz w:val="24"/>
        </w:rPr>
      </w:pPr>
    </w:p>
    <w:p>
      <w:pPr>
        <w:adjustRightInd w:val="0"/>
        <w:jc w:val="center"/>
        <w:textAlignment w:val="baseline"/>
        <w:rPr>
          <w:color w:val="auto"/>
          <w:kern w:val="0"/>
          <w:sz w:val="24"/>
        </w:rPr>
      </w:pPr>
    </w:p>
    <w:p>
      <w:pPr>
        <w:adjustRightInd w:val="0"/>
        <w:jc w:val="center"/>
        <w:textAlignment w:val="baseline"/>
        <w:rPr>
          <w:color w:val="auto"/>
          <w:kern w:val="0"/>
          <w:sz w:val="24"/>
        </w:rPr>
      </w:pPr>
    </w:p>
    <w:p>
      <w:pPr>
        <w:adjustRightInd w:val="0"/>
        <w:jc w:val="center"/>
        <w:textAlignment w:val="baseline"/>
        <w:rPr>
          <w:color w:val="auto"/>
          <w:kern w:val="0"/>
          <w:sz w:val="24"/>
        </w:rPr>
      </w:pPr>
    </w:p>
    <w:p>
      <w:pPr>
        <w:spacing w:line="360" w:lineRule="auto"/>
        <w:ind w:firstLine="480"/>
        <w:jc w:val="center"/>
        <w:rPr>
          <w:b/>
          <w:color w:val="auto"/>
          <w:kern w:val="0"/>
          <w:sz w:val="24"/>
        </w:rPr>
      </w:pPr>
      <w:r>
        <w:rPr>
          <w:b/>
          <w:color w:val="auto"/>
          <w:kern w:val="0"/>
          <w:sz w:val="24"/>
        </w:rPr>
        <w:t>图4.2-1  有限长路段函数关系示意图</w:t>
      </w:r>
    </w:p>
    <w:p>
      <w:pPr>
        <w:spacing w:line="360" w:lineRule="auto"/>
        <w:ind w:firstLine="480"/>
        <w:jc w:val="center"/>
        <w:rPr>
          <w:b/>
          <w:color w:val="auto"/>
          <w:kern w:val="0"/>
          <w:sz w:val="20"/>
        </w:rPr>
      </w:pPr>
    </w:p>
    <w:p>
      <w:pPr>
        <w:spacing w:line="360" w:lineRule="auto"/>
        <w:ind w:firstLine="1080" w:firstLineChars="450"/>
        <w:jc w:val="left"/>
        <w:rPr>
          <w:color w:val="auto"/>
          <w:sz w:val="24"/>
        </w:rPr>
      </w:pPr>
      <w:r>
        <w:rPr>
          <w:color w:val="auto"/>
          <w:sz w:val="24"/>
        </w:rPr>
        <w:t>ΔL ——由其他因素引起的修正量，dB(A)，可按下式计算：</w:t>
      </w:r>
    </w:p>
    <w:p>
      <w:pPr>
        <w:spacing w:line="360" w:lineRule="auto"/>
        <w:ind w:firstLine="480"/>
        <w:jc w:val="center"/>
        <w:textAlignment w:val="center"/>
        <w:rPr>
          <w:color w:val="auto"/>
        </w:rPr>
      </w:pPr>
      <w:r>
        <w:rPr>
          <w:color w:val="auto"/>
        </w:rPr>
        <w:drawing>
          <wp:inline distT="0" distB="0" distL="114300" distR="114300">
            <wp:extent cx="2113915" cy="995045"/>
            <wp:effectExtent l="0" t="0" r="6985" b="8255"/>
            <wp:docPr id="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pic:cNvPicPr>
                      <a:picLocks noChangeAspect="1"/>
                    </pic:cNvPicPr>
                  </pic:nvPicPr>
                  <pic:blipFill>
                    <a:blip r:embed="rId39"/>
                    <a:stretch>
                      <a:fillRect/>
                    </a:stretch>
                  </pic:blipFill>
                  <pic:spPr>
                    <a:xfrm>
                      <a:off x="0" y="0"/>
                      <a:ext cx="2113915" cy="995045"/>
                    </a:xfrm>
                    <a:prstGeom prst="rect">
                      <a:avLst/>
                    </a:prstGeom>
                    <a:noFill/>
                    <a:ln>
                      <a:noFill/>
                    </a:ln>
                  </pic:spPr>
                </pic:pic>
              </a:graphicData>
            </a:graphic>
          </wp:inline>
        </w:drawing>
      </w:r>
    </w:p>
    <w:p>
      <w:pPr>
        <w:spacing w:line="360" w:lineRule="auto"/>
        <w:ind w:firstLine="1156" w:firstLineChars="482"/>
        <w:rPr>
          <w:color w:val="auto"/>
          <w:kern w:val="44"/>
          <w:sz w:val="24"/>
        </w:rPr>
      </w:pPr>
      <w:r>
        <w:rPr>
          <w:color w:val="auto"/>
          <w:sz w:val="24"/>
        </w:rPr>
        <w:t>式中：</w:t>
      </w:r>
      <w:r>
        <w:rPr>
          <w:rFonts w:hint="eastAsia" w:ascii="宋体" w:hAnsi="宋体" w:eastAsia="宋体" w:cs="宋体"/>
          <w:color w:val="auto"/>
          <w:sz w:val="24"/>
        </w:rPr>
        <w:t>△</w:t>
      </w:r>
      <w:r>
        <w:rPr>
          <w:rFonts w:hint="default" w:ascii="Times New Roman" w:hAnsi="Times New Roman" w:eastAsia="TimesNewRomanPSMT" w:cs="Times New Roman"/>
          <w:b w:val="0"/>
          <w:bCs w:val="0"/>
          <w:i w:val="0"/>
          <w:iCs w:val="0"/>
          <w:color w:val="auto"/>
          <w:sz w:val="24"/>
          <w:szCs w:val="24"/>
        </w:rPr>
        <w:t>L</w:t>
      </w:r>
      <w:r>
        <w:rPr>
          <w:rFonts w:hint="default" w:ascii="Times New Roman" w:hAnsi="Times New Roman" w:eastAsia="TimesNewRomanPSMT" w:cs="Times New Roman"/>
          <w:b w:val="0"/>
          <w:bCs w:val="0"/>
          <w:i w:val="0"/>
          <w:iCs w:val="0"/>
          <w:color w:val="auto"/>
          <w:sz w:val="24"/>
          <w:szCs w:val="24"/>
          <w:vertAlign w:val="subscript"/>
        </w:rPr>
        <w:t>1</w:t>
      </w:r>
      <w:r>
        <w:rPr>
          <w:rFonts w:hint="default" w:ascii="Times New Roman" w:hAnsi="Times New Roman" w:eastAsia="TimesNewRomanPSMT" w:cs="Times New Roman"/>
          <w:b w:val="0"/>
          <w:bCs w:val="0"/>
          <w:i w:val="0"/>
          <w:iCs w:val="0"/>
          <w:color w:val="auto"/>
          <w:sz w:val="24"/>
          <w:szCs w:val="24"/>
        </w:rPr>
        <w:t xml:space="preserve"> </w:t>
      </w:r>
      <w:r>
        <w:rPr>
          <w:rFonts w:hint="default" w:ascii="Times New Roman" w:hAnsi="Times New Roman" w:cs="Times New Roman"/>
          <w:color w:val="auto"/>
          <w:kern w:val="44"/>
          <w:sz w:val="24"/>
          <w:szCs w:val="24"/>
        </w:rPr>
        <w:t>——线路因素引起的修正值，dB(A)；</w:t>
      </w:r>
    </w:p>
    <w:p>
      <w:pPr>
        <w:keepNext w:val="0"/>
        <w:keepLines w:val="0"/>
        <w:pageBreakBefore w:val="0"/>
        <w:widowControl w:val="0"/>
        <w:kinsoku/>
        <w:wordWrap/>
        <w:overflowPunct/>
        <w:topLinePunct w:val="0"/>
        <w:autoSpaceDE/>
        <w:autoSpaceDN/>
        <w:bidi w:val="0"/>
        <w:adjustRightInd/>
        <w:snapToGrid/>
        <w:spacing w:line="360" w:lineRule="auto"/>
        <w:ind w:firstLine="1876" w:firstLineChars="782"/>
        <w:rPr>
          <w:color w:val="auto"/>
          <w:kern w:val="44"/>
          <w:sz w:val="24"/>
        </w:rPr>
      </w:pPr>
      <w:r>
        <w:rPr>
          <w:rFonts w:hint="eastAsia" w:ascii="宋体" w:hAnsi="宋体" w:eastAsia="宋体" w:cs="宋体"/>
          <w:color w:val="auto"/>
          <w:sz w:val="24"/>
        </w:rPr>
        <w:t>△</w:t>
      </w:r>
      <w:r>
        <w:rPr>
          <w:rFonts w:hint="default" w:ascii="Times New Roman" w:hAnsi="Times New Roman" w:eastAsia="TimesNewRomanPSMT" w:cs="Times New Roman"/>
          <w:b w:val="0"/>
          <w:bCs w:val="0"/>
          <w:i w:val="0"/>
          <w:iCs w:val="0"/>
          <w:color w:val="auto"/>
          <w:sz w:val="24"/>
          <w:szCs w:val="24"/>
        </w:rPr>
        <w:t>L</w:t>
      </w:r>
      <w:r>
        <w:rPr>
          <w:rFonts w:hint="eastAsia" w:ascii="Times New Roman" w:hAnsi="Times New Roman" w:eastAsia="宋体" w:cs="Times New Roman"/>
          <w:b w:val="0"/>
          <w:bCs w:val="0"/>
          <w:i w:val="0"/>
          <w:iCs w:val="0"/>
          <w:color w:val="auto"/>
          <w:sz w:val="24"/>
          <w:szCs w:val="24"/>
          <w:vertAlign w:val="subscript"/>
          <w:lang w:val="en-US" w:eastAsia="zh-CN"/>
        </w:rPr>
        <w:t>坡度</w:t>
      </w:r>
      <w:r>
        <w:rPr>
          <w:color w:val="auto"/>
          <w:kern w:val="44"/>
          <w:sz w:val="24"/>
        </w:rPr>
        <w:t>——公路纵坡修正量，dB(A)；</w:t>
      </w:r>
    </w:p>
    <w:p>
      <w:pPr>
        <w:keepNext w:val="0"/>
        <w:keepLines w:val="0"/>
        <w:pageBreakBefore w:val="0"/>
        <w:widowControl w:val="0"/>
        <w:kinsoku/>
        <w:wordWrap/>
        <w:overflowPunct/>
        <w:topLinePunct w:val="0"/>
        <w:autoSpaceDE/>
        <w:autoSpaceDN/>
        <w:bidi w:val="0"/>
        <w:adjustRightInd/>
        <w:snapToGrid/>
        <w:spacing w:line="360" w:lineRule="auto"/>
        <w:ind w:firstLine="1876" w:firstLineChars="782"/>
        <w:rPr>
          <w:color w:val="auto"/>
          <w:kern w:val="44"/>
          <w:sz w:val="24"/>
        </w:rPr>
      </w:pPr>
      <w:r>
        <w:rPr>
          <w:rFonts w:hint="eastAsia" w:ascii="宋体" w:hAnsi="宋体" w:eastAsia="宋体" w:cs="宋体"/>
          <w:color w:val="auto"/>
          <w:sz w:val="24"/>
        </w:rPr>
        <w:t>△</w:t>
      </w:r>
      <w:r>
        <w:rPr>
          <w:rFonts w:hint="default" w:ascii="Times New Roman" w:hAnsi="Times New Roman" w:eastAsia="TimesNewRomanPSMT" w:cs="Times New Roman"/>
          <w:b w:val="0"/>
          <w:bCs w:val="0"/>
          <w:i w:val="0"/>
          <w:iCs w:val="0"/>
          <w:color w:val="auto"/>
          <w:sz w:val="24"/>
          <w:szCs w:val="24"/>
        </w:rPr>
        <w:t>L</w:t>
      </w:r>
      <w:r>
        <w:rPr>
          <w:rFonts w:hint="eastAsia" w:ascii="Times New Roman" w:hAnsi="Times New Roman" w:eastAsia="宋体" w:cs="Times New Roman"/>
          <w:b w:val="0"/>
          <w:bCs w:val="0"/>
          <w:i w:val="0"/>
          <w:iCs w:val="0"/>
          <w:color w:val="auto"/>
          <w:sz w:val="24"/>
          <w:szCs w:val="24"/>
          <w:vertAlign w:val="subscript"/>
          <w:lang w:val="en-US" w:eastAsia="zh-CN"/>
        </w:rPr>
        <w:t>路面</w:t>
      </w:r>
      <w:r>
        <w:rPr>
          <w:color w:val="auto"/>
          <w:kern w:val="44"/>
          <w:sz w:val="24"/>
        </w:rPr>
        <w:t>——公路路面材料引起的修正量，dB(A)；</w:t>
      </w:r>
    </w:p>
    <w:p>
      <w:pPr>
        <w:keepNext w:val="0"/>
        <w:keepLines w:val="0"/>
        <w:pageBreakBefore w:val="0"/>
        <w:widowControl w:val="0"/>
        <w:kinsoku/>
        <w:wordWrap/>
        <w:overflowPunct/>
        <w:topLinePunct w:val="0"/>
        <w:autoSpaceDE/>
        <w:autoSpaceDN/>
        <w:bidi w:val="0"/>
        <w:adjustRightInd/>
        <w:snapToGrid/>
        <w:spacing w:line="360" w:lineRule="auto"/>
        <w:ind w:firstLine="1876" w:firstLineChars="782"/>
        <w:textAlignment w:val="center"/>
        <w:rPr>
          <w:color w:val="auto"/>
          <w:kern w:val="44"/>
          <w:sz w:val="24"/>
        </w:rPr>
      </w:pPr>
      <w:r>
        <w:rPr>
          <w:rFonts w:hint="eastAsia" w:ascii="宋体" w:hAnsi="宋体" w:eastAsia="宋体" w:cs="宋体"/>
          <w:color w:val="auto"/>
          <w:sz w:val="24"/>
        </w:rPr>
        <w:t>△</w:t>
      </w:r>
      <w:r>
        <w:rPr>
          <w:rFonts w:hint="default" w:ascii="Times New Roman" w:hAnsi="Times New Roman" w:eastAsia="TimesNewRomanPSMT" w:cs="Times New Roman"/>
          <w:b w:val="0"/>
          <w:bCs w:val="0"/>
          <w:i w:val="0"/>
          <w:iCs w:val="0"/>
          <w:color w:val="auto"/>
          <w:sz w:val="24"/>
          <w:szCs w:val="24"/>
        </w:rPr>
        <w:t>L</w:t>
      </w:r>
      <w:r>
        <w:rPr>
          <w:rFonts w:hint="eastAsia" w:ascii="Times New Roman" w:hAnsi="Times New Roman" w:eastAsia="宋体" w:cs="Times New Roman"/>
          <w:b w:val="0"/>
          <w:bCs w:val="0"/>
          <w:i w:val="0"/>
          <w:iCs w:val="0"/>
          <w:color w:val="auto"/>
          <w:sz w:val="24"/>
          <w:szCs w:val="24"/>
          <w:vertAlign w:val="subscript"/>
          <w:lang w:val="en-US" w:eastAsia="zh-CN"/>
        </w:rPr>
        <w:t>2</w:t>
      </w:r>
      <w:r>
        <w:rPr>
          <w:color w:val="auto"/>
          <w:kern w:val="44"/>
          <w:sz w:val="24"/>
        </w:rPr>
        <w:t>——声波传播途径中引起的衰减量，dB(A)；</w:t>
      </w:r>
    </w:p>
    <w:p>
      <w:pPr>
        <w:keepNext w:val="0"/>
        <w:keepLines w:val="0"/>
        <w:pageBreakBefore w:val="0"/>
        <w:widowControl w:val="0"/>
        <w:kinsoku/>
        <w:wordWrap/>
        <w:overflowPunct/>
        <w:topLinePunct w:val="0"/>
        <w:autoSpaceDE/>
        <w:autoSpaceDN/>
        <w:bidi w:val="0"/>
        <w:adjustRightInd/>
        <w:snapToGrid/>
        <w:spacing w:line="360" w:lineRule="auto"/>
        <w:ind w:firstLine="1876" w:firstLineChars="782"/>
        <w:textAlignment w:val="center"/>
        <w:rPr>
          <w:color w:val="auto"/>
          <w:kern w:val="44"/>
          <w:sz w:val="24"/>
        </w:rPr>
      </w:pPr>
      <w:r>
        <w:rPr>
          <w:rFonts w:hint="eastAsia" w:ascii="宋体" w:hAnsi="宋体" w:eastAsia="宋体" w:cs="宋体"/>
          <w:color w:val="auto"/>
          <w:sz w:val="24"/>
        </w:rPr>
        <w:t>△</w:t>
      </w:r>
      <w:r>
        <w:rPr>
          <w:rFonts w:hint="default" w:ascii="Times New Roman" w:hAnsi="Times New Roman" w:eastAsia="TimesNewRomanPSMT" w:cs="Times New Roman"/>
          <w:b w:val="0"/>
          <w:bCs w:val="0"/>
          <w:i w:val="0"/>
          <w:iCs w:val="0"/>
          <w:color w:val="auto"/>
          <w:sz w:val="24"/>
          <w:szCs w:val="24"/>
        </w:rPr>
        <w:t>L</w:t>
      </w:r>
      <w:r>
        <w:rPr>
          <w:rFonts w:hint="eastAsia" w:ascii="Times New Roman" w:hAnsi="Times New Roman" w:eastAsia="宋体" w:cs="Times New Roman"/>
          <w:b w:val="0"/>
          <w:bCs w:val="0"/>
          <w:i w:val="0"/>
          <w:iCs w:val="0"/>
          <w:color w:val="auto"/>
          <w:sz w:val="24"/>
          <w:szCs w:val="24"/>
          <w:vertAlign w:val="subscript"/>
          <w:lang w:val="en-US" w:eastAsia="zh-CN"/>
        </w:rPr>
        <w:t>3</w:t>
      </w:r>
      <w:r>
        <w:rPr>
          <w:color w:val="auto"/>
          <w:kern w:val="44"/>
          <w:sz w:val="24"/>
        </w:rPr>
        <w:t>——由反射等引起的修正量，dB(A)；</w:t>
      </w:r>
    </w:p>
    <w:p>
      <w:pPr>
        <w:spacing w:line="360" w:lineRule="auto"/>
        <w:ind w:firstLine="480"/>
        <w:jc w:val="left"/>
        <w:rPr>
          <w:color w:val="auto"/>
          <w:sz w:val="24"/>
        </w:rPr>
      </w:pPr>
      <w:r>
        <w:rPr>
          <w:color w:val="auto"/>
          <w:sz w:val="24"/>
        </w:rPr>
        <w:t>（2） 各类车辆昼间或夜间使预测点接收到的交通噪声值计算模式：</w:t>
      </w:r>
    </w:p>
    <w:p>
      <w:pPr>
        <w:spacing w:line="360" w:lineRule="auto"/>
        <w:ind w:firstLine="480"/>
        <w:jc w:val="center"/>
        <w:rPr>
          <w:bCs/>
          <w:color w:val="auto"/>
          <w:kern w:val="44"/>
          <w:sz w:val="24"/>
          <w:szCs w:val="32"/>
        </w:rPr>
      </w:pPr>
      <w:r>
        <w:rPr>
          <w:color w:val="auto"/>
        </w:rPr>
        <w:drawing>
          <wp:inline distT="0" distB="0" distL="114300" distR="114300">
            <wp:extent cx="4021455" cy="445135"/>
            <wp:effectExtent l="0" t="0" r="4445" b="12065"/>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40"/>
                    <a:stretch>
                      <a:fillRect/>
                    </a:stretch>
                  </pic:blipFill>
                  <pic:spPr>
                    <a:xfrm>
                      <a:off x="0" y="0"/>
                      <a:ext cx="4021455" cy="445135"/>
                    </a:xfrm>
                    <a:prstGeom prst="rect">
                      <a:avLst/>
                    </a:prstGeom>
                    <a:noFill/>
                    <a:ln>
                      <a:noFill/>
                    </a:ln>
                  </pic:spPr>
                </pic:pic>
              </a:graphicData>
            </a:graphic>
          </wp:inline>
        </w:drawing>
      </w:r>
    </w:p>
    <w:p>
      <w:pPr>
        <w:spacing w:line="360" w:lineRule="auto"/>
        <w:ind w:firstLine="480"/>
        <w:jc w:val="left"/>
        <w:rPr>
          <w:color w:val="auto"/>
          <w:sz w:val="24"/>
        </w:rPr>
      </w:pPr>
      <w:r>
        <w:rPr>
          <w:color w:val="auto"/>
          <w:sz w:val="24"/>
        </w:rPr>
        <w:t>式中</w:t>
      </w:r>
      <w:r>
        <w:rPr>
          <w:rFonts w:hint="default" w:ascii="Times New Roman" w:hAnsi="Times New Roman" w:cs="Times New Roman"/>
          <w:color w:val="auto"/>
          <w:sz w:val="24"/>
        </w:rPr>
        <w:t>：</w:t>
      </w:r>
      <w:r>
        <w:rPr>
          <w:rFonts w:hint="default" w:ascii="Times New Roman" w:hAnsi="Times New Roman" w:eastAsia="TimesNewRomanPS-ItalicMT" w:cs="Times New Roman"/>
          <w:b w:val="0"/>
          <w:bCs w:val="0"/>
          <w:i/>
          <w:iCs/>
          <w:color w:val="auto"/>
          <w:sz w:val="22"/>
          <w:szCs w:val="22"/>
        </w:rPr>
        <w:t>L</w:t>
      </w:r>
      <w:r>
        <w:rPr>
          <w:rFonts w:hint="default" w:ascii="Times New Roman" w:hAnsi="Times New Roman" w:eastAsia="TimesNewRomanPS-ItalicMT" w:cs="Times New Roman"/>
          <w:b w:val="0"/>
          <w:bCs w:val="0"/>
          <w:i/>
          <w:iCs/>
          <w:color w:val="auto"/>
          <w:sz w:val="14"/>
          <w:szCs w:val="14"/>
        </w:rPr>
        <w:t>eq</w:t>
      </w:r>
      <w:r>
        <w:rPr>
          <w:rFonts w:hint="default" w:ascii="Times New Roman" w:hAnsi="Times New Roman" w:eastAsia="TimesNewRomanPS-ItalicMT" w:cs="Times New Roman"/>
          <w:b w:val="0"/>
          <w:bCs w:val="0"/>
          <w:i/>
          <w:iCs/>
          <w:color w:val="auto"/>
          <w:sz w:val="22"/>
          <w:szCs w:val="22"/>
        </w:rPr>
        <w:t>(h)</w:t>
      </w:r>
      <w:r>
        <w:rPr>
          <w:rFonts w:hint="default" w:ascii="Times New Roman" w:hAnsi="Times New Roman" w:eastAsia="宋体" w:cs="Times New Roman"/>
          <w:b w:val="0"/>
          <w:bCs w:val="0"/>
          <w:i w:val="0"/>
          <w:iCs w:val="0"/>
          <w:color w:val="auto"/>
          <w:sz w:val="12"/>
          <w:szCs w:val="12"/>
        </w:rPr>
        <w:t>大</w:t>
      </w:r>
      <w:r>
        <w:rPr>
          <w:rFonts w:hint="default" w:ascii="Times New Roman" w:hAnsi="Times New Roman" w:eastAsia="宋体" w:cs="Times New Roman"/>
          <w:b w:val="0"/>
          <w:bCs w:val="0"/>
          <w:i w:val="0"/>
          <w:iCs w:val="0"/>
          <w:color w:val="auto"/>
          <w:sz w:val="22"/>
          <w:szCs w:val="22"/>
        </w:rPr>
        <w:t>、</w:t>
      </w:r>
      <w:r>
        <w:rPr>
          <w:rFonts w:hint="default" w:ascii="Times New Roman" w:hAnsi="Times New Roman" w:eastAsia="TimesNewRomanPS-ItalicMT" w:cs="Times New Roman"/>
          <w:b w:val="0"/>
          <w:bCs w:val="0"/>
          <w:i/>
          <w:iCs/>
          <w:color w:val="auto"/>
          <w:sz w:val="22"/>
          <w:szCs w:val="22"/>
        </w:rPr>
        <w:t>L</w:t>
      </w:r>
      <w:r>
        <w:rPr>
          <w:rFonts w:hint="default" w:ascii="Times New Roman" w:hAnsi="Times New Roman" w:eastAsia="TimesNewRomanPS-ItalicMT" w:cs="Times New Roman"/>
          <w:b w:val="0"/>
          <w:bCs w:val="0"/>
          <w:i/>
          <w:iCs/>
          <w:color w:val="auto"/>
          <w:sz w:val="14"/>
          <w:szCs w:val="14"/>
        </w:rPr>
        <w:t>eq</w:t>
      </w:r>
      <w:r>
        <w:rPr>
          <w:rFonts w:hint="default" w:ascii="Times New Roman" w:hAnsi="Times New Roman" w:eastAsia="TimesNewRomanPS-ItalicMT" w:cs="Times New Roman"/>
          <w:b w:val="0"/>
          <w:bCs w:val="0"/>
          <w:i/>
          <w:iCs/>
          <w:color w:val="auto"/>
          <w:sz w:val="22"/>
          <w:szCs w:val="22"/>
        </w:rPr>
        <w:t>(h)</w:t>
      </w:r>
      <w:r>
        <w:rPr>
          <w:rFonts w:hint="default" w:ascii="Times New Roman" w:hAnsi="Times New Roman" w:eastAsia="宋体" w:cs="Times New Roman"/>
          <w:b w:val="0"/>
          <w:bCs w:val="0"/>
          <w:i w:val="0"/>
          <w:iCs w:val="0"/>
          <w:color w:val="auto"/>
          <w:sz w:val="12"/>
          <w:szCs w:val="12"/>
        </w:rPr>
        <w:t>中</w:t>
      </w:r>
      <w:r>
        <w:rPr>
          <w:rFonts w:hint="default" w:ascii="Times New Roman" w:hAnsi="Times New Roman" w:eastAsia="宋体" w:cs="Times New Roman"/>
          <w:b w:val="0"/>
          <w:bCs w:val="0"/>
          <w:i w:val="0"/>
          <w:iCs w:val="0"/>
          <w:color w:val="auto"/>
          <w:sz w:val="22"/>
          <w:szCs w:val="22"/>
        </w:rPr>
        <w:t>、</w:t>
      </w:r>
      <w:r>
        <w:rPr>
          <w:rFonts w:hint="default" w:ascii="Times New Roman" w:hAnsi="Times New Roman" w:eastAsia="TimesNewRomanPS-ItalicMT" w:cs="Times New Roman"/>
          <w:b w:val="0"/>
          <w:bCs w:val="0"/>
          <w:i/>
          <w:iCs/>
          <w:color w:val="auto"/>
          <w:sz w:val="22"/>
          <w:szCs w:val="22"/>
        </w:rPr>
        <w:t>L</w:t>
      </w:r>
      <w:r>
        <w:rPr>
          <w:rFonts w:hint="default" w:ascii="Times New Roman" w:hAnsi="Times New Roman" w:eastAsia="TimesNewRomanPS-ItalicMT" w:cs="Times New Roman"/>
          <w:b w:val="0"/>
          <w:bCs w:val="0"/>
          <w:i/>
          <w:iCs/>
          <w:color w:val="auto"/>
          <w:sz w:val="14"/>
          <w:szCs w:val="14"/>
        </w:rPr>
        <w:t>eq</w:t>
      </w:r>
      <w:r>
        <w:rPr>
          <w:rFonts w:hint="default" w:ascii="Times New Roman" w:hAnsi="Times New Roman" w:eastAsia="TimesNewRomanPS-ItalicMT" w:cs="Times New Roman"/>
          <w:b w:val="0"/>
          <w:bCs w:val="0"/>
          <w:i/>
          <w:iCs/>
          <w:color w:val="auto"/>
          <w:sz w:val="22"/>
          <w:szCs w:val="22"/>
        </w:rPr>
        <w:t>(h)</w:t>
      </w:r>
      <w:r>
        <w:rPr>
          <w:rFonts w:hint="default" w:ascii="Times New Roman" w:hAnsi="Times New Roman" w:eastAsia="宋体" w:cs="Times New Roman"/>
          <w:b w:val="0"/>
          <w:bCs w:val="0"/>
          <w:i w:val="0"/>
          <w:iCs w:val="0"/>
          <w:color w:val="auto"/>
          <w:sz w:val="12"/>
          <w:szCs w:val="12"/>
        </w:rPr>
        <w:t>小</w:t>
      </w:r>
      <w:r>
        <w:rPr>
          <w:color w:val="auto"/>
          <w:sz w:val="24"/>
        </w:rPr>
        <w:t>——分别为大、中、小型车昼间或夜间，预测点接收到的交通噪声值，dB；</w:t>
      </w:r>
    </w:p>
    <w:p>
      <w:pPr>
        <w:spacing w:line="360" w:lineRule="auto"/>
        <w:ind w:firstLine="1200" w:firstLineChars="500"/>
        <w:jc w:val="left"/>
        <w:rPr>
          <w:color w:val="auto"/>
          <w:sz w:val="24"/>
        </w:rPr>
      </w:pPr>
      <w:r>
        <w:rPr>
          <w:rFonts w:hint="default" w:ascii="Times New Roman" w:hAnsi="Times New Roman" w:eastAsia="TimesNewRomanPS-ItalicMT" w:cs="Times New Roman"/>
          <w:b w:val="0"/>
          <w:bCs w:val="0"/>
          <w:i/>
          <w:iCs/>
          <w:color w:val="auto"/>
          <w:sz w:val="24"/>
          <w:szCs w:val="24"/>
        </w:rPr>
        <w:t>L</w:t>
      </w:r>
      <w:r>
        <w:rPr>
          <w:rFonts w:hint="default" w:ascii="Times New Roman" w:hAnsi="Times New Roman" w:eastAsia="TimesNewRomanPS-ItalicMT" w:cs="Times New Roman"/>
          <w:b w:val="0"/>
          <w:bCs w:val="0"/>
          <w:i/>
          <w:iCs/>
          <w:color w:val="auto"/>
          <w:sz w:val="24"/>
          <w:szCs w:val="24"/>
          <w:vertAlign w:val="subscript"/>
        </w:rPr>
        <w:t>eq</w:t>
      </w:r>
      <w:r>
        <w:rPr>
          <w:rFonts w:hint="default" w:ascii="Times New Roman" w:hAnsi="Times New Roman" w:eastAsia="TimesNewRomanPSMT" w:cs="Times New Roman"/>
          <w:b w:val="0"/>
          <w:bCs w:val="0"/>
          <w:i w:val="0"/>
          <w:iCs w:val="0"/>
          <w:color w:val="auto"/>
          <w:sz w:val="24"/>
          <w:szCs w:val="24"/>
          <w:vertAlign w:val="subscript"/>
        </w:rPr>
        <w:t>(T)</w:t>
      </w:r>
      <w:r>
        <w:rPr>
          <w:rFonts w:hint="default" w:ascii="Times New Roman" w:hAnsi="Times New Roman" w:eastAsia="宋体" w:cs="Times New Roman"/>
          <w:color w:val="auto"/>
          <w:sz w:val="24"/>
          <w:szCs w:val="24"/>
          <w:vertAlign w:val="subscript"/>
        </w:rPr>
        <w:t xml:space="preserve"> </w:t>
      </w:r>
      <w:r>
        <w:rPr>
          <w:rFonts w:hint="default" w:ascii="Times New Roman" w:hAnsi="Times New Roman" w:cs="Times New Roman"/>
          <w:color w:val="auto"/>
          <w:sz w:val="24"/>
          <w:szCs w:val="24"/>
        </w:rPr>
        <w:t>——预测点接收到的昼间或夜间的交通噪声值，d</w:t>
      </w:r>
      <w:r>
        <w:rPr>
          <w:color w:val="auto"/>
          <w:sz w:val="24"/>
        </w:rPr>
        <w:t>B。</w:t>
      </w:r>
    </w:p>
    <w:p>
      <w:pPr>
        <w:spacing w:line="360" w:lineRule="auto"/>
        <w:ind w:firstLine="480"/>
        <w:jc w:val="left"/>
        <w:rPr>
          <w:color w:val="auto"/>
          <w:sz w:val="24"/>
        </w:rPr>
      </w:pPr>
      <w:r>
        <w:rPr>
          <w:color w:val="auto"/>
          <w:sz w:val="24"/>
        </w:rPr>
        <w:t>如果某个预测点受多条线路交通噪声影响（如高架桥周边预测点受桥上和桥下多条车道的影响，路边高层建筑预测点受地面多条车道的影响），应分别计算每条车道对该预测点的声级后，经叠加后得到贡献值。</w:t>
      </w:r>
    </w:p>
    <w:p>
      <w:pPr>
        <w:spacing w:line="360" w:lineRule="auto"/>
        <w:ind w:firstLine="480"/>
        <w:jc w:val="left"/>
        <w:rPr>
          <w:color w:val="auto"/>
          <w:sz w:val="24"/>
        </w:rPr>
      </w:pPr>
      <w:r>
        <w:rPr>
          <w:color w:val="auto"/>
          <w:sz w:val="24"/>
        </w:rPr>
        <w:t>（3）预测点昼间或夜间的环境噪声预测模式：</w:t>
      </w:r>
    </w:p>
    <w:p>
      <w:pPr>
        <w:spacing w:line="360" w:lineRule="auto"/>
        <w:ind w:firstLine="480"/>
        <w:jc w:val="center"/>
        <w:rPr>
          <w:b/>
          <w:color w:val="auto"/>
          <w:sz w:val="24"/>
        </w:rPr>
      </w:pPr>
      <w:r>
        <w:rPr>
          <w:color w:val="auto"/>
        </w:rPr>
        <w:drawing>
          <wp:inline distT="0" distB="0" distL="114300" distR="114300">
            <wp:extent cx="2642870" cy="574040"/>
            <wp:effectExtent l="0" t="0" r="11430" b="10160"/>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41"/>
                    <a:stretch>
                      <a:fillRect/>
                    </a:stretch>
                  </pic:blipFill>
                  <pic:spPr>
                    <a:xfrm>
                      <a:off x="0" y="0"/>
                      <a:ext cx="2642870" cy="574040"/>
                    </a:xfrm>
                    <a:prstGeom prst="rect">
                      <a:avLst/>
                    </a:prstGeom>
                    <a:noFill/>
                    <a:ln>
                      <a:noFill/>
                    </a:ln>
                  </pic:spPr>
                </pic:pic>
              </a:graphicData>
            </a:graphic>
          </wp:inline>
        </w:drawing>
      </w:r>
    </w:p>
    <w:p>
      <w:pPr>
        <w:spacing w:line="360" w:lineRule="auto"/>
        <w:ind w:firstLine="480"/>
        <w:jc w:val="left"/>
        <w:rPr>
          <w:color w:val="auto"/>
          <w:sz w:val="24"/>
        </w:rPr>
      </w:pPr>
      <w:r>
        <w:rPr>
          <w:color w:val="auto"/>
          <w:sz w:val="24"/>
        </w:rPr>
        <w:t>式中：</w:t>
      </w:r>
      <w:r>
        <w:rPr>
          <w:rFonts w:hint="default" w:ascii="Times New Roman" w:hAnsi="Times New Roman" w:eastAsia="TimesNewRomanPSMT" w:cs="Times New Roman"/>
          <w:b w:val="0"/>
          <w:bCs w:val="0"/>
          <w:i w:val="0"/>
          <w:iCs w:val="0"/>
          <w:color w:val="auto"/>
          <w:sz w:val="24"/>
          <w:szCs w:val="24"/>
        </w:rPr>
        <w:t>(</w:t>
      </w:r>
      <w:r>
        <w:rPr>
          <w:rFonts w:hint="default" w:ascii="Times New Roman" w:hAnsi="Times New Roman" w:eastAsia="TimesNewRomanPS-ItalicMT" w:cs="Times New Roman"/>
          <w:b w:val="0"/>
          <w:bCs w:val="0"/>
          <w:i/>
          <w:iCs/>
          <w:color w:val="auto"/>
          <w:sz w:val="24"/>
          <w:szCs w:val="24"/>
        </w:rPr>
        <w:t>L</w:t>
      </w:r>
      <w:r>
        <w:rPr>
          <w:rFonts w:hint="default" w:ascii="Times New Roman" w:hAnsi="Times New Roman" w:eastAsia="TimesNewRomanPS-ItalicMT" w:cs="Times New Roman"/>
          <w:b w:val="0"/>
          <w:bCs w:val="0"/>
          <w:i/>
          <w:iCs/>
          <w:color w:val="auto"/>
          <w:sz w:val="24"/>
          <w:szCs w:val="24"/>
          <w:vertAlign w:val="subscript"/>
        </w:rPr>
        <w:t>eq</w:t>
      </w:r>
      <w:r>
        <w:rPr>
          <w:rFonts w:hint="default" w:ascii="Times New Roman" w:hAnsi="Times New Roman" w:eastAsia="TimesNewRomanPSMT" w:cs="Times New Roman"/>
          <w:b w:val="0"/>
          <w:bCs w:val="0"/>
          <w:i w:val="0"/>
          <w:iCs w:val="0"/>
          <w:color w:val="auto"/>
          <w:sz w:val="24"/>
          <w:szCs w:val="24"/>
        </w:rPr>
        <w:t>)</w:t>
      </w:r>
      <w:r>
        <w:rPr>
          <w:rFonts w:hint="default" w:ascii="Times New Roman" w:hAnsi="Times New Roman" w:eastAsia="宋体" w:cs="Times New Roman"/>
          <w:b w:val="0"/>
          <w:bCs w:val="0"/>
          <w:i w:val="0"/>
          <w:iCs w:val="0"/>
          <w:color w:val="auto"/>
          <w:sz w:val="24"/>
          <w:szCs w:val="24"/>
          <w:vertAlign w:val="subscript"/>
        </w:rPr>
        <w:t>预</w:t>
      </w:r>
      <w:r>
        <w:rPr>
          <w:rFonts w:hint="default" w:ascii="Times New Roman" w:hAnsi="Times New Roman" w:eastAsia="宋体" w:cs="Times New Roman"/>
          <w:b w:val="0"/>
          <w:bCs w:val="0"/>
          <w:i w:val="0"/>
          <w:iCs w:val="0"/>
          <w:color w:val="auto"/>
          <w:sz w:val="24"/>
          <w:szCs w:val="24"/>
        </w:rPr>
        <w:t xml:space="preserve"> </w:t>
      </w:r>
      <w:r>
        <w:rPr>
          <w:rFonts w:hint="default" w:ascii="Times New Roman" w:hAnsi="Times New Roman" w:cs="Times New Roman"/>
          <w:color w:val="auto"/>
          <w:sz w:val="24"/>
          <w:szCs w:val="24"/>
        </w:rPr>
        <w:t>—预测</w:t>
      </w:r>
      <w:r>
        <w:rPr>
          <w:color w:val="auto"/>
          <w:sz w:val="24"/>
        </w:rPr>
        <w:t>点昼间或夜间的环境噪声预测值，dB(A)；</w:t>
      </w:r>
    </w:p>
    <w:p>
      <w:pPr>
        <w:spacing w:line="360" w:lineRule="auto"/>
        <w:ind w:firstLine="480"/>
        <w:jc w:val="left"/>
        <w:rPr>
          <w:color w:val="auto"/>
          <w:sz w:val="24"/>
        </w:rPr>
      </w:pPr>
      <w:r>
        <w:rPr>
          <w:color w:val="auto"/>
          <w:sz w:val="24"/>
        </w:rPr>
        <w:t xml:space="preserve">      </w:t>
      </w:r>
      <w:r>
        <w:rPr>
          <w:rFonts w:hint="default" w:ascii="Times New Roman" w:hAnsi="Times New Roman" w:eastAsia="TimesNewRomanPSMT" w:cs="Times New Roman"/>
          <w:b w:val="0"/>
          <w:bCs w:val="0"/>
          <w:i w:val="0"/>
          <w:iCs w:val="0"/>
          <w:color w:val="auto"/>
          <w:sz w:val="24"/>
          <w:szCs w:val="24"/>
        </w:rPr>
        <w:t>(</w:t>
      </w:r>
      <w:r>
        <w:rPr>
          <w:rFonts w:hint="default" w:ascii="Times New Roman" w:hAnsi="Times New Roman" w:eastAsia="TimesNewRomanPS-ItalicMT" w:cs="Times New Roman"/>
          <w:b w:val="0"/>
          <w:bCs w:val="0"/>
          <w:i/>
          <w:iCs/>
          <w:color w:val="auto"/>
          <w:sz w:val="24"/>
          <w:szCs w:val="24"/>
        </w:rPr>
        <w:t>L</w:t>
      </w:r>
      <w:r>
        <w:rPr>
          <w:rFonts w:hint="default" w:ascii="Times New Roman" w:hAnsi="Times New Roman" w:eastAsia="TimesNewRomanPS-ItalicMT" w:cs="Times New Roman"/>
          <w:b w:val="0"/>
          <w:bCs w:val="0"/>
          <w:i/>
          <w:iCs/>
          <w:color w:val="auto"/>
          <w:sz w:val="24"/>
          <w:szCs w:val="24"/>
          <w:vertAlign w:val="subscript"/>
        </w:rPr>
        <w:t>eq</w:t>
      </w:r>
      <w:r>
        <w:rPr>
          <w:rFonts w:hint="default" w:ascii="Times New Roman" w:hAnsi="Times New Roman" w:eastAsia="TimesNewRomanPSMT" w:cs="Times New Roman"/>
          <w:b w:val="0"/>
          <w:bCs w:val="0"/>
          <w:i w:val="0"/>
          <w:iCs w:val="0"/>
          <w:color w:val="auto"/>
          <w:sz w:val="24"/>
          <w:szCs w:val="24"/>
        </w:rPr>
        <w:t>)</w:t>
      </w:r>
      <w:r>
        <w:rPr>
          <w:rFonts w:hint="eastAsia" w:ascii="Times New Roman" w:hAnsi="Times New Roman" w:eastAsia="宋体" w:cs="Times New Roman"/>
          <w:b w:val="0"/>
          <w:bCs w:val="0"/>
          <w:i w:val="0"/>
          <w:iCs w:val="0"/>
          <w:color w:val="auto"/>
          <w:sz w:val="24"/>
          <w:szCs w:val="24"/>
          <w:vertAlign w:val="subscript"/>
          <w:lang w:val="en-US" w:eastAsia="zh-CN"/>
        </w:rPr>
        <w:t>交</w:t>
      </w:r>
      <w:r>
        <w:rPr>
          <w:color w:val="auto"/>
          <w:sz w:val="24"/>
        </w:rPr>
        <w:t>—各类车辆昼间或夜间使预测点接收到的交通噪声值，dB(A)；</w:t>
      </w:r>
    </w:p>
    <w:p>
      <w:pPr>
        <w:spacing w:line="360" w:lineRule="auto"/>
        <w:ind w:firstLine="480"/>
        <w:jc w:val="left"/>
        <w:rPr>
          <w:color w:val="auto"/>
          <w:sz w:val="24"/>
        </w:rPr>
      </w:pPr>
      <w:r>
        <w:rPr>
          <w:color w:val="auto"/>
          <w:sz w:val="24"/>
        </w:rPr>
        <w:t xml:space="preserve">      </w:t>
      </w:r>
      <w:r>
        <w:rPr>
          <w:rFonts w:hint="default" w:ascii="Times New Roman" w:hAnsi="Times New Roman" w:eastAsia="TimesNewRomanPSMT" w:cs="Times New Roman"/>
          <w:b w:val="0"/>
          <w:bCs w:val="0"/>
          <w:i w:val="0"/>
          <w:iCs w:val="0"/>
          <w:color w:val="auto"/>
          <w:sz w:val="24"/>
          <w:szCs w:val="24"/>
        </w:rPr>
        <w:t>(</w:t>
      </w:r>
      <w:r>
        <w:rPr>
          <w:rFonts w:hint="default" w:ascii="Times New Roman" w:hAnsi="Times New Roman" w:eastAsia="TimesNewRomanPS-ItalicMT" w:cs="Times New Roman"/>
          <w:b w:val="0"/>
          <w:bCs w:val="0"/>
          <w:i/>
          <w:iCs/>
          <w:color w:val="auto"/>
          <w:sz w:val="24"/>
          <w:szCs w:val="24"/>
        </w:rPr>
        <w:t>L</w:t>
      </w:r>
      <w:r>
        <w:rPr>
          <w:rFonts w:hint="default" w:ascii="Times New Roman" w:hAnsi="Times New Roman" w:eastAsia="TimesNewRomanPS-ItalicMT" w:cs="Times New Roman"/>
          <w:b w:val="0"/>
          <w:bCs w:val="0"/>
          <w:i/>
          <w:iCs/>
          <w:color w:val="auto"/>
          <w:sz w:val="24"/>
          <w:szCs w:val="24"/>
          <w:vertAlign w:val="subscript"/>
        </w:rPr>
        <w:t>eq</w:t>
      </w:r>
      <w:r>
        <w:rPr>
          <w:rFonts w:hint="default" w:ascii="Times New Roman" w:hAnsi="Times New Roman" w:eastAsia="TimesNewRomanPSMT" w:cs="Times New Roman"/>
          <w:b w:val="0"/>
          <w:bCs w:val="0"/>
          <w:i w:val="0"/>
          <w:iCs w:val="0"/>
          <w:color w:val="auto"/>
          <w:sz w:val="24"/>
          <w:szCs w:val="24"/>
        </w:rPr>
        <w:t>)</w:t>
      </w:r>
      <w:r>
        <w:rPr>
          <w:rFonts w:hint="eastAsia" w:ascii="Times New Roman" w:hAnsi="Times New Roman" w:eastAsia="宋体" w:cs="Times New Roman"/>
          <w:b w:val="0"/>
          <w:bCs w:val="0"/>
          <w:i w:val="0"/>
          <w:iCs w:val="0"/>
          <w:color w:val="auto"/>
          <w:sz w:val="24"/>
          <w:szCs w:val="24"/>
          <w:vertAlign w:val="subscript"/>
          <w:lang w:val="en-US" w:eastAsia="zh-CN"/>
        </w:rPr>
        <w:t>背</w:t>
      </w:r>
      <w:r>
        <w:rPr>
          <w:color w:val="auto"/>
          <w:sz w:val="24"/>
        </w:rPr>
        <w:t>—预测点的环境噪声背景值，dB(A)。</w:t>
      </w:r>
    </w:p>
    <w:p>
      <w:pPr>
        <w:spacing w:line="360" w:lineRule="auto"/>
        <w:outlineLvl w:val="2"/>
        <w:rPr>
          <w:rFonts w:hint="default" w:ascii="Times New Roman" w:hAnsi="Times New Roman" w:cs="Times New Roman"/>
          <w:b/>
          <w:sz w:val="28"/>
        </w:rPr>
      </w:pPr>
      <w:r>
        <w:rPr>
          <w:rFonts w:hint="default" w:ascii="Times New Roman" w:hAnsi="Times New Roman" w:cs="Times New Roman"/>
          <w:b/>
          <w:sz w:val="28"/>
        </w:rPr>
        <w:t>4.2.2 预测模数中参数确定</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（1）车辆能量平均A声级(LOE)</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7.5m处的车辆车辆能量平均A声级见表2.3-</w:t>
      </w:r>
      <w:r>
        <w:rPr>
          <w:rFonts w:hint="eastAsia" w:cs="Times New Roman"/>
          <w:sz w:val="24"/>
          <w:lang w:val="en-US" w:eastAsia="zh-CN"/>
        </w:rPr>
        <w:t>4</w:t>
      </w:r>
      <w:r>
        <w:rPr>
          <w:rFonts w:hint="default" w:ascii="Times New Roman" w:hAnsi="Times New Roman" w:cs="Times New Roman"/>
          <w:sz w:val="24"/>
        </w:rPr>
        <w:t>。</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（2）小时车流量（N）</w:t>
      </w:r>
    </w:p>
    <w:p>
      <w:pPr>
        <w:spacing w:line="360" w:lineRule="auto"/>
        <w:ind w:firstLine="480"/>
        <w:rPr>
          <w:color w:val="auto"/>
        </w:rPr>
      </w:pPr>
      <w:r>
        <w:rPr>
          <w:color w:val="auto"/>
          <w:sz w:val="24"/>
        </w:rPr>
        <w:t>由本项目工程</w:t>
      </w:r>
      <w:r>
        <w:rPr>
          <w:rFonts w:hint="eastAsia"/>
          <w:color w:val="auto"/>
          <w:sz w:val="24"/>
          <w:lang w:val="en-US" w:eastAsia="zh-CN"/>
        </w:rPr>
        <w:t>初步设计</w:t>
      </w:r>
      <w:r>
        <w:rPr>
          <w:color w:val="auto"/>
          <w:sz w:val="24"/>
        </w:rPr>
        <w:t>提供的交通量预测值推算各评价年的小时车流量见</w:t>
      </w:r>
      <w:r>
        <w:rPr>
          <w:b/>
          <w:bCs/>
          <w:color w:val="auto"/>
          <w:sz w:val="24"/>
        </w:rPr>
        <w:t>表</w:t>
      </w:r>
      <w:r>
        <w:rPr>
          <w:rFonts w:hint="eastAsia"/>
          <w:b/>
          <w:bCs/>
          <w:color w:val="auto"/>
          <w:sz w:val="24"/>
        </w:rPr>
        <w:t>2.2-</w:t>
      </w:r>
      <w:r>
        <w:rPr>
          <w:rFonts w:hint="eastAsia"/>
          <w:b/>
          <w:bCs/>
          <w:color w:val="auto"/>
          <w:sz w:val="24"/>
          <w:lang w:val="en-US" w:eastAsia="zh-CN"/>
        </w:rPr>
        <w:t>4</w:t>
      </w:r>
      <w:r>
        <w:rPr>
          <w:color w:val="auto"/>
          <w:sz w:val="24"/>
        </w:rPr>
        <w:t>。</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（3）修正量和衰减量的计算</w:t>
      </w:r>
    </w:p>
    <w:p>
      <w:pPr>
        <w:tabs>
          <w:tab w:val="left" w:pos="1980"/>
          <w:tab w:val="left" w:pos="3825"/>
          <w:tab w:val="left" w:pos="4680"/>
        </w:tabs>
        <w:spacing w:line="360" w:lineRule="auto"/>
        <w:ind w:firstLine="480"/>
        <w:jc w:val="left"/>
        <w:rPr>
          <w:rFonts w:hint="default" w:ascii="Times New Roman" w:hAnsi="Times New Roman" w:cs="Times New Roman"/>
          <w:sz w:val="24"/>
          <w:szCs w:val="21"/>
          <w:vertAlign w:val="subscript"/>
        </w:rPr>
      </w:pPr>
      <w:r>
        <w:rPr>
          <w:rFonts w:hint="default" w:ascii="Times New Roman" w:hAnsi="Times New Roman" w:cs="Times New Roman"/>
          <w:sz w:val="24"/>
          <w:szCs w:val="21"/>
        </w:rPr>
        <w:t>①公路纵坡引起的交通噪声源强修正量</w:t>
      </w:r>
      <w:r>
        <w:rPr>
          <w:rFonts w:hint="default" w:ascii="Times New Roman" w:hAnsi="Times New Roman" w:cs="Times New Roman"/>
          <w:position w:val="-14"/>
          <w:sz w:val="24"/>
          <w:szCs w:val="21"/>
        </w:rPr>
        <w:drawing>
          <wp:inline distT="0" distB="0" distL="0" distR="0">
            <wp:extent cx="396240" cy="245110"/>
            <wp:effectExtent l="0" t="0" r="0" b="9525"/>
            <wp:docPr id="47"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6"/>
                    <pic:cNvPicPr>
                      <a:picLocks noChangeAspect="1" noChangeArrowheads="1"/>
                    </pic:cNvPicPr>
                  </pic:nvPicPr>
                  <pic:blipFill>
                    <a:blip r:embed="rId42"/>
                    <a:srcRect/>
                    <a:stretch>
                      <a:fillRect/>
                    </a:stretch>
                  </pic:blipFill>
                  <pic:spPr>
                    <a:xfrm>
                      <a:off x="0" y="0"/>
                      <a:ext cx="396240" cy="245110"/>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kern w:val="0"/>
          <w:sz w:val="24"/>
        </w:rPr>
      </w:pPr>
      <w:r>
        <w:rPr>
          <w:rFonts w:hint="default" w:ascii="Times New Roman" w:hAnsi="Times New Roman" w:cs="Times New Roman"/>
          <w:kern w:val="0"/>
          <w:sz w:val="24"/>
        </w:rPr>
        <w:t xml:space="preserve">   大型车：</w:t>
      </w:r>
      <w:r>
        <w:rPr>
          <w:rFonts w:hint="default" w:ascii="Times New Roman" w:hAnsi="Times New Roman" w:cs="Times New Roman"/>
          <w:kern w:val="0"/>
          <w:position w:val="-14"/>
          <w:sz w:val="24"/>
        </w:rPr>
        <w:object>
          <v:shape id="_x0000_i1027" o:spt="75" type="#_x0000_t75" style="height:18.75pt;width:76.5pt;" o:ole="t" filled="f" coordsize="21600,21600">
            <v:path/>
            <v:fill on="f" focussize="0,0"/>
            <v:stroke/>
            <v:imagedata r:id="rId44" o:title=""/>
            <o:lock v:ext="edit" aspectratio="t"/>
            <w10:wrap type="none"/>
            <w10:anchorlock/>
          </v:shape>
          <o:OLEObject Type="Embed" ProgID="Equation.3" ShapeID="_x0000_i1027" DrawAspect="Content" ObjectID="_1468075727" r:id="rId43">
            <o:LockedField>false</o:LockedField>
          </o:OLEObject>
        </w:object>
      </w:r>
      <w:r>
        <w:rPr>
          <w:rFonts w:hint="default" w:ascii="Times New Roman" w:hAnsi="Times New Roman" w:cs="Times New Roman"/>
          <w:kern w:val="0"/>
          <w:sz w:val="24"/>
        </w:rPr>
        <w:t xml:space="preserve">  dB（A）</w:t>
      </w:r>
    </w:p>
    <w:p>
      <w:pPr>
        <w:spacing w:line="360" w:lineRule="auto"/>
        <w:ind w:firstLine="480"/>
        <w:jc w:val="center"/>
        <w:rPr>
          <w:rFonts w:hint="default" w:ascii="Times New Roman" w:hAnsi="Times New Roman" w:cs="Times New Roman"/>
          <w:kern w:val="0"/>
          <w:sz w:val="24"/>
        </w:rPr>
      </w:pPr>
      <w:r>
        <w:rPr>
          <w:rFonts w:hint="default" w:ascii="Times New Roman" w:hAnsi="Times New Roman" w:cs="Times New Roman"/>
          <w:kern w:val="0"/>
          <w:sz w:val="24"/>
        </w:rPr>
        <w:t>中型车：</w:t>
      </w:r>
      <w:r>
        <w:rPr>
          <w:rFonts w:hint="default" w:ascii="Times New Roman" w:hAnsi="Times New Roman" w:cs="Times New Roman"/>
          <w:kern w:val="0"/>
          <w:position w:val="-14"/>
          <w:sz w:val="24"/>
        </w:rPr>
        <w:object>
          <v:shape id="_x0000_i1028" o:spt="75" type="#_x0000_t75" style="height:18.75pt;width:76.5pt;" o:ole="t" filled="f" coordsize="21600,21600">
            <v:path/>
            <v:fill on="f" focussize="0,0"/>
            <v:stroke/>
            <v:imagedata r:id="rId46" o:title=""/>
            <o:lock v:ext="edit" aspectratio="t"/>
            <w10:wrap type="none"/>
            <w10:anchorlock/>
          </v:shape>
          <o:OLEObject Type="Embed" ProgID="Equation.3" ShapeID="_x0000_i1028" DrawAspect="Content" ObjectID="_1468075728" r:id="rId45">
            <o:LockedField>false</o:LockedField>
          </o:OLEObject>
        </w:object>
      </w:r>
      <w:r>
        <w:rPr>
          <w:rFonts w:hint="default" w:ascii="Times New Roman" w:hAnsi="Times New Roman" w:cs="Times New Roman"/>
          <w:kern w:val="0"/>
          <w:sz w:val="24"/>
        </w:rPr>
        <w:t xml:space="preserve">  dB（A）</w:t>
      </w:r>
    </w:p>
    <w:p>
      <w:pPr>
        <w:spacing w:line="360" w:lineRule="auto"/>
        <w:ind w:firstLine="480"/>
        <w:jc w:val="center"/>
        <w:rPr>
          <w:rFonts w:hint="default" w:ascii="Times New Roman" w:hAnsi="Times New Roman" w:cs="Times New Roman"/>
          <w:kern w:val="0"/>
          <w:sz w:val="24"/>
        </w:rPr>
      </w:pPr>
      <w:r>
        <w:rPr>
          <w:rFonts w:hint="default" w:ascii="Times New Roman" w:hAnsi="Times New Roman" w:cs="Times New Roman"/>
          <w:kern w:val="0"/>
          <w:sz w:val="24"/>
        </w:rPr>
        <w:t>小型车：</w:t>
      </w:r>
      <w:r>
        <w:rPr>
          <w:rFonts w:hint="default" w:ascii="Times New Roman" w:hAnsi="Times New Roman" w:cs="Times New Roman"/>
          <w:kern w:val="0"/>
          <w:position w:val="-14"/>
          <w:sz w:val="24"/>
        </w:rPr>
        <w:object>
          <v:shape id="_x0000_i1029" o:spt="75" type="#_x0000_t75" style="height:18.75pt;width:76.5pt;" o:ole="t" filled="f" coordsize="21600,21600">
            <v:path/>
            <v:fill on="f" focussize="0,0"/>
            <v:stroke/>
            <v:imagedata r:id="rId48" o:title=""/>
            <o:lock v:ext="edit" aspectratio="t"/>
            <w10:wrap type="none"/>
            <w10:anchorlock/>
          </v:shape>
          <o:OLEObject Type="Embed" ProgID="Equation.3" ShapeID="_x0000_i1029" DrawAspect="Content" ObjectID="_1468075729" r:id="rId47">
            <o:LockedField>false</o:LockedField>
          </o:OLEObject>
        </w:object>
      </w:r>
      <w:r>
        <w:rPr>
          <w:rFonts w:hint="default" w:ascii="Times New Roman" w:hAnsi="Times New Roman" w:cs="Times New Roman"/>
          <w:kern w:val="0"/>
          <w:sz w:val="24"/>
        </w:rPr>
        <w:t xml:space="preserve">  dB（A）</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式中：</w:t>
      </w:r>
      <w:r>
        <w:rPr>
          <w:rFonts w:hint="default" w:ascii="Times New Roman" w:hAnsi="Times New Roman" w:cs="Times New Roman"/>
          <w:position w:val="-10"/>
          <w:sz w:val="24"/>
          <w:szCs w:val="21"/>
        </w:rPr>
        <w:drawing>
          <wp:inline distT="0" distB="0" distL="0" distR="0">
            <wp:extent cx="151130" cy="201295"/>
            <wp:effectExtent l="0" t="0" r="0" b="0"/>
            <wp:docPr id="4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0"/>
                    <pic:cNvPicPr>
                      <a:picLocks noChangeAspect="1" noChangeArrowheads="1"/>
                    </pic:cNvPicPr>
                  </pic:nvPicPr>
                  <pic:blipFill>
                    <a:blip r:embed="rId49"/>
                    <a:srcRect/>
                    <a:stretch>
                      <a:fillRect/>
                    </a:stretch>
                  </pic:blipFill>
                  <pic:spPr>
                    <a:xfrm>
                      <a:off x="0" y="0"/>
                      <a:ext cx="151130" cy="20129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—公路纵坡坡度，％。</w:t>
      </w:r>
    </w:p>
    <w:p>
      <w:pPr>
        <w:tabs>
          <w:tab w:val="left" w:pos="1980"/>
          <w:tab w:val="left" w:pos="3825"/>
          <w:tab w:val="left" w:pos="4680"/>
        </w:tabs>
        <w:spacing w:line="360" w:lineRule="auto"/>
        <w:ind w:firstLine="480"/>
        <w:jc w:val="left"/>
        <w:rPr>
          <w:rFonts w:hint="default" w:ascii="Times New Roman" w:hAnsi="Times New Roman" w:cs="Times New Roman"/>
          <w:b/>
          <w:kern w:val="0"/>
          <w:sz w:val="24"/>
        </w:rPr>
      </w:pPr>
      <w:r>
        <w:rPr>
          <w:rFonts w:hint="default" w:ascii="Times New Roman" w:hAnsi="Times New Roman" w:cs="Times New Roman"/>
          <w:sz w:val="24"/>
          <w:szCs w:val="21"/>
        </w:rPr>
        <w:t>②公路路面引起的交通噪声源强修正量</w:t>
      </w:r>
      <w:r>
        <w:rPr>
          <w:rFonts w:hint="default" w:ascii="Times New Roman" w:hAnsi="Times New Roman" w:cs="Times New Roman"/>
          <w:position w:val="-14"/>
          <w:sz w:val="24"/>
          <w:szCs w:val="21"/>
        </w:rPr>
        <w:drawing>
          <wp:inline distT="0" distB="0" distL="0" distR="0">
            <wp:extent cx="396240" cy="245110"/>
            <wp:effectExtent l="0" t="0" r="0" b="0"/>
            <wp:docPr id="49"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1"/>
                    <pic:cNvPicPr>
                      <a:picLocks noChangeAspect="1" noChangeArrowheads="1"/>
                    </pic:cNvPicPr>
                  </pic:nvPicPr>
                  <pic:blipFill>
                    <a:blip r:embed="rId50"/>
                    <a:srcRect/>
                    <a:stretch>
                      <a:fillRect/>
                    </a:stretch>
                  </pic:blipFill>
                  <pic:spPr>
                    <a:xfrm>
                      <a:off x="0" y="0"/>
                      <a:ext cx="396240"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，按表4.2-</w:t>
      </w:r>
      <w:r>
        <w:rPr>
          <w:rFonts w:hint="eastAsia" w:cs="Times New Roman"/>
          <w:sz w:val="24"/>
          <w:szCs w:val="21"/>
          <w:lang w:val="en-US" w:eastAsia="zh-CN"/>
        </w:rPr>
        <w:t>1</w:t>
      </w:r>
      <w:r>
        <w:rPr>
          <w:rFonts w:hint="default" w:ascii="Times New Roman" w:hAnsi="Times New Roman" w:cs="Times New Roman"/>
          <w:sz w:val="24"/>
          <w:szCs w:val="21"/>
        </w:rPr>
        <w:t>取值：</w:t>
      </w:r>
    </w:p>
    <w:p>
      <w:pPr>
        <w:rPr>
          <w:rFonts w:hint="default" w:ascii="Times New Roman" w:hAnsi="Times New Roman" w:cs="Times New Roman"/>
          <w:b/>
          <w:kern w:val="0"/>
          <w:sz w:val="24"/>
        </w:rPr>
      </w:pPr>
      <w:r>
        <w:rPr>
          <w:rFonts w:hint="default" w:ascii="Times New Roman" w:hAnsi="Times New Roman" w:cs="Times New Roman"/>
          <w:b/>
          <w:kern w:val="0"/>
          <w:sz w:val="24"/>
        </w:rPr>
        <w:br w:type="page"/>
      </w:r>
    </w:p>
    <w:p>
      <w:pPr>
        <w:spacing w:line="360" w:lineRule="auto"/>
        <w:ind w:firstLine="482"/>
        <w:jc w:val="center"/>
        <w:rPr>
          <w:rFonts w:hint="default" w:ascii="Times New Roman" w:hAnsi="Times New Roman" w:cs="Times New Roman"/>
          <w:b/>
          <w:kern w:val="0"/>
          <w:sz w:val="24"/>
        </w:rPr>
      </w:pPr>
      <w:r>
        <w:rPr>
          <w:rFonts w:hint="default" w:ascii="Times New Roman" w:hAnsi="Times New Roman" w:cs="Times New Roman"/>
          <w:b/>
          <w:kern w:val="0"/>
          <w:sz w:val="24"/>
        </w:rPr>
        <w:t>表4.2-</w:t>
      </w:r>
      <w:r>
        <w:rPr>
          <w:rFonts w:hint="eastAsia" w:cs="Times New Roman"/>
          <w:b/>
          <w:kern w:val="0"/>
          <w:sz w:val="24"/>
          <w:lang w:val="en-US" w:eastAsia="zh-CN"/>
        </w:rPr>
        <w:t>1</w:t>
      </w:r>
      <w:r>
        <w:rPr>
          <w:rFonts w:hint="default" w:ascii="Times New Roman" w:hAnsi="Times New Roman" w:cs="Times New Roman"/>
          <w:b/>
          <w:kern w:val="0"/>
          <w:sz w:val="24"/>
        </w:rPr>
        <w:t xml:space="preserve">  常规路面修正量     单位：dB(A)</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79"/>
        <w:gridCol w:w="2424"/>
        <w:gridCol w:w="2511"/>
        <w:gridCol w:w="23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pct"/>
            <w:vMerge w:val="restar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路面类型</w:t>
            </w:r>
          </w:p>
        </w:tc>
        <w:tc>
          <w:tcPr>
            <w:tcW w:w="3933" w:type="pct"/>
            <w:gridSpan w:val="3"/>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不同行驶速度修正量 km/h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pct"/>
            <w:vMerge w:val="continue"/>
            <w:tcBorders>
              <w:bottom w:val="single" w:color="auto" w:sz="4" w:space="0"/>
            </w:tcBorders>
            <w:vAlign w:val="center"/>
          </w:tcPr>
          <w:p>
            <w:pPr>
              <w:spacing w:line="160" w:lineRule="atLeast"/>
              <w:jc w:val="center"/>
              <w:rPr>
                <w:rFonts w:hint="default" w:ascii="Times New Roman" w:hAnsi="Times New Roman" w:eastAsia="仿宋_GB2312" w:cs="Times New Roman"/>
                <w:b/>
                <w:bCs/>
                <w:szCs w:val="20"/>
              </w:rPr>
            </w:pPr>
          </w:p>
        </w:tc>
        <w:tc>
          <w:tcPr>
            <w:tcW w:w="130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30</w:t>
            </w:r>
          </w:p>
        </w:tc>
        <w:tc>
          <w:tcPr>
            <w:tcW w:w="1352" w:type="pct"/>
            <w:tcBorders>
              <w:top w:val="single" w:color="auto" w:sz="4" w:space="0"/>
              <w:bottom w:val="single" w:color="auto" w:sz="4" w:space="0"/>
            </w:tcBorders>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40</w:t>
            </w:r>
          </w:p>
        </w:tc>
        <w:tc>
          <w:tcPr>
            <w:tcW w:w="1275" w:type="pct"/>
            <w:tcBorders>
              <w:top w:val="single" w:color="auto" w:sz="4" w:space="0"/>
              <w:bottom w:val="single" w:color="auto" w:sz="4" w:space="0"/>
            </w:tcBorders>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pct"/>
            <w:tcBorders>
              <w:top w:val="single" w:color="auto" w:sz="4" w:space="0"/>
              <w:bottom w:val="single" w:color="auto" w:sz="4" w:space="0"/>
            </w:tcBorders>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沥青混凝土</w:t>
            </w:r>
          </w:p>
        </w:tc>
        <w:tc>
          <w:tcPr>
            <w:tcW w:w="130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w:t>
            </w:r>
          </w:p>
        </w:tc>
        <w:tc>
          <w:tcPr>
            <w:tcW w:w="1352" w:type="pct"/>
            <w:tcBorders>
              <w:top w:val="single" w:color="auto" w:sz="4" w:space="0"/>
              <w:bottom w:val="single" w:color="auto" w:sz="4" w:space="0"/>
            </w:tcBorders>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w:t>
            </w:r>
          </w:p>
        </w:tc>
        <w:tc>
          <w:tcPr>
            <w:tcW w:w="1275" w:type="pct"/>
            <w:tcBorders>
              <w:top w:val="single" w:color="auto" w:sz="4" w:space="0"/>
              <w:bottom w:val="single" w:color="auto" w:sz="4" w:space="0"/>
            </w:tcBorders>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6" w:type="pct"/>
            <w:tcBorders>
              <w:top w:val="single" w:color="auto" w:sz="4" w:space="0"/>
              <w:bottom w:val="single" w:color="auto" w:sz="12" w:space="0"/>
            </w:tcBorders>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水泥混凝土</w:t>
            </w:r>
          </w:p>
        </w:tc>
        <w:tc>
          <w:tcPr>
            <w:tcW w:w="130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1.0</w:t>
            </w:r>
          </w:p>
        </w:tc>
        <w:tc>
          <w:tcPr>
            <w:tcW w:w="1352" w:type="pct"/>
            <w:tcBorders>
              <w:top w:val="single" w:color="auto" w:sz="4" w:space="0"/>
              <w:bottom w:val="single" w:color="auto" w:sz="12" w:space="0"/>
            </w:tcBorders>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1.5</w:t>
            </w:r>
          </w:p>
        </w:tc>
        <w:tc>
          <w:tcPr>
            <w:tcW w:w="1275" w:type="pct"/>
            <w:tcBorders>
              <w:top w:val="single" w:color="auto" w:sz="4" w:space="0"/>
              <w:bottom w:val="single" w:color="auto" w:sz="12" w:space="0"/>
            </w:tcBorders>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2.0</w:t>
            </w:r>
          </w:p>
        </w:tc>
      </w:tr>
    </w:tbl>
    <w:p>
      <w:pPr>
        <w:spacing w:line="360" w:lineRule="auto"/>
        <w:ind w:firstLine="420"/>
        <w:rPr>
          <w:rFonts w:hint="default" w:ascii="Times New Roman" w:hAnsi="Times New Roman" w:cs="Times New Roman"/>
          <w:kern w:val="0"/>
          <w:szCs w:val="21"/>
        </w:rPr>
      </w:pPr>
      <w:r>
        <w:rPr>
          <w:rFonts w:hint="default" w:ascii="Times New Roman" w:hAnsi="Times New Roman" w:cs="Times New Roman"/>
          <w:kern w:val="0"/>
          <w:szCs w:val="21"/>
        </w:rPr>
        <w:t>注：表中修正量为</w:t>
      </w:r>
      <w:r>
        <w:rPr>
          <w:rFonts w:hint="default" w:ascii="Times New Roman" w:hAnsi="Times New Roman" w:cs="Times New Roman"/>
          <w:kern w:val="0"/>
          <w:position w:val="-20"/>
          <w:szCs w:val="21"/>
        </w:rPr>
        <w:drawing>
          <wp:inline distT="0" distB="0" distL="0" distR="0">
            <wp:extent cx="417830" cy="316865"/>
            <wp:effectExtent l="0" t="0" r="0" b="0"/>
            <wp:docPr id="5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2"/>
                    <pic:cNvPicPr>
                      <a:picLocks noChangeAspect="1" noChangeArrowheads="1"/>
                    </pic:cNvPicPr>
                  </pic:nvPicPr>
                  <pic:blipFill>
                    <a:blip r:embed="rId51"/>
                    <a:srcRect/>
                    <a:stretch>
                      <a:fillRect/>
                    </a:stretch>
                  </pic:blipFill>
                  <pic:spPr>
                    <a:xfrm>
                      <a:off x="0" y="0"/>
                      <a:ext cx="417830" cy="316865"/>
                    </a:xfrm>
                    <a:prstGeom prst="rect">
                      <a:avLst/>
                    </a:prstGeom>
                    <a:noFill/>
                    <a:ln w="9525">
                      <a:noFill/>
                      <a:miter lim="800000"/>
                      <a:headEnd/>
                      <a:tailEnd/>
                    </a:ln>
                  </pic:spPr>
                </pic:pic>
              </a:graphicData>
            </a:graphic>
          </wp:inline>
        </w:drawing>
      </w:r>
      <w:r>
        <w:rPr>
          <w:rFonts w:hint="default" w:ascii="Times New Roman" w:hAnsi="Times New Roman" w:cs="Times New Roman"/>
          <w:kern w:val="0"/>
          <w:szCs w:val="21"/>
        </w:rPr>
        <w:t>在沥青混凝土路面测得结果的修正。</w:t>
      </w:r>
    </w:p>
    <w:p>
      <w:pPr>
        <w:tabs>
          <w:tab w:val="left" w:pos="1980"/>
          <w:tab w:val="left" w:pos="3825"/>
          <w:tab w:val="left" w:pos="4680"/>
        </w:tabs>
        <w:spacing w:line="360" w:lineRule="auto"/>
        <w:ind w:firstLine="480"/>
        <w:jc w:val="left"/>
        <w:rPr>
          <w:rFonts w:hint="default" w:ascii="Times New Roman" w:hAnsi="Times New Roman" w:cs="Times New Roman"/>
          <w:position w:val="-12"/>
          <w:sz w:val="24"/>
          <w:szCs w:val="21"/>
        </w:rPr>
      </w:pPr>
      <w:r>
        <w:rPr>
          <w:rFonts w:hint="default" w:ascii="Times New Roman" w:hAnsi="Times New Roman" w:cs="Times New Roman"/>
          <w:sz w:val="24"/>
          <w:szCs w:val="21"/>
        </w:rPr>
        <w:t>③空气吸收引起的衰减</w:t>
      </w:r>
      <w:r>
        <w:rPr>
          <w:rFonts w:hint="default" w:ascii="Times New Roman" w:hAnsi="Times New Roman" w:cs="Times New Roman"/>
          <w:position w:val="-12"/>
          <w:sz w:val="24"/>
          <w:szCs w:val="21"/>
        </w:rPr>
        <w:drawing>
          <wp:inline distT="0" distB="0" distL="0" distR="0">
            <wp:extent cx="280670" cy="230505"/>
            <wp:effectExtent l="0" t="0" r="11430" b="0"/>
            <wp:docPr id="5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3"/>
                    <pic:cNvPicPr>
                      <a:picLocks noChangeAspect="1" noChangeArrowheads="1"/>
                    </pic:cNvPicPr>
                  </pic:nvPicPr>
                  <pic:blipFill>
                    <a:blip r:embed="rId52"/>
                    <a:srcRect/>
                    <a:stretch>
                      <a:fillRect/>
                    </a:stretch>
                  </pic:blipFill>
                  <pic:spPr>
                    <a:xfrm>
                      <a:off x="0" y="0"/>
                      <a:ext cx="280670" cy="230505"/>
                    </a:xfrm>
                    <a:prstGeom prst="rect">
                      <a:avLst/>
                    </a:prstGeom>
                    <a:noFill/>
                    <a:ln w="9525">
                      <a:noFill/>
                      <a:miter lim="800000"/>
                      <a:headEnd/>
                      <a:tailEnd/>
                    </a:ln>
                  </pic:spPr>
                </pic:pic>
              </a:graphicData>
            </a:graphic>
          </wp:inline>
        </w:drawing>
      </w:r>
    </w:p>
    <w:p>
      <w:pPr>
        <w:tabs>
          <w:tab w:val="left" w:pos="1980"/>
          <w:tab w:val="left" w:pos="3825"/>
          <w:tab w:val="left" w:pos="4680"/>
        </w:tabs>
        <w:spacing w:line="360" w:lineRule="auto"/>
        <w:ind w:firstLine="480"/>
        <w:jc w:val="center"/>
        <w:rPr>
          <w:rFonts w:hint="default" w:ascii="Times New Roman" w:hAnsi="Times New Roman" w:cs="Times New Roman"/>
          <w:sz w:val="24"/>
          <w:szCs w:val="21"/>
        </w:rPr>
      </w:pPr>
      <w:r>
        <w:rPr>
          <w:rFonts w:hint="default" w:ascii="Times New Roman" w:hAnsi="Times New Roman" w:cs="Times New Roman"/>
          <w:position w:val="-24"/>
          <w:sz w:val="24"/>
          <w:szCs w:val="21"/>
        </w:rPr>
        <w:object>
          <v:shape id="_x0000_i1030" o:spt="75" type="#_x0000_t75" style="height:33pt;width:80.25pt;" o:ole="t" filled="f" coordsize="21600,21600">
            <v:path/>
            <v:fill on="f" focussize="0,0"/>
            <v:stroke/>
            <v:imagedata r:id="rId54" o:title=""/>
            <o:lock v:ext="edit" aspectratio="t"/>
            <w10:wrap type="none"/>
            <w10:anchorlock/>
          </v:shape>
          <o:OLEObject Type="Embed" ProgID="Equation.3" ShapeID="_x0000_i1030" DrawAspect="Content" ObjectID="_1468075730" r:id="rId53">
            <o:LockedField>false</o:LockedField>
          </o:OLEObject>
        </w:objec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 xml:space="preserve">     式中：</w:t>
      </w:r>
      <w:r>
        <w:rPr>
          <w:rFonts w:hint="default" w:ascii="Times New Roman" w:hAnsi="Times New Roman" w:cs="Times New Roman"/>
          <w:position w:val="-4"/>
          <w:sz w:val="24"/>
          <w:szCs w:val="21"/>
        </w:rPr>
        <w:drawing>
          <wp:inline distT="0" distB="0" distL="0" distR="0">
            <wp:extent cx="114935" cy="129540"/>
            <wp:effectExtent l="0" t="0" r="0" b="10795"/>
            <wp:docPr id="5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5"/>
                    <pic:cNvPicPr>
                      <a:picLocks noChangeAspect="1" noChangeArrowheads="1"/>
                    </pic:cNvPicPr>
                  </pic:nvPicPr>
                  <pic:blipFill>
                    <a:blip r:embed="rId55"/>
                    <a:srcRect/>
                    <a:stretch>
                      <a:fillRect/>
                    </a:stretch>
                  </pic:blipFill>
                  <pic:spPr>
                    <a:xfrm>
                      <a:off x="0" y="0"/>
                      <a:ext cx="114935" cy="12954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—预测点距声源的距离，m；</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 xml:space="preserve">          </w:t>
      </w:r>
      <w:r>
        <w:rPr>
          <w:rFonts w:hint="default" w:ascii="Times New Roman" w:hAnsi="Times New Roman" w:cs="Times New Roman"/>
          <w:position w:val="-12"/>
          <w:sz w:val="24"/>
          <w:szCs w:val="21"/>
        </w:rPr>
        <w:drawing>
          <wp:inline distT="0" distB="0" distL="0" distR="0">
            <wp:extent cx="136525" cy="230505"/>
            <wp:effectExtent l="0" t="0" r="0" b="0"/>
            <wp:docPr id="5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6"/>
                    <pic:cNvPicPr>
                      <a:picLocks noChangeAspect="1" noChangeArrowheads="1"/>
                    </pic:cNvPicPr>
                  </pic:nvPicPr>
                  <pic:blipFill>
                    <a:blip r:embed="rId56"/>
                    <a:srcRect/>
                    <a:stretch>
                      <a:fillRect/>
                    </a:stretch>
                  </pic:blipFill>
                  <pic:spPr>
                    <a:xfrm>
                      <a:off x="0" y="0"/>
                      <a:ext cx="136525" cy="2305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—参考位置距离，取7.5m；</w:t>
      </w:r>
    </w:p>
    <w:p>
      <w:pPr>
        <w:tabs>
          <w:tab w:val="left" w:pos="1980"/>
          <w:tab w:val="left" w:pos="3825"/>
          <w:tab w:val="left" w:pos="4680"/>
        </w:tabs>
        <w:spacing w:line="360" w:lineRule="auto"/>
        <w:ind w:firstLine="1680" w:firstLineChars="700"/>
        <w:jc w:val="left"/>
        <w:rPr>
          <w:rFonts w:hint="default" w:ascii="Times New Roman" w:hAnsi="Times New Roman" w:cs="Times New Roman"/>
          <w:b/>
          <w:kern w:val="0"/>
          <w:sz w:val="24"/>
        </w:rPr>
      </w:pPr>
      <w:r>
        <w:rPr>
          <w:rFonts w:hint="default" w:ascii="Times New Roman" w:hAnsi="Times New Roman" w:cs="Times New Roman"/>
          <w:sz w:val="24"/>
          <w:szCs w:val="21"/>
        </w:rPr>
        <w:drawing>
          <wp:inline distT="0" distB="0" distL="0" distR="0">
            <wp:extent cx="151130" cy="136525"/>
            <wp:effectExtent l="0" t="0" r="0" b="0"/>
            <wp:docPr id="5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7"/>
                    <pic:cNvPicPr>
                      <a:picLocks noChangeAspect="1" noChangeArrowheads="1"/>
                    </pic:cNvPicPr>
                  </pic:nvPicPr>
                  <pic:blipFill>
                    <a:blip r:embed="rId57"/>
                    <a:srcRect/>
                    <a:stretch>
                      <a:fillRect/>
                    </a:stretch>
                  </pic:blipFill>
                  <pic:spPr>
                    <a:xfrm>
                      <a:off x="0" y="0"/>
                      <a:ext cx="151130" cy="13652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—为温度、湿度和声波频率的函数，预测计算中一般根据建设项目所处区域常年平均气温和湿度选择相应的空气吸收系数，见表4.2-</w:t>
      </w:r>
      <w:r>
        <w:rPr>
          <w:rFonts w:hint="eastAsia" w:cs="Times New Roman"/>
          <w:sz w:val="24"/>
          <w:szCs w:val="21"/>
          <w:lang w:val="en-US" w:eastAsia="zh-CN"/>
        </w:rPr>
        <w:t>2</w:t>
      </w:r>
      <w:r>
        <w:rPr>
          <w:rFonts w:hint="default" w:ascii="Times New Roman" w:hAnsi="Times New Roman" w:cs="Times New Roman"/>
          <w:sz w:val="24"/>
          <w:szCs w:val="21"/>
        </w:rPr>
        <w:t>。</w:t>
      </w:r>
    </w:p>
    <w:p>
      <w:pPr>
        <w:spacing w:line="360" w:lineRule="auto"/>
        <w:ind w:firstLine="480"/>
        <w:jc w:val="center"/>
        <w:rPr>
          <w:rFonts w:hint="default" w:ascii="Times New Roman" w:hAnsi="Times New Roman" w:cs="Times New Roman"/>
          <w:b/>
          <w:kern w:val="0"/>
          <w:sz w:val="24"/>
        </w:rPr>
      </w:pPr>
      <w:r>
        <w:rPr>
          <w:rFonts w:hint="default" w:ascii="Times New Roman" w:hAnsi="Times New Roman" w:cs="Times New Roman"/>
          <w:b/>
          <w:kern w:val="0"/>
          <w:sz w:val="24"/>
        </w:rPr>
        <w:t>表4.2-</w:t>
      </w:r>
      <w:r>
        <w:rPr>
          <w:rFonts w:hint="eastAsia" w:cs="Times New Roman"/>
          <w:b/>
          <w:kern w:val="0"/>
          <w:sz w:val="24"/>
          <w:lang w:val="en-US" w:eastAsia="zh-CN"/>
        </w:rPr>
        <w:t>2</w:t>
      </w:r>
      <w:r>
        <w:rPr>
          <w:rFonts w:hint="default" w:ascii="Times New Roman" w:hAnsi="Times New Roman" w:cs="Times New Roman"/>
          <w:b/>
          <w:kern w:val="0"/>
          <w:sz w:val="24"/>
        </w:rPr>
        <w:t xml:space="preserve">  倍频带噪声的大气吸收衰减系数</w:t>
      </w:r>
      <w:r>
        <w:rPr>
          <w:rFonts w:hint="default" w:ascii="Times New Roman" w:hAnsi="Times New Roman" w:cs="Times New Roman"/>
          <w:b/>
          <w:kern w:val="0"/>
          <w:sz w:val="24"/>
        </w:rPr>
        <w:drawing>
          <wp:inline distT="0" distB="0" distL="0" distR="0">
            <wp:extent cx="151130" cy="136525"/>
            <wp:effectExtent l="0" t="0" r="0" b="0"/>
            <wp:docPr id="5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8"/>
                    <pic:cNvPicPr>
                      <a:picLocks noChangeAspect="1" noChangeArrowheads="1"/>
                    </pic:cNvPicPr>
                  </pic:nvPicPr>
                  <pic:blipFill>
                    <a:blip r:embed="rId57"/>
                    <a:srcRect/>
                    <a:stretch>
                      <a:fillRect/>
                    </a:stretch>
                  </pic:blipFill>
                  <pic:spPr>
                    <a:xfrm>
                      <a:off x="0" y="0"/>
                      <a:ext cx="151130" cy="136525"/>
                    </a:xfrm>
                    <a:prstGeom prst="rect">
                      <a:avLst/>
                    </a:prstGeom>
                    <a:noFill/>
                    <a:ln w="9525">
                      <a:noFill/>
                      <a:miter lim="800000"/>
                      <a:headEnd/>
                      <a:tailEnd/>
                    </a:ln>
                  </pic:spPr>
                </pic:pic>
              </a:graphicData>
            </a:graphic>
          </wp:inline>
        </w:drawing>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030"/>
        <w:gridCol w:w="917"/>
        <w:gridCol w:w="919"/>
        <w:gridCol w:w="918"/>
        <w:gridCol w:w="920"/>
        <w:gridCol w:w="920"/>
        <w:gridCol w:w="920"/>
        <w:gridCol w:w="920"/>
        <w:gridCol w:w="9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restar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温度℃</w:t>
            </w:r>
          </w:p>
        </w:tc>
        <w:tc>
          <w:tcPr>
            <w:tcW w:w="555" w:type="pct"/>
            <w:vMerge w:val="restar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相对</w:t>
            </w:r>
          </w:p>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湿度%</w:t>
            </w:r>
          </w:p>
        </w:tc>
        <w:tc>
          <w:tcPr>
            <w:tcW w:w="3969" w:type="pct"/>
            <w:gridSpan w:val="8"/>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大气吸收衰减系数</w:t>
            </w:r>
            <w:r>
              <w:rPr>
                <w:rFonts w:hint="default" w:ascii="Times New Roman" w:hAnsi="Times New Roman" w:cs="Times New Roman"/>
                <w:b/>
                <w:bCs/>
                <w:position w:val="-6"/>
                <w:szCs w:val="21"/>
              </w:rPr>
              <w:drawing>
                <wp:inline distT="0" distB="0" distL="0" distR="0">
                  <wp:extent cx="151130" cy="136525"/>
                  <wp:effectExtent l="0" t="0" r="0" b="0"/>
                  <wp:docPr id="56"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9"/>
                          <pic:cNvPicPr>
                            <a:picLocks noChangeAspect="1" noChangeArrowheads="1"/>
                          </pic:cNvPicPr>
                        </pic:nvPicPr>
                        <pic:blipFill>
                          <a:blip r:embed="rId57"/>
                          <a:srcRect/>
                          <a:stretch>
                            <a:fillRect/>
                          </a:stretch>
                        </pic:blipFill>
                        <pic:spPr>
                          <a:xfrm>
                            <a:off x="0" y="0"/>
                            <a:ext cx="151130" cy="136525"/>
                          </a:xfrm>
                          <a:prstGeom prst="rect">
                            <a:avLst/>
                          </a:prstGeom>
                          <a:noFill/>
                          <a:ln w="9525">
                            <a:noFill/>
                            <a:miter lim="800000"/>
                            <a:headEnd/>
                            <a:tailEnd/>
                          </a:ln>
                        </pic:spPr>
                      </pic:pic>
                    </a:graphicData>
                  </a:graphic>
                </wp:inline>
              </w:drawing>
            </w:r>
            <w:r>
              <w:rPr>
                <w:rFonts w:hint="default" w:ascii="Times New Roman" w:hAnsi="Times New Roman" w:cs="Times New Roman"/>
                <w:b/>
                <w:bCs/>
                <w:szCs w:val="21"/>
              </w:rPr>
              <w:t>，dB/km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continue"/>
            <w:vAlign w:val="center"/>
          </w:tcPr>
          <w:p>
            <w:pPr>
              <w:spacing w:line="160" w:lineRule="atLeast"/>
              <w:jc w:val="center"/>
              <w:rPr>
                <w:rFonts w:hint="default" w:ascii="Times New Roman" w:hAnsi="Times New Roman" w:eastAsia="仿宋_GB2312" w:cs="Times New Roman"/>
                <w:b/>
                <w:bCs/>
                <w:szCs w:val="20"/>
              </w:rPr>
            </w:pPr>
          </w:p>
        </w:tc>
        <w:tc>
          <w:tcPr>
            <w:tcW w:w="555" w:type="pct"/>
            <w:vMerge w:val="continue"/>
            <w:vAlign w:val="center"/>
          </w:tcPr>
          <w:p>
            <w:pPr>
              <w:spacing w:line="160" w:lineRule="atLeast"/>
              <w:jc w:val="center"/>
              <w:rPr>
                <w:rFonts w:hint="default" w:ascii="Times New Roman" w:hAnsi="Times New Roman" w:eastAsia="仿宋_GB2312" w:cs="Times New Roman"/>
                <w:b/>
                <w:bCs/>
                <w:szCs w:val="20"/>
              </w:rPr>
            </w:pPr>
          </w:p>
        </w:tc>
        <w:tc>
          <w:tcPr>
            <w:tcW w:w="3969" w:type="pct"/>
            <w:gridSpan w:val="8"/>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倍频带中心频率Hz</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Merge w:val="continue"/>
            <w:vAlign w:val="center"/>
          </w:tcPr>
          <w:p>
            <w:pPr>
              <w:spacing w:line="160" w:lineRule="atLeast"/>
              <w:jc w:val="center"/>
              <w:rPr>
                <w:rFonts w:hint="default" w:ascii="Times New Roman" w:hAnsi="Times New Roman" w:eastAsia="仿宋_GB2312" w:cs="Times New Roman"/>
                <w:szCs w:val="20"/>
              </w:rPr>
            </w:pPr>
          </w:p>
        </w:tc>
        <w:tc>
          <w:tcPr>
            <w:tcW w:w="555" w:type="pct"/>
            <w:vMerge w:val="continue"/>
            <w:vAlign w:val="center"/>
          </w:tcPr>
          <w:p>
            <w:pPr>
              <w:spacing w:line="160" w:lineRule="atLeast"/>
              <w:jc w:val="center"/>
              <w:rPr>
                <w:rFonts w:hint="default" w:ascii="Times New Roman" w:hAnsi="Times New Roman" w:eastAsia="仿宋_GB2312" w:cs="Times New Roman"/>
                <w:szCs w:val="20"/>
              </w:rPr>
            </w:pP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63</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125</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250</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500</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1000</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2000</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4000</w:t>
            </w:r>
          </w:p>
        </w:tc>
        <w:tc>
          <w:tcPr>
            <w:tcW w:w="503"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10</w:t>
            </w:r>
          </w:p>
        </w:tc>
        <w:tc>
          <w:tcPr>
            <w:tcW w:w="55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70</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0.1</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0.4</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1.0</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1.9</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3.7</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9.7</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32.8</w:t>
            </w:r>
          </w:p>
        </w:tc>
        <w:tc>
          <w:tcPr>
            <w:tcW w:w="503"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shd w:val="clear" w:color="auto" w:fill="C0C0C0"/>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20</w:t>
            </w:r>
          </w:p>
        </w:tc>
        <w:tc>
          <w:tcPr>
            <w:tcW w:w="555" w:type="pct"/>
            <w:shd w:val="clear" w:color="auto" w:fill="C0C0C0"/>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70</w:t>
            </w:r>
          </w:p>
        </w:tc>
        <w:tc>
          <w:tcPr>
            <w:tcW w:w="494" w:type="pct"/>
            <w:shd w:val="clear" w:color="auto" w:fill="auto"/>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0.1</w:t>
            </w:r>
          </w:p>
        </w:tc>
        <w:tc>
          <w:tcPr>
            <w:tcW w:w="495" w:type="pct"/>
            <w:shd w:val="clear" w:color="auto" w:fill="auto"/>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0.3</w:t>
            </w:r>
          </w:p>
        </w:tc>
        <w:tc>
          <w:tcPr>
            <w:tcW w:w="494" w:type="pct"/>
            <w:shd w:val="clear" w:color="auto" w:fill="auto"/>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1.1</w:t>
            </w:r>
          </w:p>
        </w:tc>
        <w:tc>
          <w:tcPr>
            <w:tcW w:w="495" w:type="pct"/>
            <w:shd w:val="clear" w:color="auto" w:fill="C0C0C0"/>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2.8</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5.0</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9.0</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22.9</w:t>
            </w:r>
          </w:p>
        </w:tc>
        <w:tc>
          <w:tcPr>
            <w:tcW w:w="503"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76.6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30</w:t>
            </w:r>
          </w:p>
        </w:tc>
        <w:tc>
          <w:tcPr>
            <w:tcW w:w="55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70</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0.1</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0.3</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1.0</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3.1</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7.4</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12.7</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23.1</w:t>
            </w:r>
          </w:p>
        </w:tc>
        <w:tc>
          <w:tcPr>
            <w:tcW w:w="503"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59.3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15</w:t>
            </w:r>
          </w:p>
        </w:tc>
        <w:tc>
          <w:tcPr>
            <w:tcW w:w="55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20</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0.3</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0.6</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1.2</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2.7</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8.2</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28.2</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28.8</w:t>
            </w:r>
          </w:p>
        </w:tc>
        <w:tc>
          <w:tcPr>
            <w:tcW w:w="503"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15</w:t>
            </w:r>
          </w:p>
        </w:tc>
        <w:tc>
          <w:tcPr>
            <w:tcW w:w="55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50</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0.1</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0.5</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1.2</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2.2</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4.2</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10.8</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36.2</w:t>
            </w:r>
          </w:p>
        </w:tc>
        <w:tc>
          <w:tcPr>
            <w:tcW w:w="503"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15</w:t>
            </w:r>
          </w:p>
        </w:tc>
        <w:tc>
          <w:tcPr>
            <w:tcW w:w="55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80</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0.1</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0.3</w:t>
            </w:r>
          </w:p>
        </w:tc>
        <w:tc>
          <w:tcPr>
            <w:tcW w:w="494"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1.1</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2.4</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4.1</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8.3</w:t>
            </w:r>
          </w:p>
        </w:tc>
        <w:tc>
          <w:tcPr>
            <w:tcW w:w="495"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23.7</w:t>
            </w:r>
          </w:p>
        </w:tc>
        <w:tc>
          <w:tcPr>
            <w:tcW w:w="503"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82.8</w:t>
            </w:r>
          </w:p>
        </w:tc>
      </w:tr>
    </w:tbl>
    <w:p>
      <w:pPr>
        <w:keepNext w:val="0"/>
        <w:keepLines w:val="0"/>
        <w:pageBreakBefore w:val="0"/>
        <w:widowControl w:val="0"/>
        <w:tabs>
          <w:tab w:val="left" w:pos="1980"/>
          <w:tab w:val="left" w:pos="3825"/>
          <w:tab w:val="left" w:pos="4680"/>
        </w:tabs>
        <w:kinsoku/>
        <w:wordWrap/>
        <w:overflowPunct/>
        <w:topLinePunct w:val="0"/>
        <w:autoSpaceDE/>
        <w:autoSpaceDN/>
        <w:bidi w:val="0"/>
        <w:adjustRightInd/>
        <w:snapToGrid/>
        <w:spacing w:before="157" w:beforeLines="50" w:line="360" w:lineRule="auto"/>
        <w:ind w:firstLine="482"/>
        <w:jc w:val="left"/>
        <w:textAlignment w:val="auto"/>
        <w:rPr>
          <w:rFonts w:hint="default" w:ascii="Times New Roman" w:hAnsi="Times New Roman" w:cs="Times New Roman"/>
          <w:sz w:val="24"/>
          <w:szCs w:val="21"/>
        </w:rPr>
      </w:pPr>
      <w:r>
        <w:rPr>
          <w:rFonts w:hint="default" w:ascii="Times New Roman" w:hAnsi="Times New Roman" w:cs="Times New Roman"/>
          <w:sz w:val="24"/>
          <w:szCs w:val="21"/>
        </w:rPr>
        <w:t>综合考虑拟建道路沿线区域温度和湿度，本项目大气吸收衰减系数</w:t>
      </w:r>
      <w:r>
        <w:rPr>
          <w:rFonts w:hint="default" w:ascii="Times New Roman" w:hAnsi="Times New Roman" w:cs="Times New Roman"/>
          <w:position w:val="-6"/>
          <w:sz w:val="24"/>
          <w:szCs w:val="21"/>
        </w:rPr>
        <w:drawing>
          <wp:inline distT="0" distB="0" distL="0" distR="0">
            <wp:extent cx="151130" cy="136525"/>
            <wp:effectExtent l="0" t="0" r="0" b="0"/>
            <wp:docPr id="5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0"/>
                    <pic:cNvPicPr>
                      <a:picLocks noChangeAspect="1" noChangeArrowheads="1"/>
                    </pic:cNvPicPr>
                  </pic:nvPicPr>
                  <pic:blipFill>
                    <a:blip r:embed="rId57"/>
                    <a:srcRect/>
                    <a:stretch>
                      <a:fillRect/>
                    </a:stretch>
                  </pic:blipFill>
                  <pic:spPr>
                    <a:xfrm>
                      <a:off x="0" y="0"/>
                      <a:ext cx="151130" cy="13652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取温度为20℃，相对湿度为70%对应的倍频带中心频率为500HZ时的数值，即</w:t>
      </w:r>
      <w:r>
        <w:rPr>
          <w:rFonts w:hint="default" w:ascii="Times New Roman" w:hAnsi="Times New Roman" w:cs="Times New Roman"/>
          <w:position w:val="-6"/>
          <w:sz w:val="24"/>
          <w:szCs w:val="21"/>
        </w:rPr>
        <w:drawing>
          <wp:inline distT="0" distB="0" distL="0" distR="0">
            <wp:extent cx="151130" cy="136525"/>
            <wp:effectExtent l="0" t="0" r="0" b="0"/>
            <wp:docPr id="58"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1"/>
                    <pic:cNvPicPr>
                      <a:picLocks noChangeAspect="1" noChangeArrowheads="1"/>
                    </pic:cNvPicPr>
                  </pic:nvPicPr>
                  <pic:blipFill>
                    <a:blip r:embed="rId57"/>
                    <a:srcRect/>
                    <a:stretch>
                      <a:fillRect/>
                    </a:stretch>
                  </pic:blipFill>
                  <pic:spPr>
                    <a:xfrm>
                      <a:off x="0" y="0"/>
                      <a:ext cx="151130" cy="13652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=2.8。</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④地面吸收衰减量</w:t>
      </w:r>
      <w:r>
        <w:rPr>
          <w:rFonts w:hint="default" w:ascii="Times New Roman" w:hAnsi="Times New Roman" w:cs="Times New Roman"/>
          <w:position w:val="-14"/>
          <w:sz w:val="24"/>
          <w:szCs w:val="21"/>
        </w:rPr>
        <w:drawing>
          <wp:inline distT="0" distB="0" distL="0" distR="0">
            <wp:extent cx="245110" cy="245110"/>
            <wp:effectExtent l="0" t="0" r="0" b="9525"/>
            <wp:docPr id="59"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2"/>
                    <pic:cNvPicPr>
                      <a:picLocks noChangeAspect="1" noChangeArrowheads="1"/>
                    </pic:cNvPicPr>
                  </pic:nvPicPr>
                  <pic:blipFill>
                    <a:blip r:embed="rId58"/>
                    <a:srcRect/>
                    <a:stretch>
                      <a:fillRect/>
                    </a:stretch>
                  </pic:blipFill>
                  <pic:spPr>
                    <a:xfrm>
                      <a:off x="0" y="0"/>
                      <a:ext cx="245110" cy="245110"/>
                    </a:xfrm>
                    <a:prstGeom prst="rect">
                      <a:avLst/>
                    </a:prstGeom>
                    <a:noFill/>
                    <a:ln w="9525">
                      <a:noFill/>
                      <a:miter lim="800000"/>
                      <a:headEnd/>
                      <a:tailEnd/>
                    </a:ln>
                  </pic:spPr>
                </pic:pic>
              </a:graphicData>
            </a:graphic>
          </wp:inline>
        </w:drawing>
      </w:r>
    </w:p>
    <w:p>
      <w:pPr>
        <w:tabs>
          <w:tab w:val="left" w:pos="1980"/>
          <w:tab w:val="left" w:pos="3825"/>
          <w:tab w:val="left" w:pos="4680"/>
        </w:tabs>
        <w:spacing w:line="360" w:lineRule="auto"/>
        <w:ind w:firstLine="480"/>
        <w:jc w:val="center"/>
        <w:rPr>
          <w:rFonts w:hint="default" w:ascii="Times New Roman" w:hAnsi="Times New Roman" w:cs="Times New Roman"/>
          <w:sz w:val="24"/>
          <w:szCs w:val="21"/>
        </w:rPr>
      </w:pPr>
      <w:r>
        <w:rPr>
          <w:rFonts w:hint="default" w:ascii="Times New Roman" w:hAnsi="Times New Roman" w:cs="Times New Roman"/>
          <w:position w:val="-24"/>
          <w:sz w:val="24"/>
          <w:szCs w:val="21"/>
        </w:rPr>
        <w:object>
          <v:shape id="_x0000_i1031" o:spt="75" type="#_x0000_t75" style="height:33pt;width:155.25pt;" o:ole="t" filled="f" coordsize="21600,21600">
            <v:path/>
            <v:fill on="f" focussize="0,0"/>
            <v:stroke/>
            <v:imagedata r:id="rId60" o:title=""/>
            <o:lock v:ext="edit" aspectratio="t"/>
            <w10:wrap type="none"/>
            <w10:anchorlock/>
          </v:shape>
          <o:OLEObject Type="Embed" ProgID="Equation.3" ShapeID="_x0000_i1031" DrawAspect="Content" ObjectID="_1468075731" r:id="rId59">
            <o:LockedField>false</o:LockedField>
          </o:OLEObject>
        </w:objec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式中：</w:t>
      </w:r>
      <w:r>
        <w:rPr>
          <w:rFonts w:hint="default" w:ascii="Times New Roman" w:hAnsi="Times New Roman" w:cs="Times New Roman"/>
          <w:position w:val="-14"/>
          <w:sz w:val="24"/>
          <w:szCs w:val="21"/>
        </w:rPr>
        <w:drawing>
          <wp:inline distT="0" distB="0" distL="0" distR="0">
            <wp:extent cx="230505" cy="245110"/>
            <wp:effectExtent l="0" t="0" r="0" b="9525"/>
            <wp:docPr id="60"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74"/>
                    <pic:cNvPicPr>
                      <a:picLocks noChangeAspect="1" noChangeArrowheads="1"/>
                    </pic:cNvPicPr>
                  </pic:nvPicPr>
                  <pic:blipFill>
                    <a:blip r:embed="rId61"/>
                    <a:srcRect/>
                    <a:stretch>
                      <a:fillRect/>
                    </a:stretch>
                  </pic:blipFill>
                  <pic:spPr>
                    <a:xfrm>
                      <a:off x="0" y="0"/>
                      <a:ext cx="230505"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vertAlign w:val="subscript"/>
        </w:rPr>
        <w:t xml:space="preserve"> </w:t>
      </w:r>
      <w:r>
        <w:rPr>
          <w:rFonts w:hint="default" w:ascii="Times New Roman" w:hAnsi="Times New Roman" w:cs="Times New Roman"/>
          <w:sz w:val="24"/>
          <w:szCs w:val="21"/>
        </w:rPr>
        <w:t>—地面效应引起的衰减值，dB；</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 xml:space="preserve">        </w:t>
      </w:r>
      <w:r>
        <w:rPr>
          <w:rFonts w:hint="default" w:ascii="Times New Roman" w:hAnsi="Times New Roman" w:cs="Times New Roman"/>
          <w:position w:val="-4"/>
          <w:sz w:val="24"/>
          <w:szCs w:val="21"/>
        </w:rPr>
        <w:drawing>
          <wp:inline distT="0" distB="0" distL="0" distR="0">
            <wp:extent cx="114935" cy="129540"/>
            <wp:effectExtent l="0" t="0" r="0" b="10795"/>
            <wp:docPr id="61"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5"/>
                    <pic:cNvPicPr>
                      <a:picLocks noChangeAspect="1" noChangeArrowheads="1"/>
                    </pic:cNvPicPr>
                  </pic:nvPicPr>
                  <pic:blipFill>
                    <a:blip r:embed="rId62"/>
                    <a:srcRect/>
                    <a:stretch>
                      <a:fillRect/>
                    </a:stretch>
                  </pic:blipFill>
                  <pic:spPr>
                    <a:xfrm>
                      <a:off x="0" y="0"/>
                      <a:ext cx="114935" cy="12954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—预测点到声源的距离，m；</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 xml:space="preserve">        </w:t>
      </w:r>
      <w:r>
        <w:rPr>
          <w:rFonts w:hint="default" w:ascii="Times New Roman" w:hAnsi="Times New Roman" w:cs="Times New Roman"/>
          <w:position w:val="-12"/>
          <w:sz w:val="24"/>
          <w:szCs w:val="21"/>
        </w:rPr>
        <w:drawing>
          <wp:inline distT="0" distB="0" distL="0" distR="0">
            <wp:extent cx="179705" cy="230505"/>
            <wp:effectExtent l="0" t="0" r="10795" b="0"/>
            <wp:docPr id="62"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6"/>
                    <pic:cNvPicPr>
                      <a:picLocks noChangeAspect="1" noChangeArrowheads="1"/>
                    </pic:cNvPicPr>
                  </pic:nvPicPr>
                  <pic:blipFill>
                    <a:blip r:embed="rId63"/>
                    <a:srcRect/>
                    <a:stretch>
                      <a:fillRect/>
                    </a:stretch>
                  </pic:blipFill>
                  <pic:spPr>
                    <a:xfrm>
                      <a:off x="0" y="0"/>
                      <a:ext cx="179705" cy="2305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—传播路径的平均离地高度，可按面积F/d计算，m。</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若</w:t>
      </w:r>
      <w:r>
        <w:rPr>
          <w:rFonts w:hint="default" w:ascii="Times New Roman" w:hAnsi="Times New Roman" w:cs="Times New Roman"/>
          <w:position w:val="-14"/>
          <w:sz w:val="24"/>
          <w:szCs w:val="21"/>
        </w:rPr>
        <w:drawing>
          <wp:inline distT="0" distB="0" distL="0" distR="0">
            <wp:extent cx="230505" cy="245110"/>
            <wp:effectExtent l="0" t="0" r="0" b="9525"/>
            <wp:docPr id="63"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7"/>
                    <pic:cNvPicPr>
                      <a:picLocks noChangeAspect="1" noChangeArrowheads="1"/>
                    </pic:cNvPicPr>
                  </pic:nvPicPr>
                  <pic:blipFill>
                    <a:blip r:embed="rId61"/>
                    <a:srcRect/>
                    <a:stretch>
                      <a:fillRect/>
                    </a:stretch>
                  </pic:blipFill>
                  <pic:spPr>
                    <a:xfrm>
                      <a:off x="0" y="0"/>
                      <a:ext cx="230505"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计算出负值，则</w:t>
      </w:r>
      <w:r>
        <w:rPr>
          <w:rFonts w:hint="default" w:ascii="Times New Roman" w:hAnsi="Times New Roman" w:cs="Times New Roman"/>
          <w:position w:val="-14"/>
          <w:sz w:val="24"/>
          <w:szCs w:val="21"/>
        </w:rPr>
        <w:drawing>
          <wp:inline distT="0" distB="0" distL="0" distR="0">
            <wp:extent cx="230505" cy="245110"/>
            <wp:effectExtent l="0" t="0" r="0" b="9525"/>
            <wp:docPr id="64"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78"/>
                    <pic:cNvPicPr>
                      <a:picLocks noChangeAspect="1" noChangeArrowheads="1"/>
                    </pic:cNvPicPr>
                  </pic:nvPicPr>
                  <pic:blipFill>
                    <a:blip r:embed="rId61"/>
                    <a:srcRect/>
                    <a:stretch>
                      <a:fillRect/>
                    </a:stretch>
                  </pic:blipFill>
                  <pic:spPr>
                    <a:xfrm>
                      <a:off x="0" y="0"/>
                      <a:ext cx="230505"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可用“0”代替。</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⑤公路与预测点之间障碍物对噪声传播的附加衰减量</w:t>
      </w:r>
      <w:r>
        <w:rPr>
          <w:rFonts w:hint="default" w:ascii="Times New Roman" w:hAnsi="Times New Roman" w:cs="Times New Roman"/>
          <w:position w:val="-14"/>
          <w:sz w:val="24"/>
          <w:szCs w:val="21"/>
        </w:rPr>
        <w:drawing>
          <wp:inline distT="0" distB="0" distL="0" distR="0">
            <wp:extent cx="511175" cy="245110"/>
            <wp:effectExtent l="0" t="0" r="0" b="0"/>
            <wp:docPr id="65"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79"/>
                    <pic:cNvPicPr>
                      <a:picLocks noChangeAspect="1" noChangeArrowheads="1"/>
                    </pic:cNvPicPr>
                  </pic:nvPicPr>
                  <pic:blipFill>
                    <a:blip r:embed="rId64"/>
                    <a:srcRect/>
                    <a:stretch>
                      <a:fillRect/>
                    </a:stretch>
                  </pic:blipFill>
                  <pic:spPr>
                    <a:xfrm>
                      <a:off x="0" y="0"/>
                      <a:ext cx="511175"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w:t>
      </w:r>
      <w:r>
        <w:rPr>
          <w:rFonts w:hint="default" w:ascii="Times New Roman" w:hAnsi="Times New Roman" w:cs="Times New Roman"/>
          <w:position w:val="-12"/>
          <w:sz w:val="24"/>
          <w:szCs w:val="21"/>
        </w:rPr>
        <w:drawing>
          <wp:inline distT="0" distB="0" distL="0" distR="0">
            <wp:extent cx="266700" cy="230505"/>
            <wp:effectExtent l="0" t="0" r="0" b="0"/>
            <wp:docPr id="66"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0"/>
                    <pic:cNvPicPr>
                      <a:picLocks noChangeAspect="1" noChangeArrowheads="1"/>
                    </pic:cNvPicPr>
                  </pic:nvPicPr>
                  <pic:blipFill>
                    <a:blip r:embed="rId65"/>
                    <a:srcRect/>
                    <a:stretch>
                      <a:fillRect/>
                    </a:stretch>
                  </pic:blipFill>
                  <pic:spPr>
                    <a:xfrm>
                      <a:off x="0" y="0"/>
                      <a:ext cx="266700" cy="2305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w:t>
      </w:r>
    </w:p>
    <w:p>
      <w:pPr>
        <w:tabs>
          <w:tab w:val="left" w:pos="1980"/>
          <w:tab w:val="left" w:pos="3825"/>
          <w:tab w:val="left" w:pos="4680"/>
        </w:tabs>
        <w:spacing w:line="360" w:lineRule="auto"/>
        <w:ind w:firstLine="480"/>
        <w:jc w:val="center"/>
        <w:rPr>
          <w:rFonts w:hint="default" w:ascii="Times New Roman" w:hAnsi="Times New Roman" w:cs="Times New Roman"/>
          <w:sz w:val="24"/>
          <w:szCs w:val="21"/>
        </w:rPr>
      </w:pPr>
      <w:r>
        <w:rPr>
          <w:rFonts w:hint="default" w:ascii="Times New Roman" w:hAnsi="Times New Roman" w:cs="Times New Roman"/>
          <w:position w:val="-14"/>
          <w:sz w:val="24"/>
          <w:szCs w:val="21"/>
        </w:rPr>
        <w:object>
          <v:shape id="_x0000_i1032" o:spt="75" type="#_x0000_t75" style="height:18.75pt;width:183pt;" o:ole="t" filled="f" coordsize="21600,21600">
            <v:path/>
            <v:fill on="f" focussize="0,0"/>
            <v:stroke/>
            <v:imagedata r:id="rId67" o:title=""/>
            <o:lock v:ext="edit" aspectratio="t"/>
            <w10:wrap type="none"/>
            <w10:anchorlock/>
          </v:shape>
          <o:OLEObject Type="Embed" ProgID="Equation.3" ShapeID="_x0000_i1032" DrawAspect="Content" ObjectID="_1468075732" r:id="rId66">
            <o:LockedField>false</o:LockedField>
          </o:OLEObject>
        </w:objec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 xml:space="preserve">       ●</w:t>
      </w:r>
      <w:r>
        <w:rPr>
          <w:rFonts w:hint="default" w:ascii="Times New Roman" w:hAnsi="Times New Roman" w:cs="Times New Roman"/>
          <w:position w:val="-14"/>
          <w:sz w:val="24"/>
          <w:szCs w:val="21"/>
        </w:rPr>
        <w:drawing>
          <wp:inline distT="0" distB="0" distL="0" distR="0">
            <wp:extent cx="396240" cy="245110"/>
            <wp:effectExtent l="0" t="0" r="0" b="0"/>
            <wp:docPr id="67"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82"/>
                    <pic:cNvPicPr>
                      <a:picLocks noChangeAspect="1" noChangeArrowheads="1"/>
                    </pic:cNvPicPr>
                  </pic:nvPicPr>
                  <pic:blipFill>
                    <a:blip r:embed="rId68"/>
                    <a:srcRect/>
                    <a:stretch>
                      <a:fillRect/>
                    </a:stretch>
                  </pic:blipFill>
                  <pic:spPr>
                    <a:xfrm>
                      <a:off x="0" y="0"/>
                      <a:ext cx="396240"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为林带引起的附加衰减量</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通常林带的平均衰减量用下式估算：</w:t>
      </w:r>
    </w:p>
    <w:p>
      <w:pPr>
        <w:tabs>
          <w:tab w:val="left" w:pos="1980"/>
          <w:tab w:val="left" w:pos="3825"/>
          <w:tab w:val="left" w:pos="4680"/>
        </w:tabs>
        <w:spacing w:line="360" w:lineRule="auto"/>
        <w:ind w:firstLine="480"/>
        <w:jc w:val="center"/>
        <w:rPr>
          <w:rFonts w:hint="default" w:ascii="Times New Roman" w:hAnsi="Times New Roman" w:cs="Times New Roman"/>
          <w:sz w:val="24"/>
          <w:szCs w:val="21"/>
        </w:rPr>
      </w:pPr>
      <w:r>
        <w:rPr>
          <w:rFonts w:hint="default" w:ascii="Times New Roman" w:hAnsi="Times New Roman" w:cs="Times New Roman"/>
          <w:position w:val="-14"/>
          <w:sz w:val="24"/>
          <w:szCs w:val="21"/>
        </w:rPr>
        <w:drawing>
          <wp:inline distT="0" distB="0" distL="0" distR="0">
            <wp:extent cx="748665" cy="245110"/>
            <wp:effectExtent l="0" t="0" r="0" b="0"/>
            <wp:docPr id="68"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3"/>
                    <pic:cNvPicPr>
                      <a:picLocks noChangeAspect="1" noChangeArrowheads="1"/>
                    </pic:cNvPicPr>
                  </pic:nvPicPr>
                  <pic:blipFill>
                    <a:blip r:embed="rId69"/>
                    <a:srcRect/>
                    <a:stretch>
                      <a:fillRect/>
                    </a:stretch>
                  </pic:blipFill>
                  <pic:spPr>
                    <a:xfrm>
                      <a:off x="0" y="0"/>
                      <a:ext cx="748665" cy="245110"/>
                    </a:xfrm>
                    <a:prstGeom prst="rect">
                      <a:avLst/>
                    </a:prstGeom>
                    <a:noFill/>
                    <a:ln w="9525">
                      <a:noFill/>
                      <a:miter lim="800000"/>
                      <a:headEnd/>
                      <a:tailEnd/>
                    </a:ln>
                  </pic:spPr>
                </pic:pic>
              </a:graphicData>
            </a:graphic>
          </wp:inline>
        </w:drawing>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式中：</w:t>
      </w:r>
      <w:r>
        <w:rPr>
          <w:rFonts w:hint="default" w:ascii="Times New Roman" w:hAnsi="Times New Roman" w:cs="Times New Roman"/>
          <w:position w:val="-6"/>
          <w:sz w:val="24"/>
          <w:szCs w:val="21"/>
        </w:rPr>
        <w:drawing>
          <wp:inline distT="0" distB="0" distL="0" distR="0">
            <wp:extent cx="129540" cy="179705"/>
            <wp:effectExtent l="0" t="0" r="0" b="0"/>
            <wp:docPr id="69"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4"/>
                    <pic:cNvPicPr>
                      <a:picLocks noChangeAspect="1" noChangeArrowheads="1"/>
                    </pic:cNvPicPr>
                  </pic:nvPicPr>
                  <pic:blipFill>
                    <a:blip r:embed="rId70"/>
                    <a:srcRect/>
                    <a:stretch>
                      <a:fillRect/>
                    </a:stretch>
                  </pic:blipFill>
                  <pic:spPr>
                    <a:xfrm>
                      <a:off x="0" y="0"/>
                      <a:ext cx="129540" cy="1797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—林带的平均衰减系数，取</w:t>
      </w:r>
      <w:r>
        <w:rPr>
          <w:rFonts w:hint="default" w:ascii="Times New Roman" w:hAnsi="Times New Roman" w:cs="Times New Roman"/>
          <w:position w:val="-6"/>
          <w:sz w:val="24"/>
          <w:szCs w:val="21"/>
        </w:rPr>
        <w:drawing>
          <wp:inline distT="0" distB="0" distL="0" distR="0">
            <wp:extent cx="748665" cy="179705"/>
            <wp:effectExtent l="0" t="0" r="0" b="0"/>
            <wp:docPr id="70"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5"/>
                    <pic:cNvPicPr>
                      <a:picLocks noChangeAspect="1" noChangeArrowheads="1"/>
                    </pic:cNvPicPr>
                  </pic:nvPicPr>
                  <pic:blipFill>
                    <a:blip r:embed="rId71"/>
                    <a:srcRect/>
                    <a:stretch>
                      <a:fillRect/>
                    </a:stretch>
                  </pic:blipFill>
                  <pic:spPr>
                    <a:xfrm>
                      <a:off x="0" y="0"/>
                      <a:ext cx="748665" cy="1797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 xml:space="preserve">      </w:t>
      </w:r>
      <w:r>
        <w:rPr>
          <w:rFonts w:hint="default" w:ascii="Times New Roman" w:hAnsi="Times New Roman" w:cs="Times New Roman"/>
          <w:position w:val="-6"/>
          <w:sz w:val="24"/>
          <w:szCs w:val="21"/>
        </w:rPr>
        <w:drawing>
          <wp:inline distT="0" distB="0" distL="0" distR="0">
            <wp:extent cx="129540" cy="179705"/>
            <wp:effectExtent l="0" t="0" r="0" b="0"/>
            <wp:docPr id="71"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6"/>
                    <pic:cNvPicPr>
                      <a:picLocks noChangeAspect="1" noChangeArrowheads="1"/>
                    </pic:cNvPicPr>
                  </pic:nvPicPr>
                  <pic:blipFill>
                    <a:blip r:embed="rId72"/>
                    <a:srcRect/>
                    <a:stretch>
                      <a:fillRect/>
                    </a:stretch>
                  </pic:blipFill>
                  <pic:spPr>
                    <a:xfrm>
                      <a:off x="0" y="0"/>
                      <a:ext cx="129540" cy="1797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—噪声通过林带的宽度，m；</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林带引起的附加衰减量随地区差异不同，最大不超过10dB。</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w:t>
      </w:r>
      <w:r>
        <w:rPr>
          <w:rFonts w:hint="default" w:ascii="Times New Roman" w:hAnsi="Times New Roman" w:cs="Times New Roman"/>
          <w:position w:val="-14"/>
          <w:sz w:val="24"/>
          <w:szCs w:val="21"/>
        </w:rPr>
        <w:drawing>
          <wp:inline distT="0" distB="0" distL="0" distR="0">
            <wp:extent cx="568960" cy="245110"/>
            <wp:effectExtent l="0" t="0" r="0" b="0"/>
            <wp:docPr id="72"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7"/>
                    <pic:cNvPicPr>
                      <a:picLocks noChangeAspect="1" noChangeArrowheads="1"/>
                    </pic:cNvPicPr>
                  </pic:nvPicPr>
                  <pic:blipFill>
                    <a:blip r:embed="rId73"/>
                    <a:srcRect/>
                    <a:stretch>
                      <a:fillRect/>
                    </a:stretch>
                  </pic:blipFill>
                  <pic:spPr>
                    <a:xfrm>
                      <a:off x="0" y="0"/>
                      <a:ext cx="568960"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为农村房屋附加衰减量</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在噪声预测时，接受（预测）点在沿公路第一排房屋影声区范围内，近似计算按图4.2-2和表4.2-3取值。</w:t>
      </w:r>
    </w:p>
    <w:p>
      <w:pPr>
        <w:ind w:firstLine="480"/>
        <w:jc w:val="center"/>
        <w:rPr>
          <w:rFonts w:hint="default" w:ascii="Times New Roman" w:hAnsi="Times New Roman" w:cs="Times New Roman"/>
          <w:sz w:val="24"/>
        </w:rPr>
      </w:pPr>
      <w:r>
        <w:rPr>
          <w:rFonts w:hint="default" w:ascii="Times New Roman" w:hAnsi="Times New Roman" w:cs="Times New Roman"/>
          <w:sz w:val="24"/>
        </w:rPr>
        <w:drawing>
          <wp:inline distT="0" distB="0" distL="0" distR="0">
            <wp:extent cx="4175760" cy="1497330"/>
            <wp:effectExtent l="0" t="0" r="2540" b="1270"/>
            <wp:docPr id="73" name="图片 188" descr="建筑物衰减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8" descr="建筑物衰减量"/>
                    <pic:cNvPicPr>
                      <a:picLocks noChangeAspect="1" noChangeArrowheads="1"/>
                    </pic:cNvPicPr>
                  </pic:nvPicPr>
                  <pic:blipFill>
                    <a:blip r:embed="rId74"/>
                    <a:srcRect/>
                    <a:stretch>
                      <a:fillRect/>
                    </a:stretch>
                  </pic:blipFill>
                  <pic:spPr>
                    <a:xfrm>
                      <a:off x="0" y="0"/>
                      <a:ext cx="4175760" cy="1497330"/>
                    </a:xfrm>
                    <a:prstGeom prst="rect">
                      <a:avLst/>
                    </a:prstGeom>
                    <a:noFill/>
                    <a:ln w="9525">
                      <a:noFill/>
                      <a:miter lim="800000"/>
                      <a:headEnd/>
                      <a:tailEnd/>
                    </a:ln>
                  </pic:spPr>
                </pic:pic>
              </a:graphicData>
            </a:graphic>
          </wp:inline>
        </w:drawing>
      </w:r>
    </w:p>
    <w:p>
      <w:pPr>
        <w:spacing w:line="360" w:lineRule="auto"/>
        <w:ind w:firstLine="480"/>
        <w:jc w:val="center"/>
        <w:rPr>
          <w:rFonts w:hint="default" w:ascii="Times New Roman" w:hAnsi="Times New Roman" w:cs="Times New Roman"/>
          <w:b/>
          <w:kern w:val="0"/>
          <w:sz w:val="24"/>
        </w:rPr>
      </w:pPr>
      <w:r>
        <w:rPr>
          <w:rFonts w:hint="default" w:ascii="Times New Roman" w:hAnsi="Times New Roman" w:cs="Times New Roman"/>
          <w:b/>
          <w:kern w:val="0"/>
          <w:sz w:val="24"/>
        </w:rPr>
        <w:tab/>
      </w:r>
      <w:r>
        <w:rPr>
          <w:rFonts w:hint="default" w:ascii="Times New Roman" w:hAnsi="Times New Roman" w:cs="Times New Roman"/>
          <w:b/>
          <w:kern w:val="0"/>
          <w:sz w:val="24"/>
        </w:rPr>
        <w:t>图4.2-2  农村房屋降噪量计算示意图</w:t>
      </w:r>
    </w:p>
    <w:p>
      <w:pPr>
        <w:spacing w:line="360" w:lineRule="auto"/>
        <w:ind w:firstLine="480"/>
        <w:jc w:val="center"/>
        <w:rPr>
          <w:rFonts w:hint="default" w:ascii="Times New Roman" w:hAnsi="Times New Roman" w:cs="Times New Roman"/>
          <w:b/>
          <w:kern w:val="0"/>
          <w:sz w:val="24"/>
        </w:rPr>
      </w:pPr>
      <w:r>
        <w:rPr>
          <w:rFonts w:hint="default" w:ascii="Times New Roman" w:hAnsi="Times New Roman" w:cs="Times New Roman"/>
          <w:b/>
          <w:kern w:val="0"/>
          <w:sz w:val="24"/>
        </w:rPr>
        <w:t>表4.2-</w:t>
      </w:r>
      <w:r>
        <w:rPr>
          <w:rFonts w:hint="eastAsia" w:cs="Times New Roman"/>
          <w:b/>
          <w:kern w:val="0"/>
          <w:sz w:val="24"/>
          <w:lang w:val="en-US" w:eastAsia="zh-CN"/>
        </w:rPr>
        <w:t>3</w:t>
      </w:r>
      <w:r>
        <w:rPr>
          <w:rFonts w:hint="default" w:ascii="Times New Roman" w:hAnsi="Times New Roman" w:cs="Times New Roman"/>
          <w:b/>
          <w:kern w:val="0"/>
          <w:sz w:val="24"/>
        </w:rPr>
        <w:t xml:space="preserve">  农村房屋噪声附加衰减量估算量</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4"/>
        <w:gridCol w:w="4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2" w:type="pct"/>
            <w:vAlign w:val="center"/>
          </w:tcPr>
          <w:p>
            <w:pPr>
              <w:jc w:val="center"/>
              <w:rPr>
                <w:rFonts w:hint="default" w:ascii="Times New Roman" w:hAnsi="Times New Roman" w:eastAsia="仿宋_GB2312" w:cs="Times New Roman"/>
                <w:b/>
                <w:bCs/>
                <w:szCs w:val="20"/>
              </w:rPr>
            </w:pPr>
            <w:r>
              <w:rPr>
                <w:rFonts w:hint="default" w:ascii="Times New Roman" w:hAnsi="Times New Roman" w:eastAsia="仿宋_GB2312" w:cs="Times New Roman"/>
                <w:b/>
                <w:bCs/>
                <w:szCs w:val="20"/>
              </w:rPr>
              <w:drawing>
                <wp:inline distT="0" distB="0" distL="0" distR="0">
                  <wp:extent cx="345440" cy="230505"/>
                  <wp:effectExtent l="0" t="0" r="0" b="0"/>
                  <wp:docPr id="74"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9"/>
                          <pic:cNvPicPr>
                            <a:picLocks noChangeAspect="1" noChangeArrowheads="1"/>
                          </pic:cNvPicPr>
                        </pic:nvPicPr>
                        <pic:blipFill>
                          <a:blip r:embed="rId75"/>
                          <a:srcRect/>
                          <a:stretch>
                            <a:fillRect/>
                          </a:stretch>
                        </pic:blipFill>
                        <pic:spPr>
                          <a:xfrm>
                            <a:off x="0" y="0"/>
                            <a:ext cx="345440" cy="230505"/>
                          </a:xfrm>
                          <a:prstGeom prst="rect">
                            <a:avLst/>
                          </a:prstGeom>
                          <a:noFill/>
                          <a:ln w="9525">
                            <a:noFill/>
                            <a:miter lim="800000"/>
                            <a:headEnd/>
                            <a:tailEnd/>
                          </a:ln>
                        </pic:spPr>
                      </pic:pic>
                    </a:graphicData>
                  </a:graphic>
                </wp:inline>
              </w:drawing>
            </w:r>
          </w:p>
        </w:tc>
        <w:tc>
          <w:tcPr>
            <w:tcW w:w="2557"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衰减量△L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2"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40%～60%</w:t>
            </w:r>
          </w:p>
        </w:tc>
        <w:tc>
          <w:tcPr>
            <w:tcW w:w="2557"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3dB(A)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2"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70%～90%</w:t>
            </w:r>
          </w:p>
        </w:tc>
        <w:tc>
          <w:tcPr>
            <w:tcW w:w="2557"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2"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以后每增加一排房屋</w:t>
            </w:r>
          </w:p>
        </w:tc>
        <w:tc>
          <w:tcPr>
            <w:tcW w:w="2557"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1.5dB(A)最大衰减量≤10dB(A)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pPr>
              <w:tabs>
                <w:tab w:val="left" w:pos="1980"/>
                <w:tab w:val="left" w:pos="3825"/>
                <w:tab w:val="left" w:pos="4680"/>
              </w:tabs>
              <w:adjustRightInd w:val="0"/>
              <w:snapToGrid w:val="0"/>
              <w:textAlignment w:val="baseline"/>
              <w:rPr>
                <w:rFonts w:hint="default" w:ascii="Times New Roman" w:hAnsi="Times New Roman" w:cs="Times New Roman"/>
                <w:szCs w:val="21"/>
              </w:rPr>
            </w:pPr>
            <w:r>
              <w:rPr>
                <w:rFonts w:hint="default" w:ascii="Times New Roman" w:hAnsi="Times New Roman" w:cs="Times New Roman"/>
                <w:szCs w:val="21"/>
              </w:rPr>
              <w:t>注：表中所列仅适用于平路堤路侧的建筑物。</w:t>
            </w:r>
          </w:p>
        </w:tc>
      </w:tr>
    </w:tbl>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w:t>
      </w:r>
      <w:r>
        <w:rPr>
          <w:rFonts w:hint="default" w:ascii="Times New Roman" w:hAnsi="Times New Roman" w:cs="Times New Roman"/>
          <w:position w:val="-14"/>
          <w:sz w:val="24"/>
          <w:szCs w:val="21"/>
        </w:rPr>
        <w:drawing>
          <wp:inline distT="0" distB="0" distL="0" distR="0">
            <wp:extent cx="482600" cy="245110"/>
            <wp:effectExtent l="0" t="0" r="0" b="0"/>
            <wp:docPr id="75"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0"/>
                    <pic:cNvPicPr>
                      <a:picLocks noChangeAspect="1" noChangeArrowheads="1"/>
                    </pic:cNvPicPr>
                  </pic:nvPicPr>
                  <pic:blipFill>
                    <a:blip r:embed="rId76"/>
                    <a:srcRect/>
                    <a:stretch>
                      <a:fillRect/>
                    </a:stretch>
                  </pic:blipFill>
                  <pic:spPr>
                    <a:xfrm>
                      <a:off x="0" y="0"/>
                      <a:ext cx="482600"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为预测点在高路堤或低路堑两侧声影区引起的附加衰减量。</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当预测点处于声照区，</w:t>
      </w:r>
      <w:r>
        <w:rPr>
          <w:rFonts w:hint="default" w:ascii="Times New Roman" w:hAnsi="Times New Roman" w:cs="Times New Roman"/>
          <w:position w:val="-14"/>
          <w:sz w:val="24"/>
          <w:szCs w:val="21"/>
        </w:rPr>
        <w:drawing>
          <wp:inline distT="0" distB="0" distL="0" distR="0">
            <wp:extent cx="727075" cy="245110"/>
            <wp:effectExtent l="0" t="0" r="0" b="0"/>
            <wp:docPr id="76"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1"/>
                    <pic:cNvPicPr>
                      <a:picLocks noChangeAspect="1" noChangeArrowheads="1"/>
                    </pic:cNvPicPr>
                  </pic:nvPicPr>
                  <pic:blipFill>
                    <a:blip r:embed="rId77"/>
                    <a:srcRect/>
                    <a:stretch>
                      <a:fillRect/>
                    </a:stretch>
                  </pic:blipFill>
                  <pic:spPr>
                    <a:xfrm>
                      <a:off x="0" y="0"/>
                      <a:ext cx="727075"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当预测点位于声影区，</w:t>
      </w:r>
      <w:r>
        <w:rPr>
          <w:rFonts w:hint="default" w:ascii="Times New Roman" w:hAnsi="Times New Roman" w:cs="Times New Roman"/>
          <w:position w:val="-14"/>
          <w:sz w:val="24"/>
          <w:szCs w:val="21"/>
        </w:rPr>
        <w:drawing>
          <wp:inline distT="0" distB="0" distL="0" distR="0">
            <wp:extent cx="482600" cy="245110"/>
            <wp:effectExtent l="0" t="0" r="0" b="0"/>
            <wp:docPr id="77"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2"/>
                    <pic:cNvPicPr>
                      <a:picLocks noChangeAspect="1" noChangeArrowheads="1"/>
                    </pic:cNvPicPr>
                  </pic:nvPicPr>
                  <pic:blipFill>
                    <a:blip r:embed="rId78"/>
                    <a:srcRect/>
                    <a:stretch>
                      <a:fillRect/>
                    </a:stretch>
                  </pic:blipFill>
                  <pic:spPr>
                    <a:xfrm>
                      <a:off x="0" y="0"/>
                      <a:ext cx="482600"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主要取决于声程差</w:t>
      </w:r>
      <w:r>
        <w:rPr>
          <w:rFonts w:hint="default" w:ascii="Times New Roman" w:hAnsi="Times New Roman" w:cs="Times New Roman"/>
          <w:kern w:val="0"/>
          <w:position w:val="-6"/>
          <w:sz w:val="24"/>
          <w:szCs w:val="21"/>
        </w:rPr>
        <w:drawing>
          <wp:inline distT="0" distB="0" distL="0" distR="0">
            <wp:extent cx="136525" cy="179705"/>
            <wp:effectExtent l="0" t="0" r="0" b="0"/>
            <wp:docPr id="78"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3"/>
                    <pic:cNvPicPr>
                      <a:picLocks noChangeAspect="1" noChangeArrowheads="1"/>
                    </pic:cNvPicPr>
                  </pic:nvPicPr>
                  <pic:blipFill>
                    <a:blip r:embed="rId79"/>
                    <a:srcRect/>
                    <a:stretch>
                      <a:fillRect/>
                    </a:stretch>
                  </pic:blipFill>
                  <pic:spPr>
                    <a:xfrm>
                      <a:off x="0" y="0"/>
                      <a:ext cx="136525" cy="1797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由图4.2-3计算</w:t>
      </w:r>
      <w:r>
        <w:rPr>
          <w:rFonts w:hint="default" w:ascii="Times New Roman" w:hAnsi="Times New Roman" w:cs="Times New Roman"/>
          <w:position w:val="-6"/>
          <w:sz w:val="24"/>
          <w:szCs w:val="21"/>
        </w:rPr>
        <w:drawing>
          <wp:inline distT="0" distB="0" distL="0" distR="0">
            <wp:extent cx="136525" cy="179705"/>
            <wp:effectExtent l="0" t="0" r="0" b="0"/>
            <wp:docPr id="79"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4"/>
                    <pic:cNvPicPr>
                      <a:picLocks noChangeAspect="1" noChangeArrowheads="1"/>
                    </pic:cNvPicPr>
                  </pic:nvPicPr>
                  <pic:blipFill>
                    <a:blip r:embed="rId80"/>
                    <a:srcRect/>
                    <a:stretch>
                      <a:fillRect/>
                    </a:stretch>
                  </pic:blipFill>
                  <pic:spPr>
                    <a:xfrm>
                      <a:off x="0" y="0"/>
                      <a:ext cx="136525" cy="1797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w:t>
      </w:r>
      <w:r>
        <w:rPr>
          <w:rFonts w:hint="default" w:ascii="Times New Roman" w:hAnsi="Times New Roman" w:cs="Times New Roman"/>
          <w:position w:val="-6"/>
          <w:sz w:val="24"/>
          <w:szCs w:val="21"/>
        </w:rPr>
        <w:drawing>
          <wp:inline distT="0" distB="0" distL="0" distR="0">
            <wp:extent cx="813435" cy="179705"/>
            <wp:effectExtent l="0" t="0" r="0" b="0"/>
            <wp:docPr id="80"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5"/>
                    <pic:cNvPicPr>
                      <a:picLocks noChangeAspect="1" noChangeArrowheads="1"/>
                    </pic:cNvPicPr>
                  </pic:nvPicPr>
                  <pic:blipFill>
                    <a:blip r:embed="rId81"/>
                    <a:srcRect/>
                    <a:stretch>
                      <a:fillRect/>
                    </a:stretch>
                  </pic:blipFill>
                  <pic:spPr>
                    <a:xfrm>
                      <a:off x="0" y="0"/>
                      <a:ext cx="813435" cy="1797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。再由图4.2-4查出</w:t>
      </w:r>
      <w:r>
        <w:rPr>
          <w:rFonts w:hint="default" w:ascii="Times New Roman" w:hAnsi="Times New Roman" w:cs="Times New Roman"/>
          <w:position w:val="-14"/>
          <w:sz w:val="24"/>
          <w:szCs w:val="21"/>
        </w:rPr>
        <w:drawing>
          <wp:inline distT="0" distB="0" distL="0" distR="0">
            <wp:extent cx="482600" cy="245110"/>
            <wp:effectExtent l="0" t="0" r="0" b="0"/>
            <wp:docPr id="81"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6"/>
                    <pic:cNvPicPr>
                      <a:picLocks noChangeAspect="1" noChangeArrowheads="1"/>
                    </pic:cNvPicPr>
                  </pic:nvPicPr>
                  <pic:blipFill>
                    <a:blip r:embed="rId82"/>
                    <a:srcRect/>
                    <a:stretch>
                      <a:fillRect/>
                    </a:stretch>
                  </pic:blipFill>
                  <pic:spPr>
                    <a:xfrm>
                      <a:off x="0" y="0"/>
                      <a:ext cx="482600" cy="245110"/>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在计算绕射声衰减量时使用菲涅耳数</w:t>
      </w:r>
      <w:r>
        <w:rPr>
          <w:rFonts w:hint="default" w:ascii="Times New Roman" w:hAnsi="Times New Roman" w:cs="Times New Roman"/>
          <w:position w:val="-12"/>
          <w:sz w:val="24"/>
          <w:szCs w:val="21"/>
        </w:rPr>
        <w:drawing>
          <wp:inline distT="0" distB="0" distL="0" distR="0">
            <wp:extent cx="316865" cy="230505"/>
            <wp:effectExtent l="0" t="0" r="0" b="0"/>
            <wp:docPr id="82"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7"/>
                    <pic:cNvPicPr>
                      <a:picLocks noChangeAspect="1" noChangeArrowheads="1"/>
                    </pic:cNvPicPr>
                  </pic:nvPicPr>
                  <pic:blipFill>
                    <a:blip r:embed="rId83"/>
                    <a:srcRect/>
                    <a:stretch>
                      <a:fillRect/>
                    </a:stretch>
                  </pic:blipFill>
                  <pic:spPr>
                    <a:xfrm>
                      <a:off x="0" y="0"/>
                      <a:ext cx="316865" cy="2305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。菲涅耳数定义为：</w:t>
      </w:r>
    </w:p>
    <w:p>
      <w:pPr>
        <w:tabs>
          <w:tab w:val="left" w:pos="1980"/>
          <w:tab w:val="left" w:pos="3825"/>
          <w:tab w:val="left" w:pos="4680"/>
        </w:tabs>
        <w:spacing w:line="360" w:lineRule="auto"/>
        <w:ind w:firstLine="480"/>
        <w:jc w:val="center"/>
        <w:rPr>
          <w:rFonts w:hint="default" w:ascii="Times New Roman" w:hAnsi="Times New Roman" w:cs="Times New Roman"/>
          <w:sz w:val="24"/>
          <w:szCs w:val="21"/>
        </w:rPr>
      </w:pPr>
      <w:r>
        <w:rPr>
          <w:rFonts w:hint="default" w:ascii="Times New Roman" w:hAnsi="Times New Roman" w:cs="Times New Roman"/>
          <w:position w:val="-24"/>
          <w:sz w:val="24"/>
          <w:szCs w:val="21"/>
        </w:rPr>
        <w:object>
          <v:shape id="_x0000_i1033" o:spt="75" type="#_x0000_t75" style="height:30pt;width:114pt;" o:ole="t" filled="f" coordsize="21600,21600">
            <v:path/>
            <v:fill on="f" focussize="0,0"/>
            <v:stroke/>
            <v:imagedata r:id="rId85" o:title=""/>
            <o:lock v:ext="edit" aspectratio="t"/>
            <w10:wrap type="none"/>
            <w10:anchorlock/>
          </v:shape>
          <o:OLEObject Type="Embed" ProgID="Equation.3" ShapeID="_x0000_i1033" DrawAspect="Content" ObjectID="_1468075733" r:id="rId84">
            <o:LockedField>false</o:LockedField>
          </o:OLEObject>
        </w:objec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式中：</w:t>
      </w:r>
      <w:r>
        <w:rPr>
          <w:rFonts w:hint="default" w:ascii="Times New Roman" w:hAnsi="Times New Roman" w:cs="Times New Roman"/>
          <w:position w:val="-12"/>
          <w:sz w:val="24"/>
          <w:szCs w:val="21"/>
        </w:rPr>
        <w:drawing>
          <wp:inline distT="0" distB="0" distL="0" distR="0">
            <wp:extent cx="316865" cy="230505"/>
            <wp:effectExtent l="0" t="0" r="0" b="0"/>
            <wp:docPr id="83"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99"/>
                    <pic:cNvPicPr>
                      <a:picLocks noChangeAspect="1" noChangeArrowheads="1"/>
                    </pic:cNvPicPr>
                  </pic:nvPicPr>
                  <pic:blipFill>
                    <a:blip r:embed="rId86"/>
                    <a:srcRect/>
                    <a:stretch>
                      <a:fillRect/>
                    </a:stretch>
                  </pic:blipFill>
                  <pic:spPr>
                    <a:xfrm>
                      <a:off x="0" y="0"/>
                      <a:ext cx="316865" cy="2305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—菲涅耳数；</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 xml:space="preserve">       </w:t>
      </w:r>
      <w:r>
        <w:rPr>
          <w:rFonts w:hint="default" w:ascii="Times New Roman" w:hAnsi="Times New Roman" w:cs="Times New Roman"/>
          <w:position w:val="-6"/>
          <w:sz w:val="24"/>
          <w:szCs w:val="21"/>
        </w:rPr>
        <w:drawing>
          <wp:inline distT="0" distB="0" distL="0" distR="0">
            <wp:extent cx="136525" cy="179705"/>
            <wp:effectExtent l="0" t="0" r="0" b="0"/>
            <wp:docPr id="84"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00"/>
                    <pic:cNvPicPr>
                      <a:picLocks noChangeAspect="1" noChangeArrowheads="1"/>
                    </pic:cNvPicPr>
                  </pic:nvPicPr>
                  <pic:blipFill>
                    <a:blip r:embed="rId87"/>
                    <a:srcRect/>
                    <a:stretch>
                      <a:fillRect/>
                    </a:stretch>
                  </pic:blipFill>
                  <pic:spPr>
                    <a:xfrm>
                      <a:off x="0" y="0"/>
                      <a:ext cx="136525" cy="1797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—声波波长，m；</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 xml:space="preserve">       </w:t>
      </w:r>
      <w:r>
        <w:rPr>
          <w:rFonts w:hint="default" w:ascii="Times New Roman" w:hAnsi="Times New Roman" w:cs="Times New Roman"/>
          <w:position w:val="-10"/>
          <w:sz w:val="24"/>
          <w:szCs w:val="21"/>
        </w:rPr>
        <w:drawing>
          <wp:inline distT="0" distB="0" distL="0" distR="0">
            <wp:extent cx="151130" cy="201295"/>
            <wp:effectExtent l="0" t="0" r="0" b="1905"/>
            <wp:docPr id="85"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1"/>
                    <pic:cNvPicPr>
                      <a:picLocks noChangeAspect="1" noChangeArrowheads="1"/>
                    </pic:cNvPicPr>
                  </pic:nvPicPr>
                  <pic:blipFill>
                    <a:blip r:embed="rId88"/>
                    <a:srcRect/>
                    <a:stretch>
                      <a:fillRect/>
                    </a:stretch>
                  </pic:blipFill>
                  <pic:spPr>
                    <a:xfrm>
                      <a:off x="0" y="0"/>
                      <a:ext cx="151130" cy="20129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—公路交通噪声频率，取f=500Hz；</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 xml:space="preserve">       </w:t>
      </w:r>
      <w:r>
        <w:rPr>
          <w:rFonts w:hint="default" w:ascii="Times New Roman" w:hAnsi="Times New Roman" w:cs="Times New Roman"/>
          <w:position w:val="-6"/>
          <w:sz w:val="24"/>
          <w:szCs w:val="21"/>
        </w:rPr>
        <w:drawing>
          <wp:inline distT="0" distB="0" distL="0" distR="0">
            <wp:extent cx="136525" cy="179705"/>
            <wp:effectExtent l="0" t="0" r="0" b="0"/>
            <wp:docPr id="86"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02"/>
                    <pic:cNvPicPr>
                      <a:picLocks noChangeAspect="1" noChangeArrowheads="1"/>
                    </pic:cNvPicPr>
                  </pic:nvPicPr>
                  <pic:blipFill>
                    <a:blip r:embed="rId89"/>
                    <a:srcRect/>
                    <a:stretch>
                      <a:fillRect/>
                    </a:stretch>
                  </pic:blipFill>
                  <pic:spPr>
                    <a:xfrm>
                      <a:off x="0" y="0"/>
                      <a:ext cx="136525" cy="1797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 xml:space="preserve"> — 声程差，m。</w:t>
      </w:r>
    </w:p>
    <w:p>
      <w:pPr>
        <w:ind w:firstLine="480"/>
        <w:jc w:val="center"/>
        <w:rPr>
          <w:rFonts w:hint="default" w:ascii="Times New Roman" w:hAnsi="Times New Roman" w:cs="Times New Roman"/>
          <w:sz w:val="24"/>
        </w:rPr>
      </w:pPr>
      <w:r>
        <w:rPr>
          <w:rFonts w:hint="default" w:ascii="Times New Roman" w:hAnsi="Times New Roman" w:cs="Times New Roman"/>
          <w:sz w:val="24"/>
        </w:rPr>
        <w:drawing>
          <wp:inline distT="0" distB="0" distL="0" distR="0">
            <wp:extent cx="4802505" cy="2181860"/>
            <wp:effectExtent l="0" t="0" r="10795" b="2540"/>
            <wp:docPr id="87" name="图片 203" descr="QQ截图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03" descr="QQ截图未命名1"/>
                    <pic:cNvPicPr>
                      <a:picLocks noChangeAspect="1" noChangeArrowheads="1"/>
                    </pic:cNvPicPr>
                  </pic:nvPicPr>
                  <pic:blipFill>
                    <a:blip r:embed="rId90"/>
                    <a:srcRect/>
                    <a:stretch>
                      <a:fillRect/>
                    </a:stretch>
                  </pic:blipFill>
                  <pic:spPr>
                    <a:xfrm>
                      <a:off x="0" y="0"/>
                      <a:ext cx="4802505" cy="2181860"/>
                    </a:xfrm>
                    <a:prstGeom prst="rect">
                      <a:avLst/>
                    </a:prstGeom>
                    <a:noFill/>
                    <a:ln w="9525">
                      <a:noFill/>
                      <a:miter lim="800000"/>
                      <a:headEnd/>
                      <a:tailEnd/>
                    </a:ln>
                  </pic:spPr>
                </pic:pic>
              </a:graphicData>
            </a:graphic>
          </wp:inline>
        </w:drawing>
      </w:r>
    </w:p>
    <w:p>
      <w:pPr>
        <w:spacing w:line="360" w:lineRule="auto"/>
        <w:jc w:val="center"/>
        <w:rPr>
          <w:rFonts w:hint="default" w:ascii="Times New Roman" w:hAnsi="Times New Roman" w:cs="Times New Roman"/>
          <w:b/>
          <w:kern w:val="0"/>
          <w:sz w:val="24"/>
        </w:rPr>
      </w:pPr>
      <w:r>
        <w:rPr>
          <w:rFonts w:hint="default" w:ascii="Times New Roman" w:hAnsi="Times New Roman" w:cs="Times New Roman"/>
          <w:b/>
          <w:kern w:val="0"/>
          <w:sz w:val="24"/>
        </w:rPr>
        <w:t>图4.2-3  声程差</w:t>
      </w:r>
      <w:r>
        <w:rPr>
          <w:rFonts w:hint="default" w:ascii="Times New Roman" w:hAnsi="Times New Roman" w:cs="Times New Roman"/>
          <w:b/>
          <w:kern w:val="0"/>
          <w:sz w:val="24"/>
        </w:rPr>
        <w:drawing>
          <wp:inline distT="0" distB="0" distL="0" distR="0">
            <wp:extent cx="136525" cy="179705"/>
            <wp:effectExtent l="0" t="0" r="0" b="0"/>
            <wp:docPr id="88"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04"/>
                    <pic:cNvPicPr>
                      <a:picLocks noChangeAspect="1" noChangeArrowheads="1"/>
                    </pic:cNvPicPr>
                  </pic:nvPicPr>
                  <pic:blipFill>
                    <a:blip r:embed="rId91"/>
                    <a:srcRect/>
                    <a:stretch>
                      <a:fillRect/>
                    </a:stretch>
                  </pic:blipFill>
                  <pic:spPr>
                    <a:xfrm>
                      <a:off x="0" y="0"/>
                      <a:ext cx="136525" cy="179705"/>
                    </a:xfrm>
                    <a:prstGeom prst="rect">
                      <a:avLst/>
                    </a:prstGeom>
                    <a:noFill/>
                    <a:ln w="9525">
                      <a:noFill/>
                      <a:miter lim="800000"/>
                      <a:headEnd/>
                      <a:tailEnd/>
                    </a:ln>
                  </pic:spPr>
                </pic:pic>
              </a:graphicData>
            </a:graphic>
          </wp:inline>
        </w:drawing>
      </w:r>
      <w:r>
        <w:rPr>
          <w:rFonts w:hint="default" w:ascii="Times New Roman" w:hAnsi="Times New Roman" w:cs="Times New Roman"/>
          <w:b/>
          <w:kern w:val="0"/>
          <w:sz w:val="24"/>
        </w:rPr>
        <w:t>计算示意图</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声屏障衰减量的计算模式如下式：</w:t>
      </w:r>
    </w:p>
    <w:p>
      <w:pPr>
        <w:tabs>
          <w:tab w:val="left" w:pos="1980"/>
          <w:tab w:val="left" w:pos="3825"/>
          <w:tab w:val="left" w:pos="4680"/>
        </w:tabs>
        <w:spacing w:line="360" w:lineRule="auto"/>
        <w:ind w:firstLine="480"/>
        <w:jc w:val="center"/>
        <w:rPr>
          <w:rFonts w:hint="default" w:ascii="Times New Roman" w:hAnsi="Times New Roman" w:cs="Times New Roman"/>
          <w:sz w:val="24"/>
          <w:szCs w:val="21"/>
        </w:rPr>
      </w:pPr>
      <w:r>
        <w:rPr>
          <w:rFonts w:hint="default" w:ascii="Times New Roman" w:hAnsi="Times New Roman" w:cs="Times New Roman"/>
          <w:position w:val="-94"/>
          <w:sz w:val="24"/>
          <w:szCs w:val="21"/>
        </w:rPr>
        <w:object>
          <v:shape id="_x0000_i1034" o:spt="75" type="#_x0000_t75" style="height:84pt;width:156.75pt;" o:ole="t" filled="f" coordsize="21600,21600">
            <v:path/>
            <v:fill on="f" focussize="0,0"/>
            <v:stroke/>
            <v:imagedata r:id="rId93" o:title=""/>
            <o:lock v:ext="edit" aspectratio="t"/>
            <w10:wrap type="none"/>
            <w10:anchorlock/>
          </v:shape>
          <o:OLEObject Type="Embed" ProgID="Equation.3" ShapeID="_x0000_i1034" DrawAspect="Content" ObjectID="_1468075734" r:id="rId92">
            <o:LockedField>false</o:LockedField>
          </o:OLEObject>
        </w:objec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其中：</w:t>
      </w:r>
      <w:r>
        <w:rPr>
          <w:rFonts w:hint="default" w:ascii="Times New Roman" w:hAnsi="Times New Roman" w:cs="Times New Roman"/>
          <w:position w:val="-24"/>
          <w:sz w:val="24"/>
          <w:szCs w:val="21"/>
        </w:rPr>
        <w:object>
          <v:shape id="_x0000_i1035" o:spt="75" type="#_x0000_t75" style="height:33pt;width:45pt;" o:ole="t" filled="f" coordsize="21600,21600">
            <v:path/>
            <v:fill on="f" focussize="0,0"/>
            <v:stroke/>
            <v:imagedata r:id="rId95" o:title=""/>
            <o:lock v:ext="edit" aspectratio="t"/>
            <w10:wrap type="none"/>
            <w10:anchorlock/>
          </v:shape>
          <o:OLEObject Type="Embed" ProgID="Equation.3" ShapeID="_x0000_i1035" DrawAspect="Content" ObjectID="_1468075735" r:id="rId94">
            <o:LockedField>false</o:LockedField>
          </o:OLEObject>
        </w:objec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⑥ 反射体引起的衰减量</w:t>
      </w:r>
      <w:r>
        <w:rPr>
          <w:rFonts w:hint="default" w:ascii="Times New Roman" w:hAnsi="Times New Roman" w:cs="Times New Roman"/>
          <w:position w:val="-12"/>
          <w:sz w:val="24"/>
          <w:szCs w:val="21"/>
        </w:rPr>
        <w:drawing>
          <wp:inline distT="0" distB="0" distL="0" distR="0">
            <wp:extent cx="252095" cy="230505"/>
            <wp:effectExtent l="0" t="0" r="1905" b="0"/>
            <wp:docPr id="89"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07"/>
                    <pic:cNvPicPr>
                      <a:picLocks noChangeAspect="1" noChangeArrowheads="1"/>
                    </pic:cNvPicPr>
                  </pic:nvPicPr>
                  <pic:blipFill>
                    <a:blip r:embed="rId96"/>
                    <a:srcRect/>
                    <a:stretch>
                      <a:fillRect/>
                    </a:stretch>
                  </pic:blipFill>
                  <pic:spPr>
                    <a:xfrm>
                      <a:off x="0" y="0"/>
                      <a:ext cx="252095" cy="230505"/>
                    </a:xfrm>
                    <a:prstGeom prst="rect">
                      <a:avLst/>
                    </a:prstGeom>
                    <a:noFill/>
                    <a:ln w="9525">
                      <a:noFill/>
                      <a:miter lim="800000"/>
                      <a:headEnd/>
                      <a:tailEnd/>
                    </a:ln>
                  </pic:spPr>
                </pic:pic>
              </a:graphicData>
            </a:graphic>
          </wp:inline>
        </w:drawing>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当点声源与预测点处在反射体同侧附近时，到达预测点的声级是直达声与反射声叠加的结果，从而使预测点声级增高，详见图6.3-4。</w:t>
      </w:r>
    </w:p>
    <w:p>
      <w:pPr>
        <w:ind w:firstLine="480"/>
        <w:jc w:val="center"/>
        <w:rPr>
          <w:rFonts w:hint="default" w:ascii="Times New Roman" w:hAnsi="Times New Roman" w:cs="Times New Roman"/>
          <w:sz w:val="24"/>
        </w:rPr>
      </w:pPr>
      <w:r>
        <w:rPr>
          <w:rFonts w:hint="default" w:ascii="Times New Roman" w:hAnsi="Times New Roman" w:cs="Times New Roman"/>
          <w:sz w:val="24"/>
        </w:rPr>
        <w:drawing>
          <wp:inline distT="0" distB="0" distL="0" distR="0">
            <wp:extent cx="5184140" cy="1540510"/>
            <wp:effectExtent l="0" t="0" r="10160" b="8890"/>
            <wp:docPr id="90" name="图片 208" descr="QQ截图2011082916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8" descr="QQ截图20110829162308"/>
                    <pic:cNvPicPr>
                      <a:picLocks noChangeAspect="1" noChangeArrowheads="1"/>
                    </pic:cNvPicPr>
                  </pic:nvPicPr>
                  <pic:blipFill>
                    <a:blip r:embed="rId97"/>
                    <a:srcRect/>
                    <a:stretch>
                      <a:fillRect/>
                    </a:stretch>
                  </pic:blipFill>
                  <pic:spPr>
                    <a:xfrm>
                      <a:off x="0" y="0"/>
                      <a:ext cx="5184140" cy="1540510"/>
                    </a:xfrm>
                    <a:prstGeom prst="rect">
                      <a:avLst/>
                    </a:prstGeom>
                    <a:noFill/>
                    <a:ln w="9525">
                      <a:noFill/>
                      <a:miter lim="800000"/>
                      <a:headEnd/>
                      <a:tailEnd/>
                    </a:ln>
                  </pic:spPr>
                </pic:pic>
              </a:graphicData>
            </a:graphic>
          </wp:inline>
        </w:drawing>
      </w:r>
    </w:p>
    <w:p>
      <w:pPr>
        <w:spacing w:line="360" w:lineRule="auto"/>
        <w:ind w:firstLine="480"/>
        <w:jc w:val="center"/>
        <w:rPr>
          <w:rFonts w:hint="default" w:ascii="Times New Roman" w:hAnsi="Times New Roman" w:cs="Times New Roman"/>
          <w:b/>
          <w:kern w:val="0"/>
          <w:sz w:val="24"/>
        </w:rPr>
      </w:pPr>
      <w:r>
        <w:rPr>
          <w:rFonts w:hint="default" w:ascii="Times New Roman" w:hAnsi="Times New Roman" w:cs="Times New Roman"/>
          <w:b/>
          <w:kern w:val="0"/>
          <w:sz w:val="24"/>
        </w:rPr>
        <w:t>图4.2-4  反射体的影响</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当满足下列条件时，需考虑反射体引起的声级增高：</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●反射体表明平整光滑，坚硬的；</w:t>
      </w:r>
    </w:p>
    <w:p>
      <w:pPr>
        <w:tabs>
          <w:tab w:val="left" w:pos="1980"/>
          <w:tab w:val="left" w:pos="3825"/>
          <w:tab w:val="left" w:pos="4680"/>
        </w:tabs>
        <w:spacing w:line="360" w:lineRule="auto"/>
        <w:ind w:firstLine="480"/>
        <w:jc w:val="left"/>
        <w:rPr>
          <w:rFonts w:hint="default" w:ascii="Times New Roman" w:hAnsi="Times New Roman" w:cs="Times New Roman"/>
          <w:sz w:val="24"/>
          <w:szCs w:val="21"/>
        </w:rPr>
      </w:pPr>
      <w:r>
        <w:rPr>
          <w:rFonts w:hint="default" w:ascii="Times New Roman" w:hAnsi="Times New Roman" w:cs="Times New Roman"/>
          <w:sz w:val="24"/>
          <w:szCs w:val="21"/>
        </w:rPr>
        <w:t>●反射体尺寸远大于所以声波波长λ；</w:t>
      </w:r>
    </w:p>
    <w:p>
      <w:pPr>
        <w:tabs>
          <w:tab w:val="left" w:pos="1980"/>
          <w:tab w:val="left" w:pos="3825"/>
          <w:tab w:val="left" w:pos="4680"/>
        </w:tabs>
        <w:spacing w:line="360" w:lineRule="auto"/>
        <w:ind w:firstLine="480"/>
        <w:jc w:val="left"/>
        <w:rPr>
          <w:rFonts w:hint="default" w:ascii="Times New Roman" w:hAnsi="Times New Roman" w:eastAsia="Times New Roman" w:cs="Times New Roman"/>
          <w:sz w:val="24"/>
          <w:szCs w:val="21"/>
        </w:rPr>
      </w:pPr>
      <w:r>
        <w:rPr>
          <w:rFonts w:hint="default" w:ascii="Times New Roman" w:hAnsi="Times New Roman" w:cs="Times New Roman"/>
          <w:sz w:val="24"/>
          <w:szCs w:val="21"/>
        </w:rPr>
        <w:t>●入射角θ&lt;85º，</w:t>
      </w:r>
      <w:r>
        <w:rPr>
          <w:rFonts w:hint="default" w:ascii="Times New Roman" w:hAnsi="Times New Roman" w:cs="Times New Roman"/>
          <w:position w:val="-12"/>
          <w:sz w:val="24"/>
          <w:szCs w:val="21"/>
        </w:rPr>
        <w:drawing>
          <wp:inline distT="0" distB="0" distL="0" distR="0">
            <wp:extent cx="727075" cy="230505"/>
            <wp:effectExtent l="0" t="0" r="0" b="0"/>
            <wp:docPr id="91"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09"/>
                    <pic:cNvPicPr>
                      <a:picLocks noChangeAspect="1" noChangeArrowheads="1"/>
                    </pic:cNvPicPr>
                  </pic:nvPicPr>
                  <pic:blipFill>
                    <a:blip r:embed="rId98"/>
                    <a:srcRect/>
                    <a:stretch>
                      <a:fillRect/>
                    </a:stretch>
                  </pic:blipFill>
                  <pic:spPr>
                    <a:xfrm>
                      <a:off x="0" y="0"/>
                      <a:ext cx="727075" cy="2305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反射引起的增加量</w:t>
      </w:r>
      <w:r>
        <w:rPr>
          <w:rFonts w:hint="default" w:ascii="Times New Roman" w:hAnsi="Times New Roman" w:cs="Times New Roman"/>
          <w:position w:val="-12"/>
          <w:sz w:val="24"/>
          <w:szCs w:val="21"/>
        </w:rPr>
        <w:drawing>
          <wp:inline distT="0" distB="0" distL="0" distR="0">
            <wp:extent cx="266700" cy="230505"/>
            <wp:effectExtent l="0" t="0" r="0" b="0"/>
            <wp:docPr id="92"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0"/>
                    <pic:cNvPicPr>
                      <a:picLocks noChangeAspect="1" noChangeArrowheads="1"/>
                    </pic:cNvPicPr>
                  </pic:nvPicPr>
                  <pic:blipFill>
                    <a:blip r:embed="rId99"/>
                    <a:srcRect/>
                    <a:stretch>
                      <a:fillRect/>
                    </a:stretch>
                  </pic:blipFill>
                  <pic:spPr>
                    <a:xfrm>
                      <a:off x="0" y="0"/>
                      <a:ext cx="266700" cy="2305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与</w:t>
      </w:r>
      <w:r>
        <w:rPr>
          <w:rFonts w:hint="default" w:ascii="Times New Roman" w:hAnsi="Times New Roman" w:cs="Times New Roman"/>
          <w:position w:val="-12"/>
          <w:sz w:val="24"/>
          <w:szCs w:val="21"/>
        </w:rPr>
        <w:drawing>
          <wp:inline distT="0" distB="0" distL="0" distR="0">
            <wp:extent cx="345440" cy="230505"/>
            <wp:effectExtent l="0" t="0" r="0" b="0"/>
            <wp:docPr id="9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11"/>
                    <pic:cNvPicPr>
                      <a:picLocks noChangeAspect="1" noChangeArrowheads="1"/>
                    </pic:cNvPicPr>
                  </pic:nvPicPr>
                  <pic:blipFill>
                    <a:blip r:embed="rId100"/>
                    <a:srcRect/>
                    <a:stretch>
                      <a:fillRect/>
                    </a:stretch>
                  </pic:blipFill>
                  <pic:spPr>
                    <a:xfrm>
                      <a:off x="0" y="0"/>
                      <a:ext cx="345440" cy="230505"/>
                    </a:xfrm>
                    <a:prstGeom prst="rect">
                      <a:avLst/>
                    </a:prstGeom>
                    <a:noFill/>
                    <a:ln w="9525">
                      <a:noFill/>
                      <a:miter lim="800000"/>
                      <a:headEnd/>
                      <a:tailEnd/>
                    </a:ln>
                  </pic:spPr>
                </pic:pic>
              </a:graphicData>
            </a:graphic>
          </wp:inline>
        </w:drawing>
      </w:r>
      <w:r>
        <w:rPr>
          <w:rFonts w:hint="default" w:ascii="Times New Roman" w:hAnsi="Times New Roman" w:cs="Times New Roman"/>
          <w:sz w:val="24"/>
          <w:szCs w:val="21"/>
        </w:rPr>
        <w:t>有关，可按表4.2-6计算。</w:t>
      </w:r>
    </w:p>
    <w:p>
      <w:pPr>
        <w:spacing w:line="360" w:lineRule="auto"/>
        <w:ind w:firstLine="480"/>
        <w:jc w:val="center"/>
        <w:rPr>
          <w:rFonts w:hint="default" w:ascii="Times New Roman" w:hAnsi="Times New Roman" w:cs="Times New Roman"/>
          <w:b/>
          <w:kern w:val="0"/>
          <w:sz w:val="24"/>
        </w:rPr>
      </w:pPr>
      <w:r>
        <w:rPr>
          <w:rFonts w:hint="default" w:ascii="Times New Roman" w:hAnsi="Times New Roman" w:cs="Times New Roman"/>
          <w:b/>
          <w:kern w:val="0"/>
          <w:sz w:val="24"/>
        </w:rPr>
        <w:t>表4.2-</w:t>
      </w:r>
      <w:r>
        <w:rPr>
          <w:rFonts w:hint="eastAsia" w:cs="Times New Roman"/>
          <w:b/>
          <w:kern w:val="0"/>
          <w:sz w:val="24"/>
          <w:lang w:val="en-US" w:eastAsia="zh-CN"/>
        </w:rPr>
        <w:t>4</w:t>
      </w:r>
      <w:r>
        <w:rPr>
          <w:rFonts w:hint="default" w:ascii="Times New Roman" w:hAnsi="Times New Roman" w:cs="Times New Roman"/>
          <w:b/>
          <w:kern w:val="0"/>
          <w:sz w:val="24"/>
        </w:rPr>
        <w:t xml:space="preserve">  反射体修正量</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5"/>
        <w:gridCol w:w="4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458" w:type="pct"/>
            <w:vAlign w:val="center"/>
          </w:tcPr>
          <w:p>
            <w:pPr>
              <w:spacing w:line="160" w:lineRule="atLeast"/>
              <w:jc w:val="center"/>
              <w:rPr>
                <w:rFonts w:hint="default" w:ascii="Times New Roman" w:hAnsi="Times New Roman" w:eastAsia="仿宋_GB2312" w:cs="Times New Roman"/>
                <w:szCs w:val="20"/>
              </w:rPr>
            </w:pPr>
            <w:r>
              <w:rPr>
                <w:rFonts w:hint="default" w:ascii="Times New Roman" w:hAnsi="Times New Roman" w:eastAsia="仿宋_GB2312" w:cs="Times New Roman"/>
                <w:szCs w:val="20"/>
              </w:rPr>
              <w:drawing>
                <wp:inline distT="0" distB="0" distL="0" distR="0">
                  <wp:extent cx="345440" cy="230505"/>
                  <wp:effectExtent l="0" t="0" r="0" b="0"/>
                  <wp:docPr id="94"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2"/>
                          <pic:cNvPicPr>
                            <a:picLocks noChangeAspect="1" noChangeArrowheads="1"/>
                          </pic:cNvPicPr>
                        </pic:nvPicPr>
                        <pic:blipFill>
                          <a:blip r:embed="rId101"/>
                          <a:srcRect/>
                          <a:stretch>
                            <a:fillRect/>
                          </a:stretch>
                        </pic:blipFill>
                        <pic:spPr>
                          <a:xfrm>
                            <a:off x="0" y="0"/>
                            <a:ext cx="345440" cy="230505"/>
                          </a:xfrm>
                          <a:prstGeom prst="rect">
                            <a:avLst/>
                          </a:prstGeom>
                          <a:noFill/>
                          <a:ln w="9525">
                            <a:noFill/>
                            <a:miter lim="800000"/>
                            <a:headEnd/>
                            <a:tailEnd/>
                          </a:ln>
                        </pic:spPr>
                      </pic:pic>
                    </a:graphicData>
                  </a:graphic>
                </wp:inline>
              </w:drawing>
            </w:r>
          </w:p>
        </w:tc>
        <w:tc>
          <w:tcPr>
            <w:tcW w:w="2541"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drawing>
                <wp:inline distT="0" distB="0" distL="0" distR="0">
                  <wp:extent cx="266700" cy="230505"/>
                  <wp:effectExtent l="0" t="0" r="0" b="0"/>
                  <wp:docPr id="95"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13"/>
                          <pic:cNvPicPr>
                            <a:picLocks noChangeAspect="1" noChangeArrowheads="1"/>
                          </pic:cNvPicPr>
                        </pic:nvPicPr>
                        <pic:blipFill>
                          <a:blip r:embed="rId102"/>
                          <a:srcRect/>
                          <a:stretch>
                            <a:fillRect/>
                          </a:stretch>
                        </pic:blipFill>
                        <pic:spPr>
                          <a:xfrm>
                            <a:off x="0" y="0"/>
                            <a:ext cx="266700" cy="230505"/>
                          </a:xfrm>
                          <a:prstGeom prst="rect">
                            <a:avLst/>
                          </a:prstGeom>
                          <a:noFill/>
                          <a:ln w="9525">
                            <a:noFill/>
                            <a:miter lim="800000"/>
                            <a:headEnd/>
                            <a:tailEnd/>
                          </a:ln>
                        </pic:spPr>
                      </pic:pic>
                    </a:graphicData>
                  </a:graphic>
                </wp:inline>
              </w:drawing>
            </w:r>
            <w:r>
              <w:rPr>
                <w:rFonts w:hint="default" w:ascii="Times New Roman" w:hAnsi="Times New Roman" w:cs="Times New Roman"/>
                <w:szCs w:val="21"/>
              </w:rPr>
              <w:t>(dB)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8"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w:t>
            </w:r>
          </w:p>
        </w:tc>
        <w:tc>
          <w:tcPr>
            <w:tcW w:w="2541"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8"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≈1.4</w:t>
            </w:r>
          </w:p>
        </w:tc>
        <w:tc>
          <w:tcPr>
            <w:tcW w:w="2541"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8"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w:t>
            </w:r>
          </w:p>
        </w:tc>
        <w:tc>
          <w:tcPr>
            <w:tcW w:w="2541"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8"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＞2.5</w:t>
            </w:r>
          </w:p>
        </w:tc>
        <w:tc>
          <w:tcPr>
            <w:tcW w:w="2541" w:type="pct"/>
            <w:vAlign w:val="center"/>
          </w:tcPr>
          <w:p>
            <w:pPr>
              <w:tabs>
                <w:tab w:val="left" w:pos="1980"/>
                <w:tab w:val="left" w:pos="3825"/>
                <w:tab w:val="left" w:pos="4680"/>
              </w:tabs>
              <w:adjustRightInd w:val="0"/>
              <w:snapToGrid w:val="0"/>
              <w:jc w:val="center"/>
              <w:textAlignment w:val="baseline"/>
              <w:rPr>
                <w:rFonts w:hint="default" w:ascii="Times New Roman" w:hAnsi="Times New Roman" w:cs="Times New Roman"/>
                <w:szCs w:val="21"/>
              </w:rPr>
            </w:pPr>
            <w:r>
              <w:rPr>
                <w:rFonts w:hint="default" w:ascii="Times New Roman" w:hAnsi="Times New Roman" w:cs="Times New Roman"/>
                <w:szCs w:val="21"/>
              </w:rPr>
              <w:t>0</w:t>
            </w:r>
          </w:p>
        </w:tc>
      </w:tr>
    </w:tbl>
    <w:p>
      <w:pPr>
        <w:spacing w:line="360" w:lineRule="auto"/>
        <w:outlineLvl w:val="2"/>
        <w:rPr>
          <w:rFonts w:hint="default" w:ascii="Times New Roman" w:hAnsi="Times New Roman" w:cs="Times New Roman"/>
          <w:b/>
          <w:sz w:val="28"/>
        </w:rPr>
      </w:pPr>
      <w:r>
        <w:rPr>
          <w:rFonts w:hint="default" w:ascii="Times New Roman" w:hAnsi="Times New Roman" w:cs="Times New Roman"/>
          <w:b/>
          <w:sz w:val="28"/>
        </w:rPr>
        <w:t>4.2.3道路交通噪声影响预测</w:t>
      </w:r>
    </w:p>
    <w:p>
      <w:pPr>
        <w:adjustRightInd w:val="0"/>
        <w:snapToGrid w:val="0"/>
        <w:spacing w:line="360" w:lineRule="auto"/>
        <w:ind w:firstLine="482"/>
        <w:outlineLvl w:val="0"/>
        <w:rPr>
          <w:rFonts w:hint="default" w:ascii="Times New Roman" w:hAnsi="Times New Roman" w:cs="Times New Roman"/>
          <w:b/>
          <w:bCs/>
          <w:sz w:val="24"/>
        </w:rPr>
      </w:pPr>
      <w:bookmarkStart w:id="258" w:name="_Toc5018"/>
      <w:bookmarkStart w:id="259" w:name="_Toc8266"/>
      <w:r>
        <w:rPr>
          <w:rFonts w:hint="default" w:ascii="Times New Roman" w:hAnsi="Times New Roman" w:cs="Times New Roman"/>
          <w:b/>
          <w:bCs/>
          <w:sz w:val="24"/>
        </w:rPr>
        <w:t>1、交通噪声水平方向影响预测</w:t>
      </w:r>
      <w:bookmarkEnd w:id="258"/>
      <w:bookmarkEnd w:id="259"/>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z w:val="24"/>
        </w:rPr>
        <w:t>根据选定的预测模式，选取202</w:t>
      </w:r>
      <w:r>
        <w:rPr>
          <w:rFonts w:hint="eastAsia" w:cs="Times New Roman"/>
          <w:sz w:val="24"/>
          <w:lang w:val="en-US" w:eastAsia="zh-CN"/>
        </w:rPr>
        <w:t>6</w:t>
      </w:r>
      <w:r>
        <w:rPr>
          <w:rFonts w:hint="default" w:ascii="Times New Roman" w:hAnsi="Times New Roman" w:cs="Times New Roman"/>
          <w:sz w:val="24"/>
        </w:rPr>
        <w:t>年、203</w:t>
      </w:r>
      <w:r>
        <w:rPr>
          <w:rFonts w:hint="eastAsia" w:cs="Times New Roman"/>
          <w:sz w:val="24"/>
          <w:lang w:val="en-US" w:eastAsia="zh-CN"/>
        </w:rPr>
        <w:t>2</w:t>
      </w:r>
      <w:r>
        <w:rPr>
          <w:rFonts w:hint="default" w:ascii="Times New Roman" w:hAnsi="Times New Roman" w:cs="Times New Roman"/>
          <w:sz w:val="24"/>
        </w:rPr>
        <w:t>年、20</w:t>
      </w:r>
      <w:r>
        <w:rPr>
          <w:rFonts w:hint="eastAsia" w:cs="Times New Roman"/>
          <w:sz w:val="24"/>
          <w:lang w:val="en-US" w:eastAsia="zh-CN"/>
        </w:rPr>
        <w:t>40</w:t>
      </w:r>
      <w:r>
        <w:rPr>
          <w:rFonts w:hint="default" w:ascii="Times New Roman" w:hAnsi="Times New Roman" w:cs="Times New Roman"/>
          <w:sz w:val="24"/>
        </w:rPr>
        <w:t>年分别做为项目近、中、远期代表年份，结合各路段地形地貌情况确定的各个参数，计算出一般路段在各评价年份、距路中心不同距离接受点处的交通噪声预测值。</w:t>
      </w:r>
    </w:p>
    <w:p>
      <w:pPr>
        <w:spacing w:line="360" w:lineRule="auto"/>
        <w:ind w:firstLine="480"/>
        <w:rPr>
          <w:rFonts w:hint="default" w:ascii="Times New Roman" w:hAnsi="Times New Roman" w:cs="Times New Roman"/>
          <w:sz w:val="24"/>
        </w:rPr>
      </w:pPr>
      <w:r>
        <w:rPr>
          <w:rFonts w:hint="default" w:ascii="Times New Roman" w:hAnsi="Times New Roman" w:cs="Times New Roman"/>
          <w:sz w:val="24"/>
        </w:rPr>
        <w:t>由于道路沿线地势起伏变化、路面与原地面之间的高差也有所变化，出于预测的可行性考虑，交通噪声预测假设在平路基、开阔、平坦、直线段等特定环境条件下，不考虑线路两侧树木、地上物对声波的遮挡等声传播附加衰减及环境背景噪声，只考虑声波的距离衰减和地面吸收而获得的在离地面1.2m处的交通噪声在水平向的影响分布。</w:t>
      </w:r>
    </w:p>
    <w:p>
      <w:pPr>
        <w:adjustRightInd w:val="0"/>
        <w:snapToGrid w:val="0"/>
        <w:spacing w:line="360" w:lineRule="auto"/>
        <w:ind w:firstLine="480" w:firstLineChars="200"/>
        <w:rPr>
          <w:rFonts w:hint="default" w:ascii="Times New Roman" w:hAnsi="Times New Roman" w:cs="Times New Roman"/>
        </w:rPr>
      </w:pPr>
      <w:r>
        <w:rPr>
          <w:rFonts w:hint="eastAsia"/>
          <w:color w:val="auto"/>
          <w:sz w:val="24"/>
        </w:rPr>
        <w:t>本项目</w:t>
      </w:r>
      <w:r>
        <w:rPr>
          <w:rFonts w:hint="default" w:ascii="Times New Roman" w:hAnsi="Times New Roman" w:cs="Times New Roman"/>
          <w:snapToGrid w:val="0"/>
          <w:kern w:val="0"/>
          <w:sz w:val="24"/>
        </w:rPr>
        <w:t>横向交通噪声预测结果见表4.2-</w:t>
      </w:r>
      <w:r>
        <w:rPr>
          <w:rFonts w:hint="eastAsia" w:cs="Times New Roman"/>
          <w:snapToGrid w:val="0"/>
          <w:kern w:val="0"/>
          <w:sz w:val="24"/>
          <w:lang w:val="en-US" w:eastAsia="zh-CN"/>
        </w:rPr>
        <w:t>5</w:t>
      </w:r>
      <w:r>
        <w:rPr>
          <w:rFonts w:hint="default" w:ascii="Times New Roman" w:hAnsi="Times New Roman" w:cs="Times New Roman"/>
          <w:snapToGrid w:val="0"/>
          <w:kern w:val="0"/>
          <w:sz w:val="24"/>
        </w:rPr>
        <w:t>。</w:t>
      </w:r>
    </w:p>
    <w:p>
      <w:pPr>
        <w:spacing w:line="360" w:lineRule="auto"/>
        <w:jc w:val="center"/>
        <w:rPr>
          <w:rFonts w:hint="default" w:ascii="Times New Roman" w:hAnsi="Times New Roman" w:cs="Times New Roman"/>
          <w:b/>
          <w:bCs/>
          <w:sz w:val="24"/>
        </w:rPr>
        <w:sectPr>
          <w:pgSz w:w="11906" w:h="16838"/>
          <w:pgMar w:top="1418" w:right="1418" w:bottom="1418" w:left="1418" w:header="851" w:footer="1077" w:gutter="0"/>
          <w:pgBorders>
            <w:top w:val="none" w:sz="0" w:space="0"/>
            <w:left w:val="none" w:sz="0" w:space="0"/>
            <w:bottom w:val="none" w:sz="0" w:space="0"/>
            <w:right w:val="none" w:sz="0" w:space="0"/>
          </w:pgBorders>
          <w:cols w:space="720" w:num="1"/>
          <w:docGrid w:linePitch="312" w:charSpace="0"/>
        </w:sectPr>
      </w:pPr>
    </w:p>
    <w:p>
      <w:pPr>
        <w:spacing w:line="360" w:lineRule="auto"/>
        <w:jc w:val="center"/>
        <w:rPr>
          <w:rFonts w:hint="default" w:ascii="Times New Roman" w:hAnsi="Times New Roman" w:cs="Times New Roman"/>
          <w:b/>
          <w:bCs/>
          <w:sz w:val="24"/>
        </w:rPr>
      </w:pPr>
      <w:r>
        <w:rPr>
          <w:rFonts w:hint="default" w:ascii="Times New Roman" w:hAnsi="Times New Roman" w:cs="Times New Roman"/>
          <w:b/>
          <w:bCs/>
          <w:sz w:val="24"/>
        </w:rPr>
        <w:t>表4.2-</w:t>
      </w:r>
      <w:r>
        <w:rPr>
          <w:rFonts w:hint="eastAsia" w:cs="Times New Roman"/>
          <w:b/>
          <w:bCs/>
          <w:sz w:val="24"/>
          <w:lang w:val="en-US" w:eastAsia="zh-CN"/>
        </w:rPr>
        <w:t>5</w:t>
      </w:r>
      <w:r>
        <w:rPr>
          <w:rFonts w:hint="default" w:ascii="Times New Roman" w:hAnsi="Times New Roman" w:cs="Times New Roman"/>
          <w:b/>
          <w:bCs/>
          <w:sz w:val="24"/>
        </w:rPr>
        <w:t xml:space="preserve"> </w:t>
      </w:r>
      <w:r>
        <w:rPr>
          <w:rFonts w:hint="default" w:ascii="Times New Roman" w:hAnsi="Times New Roman" w:eastAsia="宋体" w:cs="Times New Roman"/>
          <w:b/>
          <w:bCs/>
          <w:sz w:val="24"/>
          <w:szCs w:val="32"/>
        </w:rPr>
        <w:t>福泽大道段横</w:t>
      </w:r>
      <w:r>
        <w:rPr>
          <w:rFonts w:hint="default" w:ascii="Times New Roman" w:hAnsi="Times New Roman" w:cs="Times New Roman"/>
          <w:b/>
          <w:bCs/>
          <w:sz w:val="24"/>
        </w:rPr>
        <w:t>向</w:t>
      </w:r>
      <w:r>
        <w:rPr>
          <w:rFonts w:hint="default" w:ascii="Times New Roman" w:hAnsi="Times New Roman" w:cs="Times New Roman"/>
          <w:b/>
          <w:bCs/>
          <w:sz w:val="24"/>
          <w:szCs w:val="32"/>
        </w:rPr>
        <w:t xml:space="preserve">交通噪声预测值一览表 </w:t>
      </w:r>
      <w:r>
        <w:rPr>
          <w:rFonts w:hint="default" w:ascii="Times New Roman" w:hAnsi="Times New Roman" w:cs="Times New Roman"/>
          <w:b/>
          <w:bCs/>
          <w:sz w:val="24"/>
        </w:rPr>
        <w:t>单位：dB(A)</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778"/>
        <w:gridCol w:w="3177"/>
        <w:gridCol w:w="926"/>
        <w:gridCol w:w="814"/>
        <w:gridCol w:w="814"/>
        <w:gridCol w:w="814"/>
        <w:gridCol w:w="814"/>
        <w:gridCol w:w="814"/>
        <w:gridCol w:w="814"/>
        <w:gridCol w:w="814"/>
        <w:gridCol w:w="814"/>
        <w:gridCol w:w="814"/>
        <w:gridCol w:w="82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8" w:hRule="atLeast"/>
          <w:tblHeader/>
          <w:jc w:val="center"/>
        </w:trPr>
        <w:tc>
          <w:tcPr>
            <w:tcW w:w="2096" w:type="pct"/>
            <w:gridSpan w:val="3"/>
            <w:vMerge w:val="restar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预测年限</w:t>
            </w:r>
          </w:p>
        </w:tc>
        <w:tc>
          <w:tcPr>
            <w:tcW w:w="2903" w:type="pct"/>
            <w:gridSpan w:val="10"/>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与道路</w:t>
            </w:r>
            <w:r>
              <w:rPr>
                <w:rFonts w:hint="eastAsia" w:ascii="Times New Roman" w:hAnsi="Times New Roman" w:cs="Times New Roman"/>
                <w:color w:val="auto"/>
                <w:kern w:val="0"/>
                <w:sz w:val="21"/>
                <w:szCs w:val="21"/>
                <w:lang w:val="en-US" w:eastAsia="zh-CN" w:bidi="ar"/>
              </w:rPr>
              <w:t>中心线</w:t>
            </w:r>
            <w:r>
              <w:rPr>
                <w:rFonts w:hint="default" w:ascii="Times New Roman" w:hAnsi="Times New Roman" w:cs="Times New Roman"/>
                <w:color w:val="auto"/>
                <w:kern w:val="0"/>
                <w:sz w:val="21"/>
                <w:szCs w:val="21"/>
                <w:lang w:bidi="ar"/>
              </w:rPr>
              <w:t>距</w:t>
            </w:r>
            <w:r>
              <w:rPr>
                <w:rFonts w:hint="default" w:ascii="Times New Roman" w:hAnsi="Times New Roman" w:cs="Times New Roman"/>
                <w:b w:val="0"/>
                <w:bCs w:val="0"/>
                <w:color w:val="auto"/>
                <w:kern w:val="0"/>
                <w:sz w:val="21"/>
                <w:szCs w:val="21"/>
                <w:lang w:bidi="ar"/>
              </w:rPr>
              <w:t>离（</w:t>
            </w:r>
            <w:r>
              <w:rPr>
                <w:rStyle w:val="93"/>
                <w:rFonts w:hint="default" w:ascii="Times New Roman" w:hAnsi="Times New Roman" w:cs="Times New Roman"/>
                <w:b w:val="0"/>
                <w:bCs w:val="0"/>
                <w:color w:val="auto"/>
                <w:sz w:val="21"/>
                <w:szCs w:val="21"/>
                <w:lang w:bidi="ar"/>
              </w:rPr>
              <w:t>m</w:t>
            </w:r>
            <w:r>
              <w:rPr>
                <w:rStyle w:val="94"/>
                <w:rFonts w:hint="default" w:ascii="Times New Roman" w:hAnsi="Times New Roman" w:cs="Times New Roman"/>
                <w:b w:val="0"/>
                <w:bCs w:val="0"/>
                <w:color w:val="auto"/>
                <w:sz w:val="21"/>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tblHeader/>
          <w:jc w:val="center"/>
        </w:trPr>
        <w:tc>
          <w:tcPr>
            <w:tcW w:w="2096" w:type="pct"/>
            <w:gridSpan w:val="3"/>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290"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20</w:t>
            </w:r>
          </w:p>
        </w:tc>
        <w:tc>
          <w:tcPr>
            <w:tcW w:w="290"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40</w:t>
            </w:r>
          </w:p>
        </w:tc>
        <w:tc>
          <w:tcPr>
            <w:tcW w:w="290"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60</w:t>
            </w:r>
          </w:p>
        </w:tc>
        <w:tc>
          <w:tcPr>
            <w:tcW w:w="290"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80</w:t>
            </w:r>
          </w:p>
        </w:tc>
        <w:tc>
          <w:tcPr>
            <w:tcW w:w="290"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100</w:t>
            </w:r>
          </w:p>
        </w:tc>
        <w:tc>
          <w:tcPr>
            <w:tcW w:w="290"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120</w:t>
            </w:r>
          </w:p>
        </w:tc>
        <w:tc>
          <w:tcPr>
            <w:tcW w:w="290"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140</w:t>
            </w:r>
          </w:p>
        </w:tc>
        <w:tc>
          <w:tcPr>
            <w:tcW w:w="290"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160</w:t>
            </w:r>
          </w:p>
        </w:tc>
        <w:tc>
          <w:tcPr>
            <w:tcW w:w="290"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180</w:t>
            </w:r>
          </w:p>
        </w:tc>
        <w:tc>
          <w:tcPr>
            <w:tcW w:w="293" w:type="pct"/>
            <w:tcBorders>
              <w:tl2br w:val="nil"/>
              <w:tr2bl w:val="nil"/>
            </w:tcBorders>
            <w:shd w:val="clear" w:color="auto" w:fill="auto"/>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34" w:type="pct"/>
            <w:vMerge w:val="restart"/>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sz w:val="21"/>
                <w:szCs w:val="21"/>
              </w:rPr>
              <w:t>福泽大道</w:t>
            </w:r>
          </w:p>
        </w:tc>
        <w:tc>
          <w:tcPr>
            <w:tcW w:w="1132" w:type="pct"/>
            <w:vMerge w:val="restar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近期（</w:t>
            </w:r>
            <w:r>
              <w:rPr>
                <w:rStyle w:val="93"/>
                <w:rFonts w:hint="default" w:ascii="Times New Roman" w:hAnsi="Times New Roman" w:cs="Times New Roman"/>
                <w:b w:val="0"/>
                <w:bCs w:val="0"/>
                <w:color w:val="auto"/>
                <w:sz w:val="21"/>
                <w:szCs w:val="21"/>
                <w:lang w:bidi="ar"/>
              </w:rPr>
              <w:t>202</w:t>
            </w:r>
            <w:r>
              <w:rPr>
                <w:rStyle w:val="93"/>
                <w:rFonts w:hint="eastAsia" w:cs="Times New Roman"/>
                <w:b w:val="0"/>
                <w:bCs w:val="0"/>
                <w:color w:val="auto"/>
                <w:sz w:val="21"/>
                <w:szCs w:val="21"/>
                <w:lang w:val="en-US" w:eastAsia="zh-CN" w:bidi="ar"/>
              </w:rPr>
              <w:t>6</w:t>
            </w:r>
            <w:r>
              <w:rPr>
                <w:rStyle w:val="93"/>
                <w:rFonts w:hint="default" w:ascii="Times New Roman" w:hAnsi="Times New Roman" w:cs="Times New Roman"/>
                <w:b w:val="0"/>
                <w:bCs w:val="0"/>
                <w:color w:val="auto"/>
                <w:sz w:val="21"/>
                <w:szCs w:val="21"/>
                <w:lang w:bidi="ar"/>
              </w:rPr>
              <w:t>年</w:t>
            </w:r>
            <w:r>
              <w:rPr>
                <w:rStyle w:val="94"/>
                <w:rFonts w:hint="default" w:ascii="Times New Roman" w:hAnsi="Times New Roman" w:cs="Times New Roman"/>
                <w:b w:val="0"/>
                <w:bCs w:val="0"/>
                <w:color w:val="auto"/>
                <w:sz w:val="21"/>
                <w:szCs w:val="21"/>
                <w:lang w:bidi="ar"/>
              </w:rPr>
              <w:t>）</w:t>
            </w:r>
          </w:p>
        </w:tc>
        <w:tc>
          <w:tcPr>
            <w:tcW w:w="32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昼间</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65.1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60.6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57.9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55.9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54.4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53.2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52.1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51.2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50.4 </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34"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132"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32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夜间</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60.6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56.0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53.3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51.4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49.9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48.7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47.6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46.7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45.8 </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45.1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34" w:type="pct"/>
            <w:vMerge w:val="continue"/>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1"/>
                <w:szCs w:val="21"/>
                <w:lang w:bidi="ar"/>
              </w:rPr>
            </w:pPr>
          </w:p>
        </w:tc>
        <w:tc>
          <w:tcPr>
            <w:tcW w:w="1132" w:type="pct"/>
            <w:vMerge w:val="restar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中期（</w:t>
            </w:r>
            <w:r>
              <w:rPr>
                <w:rStyle w:val="93"/>
                <w:rFonts w:hint="default" w:ascii="Times New Roman" w:hAnsi="Times New Roman" w:cs="Times New Roman"/>
                <w:b w:val="0"/>
                <w:bCs w:val="0"/>
                <w:color w:val="auto"/>
                <w:sz w:val="21"/>
                <w:szCs w:val="21"/>
                <w:lang w:bidi="ar"/>
              </w:rPr>
              <w:t>203</w:t>
            </w:r>
            <w:r>
              <w:rPr>
                <w:rStyle w:val="93"/>
                <w:rFonts w:hint="eastAsia" w:cs="Times New Roman"/>
                <w:b w:val="0"/>
                <w:bCs w:val="0"/>
                <w:color w:val="auto"/>
                <w:sz w:val="21"/>
                <w:szCs w:val="21"/>
                <w:lang w:val="en-US" w:eastAsia="zh-CN" w:bidi="ar"/>
              </w:rPr>
              <w:t>2</w:t>
            </w:r>
            <w:r>
              <w:rPr>
                <w:rStyle w:val="93"/>
                <w:rFonts w:hint="default" w:ascii="Times New Roman" w:hAnsi="Times New Roman" w:cs="Times New Roman"/>
                <w:b w:val="0"/>
                <w:bCs w:val="0"/>
                <w:color w:val="auto"/>
                <w:sz w:val="21"/>
                <w:szCs w:val="21"/>
                <w:lang w:bidi="ar"/>
              </w:rPr>
              <w:t>年</w:t>
            </w:r>
            <w:r>
              <w:rPr>
                <w:rStyle w:val="94"/>
                <w:rFonts w:hint="default" w:ascii="Times New Roman" w:hAnsi="Times New Roman" w:cs="Times New Roman"/>
                <w:b w:val="0"/>
                <w:bCs w:val="0"/>
                <w:color w:val="auto"/>
                <w:sz w:val="21"/>
                <w:szCs w:val="21"/>
                <w:lang w:bidi="ar"/>
              </w:rPr>
              <w:t>）</w:t>
            </w:r>
          </w:p>
        </w:tc>
        <w:tc>
          <w:tcPr>
            <w:tcW w:w="32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昼间</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66.2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61.6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58.9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57.0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55.5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54.3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53.2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52.3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51.4 </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50.7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34"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132"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32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夜间</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61.7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57.1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54.4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52.5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51.0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49.7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48.7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47.7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46.9 </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46.2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34" w:type="pct"/>
            <w:vMerge w:val="continue"/>
            <w:tcBorders>
              <w:tl2br w:val="nil"/>
              <w:tr2bl w:val="nil"/>
            </w:tcBorders>
            <w:noWrap w:val="0"/>
            <w:vAlign w:val="center"/>
          </w:tcPr>
          <w:p>
            <w:pPr>
              <w:widowControl/>
              <w:jc w:val="center"/>
              <w:textAlignment w:val="center"/>
              <w:rPr>
                <w:rFonts w:hint="default" w:ascii="Times New Roman" w:hAnsi="Times New Roman" w:cs="Times New Roman"/>
                <w:color w:val="auto"/>
                <w:kern w:val="0"/>
                <w:sz w:val="21"/>
                <w:szCs w:val="21"/>
                <w:lang w:bidi="ar"/>
              </w:rPr>
            </w:pPr>
          </w:p>
        </w:tc>
        <w:tc>
          <w:tcPr>
            <w:tcW w:w="1132" w:type="pct"/>
            <w:vMerge w:val="restar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远期（</w:t>
            </w:r>
            <w:r>
              <w:rPr>
                <w:rStyle w:val="93"/>
                <w:rFonts w:hint="default" w:ascii="Times New Roman" w:hAnsi="Times New Roman" w:cs="Times New Roman"/>
                <w:b w:val="0"/>
                <w:bCs w:val="0"/>
                <w:color w:val="auto"/>
                <w:sz w:val="21"/>
                <w:szCs w:val="21"/>
                <w:lang w:bidi="ar"/>
              </w:rPr>
              <w:t>20</w:t>
            </w:r>
            <w:r>
              <w:rPr>
                <w:rStyle w:val="93"/>
                <w:rFonts w:hint="eastAsia" w:cs="Times New Roman"/>
                <w:b w:val="0"/>
                <w:bCs w:val="0"/>
                <w:color w:val="auto"/>
                <w:sz w:val="21"/>
                <w:szCs w:val="21"/>
                <w:lang w:val="en-US" w:eastAsia="zh-CN" w:bidi="ar"/>
              </w:rPr>
              <w:t>40</w:t>
            </w:r>
            <w:r>
              <w:rPr>
                <w:rStyle w:val="93"/>
                <w:rFonts w:hint="default" w:ascii="Times New Roman" w:hAnsi="Times New Roman" w:cs="Times New Roman"/>
                <w:b w:val="0"/>
                <w:bCs w:val="0"/>
                <w:color w:val="auto"/>
                <w:sz w:val="21"/>
                <w:szCs w:val="21"/>
                <w:lang w:bidi="ar"/>
              </w:rPr>
              <w:t>年</w:t>
            </w:r>
            <w:r>
              <w:rPr>
                <w:rStyle w:val="94"/>
                <w:rFonts w:hint="default" w:ascii="Times New Roman" w:hAnsi="Times New Roman" w:cs="Times New Roman"/>
                <w:b w:val="0"/>
                <w:bCs w:val="0"/>
                <w:color w:val="auto"/>
                <w:sz w:val="21"/>
                <w:szCs w:val="21"/>
                <w:lang w:bidi="ar"/>
              </w:rPr>
              <w:t>）</w:t>
            </w:r>
          </w:p>
        </w:tc>
        <w:tc>
          <w:tcPr>
            <w:tcW w:w="32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昼间</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67.1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62.5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59.8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57.9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56.4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55.2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54.1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53.2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52.3 </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51.6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3" w:hRule="atLeast"/>
          <w:jc w:val="center"/>
        </w:trPr>
        <w:tc>
          <w:tcPr>
            <w:tcW w:w="634"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1132" w:type="pct"/>
            <w:vMerge w:val="continue"/>
            <w:tcBorders>
              <w:tl2br w:val="nil"/>
              <w:tr2bl w:val="nil"/>
            </w:tcBorders>
            <w:noWrap w:val="0"/>
            <w:vAlign w:val="center"/>
          </w:tcPr>
          <w:p>
            <w:pPr>
              <w:jc w:val="center"/>
              <w:rPr>
                <w:rFonts w:hint="default" w:ascii="Times New Roman" w:hAnsi="Times New Roman" w:cs="Times New Roman"/>
                <w:color w:val="auto"/>
                <w:sz w:val="21"/>
                <w:szCs w:val="21"/>
              </w:rPr>
            </w:pPr>
          </w:p>
        </w:tc>
        <w:tc>
          <w:tcPr>
            <w:tcW w:w="328" w:type="pct"/>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夜间</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62.6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58.0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55.3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53.4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51.9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50.6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49.6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48.7 </w:t>
            </w:r>
          </w:p>
        </w:tc>
        <w:tc>
          <w:tcPr>
            <w:tcW w:w="814"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47.8 </w:t>
            </w:r>
          </w:p>
        </w:tc>
        <w:tc>
          <w:tcPr>
            <w:tcW w:w="822" w:type="dxa"/>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 xml:space="preserve">47.1 </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default" w:ascii="Times New Roman" w:hAnsi="Times New Roman" w:eastAsia="宋体" w:cs="Times New Roman"/>
          <w:b/>
          <w:bCs/>
          <w:sz w:val="24"/>
        </w:rPr>
      </w:pPr>
      <w:r>
        <w:rPr>
          <w:rFonts w:hint="default" w:ascii="Times New Roman" w:hAnsi="Times New Roman" w:cs="Times New Roman"/>
          <w:b/>
          <w:bCs/>
          <w:sz w:val="24"/>
        </w:rPr>
        <w:t>表4.2-</w:t>
      </w:r>
      <w:r>
        <w:rPr>
          <w:rFonts w:hint="eastAsia" w:cs="Times New Roman"/>
          <w:b/>
          <w:bCs/>
          <w:sz w:val="24"/>
          <w:lang w:val="en-US" w:eastAsia="zh-CN"/>
        </w:rPr>
        <w:t>5</w:t>
      </w:r>
      <w:r>
        <w:rPr>
          <w:rFonts w:hint="default" w:ascii="Times New Roman" w:hAnsi="Times New Roman" w:cs="Times New Roman"/>
          <w:b/>
          <w:bCs/>
          <w:sz w:val="24"/>
        </w:rPr>
        <w:t xml:space="preserve"> </w:t>
      </w:r>
      <w:r>
        <w:rPr>
          <w:rFonts w:hint="default" w:ascii="Times New Roman" w:hAnsi="Times New Roman" w:eastAsia="宋体" w:cs="Times New Roman"/>
          <w:b/>
          <w:bCs/>
          <w:sz w:val="24"/>
        </w:rPr>
        <w:t xml:space="preserve"> </w:t>
      </w:r>
      <w:bookmarkStart w:id="260" w:name="_Ref124881053"/>
      <w:r>
        <w:rPr>
          <w:rFonts w:hint="eastAsia" w:ascii="Times New Roman" w:hAnsi="Times New Roman" w:eastAsia="宋体" w:cs="Times New Roman"/>
          <w:b/>
          <w:bCs/>
          <w:sz w:val="24"/>
          <w:lang w:val="en-US" w:eastAsia="zh-CN"/>
        </w:rPr>
        <w:t>道路两侧</w:t>
      </w:r>
      <w:r>
        <w:rPr>
          <w:rFonts w:hint="default" w:ascii="Times New Roman" w:hAnsi="Times New Roman" w:eastAsia="宋体" w:cs="Times New Roman"/>
          <w:b/>
          <w:bCs/>
          <w:sz w:val="24"/>
        </w:rPr>
        <w:t>交通噪声</w:t>
      </w:r>
      <w:r>
        <w:rPr>
          <w:rFonts w:hint="eastAsia" w:ascii="Times New Roman" w:hAnsi="Times New Roman" w:eastAsia="宋体" w:cs="Times New Roman"/>
          <w:b/>
          <w:bCs/>
          <w:sz w:val="24"/>
          <w:lang w:val="en-US" w:eastAsia="zh-CN"/>
        </w:rPr>
        <w:t>红线</w:t>
      </w:r>
      <w:r>
        <w:rPr>
          <w:rFonts w:hint="default" w:ascii="Times New Roman" w:hAnsi="Times New Roman" w:eastAsia="宋体" w:cs="Times New Roman"/>
          <w:b/>
          <w:bCs/>
          <w:sz w:val="24"/>
        </w:rPr>
        <w:t>外达标距离  单位：m</w:t>
      </w:r>
      <w:bookmarkEnd w:id="260"/>
    </w:p>
    <w:tbl>
      <w:tblPr>
        <w:tblStyle w:val="27"/>
        <w:tblW w:w="14002"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0" w:type="dxa"/>
          <w:bottom w:w="0" w:type="dxa"/>
          <w:right w:w="0" w:type="dxa"/>
        </w:tblCellMar>
      </w:tblPr>
      <w:tblGrid>
        <w:gridCol w:w="2683"/>
        <w:gridCol w:w="2309"/>
        <w:gridCol w:w="2954"/>
        <w:gridCol w:w="1900"/>
        <w:gridCol w:w="2019"/>
        <w:gridCol w:w="213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atLeast"/>
          <w:jc w:val="center"/>
        </w:trPr>
        <w:tc>
          <w:tcPr>
            <w:tcW w:w="2683" w:type="dxa"/>
            <w:vMerge w:val="restart"/>
            <w:vAlign w:val="center"/>
          </w:tcPr>
          <w:p>
            <w:pPr>
              <w:jc w:val="center"/>
              <w:rPr>
                <w:color w:val="auto"/>
                <w:szCs w:val="21"/>
              </w:rPr>
            </w:pPr>
            <w:r>
              <w:rPr>
                <w:color w:val="auto"/>
                <w:szCs w:val="21"/>
              </w:rPr>
              <w:t>营运期</w:t>
            </w:r>
          </w:p>
        </w:tc>
        <w:tc>
          <w:tcPr>
            <w:tcW w:w="2309" w:type="dxa"/>
            <w:vMerge w:val="restart"/>
            <w:vAlign w:val="center"/>
          </w:tcPr>
          <w:p>
            <w:pPr>
              <w:jc w:val="center"/>
              <w:rPr>
                <w:color w:val="auto"/>
                <w:szCs w:val="21"/>
              </w:rPr>
            </w:pPr>
            <w:r>
              <w:rPr>
                <w:color w:val="auto"/>
                <w:szCs w:val="21"/>
              </w:rPr>
              <w:t>道路</w:t>
            </w:r>
          </w:p>
        </w:tc>
        <w:tc>
          <w:tcPr>
            <w:tcW w:w="4854" w:type="dxa"/>
            <w:gridSpan w:val="2"/>
            <w:vAlign w:val="center"/>
          </w:tcPr>
          <w:p>
            <w:pPr>
              <w:jc w:val="center"/>
              <w:rPr>
                <w:color w:val="auto"/>
                <w:szCs w:val="21"/>
              </w:rPr>
            </w:pPr>
            <w:r>
              <w:rPr>
                <w:color w:val="auto"/>
                <w:szCs w:val="21"/>
              </w:rPr>
              <w:t>4a类标准</w:t>
            </w:r>
          </w:p>
        </w:tc>
        <w:tc>
          <w:tcPr>
            <w:tcW w:w="4156" w:type="dxa"/>
            <w:gridSpan w:val="2"/>
            <w:vAlign w:val="center"/>
          </w:tcPr>
          <w:p>
            <w:pPr>
              <w:jc w:val="center"/>
              <w:rPr>
                <w:color w:val="auto"/>
                <w:szCs w:val="21"/>
              </w:rPr>
            </w:pPr>
            <w:r>
              <w:rPr>
                <w:color w:val="auto"/>
                <w:szCs w:val="21"/>
              </w:rPr>
              <w:t>2类标准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atLeast"/>
          <w:jc w:val="center"/>
        </w:trPr>
        <w:tc>
          <w:tcPr>
            <w:tcW w:w="2683" w:type="dxa"/>
            <w:vMerge w:val="continue"/>
            <w:vAlign w:val="center"/>
          </w:tcPr>
          <w:p>
            <w:pPr>
              <w:widowControl/>
              <w:jc w:val="left"/>
              <w:rPr>
                <w:color w:val="auto"/>
                <w:szCs w:val="21"/>
              </w:rPr>
            </w:pPr>
          </w:p>
        </w:tc>
        <w:tc>
          <w:tcPr>
            <w:tcW w:w="2309" w:type="dxa"/>
            <w:vMerge w:val="continue"/>
            <w:vAlign w:val="center"/>
          </w:tcPr>
          <w:p>
            <w:pPr>
              <w:widowControl/>
              <w:jc w:val="left"/>
              <w:rPr>
                <w:color w:val="auto"/>
                <w:szCs w:val="21"/>
              </w:rPr>
            </w:pPr>
          </w:p>
        </w:tc>
        <w:tc>
          <w:tcPr>
            <w:tcW w:w="2954" w:type="dxa"/>
            <w:vAlign w:val="center"/>
          </w:tcPr>
          <w:p>
            <w:pPr>
              <w:jc w:val="center"/>
              <w:rPr>
                <w:color w:val="auto"/>
                <w:szCs w:val="21"/>
              </w:rPr>
            </w:pPr>
            <w:r>
              <w:rPr>
                <w:color w:val="auto"/>
                <w:szCs w:val="21"/>
              </w:rPr>
              <w:t>昼间</w:t>
            </w:r>
          </w:p>
        </w:tc>
        <w:tc>
          <w:tcPr>
            <w:tcW w:w="1900" w:type="dxa"/>
            <w:vAlign w:val="center"/>
          </w:tcPr>
          <w:p>
            <w:pPr>
              <w:jc w:val="center"/>
              <w:rPr>
                <w:color w:val="auto"/>
                <w:szCs w:val="21"/>
              </w:rPr>
            </w:pPr>
            <w:r>
              <w:rPr>
                <w:color w:val="auto"/>
                <w:szCs w:val="21"/>
              </w:rPr>
              <w:t>夜间</w:t>
            </w:r>
          </w:p>
        </w:tc>
        <w:tc>
          <w:tcPr>
            <w:tcW w:w="2019" w:type="dxa"/>
            <w:vAlign w:val="center"/>
          </w:tcPr>
          <w:p>
            <w:pPr>
              <w:jc w:val="center"/>
              <w:rPr>
                <w:color w:val="auto"/>
                <w:szCs w:val="21"/>
              </w:rPr>
            </w:pPr>
            <w:r>
              <w:rPr>
                <w:color w:val="auto"/>
                <w:szCs w:val="21"/>
              </w:rPr>
              <w:t>昼间</w:t>
            </w:r>
          </w:p>
        </w:tc>
        <w:tc>
          <w:tcPr>
            <w:tcW w:w="2137" w:type="dxa"/>
            <w:vAlign w:val="center"/>
          </w:tcPr>
          <w:p>
            <w:pPr>
              <w:jc w:val="center"/>
              <w:rPr>
                <w:color w:val="auto"/>
                <w:szCs w:val="21"/>
              </w:rPr>
            </w:pPr>
            <w:r>
              <w:rPr>
                <w:color w:val="auto"/>
                <w:szCs w:val="21"/>
              </w:rPr>
              <w:t>夜间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atLeast"/>
          <w:jc w:val="center"/>
        </w:trPr>
        <w:tc>
          <w:tcPr>
            <w:tcW w:w="2683" w:type="dxa"/>
            <w:vAlign w:val="center"/>
          </w:tcPr>
          <w:p>
            <w:pPr>
              <w:widowControl/>
              <w:jc w:val="center"/>
              <w:textAlignment w:val="center"/>
              <w:rPr>
                <w:color w:val="auto"/>
                <w:szCs w:val="21"/>
              </w:rPr>
            </w:pPr>
            <w:r>
              <w:rPr>
                <w:rFonts w:hint="default" w:ascii="Times New Roman" w:hAnsi="Times New Roman" w:cs="Times New Roman"/>
                <w:color w:val="auto"/>
                <w:kern w:val="0"/>
                <w:sz w:val="21"/>
                <w:szCs w:val="21"/>
                <w:lang w:bidi="ar"/>
              </w:rPr>
              <w:t>近期（</w:t>
            </w:r>
            <w:r>
              <w:rPr>
                <w:rStyle w:val="93"/>
                <w:rFonts w:hint="default" w:ascii="Times New Roman" w:hAnsi="Times New Roman" w:cs="Times New Roman"/>
                <w:b w:val="0"/>
                <w:bCs w:val="0"/>
                <w:color w:val="auto"/>
                <w:sz w:val="21"/>
                <w:szCs w:val="21"/>
                <w:lang w:bidi="ar"/>
              </w:rPr>
              <w:t>202</w:t>
            </w:r>
            <w:r>
              <w:rPr>
                <w:rStyle w:val="93"/>
                <w:rFonts w:hint="eastAsia" w:cs="Times New Roman"/>
                <w:b w:val="0"/>
                <w:bCs w:val="0"/>
                <w:color w:val="auto"/>
                <w:sz w:val="21"/>
                <w:szCs w:val="21"/>
                <w:lang w:val="en-US" w:eastAsia="zh-CN" w:bidi="ar"/>
              </w:rPr>
              <w:t>6</w:t>
            </w:r>
            <w:r>
              <w:rPr>
                <w:rStyle w:val="93"/>
                <w:rFonts w:hint="default" w:ascii="Times New Roman" w:hAnsi="Times New Roman" w:cs="Times New Roman"/>
                <w:b w:val="0"/>
                <w:bCs w:val="0"/>
                <w:color w:val="auto"/>
                <w:sz w:val="21"/>
                <w:szCs w:val="21"/>
                <w:lang w:bidi="ar"/>
              </w:rPr>
              <w:t>年</w:t>
            </w:r>
            <w:r>
              <w:rPr>
                <w:rStyle w:val="94"/>
                <w:rFonts w:hint="default" w:ascii="Times New Roman" w:hAnsi="Times New Roman" w:cs="Times New Roman"/>
                <w:b w:val="0"/>
                <w:bCs w:val="0"/>
                <w:color w:val="auto"/>
                <w:sz w:val="21"/>
                <w:szCs w:val="21"/>
                <w:lang w:bidi="ar"/>
              </w:rPr>
              <w:t>）</w:t>
            </w:r>
          </w:p>
        </w:tc>
        <w:tc>
          <w:tcPr>
            <w:tcW w:w="2309" w:type="dxa"/>
            <w:vMerge w:val="restart"/>
            <w:vAlign w:val="center"/>
          </w:tcPr>
          <w:p>
            <w:pPr>
              <w:widowControl/>
              <w:jc w:val="center"/>
              <w:rPr>
                <w:color w:val="auto"/>
                <w:szCs w:val="21"/>
              </w:rPr>
            </w:pPr>
            <w:r>
              <w:rPr>
                <w:rFonts w:hint="default" w:ascii="Times New Roman" w:hAnsi="Times New Roman" w:cs="Times New Roman"/>
                <w:sz w:val="21"/>
                <w:szCs w:val="21"/>
              </w:rPr>
              <w:t>福泽大道</w:t>
            </w:r>
          </w:p>
        </w:tc>
        <w:tc>
          <w:tcPr>
            <w:tcW w:w="2954" w:type="dxa"/>
            <w:vAlign w:val="center"/>
          </w:tcPr>
          <w:p>
            <w:pPr>
              <w:jc w:val="center"/>
              <w:rPr>
                <w:color w:val="auto"/>
                <w:szCs w:val="21"/>
              </w:rPr>
            </w:pPr>
            <w:r>
              <w:rPr>
                <w:color w:val="auto"/>
                <w:szCs w:val="21"/>
              </w:rPr>
              <w:t>/</w:t>
            </w:r>
          </w:p>
        </w:tc>
        <w:tc>
          <w:tcPr>
            <w:tcW w:w="1900" w:type="dxa"/>
            <w:vAlign w:val="center"/>
          </w:tcPr>
          <w:p>
            <w:pPr>
              <w:jc w:val="center"/>
              <w:rPr>
                <w:rFonts w:hint="default" w:eastAsia="宋体"/>
                <w:color w:val="auto"/>
                <w:szCs w:val="21"/>
                <w:lang w:val="en-US" w:eastAsia="zh-CN"/>
              </w:rPr>
            </w:pPr>
            <w:r>
              <w:rPr>
                <w:rFonts w:hint="eastAsia"/>
                <w:color w:val="auto"/>
                <w:szCs w:val="21"/>
                <w:lang w:val="en-US" w:eastAsia="zh-CN"/>
              </w:rPr>
              <w:t>27</w:t>
            </w:r>
          </w:p>
        </w:tc>
        <w:tc>
          <w:tcPr>
            <w:tcW w:w="2019" w:type="dxa"/>
            <w:vAlign w:val="center"/>
          </w:tcPr>
          <w:p>
            <w:pPr>
              <w:jc w:val="center"/>
              <w:rPr>
                <w:rFonts w:hint="default" w:eastAsia="宋体"/>
                <w:color w:val="auto"/>
                <w:szCs w:val="21"/>
                <w:lang w:val="en-US" w:eastAsia="zh-CN"/>
              </w:rPr>
            </w:pPr>
            <w:r>
              <w:rPr>
                <w:rFonts w:hint="eastAsia"/>
                <w:color w:val="auto"/>
                <w:szCs w:val="21"/>
                <w:lang w:val="en-US" w:eastAsia="zh-CN"/>
              </w:rPr>
              <w:t>23</w:t>
            </w:r>
          </w:p>
        </w:tc>
        <w:tc>
          <w:tcPr>
            <w:tcW w:w="2137" w:type="dxa"/>
            <w:vAlign w:val="center"/>
          </w:tcPr>
          <w:p>
            <w:pPr>
              <w:jc w:val="center"/>
              <w:rPr>
                <w:rFonts w:hint="default" w:eastAsia="宋体"/>
                <w:color w:val="auto"/>
                <w:szCs w:val="21"/>
                <w:lang w:val="en-US" w:eastAsia="zh-CN"/>
              </w:rPr>
            </w:pPr>
            <w:r>
              <w:rPr>
                <w:rFonts w:hint="eastAsia"/>
                <w:color w:val="auto"/>
                <w:szCs w:val="21"/>
                <w:lang w:val="en-US" w:eastAsia="zh-CN"/>
              </w:rPr>
              <w:t>78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atLeast"/>
          <w:jc w:val="center"/>
        </w:trPr>
        <w:tc>
          <w:tcPr>
            <w:tcW w:w="2683" w:type="dxa"/>
            <w:vAlign w:val="center"/>
          </w:tcPr>
          <w:p>
            <w:pPr>
              <w:widowControl/>
              <w:jc w:val="center"/>
              <w:textAlignment w:val="center"/>
              <w:rPr>
                <w:color w:val="auto"/>
                <w:szCs w:val="21"/>
              </w:rPr>
            </w:pPr>
            <w:r>
              <w:rPr>
                <w:rFonts w:hint="default" w:ascii="Times New Roman" w:hAnsi="Times New Roman" w:cs="Times New Roman"/>
                <w:color w:val="auto"/>
                <w:kern w:val="0"/>
                <w:sz w:val="21"/>
                <w:szCs w:val="21"/>
                <w:lang w:bidi="ar"/>
              </w:rPr>
              <w:t>中期（</w:t>
            </w:r>
            <w:r>
              <w:rPr>
                <w:rStyle w:val="93"/>
                <w:rFonts w:hint="default" w:ascii="Times New Roman" w:hAnsi="Times New Roman" w:cs="Times New Roman"/>
                <w:b w:val="0"/>
                <w:bCs w:val="0"/>
                <w:color w:val="auto"/>
                <w:sz w:val="21"/>
                <w:szCs w:val="21"/>
                <w:lang w:bidi="ar"/>
              </w:rPr>
              <w:t>203</w:t>
            </w:r>
            <w:r>
              <w:rPr>
                <w:rStyle w:val="93"/>
                <w:rFonts w:hint="eastAsia" w:cs="Times New Roman"/>
                <w:b w:val="0"/>
                <w:bCs w:val="0"/>
                <w:color w:val="auto"/>
                <w:sz w:val="21"/>
                <w:szCs w:val="21"/>
                <w:lang w:val="en-US" w:eastAsia="zh-CN" w:bidi="ar"/>
              </w:rPr>
              <w:t>2</w:t>
            </w:r>
            <w:r>
              <w:rPr>
                <w:rStyle w:val="93"/>
                <w:rFonts w:hint="default" w:ascii="Times New Roman" w:hAnsi="Times New Roman" w:cs="Times New Roman"/>
                <w:b w:val="0"/>
                <w:bCs w:val="0"/>
                <w:color w:val="auto"/>
                <w:sz w:val="21"/>
                <w:szCs w:val="21"/>
                <w:lang w:bidi="ar"/>
              </w:rPr>
              <w:t>年</w:t>
            </w:r>
            <w:r>
              <w:rPr>
                <w:rStyle w:val="94"/>
                <w:rFonts w:hint="default" w:ascii="Times New Roman" w:hAnsi="Times New Roman" w:cs="Times New Roman"/>
                <w:b w:val="0"/>
                <w:bCs w:val="0"/>
                <w:color w:val="auto"/>
                <w:sz w:val="21"/>
                <w:szCs w:val="21"/>
                <w:lang w:bidi="ar"/>
              </w:rPr>
              <w:t>）</w:t>
            </w:r>
          </w:p>
        </w:tc>
        <w:tc>
          <w:tcPr>
            <w:tcW w:w="2309" w:type="dxa"/>
            <w:vMerge w:val="continue"/>
            <w:vAlign w:val="center"/>
          </w:tcPr>
          <w:p>
            <w:pPr>
              <w:widowControl/>
              <w:jc w:val="left"/>
              <w:rPr>
                <w:color w:val="auto"/>
                <w:szCs w:val="21"/>
              </w:rPr>
            </w:pPr>
          </w:p>
        </w:tc>
        <w:tc>
          <w:tcPr>
            <w:tcW w:w="2954" w:type="dxa"/>
            <w:vAlign w:val="center"/>
          </w:tcPr>
          <w:p>
            <w:pPr>
              <w:jc w:val="center"/>
              <w:rPr>
                <w:color w:val="auto"/>
                <w:szCs w:val="21"/>
              </w:rPr>
            </w:pPr>
            <w:r>
              <w:rPr>
                <w:color w:val="auto"/>
                <w:szCs w:val="21"/>
              </w:rPr>
              <w:t>/</w:t>
            </w:r>
          </w:p>
        </w:tc>
        <w:tc>
          <w:tcPr>
            <w:tcW w:w="1900" w:type="dxa"/>
            <w:vAlign w:val="center"/>
          </w:tcPr>
          <w:p>
            <w:pPr>
              <w:jc w:val="center"/>
              <w:rPr>
                <w:rFonts w:hint="default" w:eastAsia="宋体"/>
                <w:color w:val="auto"/>
                <w:szCs w:val="21"/>
                <w:lang w:val="en-US" w:eastAsia="zh-CN"/>
              </w:rPr>
            </w:pPr>
            <w:r>
              <w:rPr>
                <w:rFonts w:hint="eastAsia"/>
                <w:color w:val="auto"/>
                <w:szCs w:val="21"/>
                <w:lang w:val="en-US" w:eastAsia="zh-CN"/>
              </w:rPr>
              <w:t>35</w:t>
            </w:r>
          </w:p>
        </w:tc>
        <w:tc>
          <w:tcPr>
            <w:tcW w:w="2019" w:type="dxa"/>
            <w:vAlign w:val="center"/>
          </w:tcPr>
          <w:p>
            <w:pPr>
              <w:jc w:val="center"/>
              <w:rPr>
                <w:rFonts w:hint="default" w:eastAsia="宋体"/>
                <w:color w:val="auto"/>
                <w:szCs w:val="21"/>
                <w:lang w:val="en-US" w:eastAsia="zh-CN"/>
              </w:rPr>
            </w:pPr>
            <w:r>
              <w:rPr>
                <w:rFonts w:hint="eastAsia"/>
                <w:color w:val="auto"/>
                <w:szCs w:val="21"/>
                <w:lang w:val="en-US" w:eastAsia="zh-CN"/>
              </w:rPr>
              <w:t>31</w:t>
            </w:r>
          </w:p>
        </w:tc>
        <w:tc>
          <w:tcPr>
            <w:tcW w:w="2137" w:type="dxa"/>
            <w:vAlign w:val="center"/>
          </w:tcPr>
          <w:p>
            <w:pPr>
              <w:jc w:val="center"/>
              <w:rPr>
                <w:rFonts w:hint="default" w:eastAsia="宋体"/>
                <w:color w:val="auto"/>
                <w:szCs w:val="21"/>
                <w:lang w:val="en-US" w:eastAsia="zh-CN"/>
              </w:rPr>
            </w:pPr>
            <w:r>
              <w:rPr>
                <w:rFonts w:hint="eastAsia"/>
                <w:color w:val="auto"/>
                <w:szCs w:val="21"/>
                <w:lang w:val="en-US" w:eastAsia="zh-CN"/>
              </w:rPr>
              <w:t>96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cantSplit/>
          <w:trHeight w:val="397" w:hRule="atLeast"/>
          <w:jc w:val="center"/>
        </w:trPr>
        <w:tc>
          <w:tcPr>
            <w:tcW w:w="2683" w:type="dxa"/>
            <w:vAlign w:val="center"/>
          </w:tcPr>
          <w:p>
            <w:pPr>
              <w:widowControl/>
              <w:jc w:val="center"/>
              <w:textAlignment w:val="center"/>
              <w:rPr>
                <w:color w:val="auto"/>
                <w:szCs w:val="21"/>
              </w:rPr>
            </w:pPr>
            <w:r>
              <w:rPr>
                <w:rFonts w:hint="default" w:ascii="Times New Roman" w:hAnsi="Times New Roman" w:cs="Times New Roman"/>
                <w:color w:val="auto"/>
                <w:kern w:val="0"/>
                <w:sz w:val="21"/>
                <w:szCs w:val="21"/>
                <w:lang w:bidi="ar"/>
              </w:rPr>
              <w:t>远期（</w:t>
            </w:r>
            <w:r>
              <w:rPr>
                <w:rStyle w:val="93"/>
                <w:rFonts w:hint="default" w:ascii="Times New Roman" w:hAnsi="Times New Roman" w:cs="Times New Roman"/>
                <w:b w:val="0"/>
                <w:bCs w:val="0"/>
                <w:color w:val="auto"/>
                <w:sz w:val="21"/>
                <w:szCs w:val="21"/>
                <w:lang w:bidi="ar"/>
              </w:rPr>
              <w:t>20</w:t>
            </w:r>
            <w:r>
              <w:rPr>
                <w:rStyle w:val="93"/>
                <w:rFonts w:hint="eastAsia" w:cs="Times New Roman"/>
                <w:b w:val="0"/>
                <w:bCs w:val="0"/>
                <w:color w:val="auto"/>
                <w:sz w:val="21"/>
                <w:szCs w:val="21"/>
                <w:lang w:val="en-US" w:eastAsia="zh-CN" w:bidi="ar"/>
              </w:rPr>
              <w:t>40</w:t>
            </w:r>
            <w:r>
              <w:rPr>
                <w:rStyle w:val="93"/>
                <w:rFonts w:hint="default" w:ascii="Times New Roman" w:hAnsi="Times New Roman" w:cs="Times New Roman"/>
                <w:b w:val="0"/>
                <w:bCs w:val="0"/>
                <w:color w:val="auto"/>
                <w:sz w:val="21"/>
                <w:szCs w:val="21"/>
                <w:lang w:bidi="ar"/>
              </w:rPr>
              <w:t>年</w:t>
            </w:r>
            <w:r>
              <w:rPr>
                <w:rStyle w:val="94"/>
                <w:rFonts w:hint="default" w:ascii="Times New Roman" w:hAnsi="Times New Roman" w:cs="Times New Roman"/>
                <w:b w:val="0"/>
                <w:bCs w:val="0"/>
                <w:color w:val="auto"/>
                <w:sz w:val="21"/>
                <w:szCs w:val="21"/>
                <w:lang w:bidi="ar"/>
              </w:rPr>
              <w:t>）</w:t>
            </w:r>
          </w:p>
        </w:tc>
        <w:tc>
          <w:tcPr>
            <w:tcW w:w="2309" w:type="dxa"/>
            <w:vMerge w:val="continue"/>
            <w:vAlign w:val="center"/>
          </w:tcPr>
          <w:p>
            <w:pPr>
              <w:widowControl/>
              <w:jc w:val="left"/>
              <w:rPr>
                <w:color w:val="auto"/>
                <w:szCs w:val="21"/>
              </w:rPr>
            </w:pPr>
          </w:p>
        </w:tc>
        <w:tc>
          <w:tcPr>
            <w:tcW w:w="2954" w:type="dxa"/>
            <w:vAlign w:val="center"/>
          </w:tcPr>
          <w:p>
            <w:pPr>
              <w:jc w:val="center"/>
              <w:rPr>
                <w:color w:val="auto"/>
                <w:szCs w:val="21"/>
              </w:rPr>
            </w:pPr>
            <w:r>
              <w:rPr>
                <w:rFonts w:hint="eastAsia"/>
                <w:color w:val="auto"/>
                <w:szCs w:val="21"/>
              </w:rPr>
              <w:t>/</w:t>
            </w:r>
          </w:p>
        </w:tc>
        <w:tc>
          <w:tcPr>
            <w:tcW w:w="1900" w:type="dxa"/>
            <w:vAlign w:val="center"/>
          </w:tcPr>
          <w:p>
            <w:pPr>
              <w:jc w:val="center"/>
              <w:rPr>
                <w:rFonts w:hint="default" w:eastAsia="宋体"/>
                <w:color w:val="auto"/>
                <w:szCs w:val="21"/>
                <w:lang w:val="en-US" w:eastAsia="zh-CN"/>
              </w:rPr>
            </w:pPr>
            <w:r>
              <w:rPr>
                <w:rFonts w:hint="eastAsia"/>
                <w:color w:val="auto"/>
                <w:szCs w:val="21"/>
                <w:lang w:val="en-US" w:eastAsia="zh-CN"/>
              </w:rPr>
              <w:t>43</w:t>
            </w:r>
          </w:p>
        </w:tc>
        <w:tc>
          <w:tcPr>
            <w:tcW w:w="2019" w:type="dxa"/>
            <w:vAlign w:val="center"/>
          </w:tcPr>
          <w:p>
            <w:pPr>
              <w:jc w:val="center"/>
              <w:rPr>
                <w:rFonts w:hint="default" w:eastAsia="宋体"/>
                <w:color w:val="auto"/>
                <w:szCs w:val="21"/>
                <w:lang w:val="en-US" w:eastAsia="zh-CN"/>
              </w:rPr>
            </w:pPr>
            <w:r>
              <w:rPr>
                <w:rFonts w:hint="eastAsia"/>
                <w:color w:val="auto"/>
                <w:szCs w:val="21"/>
                <w:lang w:val="en-US" w:eastAsia="zh-CN"/>
              </w:rPr>
              <w:t>39</w:t>
            </w:r>
          </w:p>
        </w:tc>
        <w:tc>
          <w:tcPr>
            <w:tcW w:w="2137" w:type="dxa"/>
            <w:vAlign w:val="center"/>
          </w:tcPr>
          <w:p>
            <w:pPr>
              <w:jc w:val="center"/>
              <w:rPr>
                <w:rFonts w:hint="default" w:eastAsia="宋体"/>
                <w:color w:val="auto"/>
                <w:szCs w:val="21"/>
                <w:lang w:val="en-US" w:eastAsia="zh-CN"/>
              </w:rPr>
            </w:pPr>
            <w:r>
              <w:rPr>
                <w:rFonts w:hint="eastAsia"/>
                <w:color w:val="auto"/>
                <w:szCs w:val="21"/>
                <w:lang w:val="en-US" w:eastAsia="zh-CN"/>
              </w:rPr>
              <w:t>111</w:t>
            </w:r>
          </w:p>
        </w:tc>
      </w:tr>
    </w:tbl>
    <w:p>
      <w:pPr>
        <w:spacing w:line="360" w:lineRule="auto"/>
        <w:rPr>
          <w:color w:val="auto"/>
          <w:szCs w:val="21"/>
        </w:rPr>
      </w:pPr>
      <w:r>
        <w:rPr>
          <w:rFonts w:hint="eastAsia"/>
          <w:color w:val="auto"/>
          <w:szCs w:val="21"/>
        </w:rPr>
        <w:t>注：防护距离4a类区昼间按达到70dB（A）考虑，夜间按达到55dB（A）考虑；2类区昼间按达到60dB（A）考虑，夜间按达到50dB（A）考虑。</w:t>
      </w:r>
    </w:p>
    <w:p>
      <w:pPr>
        <w:spacing w:line="360" w:lineRule="auto"/>
        <w:jc w:val="center"/>
        <w:rPr>
          <w:rFonts w:hint="default" w:ascii="Times New Roman" w:hAnsi="Times New Roman" w:cs="Times New Roman"/>
          <w:b/>
          <w:bCs/>
          <w:sz w:val="24"/>
        </w:rPr>
        <w:sectPr>
          <w:pgSz w:w="16838" w:h="11906" w:orient="landscape"/>
          <w:pgMar w:top="1418" w:right="1418" w:bottom="1418" w:left="1418" w:header="851" w:footer="1077" w:gutter="0"/>
          <w:pgBorders>
            <w:top w:val="none" w:sz="0" w:space="0"/>
            <w:left w:val="none" w:sz="0" w:space="0"/>
            <w:bottom w:val="none" w:sz="0" w:space="0"/>
            <w:right w:val="none" w:sz="0" w:space="0"/>
          </w:pgBorders>
          <w:cols w:space="720" w:num="1"/>
          <w:docGrid w:linePitch="312" w:charSpace="0"/>
        </w:sectPr>
      </w:pPr>
    </w:p>
    <w:p>
      <w:pPr>
        <w:spacing w:line="360" w:lineRule="auto"/>
        <w:jc w:val="center"/>
        <w:rPr>
          <w:rFonts w:hint="default" w:ascii="Times New Roman" w:hAnsi="Times New Roman" w:cs="Times New Roman"/>
          <w:b/>
          <w:bCs/>
          <w:sz w:val="24"/>
        </w:rPr>
      </w:pPr>
      <w:r>
        <w:drawing>
          <wp:inline distT="0" distB="0" distL="114300" distR="114300">
            <wp:extent cx="5758180" cy="3232150"/>
            <wp:effectExtent l="4445" t="4445" r="15875" b="14605"/>
            <wp:docPr id="96" name="图表 1" descr="7b0a202020202263686172745265734964223a202232303437363335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pPr>
        <w:spacing w:line="360" w:lineRule="auto"/>
        <w:jc w:val="center"/>
        <w:rPr>
          <w:rFonts w:hint="default" w:ascii="Times New Roman" w:hAnsi="Times New Roman" w:cs="Times New Roman"/>
          <w:b/>
          <w:bCs/>
          <w:sz w:val="24"/>
        </w:rPr>
      </w:pPr>
      <w:r>
        <w:rPr>
          <w:rFonts w:hint="default" w:ascii="Times New Roman" w:hAnsi="Times New Roman" w:cs="Times New Roman"/>
          <w:b/>
          <w:sz w:val="24"/>
          <w:szCs w:val="28"/>
        </w:rPr>
        <w:t xml:space="preserve">图4.2-5  </w:t>
      </w:r>
      <w:r>
        <w:rPr>
          <w:rFonts w:hint="default" w:ascii="Times New Roman" w:hAnsi="Times New Roman" w:eastAsia="宋体" w:cs="Times New Roman"/>
          <w:b/>
          <w:sz w:val="24"/>
          <w:szCs w:val="28"/>
        </w:rPr>
        <w:t>福泽大道</w:t>
      </w:r>
      <w:r>
        <w:rPr>
          <w:rFonts w:hint="default" w:ascii="Times New Roman" w:hAnsi="Times New Roman" w:cs="Times New Roman"/>
          <w:b/>
          <w:sz w:val="24"/>
          <w:szCs w:val="28"/>
        </w:rPr>
        <w:t>水平向预测结果衰减曲线</w:t>
      </w:r>
    </w:p>
    <w:p>
      <w:pPr>
        <w:adjustRightInd w:val="0"/>
        <w:snapToGrid w:val="0"/>
        <w:spacing w:before="120" w:beforeLines="50" w:line="360" w:lineRule="auto"/>
        <w:ind w:firstLine="480" w:firstLineChars="20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交通噪声影响预测是假定在开阔空旷的平路基条件下，不考虑地形地貌、树林、房屋等障碍对声波的附加衰减，只考虑声波的距离几何衰减和地面的吸收及空气吸收而获得的在离地面1.2m处的纯交通噪声的贡献值在水平向的影响分布。</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由预测结果可知：</w:t>
      </w:r>
    </w:p>
    <w:p>
      <w:pPr>
        <w:adjustRightInd w:val="0"/>
        <w:snapToGrid w:val="0"/>
        <w:spacing w:line="360" w:lineRule="auto"/>
        <w:ind w:firstLine="480"/>
        <w:rPr>
          <w:rFonts w:hint="default" w:ascii="Times New Roman" w:hAnsi="Times New Roman" w:cs="Times New Roman"/>
          <w:kern w:val="0"/>
          <w:sz w:val="24"/>
        </w:rPr>
      </w:pPr>
      <w:r>
        <w:rPr>
          <w:rFonts w:hint="default" w:ascii="Times New Roman" w:hAnsi="Times New Roman" w:cs="Times New Roman"/>
          <w:kern w:val="0"/>
          <w:sz w:val="24"/>
        </w:rPr>
        <w:t>①</w:t>
      </w:r>
      <w:r>
        <w:rPr>
          <w:rFonts w:hint="default" w:ascii="Times New Roman" w:hAnsi="Times New Roman" w:cs="Times New Roman"/>
          <w:kern w:val="0"/>
          <w:sz w:val="24"/>
          <w:lang w:val="zh-CN"/>
        </w:rPr>
        <w:t>营运近期202</w:t>
      </w:r>
      <w:r>
        <w:rPr>
          <w:rFonts w:hint="eastAsia" w:cs="Times New Roman"/>
          <w:kern w:val="0"/>
          <w:sz w:val="24"/>
          <w:lang w:val="en-US" w:eastAsia="zh-CN"/>
        </w:rPr>
        <w:t>6</w:t>
      </w:r>
      <w:r>
        <w:rPr>
          <w:rFonts w:hint="default" w:ascii="Times New Roman" w:hAnsi="Times New Roman" w:cs="Times New Roman"/>
          <w:kern w:val="0"/>
          <w:sz w:val="24"/>
          <w:lang w:val="zh-CN"/>
        </w:rPr>
        <w:t>年(通车年)：昼间平均小时交通量时，红线外即符合4a标准，距离道路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cs="Times New Roman"/>
          <w:kern w:val="0"/>
          <w:sz w:val="24"/>
          <w:lang w:val="en-US" w:eastAsia="zh-CN"/>
        </w:rPr>
        <w:t>23</w:t>
      </w:r>
      <w:r>
        <w:rPr>
          <w:rFonts w:hint="default" w:ascii="Times New Roman" w:hAnsi="Times New Roman" w:cs="Times New Roman"/>
          <w:kern w:val="0"/>
          <w:sz w:val="24"/>
          <w:lang w:val="zh-CN"/>
        </w:rPr>
        <w:t>m外符合2类标准；夜间平均小时交通量时，距离道路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cs="Times New Roman"/>
          <w:kern w:val="0"/>
          <w:sz w:val="24"/>
          <w:lang w:val="en-US" w:eastAsia="zh-CN"/>
        </w:rPr>
        <w:t>27</w:t>
      </w:r>
      <w:r>
        <w:rPr>
          <w:rFonts w:hint="default" w:ascii="Times New Roman" w:hAnsi="Times New Roman" w:cs="Times New Roman"/>
          <w:kern w:val="0"/>
          <w:sz w:val="24"/>
          <w:lang w:val="zh-CN"/>
        </w:rPr>
        <w:t>m外</w:t>
      </w:r>
      <w:r>
        <w:rPr>
          <w:rFonts w:hint="default" w:ascii="Times New Roman" w:hAnsi="Times New Roman" w:cs="Times New Roman"/>
          <w:sz w:val="24"/>
          <w:lang w:val="zh-CN"/>
        </w:rPr>
        <w:t>符合</w:t>
      </w:r>
      <w:r>
        <w:rPr>
          <w:rFonts w:hint="default" w:ascii="Times New Roman" w:hAnsi="Times New Roman" w:cs="Times New Roman"/>
          <w:sz w:val="24"/>
        </w:rPr>
        <w:t>4a</w:t>
      </w:r>
      <w:r>
        <w:rPr>
          <w:rFonts w:hint="default" w:ascii="Times New Roman" w:hAnsi="Times New Roman" w:cs="Times New Roman"/>
          <w:sz w:val="24"/>
          <w:lang w:val="zh-CN"/>
        </w:rPr>
        <w:t>类标准</w:t>
      </w:r>
      <w:r>
        <w:rPr>
          <w:rFonts w:hint="default" w:ascii="Times New Roman" w:hAnsi="Times New Roman" w:cs="Times New Roman"/>
          <w:kern w:val="0"/>
          <w:sz w:val="24"/>
          <w:lang w:val="zh-CN"/>
        </w:rPr>
        <w:t>，距离道路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cs="Times New Roman"/>
          <w:kern w:val="0"/>
          <w:sz w:val="24"/>
          <w:lang w:val="en-US" w:eastAsia="zh-CN"/>
        </w:rPr>
        <w:t>78</w:t>
      </w:r>
      <w:r>
        <w:rPr>
          <w:rFonts w:hint="default" w:ascii="Times New Roman" w:hAnsi="Times New Roman" w:cs="Times New Roman"/>
          <w:kern w:val="0"/>
          <w:sz w:val="24"/>
          <w:lang w:val="zh-CN"/>
        </w:rPr>
        <w:t>m外符合2类标准。</w:t>
      </w:r>
    </w:p>
    <w:p>
      <w:pPr>
        <w:adjustRightInd w:val="0"/>
        <w:snapToGrid w:val="0"/>
        <w:spacing w:line="360" w:lineRule="auto"/>
        <w:ind w:firstLine="480"/>
        <w:rPr>
          <w:rFonts w:hint="default" w:ascii="Times New Roman" w:hAnsi="Times New Roman" w:cs="Times New Roman"/>
          <w:kern w:val="0"/>
          <w:sz w:val="24"/>
        </w:rPr>
      </w:pPr>
      <w:r>
        <w:rPr>
          <w:rFonts w:hint="default" w:ascii="Times New Roman" w:hAnsi="Times New Roman" w:cs="Times New Roman"/>
          <w:kern w:val="0"/>
          <w:sz w:val="24"/>
        </w:rPr>
        <w:t>②</w:t>
      </w:r>
      <w:r>
        <w:rPr>
          <w:rFonts w:hint="default" w:ascii="Times New Roman" w:hAnsi="Times New Roman" w:cs="Times New Roman"/>
          <w:kern w:val="0"/>
          <w:sz w:val="24"/>
          <w:lang w:val="zh-CN"/>
        </w:rPr>
        <w:t>营运</w:t>
      </w:r>
      <w:r>
        <w:rPr>
          <w:rFonts w:hint="default" w:ascii="Times New Roman" w:hAnsi="Times New Roman" w:cs="Times New Roman"/>
          <w:kern w:val="0"/>
          <w:sz w:val="24"/>
        </w:rPr>
        <w:t>中</w:t>
      </w:r>
      <w:r>
        <w:rPr>
          <w:rFonts w:hint="default" w:ascii="Times New Roman" w:hAnsi="Times New Roman" w:cs="Times New Roman"/>
          <w:kern w:val="0"/>
          <w:sz w:val="24"/>
          <w:lang w:val="zh-CN"/>
        </w:rPr>
        <w:t>期203</w:t>
      </w:r>
      <w:r>
        <w:rPr>
          <w:rFonts w:hint="eastAsia" w:cs="Times New Roman"/>
          <w:kern w:val="0"/>
          <w:sz w:val="24"/>
          <w:lang w:val="en-US" w:eastAsia="zh-CN"/>
        </w:rPr>
        <w:t>2</w:t>
      </w:r>
      <w:r>
        <w:rPr>
          <w:rFonts w:hint="default" w:ascii="Times New Roman" w:hAnsi="Times New Roman" w:cs="Times New Roman"/>
          <w:kern w:val="0"/>
          <w:sz w:val="24"/>
          <w:lang w:val="zh-CN"/>
        </w:rPr>
        <w:t>年(第</w:t>
      </w:r>
      <w:r>
        <w:rPr>
          <w:rFonts w:hint="default" w:ascii="Times New Roman" w:hAnsi="Times New Roman" w:cs="Times New Roman"/>
          <w:kern w:val="0"/>
          <w:sz w:val="24"/>
        </w:rPr>
        <w:t>7</w:t>
      </w:r>
      <w:r>
        <w:rPr>
          <w:rFonts w:hint="default" w:ascii="Times New Roman" w:hAnsi="Times New Roman" w:cs="Times New Roman"/>
          <w:kern w:val="0"/>
          <w:sz w:val="24"/>
          <w:lang w:val="zh-CN"/>
        </w:rPr>
        <w:t>年)：昼间平均小时交通量时，红线外即符合4a标准，距离道路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cs="Times New Roman"/>
          <w:kern w:val="0"/>
          <w:sz w:val="24"/>
          <w:lang w:val="en-US" w:eastAsia="zh-CN"/>
        </w:rPr>
        <w:t>31</w:t>
      </w:r>
      <w:r>
        <w:rPr>
          <w:rFonts w:hint="default" w:ascii="Times New Roman" w:hAnsi="Times New Roman" w:cs="Times New Roman"/>
          <w:kern w:val="0"/>
          <w:sz w:val="24"/>
          <w:lang w:val="zh-CN"/>
        </w:rPr>
        <w:t>m外符合2类标准；夜间平均小时交通量时，距离道路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cs="Times New Roman"/>
          <w:kern w:val="0"/>
          <w:sz w:val="24"/>
          <w:lang w:val="en-US" w:eastAsia="zh-CN"/>
        </w:rPr>
        <w:t>35</w:t>
      </w:r>
      <w:r>
        <w:rPr>
          <w:rFonts w:hint="default" w:ascii="Times New Roman" w:hAnsi="Times New Roman" w:cs="Times New Roman"/>
          <w:kern w:val="0"/>
          <w:sz w:val="24"/>
          <w:lang w:val="zh-CN"/>
        </w:rPr>
        <w:t>m外</w:t>
      </w:r>
      <w:r>
        <w:rPr>
          <w:rFonts w:hint="default" w:ascii="Times New Roman" w:hAnsi="Times New Roman" w:cs="Times New Roman"/>
          <w:sz w:val="24"/>
          <w:lang w:val="zh-CN"/>
        </w:rPr>
        <w:t>符合</w:t>
      </w:r>
      <w:r>
        <w:rPr>
          <w:rFonts w:hint="default" w:ascii="Times New Roman" w:hAnsi="Times New Roman" w:cs="Times New Roman"/>
          <w:sz w:val="24"/>
        </w:rPr>
        <w:t>4a</w:t>
      </w:r>
      <w:r>
        <w:rPr>
          <w:rFonts w:hint="default" w:ascii="Times New Roman" w:hAnsi="Times New Roman" w:cs="Times New Roman"/>
          <w:sz w:val="24"/>
          <w:lang w:val="zh-CN"/>
        </w:rPr>
        <w:t>类标准</w:t>
      </w:r>
      <w:r>
        <w:rPr>
          <w:rFonts w:hint="default" w:ascii="Times New Roman" w:hAnsi="Times New Roman" w:cs="Times New Roman"/>
          <w:kern w:val="0"/>
          <w:sz w:val="24"/>
          <w:lang w:val="zh-CN"/>
        </w:rPr>
        <w:t>，距离道路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cs="Times New Roman"/>
          <w:kern w:val="0"/>
          <w:sz w:val="24"/>
          <w:lang w:val="en-US" w:eastAsia="zh-CN"/>
        </w:rPr>
        <w:t>96</w:t>
      </w:r>
      <w:r>
        <w:rPr>
          <w:rFonts w:hint="default" w:ascii="Times New Roman" w:hAnsi="Times New Roman" w:cs="Times New Roman"/>
          <w:kern w:val="0"/>
          <w:sz w:val="24"/>
          <w:lang w:val="zh-CN"/>
        </w:rPr>
        <w:t>m外符合2类标准。</w:t>
      </w:r>
    </w:p>
    <w:p>
      <w:pPr>
        <w:adjustRightInd w:val="0"/>
        <w:snapToGrid w:val="0"/>
        <w:spacing w:line="360" w:lineRule="auto"/>
        <w:ind w:firstLine="480"/>
        <w:rPr>
          <w:rFonts w:hint="default" w:ascii="Times New Roman" w:hAnsi="Times New Roman" w:cs="Times New Roman"/>
          <w:kern w:val="0"/>
          <w:sz w:val="24"/>
          <w:lang w:val="zh-CN"/>
        </w:rPr>
      </w:pPr>
      <w:r>
        <w:rPr>
          <w:rFonts w:hint="default" w:ascii="Times New Roman" w:hAnsi="Times New Roman" w:cs="Times New Roman"/>
          <w:kern w:val="0"/>
          <w:sz w:val="24"/>
        </w:rPr>
        <w:t>③</w:t>
      </w:r>
      <w:r>
        <w:rPr>
          <w:rFonts w:hint="default" w:ascii="Times New Roman" w:hAnsi="Times New Roman" w:cs="Times New Roman"/>
          <w:kern w:val="0"/>
          <w:sz w:val="24"/>
          <w:lang w:val="zh-CN"/>
        </w:rPr>
        <w:t>营运</w:t>
      </w:r>
      <w:r>
        <w:rPr>
          <w:rFonts w:hint="default" w:ascii="Times New Roman" w:hAnsi="Times New Roman" w:cs="Times New Roman"/>
          <w:kern w:val="0"/>
          <w:sz w:val="24"/>
        </w:rPr>
        <w:t>远</w:t>
      </w:r>
      <w:r>
        <w:rPr>
          <w:rFonts w:hint="default" w:ascii="Times New Roman" w:hAnsi="Times New Roman" w:cs="Times New Roman"/>
          <w:kern w:val="0"/>
          <w:sz w:val="24"/>
          <w:lang w:val="zh-CN"/>
        </w:rPr>
        <w:t>期20</w:t>
      </w:r>
      <w:r>
        <w:rPr>
          <w:rFonts w:hint="eastAsia" w:cs="Times New Roman"/>
          <w:kern w:val="0"/>
          <w:sz w:val="24"/>
          <w:lang w:val="en-US" w:eastAsia="zh-CN"/>
        </w:rPr>
        <w:t>40</w:t>
      </w:r>
      <w:r>
        <w:rPr>
          <w:rFonts w:hint="default" w:ascii="Times New Roman" w:hAnsi="Times New Roman" w:cs="Times New Roman"/>
          <w:kern w:val="0"/>
          <w:sz w:val="24"/>
          <w:lang w:val="zh-CN"/>
        </w:rPr>
        <w:t>年(第</w:t>
      </w:r>
      <w:r>
        <w:rPr>
          <w:rFonts w:hint="default" w:ascii="Times New Roman" w:hAnsi="Times New Roman" w:cs="Times New Roman"/>
          <w:kern w:val="0"/>
          <w:sz w:val="24"/>
        </w:rPr>
        <w:t>15</w:t>
      </w:r>
      <w:r>
        <w:rPr>
          <w:rFonts w:hint="default" w:ascii="Times New Roman" w:hAnsi="Times New Roman" w:cs="Times New Roman"/>
          <w:kern w:val="0"/>
          <w:sz w:val="24"/>
          <w:lang w:val="zh-CN"/>
        </w:rPr>
        <w:t>年)：昼间平均小时交通量时，红线外即符合4a标准，距离道路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cs="Times New Roman"/>
          <w:kern w:val="0"/>
          <w:sz w:val="24"/>
          <w:lang w:val="en-US" w:eastAsia="zh-CN"/>
        </w:rPr>
        <w:t>39</w:t>
      </w:r>
      <w:r>
        <w:rPr>
          <w:rFonts w:hint="default" w:ascii="Times New Roman" w:hAnsi="Times New Roman" w:cs="Times New Roman"/>
          <w:kern w:val="0"/>
          <w:sz w:val="24"/>
          <w:lang w:val="zh-CN"/>
        </w:rPr>
        <w:t>m外符合2类标准；夜间平均小时交通量时，距离道路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cs="Times New Roman"/>
          <w:kern w:val="0"/>
          <w:sz w:val="24"/>
          <w:lang w:val="en-US" w:eastAsia="zh-CN"/>
        </w:rPr>
        <w:t>43</w:t>
      </w:r>
      <w:r>
        <w:rPr>
          <w:rFonts w:hint="default" w:ascii="Times New Roman" w:hAnsi="Times New Roman" w:cs="Times New Roman"/>
          <w:kern w:val="0"/>
          <w:sz w:val="24"/>
          <w:lang w:val="zh-CN"/>
        </w:rPr>
        <w:t>m外</w:t>
      </w:r>
      <w:r>
        <w:rPr>
          <w:rFonts w:hint="default" w:ascii="Times New Roman" w:hAnsi="Times New Roman" w:cs="Times New Roman"/>
          <w:sz w:val="24"/>
          <w:lang w:val="zh-CN"/>
        </w:rPr>
        <w:t>符合</w:t>
      </w:r>
      <w:r>
        <w:rPr>
          <w:rFonts w:hint="default" w:ascii="Times New Roman" w:hAnsi="Times New Roman" w:cs="Times New Roman"/>
          <w:sz w:val="24"/>
        </w:rPr>
        <w:t>4a</w:t>
      </w:r>
      <w:r>
        <w:rPr>
          <w:rFonts w:hint="default" w:ascii="Times New Roman" w:hAnsi="Times New Roman" w:cs="Times New Roman"/>
          <w:sz w:val="24"/>
          <w:lang w:val="zh-CN"/>
        </w:rPr>
        <w:t>类标准</w:t>
      </w:r>
      <w:r>
        <w:rPr>
          <w:rFonts w:hint="default" w:ascii="Times New Roman" w:hAnsi="Times New Roman" w:cs="Times New Roman"/>
          <w:kern w:val="0"/>
          <w:sz w:val="24"/>
          <w:lang w:val="zh-CN"/>
        </w:rPr>
        <w:t>，距离道路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cs="Times New Roman"/>
          <w:kern w:val="0"/>
          <w:sz w:val="24"/>
          <w:lang w:val="en-US" w:eastAsia="zh-CN"/>
        </w:rPr>
        <w:t>111</w:t>
      </w:r>
      <w:r>
        <w:rPr>
          <w:rFonts w:hint="default" w:ascii="Times New Roman" w:hAnsi="Times New Roman" w:cs="Times New Roman"/>
          <w:kern w:val="0"/>
          <w:sz w:val="24"/>
          <w:lang w:val="zh-CN"/>
        </w:rPr>
        <w:t>m外符合2类标准。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drawing>
                <wp:inline distT="0" distB="0" distL="114300" distR="114300">
                  <wp:extent cx="2399030" cy="2367280"/>
                  <wp:effectExtent l="0" t="0" r="1270" b="7620"/>
                  <wp:docPr id="9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1"/>
                          <pic:cNvPicPr>
                            <a:picLocks noChangeAspect="1"/>
                          </pic:cNvPicPr>
                        </pic:nvPicPr>
                        <pic:blipFill>
                          <a:blip r:embed="rId104"/>
                          <a:srcRect l="9782" r="9442" b="11226"/>
                          <a:stretch>
                            <a:fillRect/>
                          </a:stretch>
                        </pic:blipFill>
                        <pic:spPr>
                          <a:xfrm>
                            <a:off x="0" y="0"/>
                            <a:ext cx="2399030" cy="2367280"/>
                          </a:xfrm>
                          <a:prstGeom prst="rect">
                            <a:avLst/>
                          </a:prstGeom>
                          <a:noFill/>
                          <a:ln>
                            <a:noFill/>
                          </a:ln>
                        </pic:spPr>
                      </pic:pic>
                    </a:graphicData>
                  </a:graphic>
                </wp:inline>
              </w:drawing>
            </w:r>
          </w:p>
        </w:tc>
        <w:tc>
          <w:tcPr>
            <w:tcW w:w="4643"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drawing>
                <wp:inline distT="0" distB="0" distL="114300" distR="114300">
                  <wp:extent cx="2301875" cy="2339340"/>
                  <wp:effectExtent l="0" t="0" r="9525" b="10160"/>
                  <wp:docPr id="9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0"/>
                          <pic:cNvPicPr>
                            <a:picLocks noChangeAspect="1"/>
                          </pic:cNvPicPr>
                        </pic:nvPicPr>
                        <pic:blipFill>
                          <a:blip r:embed="rId105"/>
                          <a:srcRect l="10528" r="12231"/>
                          <a:stretch>
                            <a:fillRect/>
                          </a:stretch>
                        </pic:blipFill>
                        <pic:spPr>
                          <a:xfrm>
                            <a:off x="0" y="0"/>
                            <a:ext cx="2301875" cy="23393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纵三北路B段</w:t>
            </w:r>
            <w:r>
              <w:rPr>
                <w:rFonts w:hint="eastAsia" w:ascii="Times New Roman" w:hAnsi="Times New Roman" w:cs="Times New Roman"/>
                <w:color w:val="auto"/>
                <w:sz w:val="21"/>
                <w:szCs w:val="21"/>
                <w:lang w:val="en-US" w:eastAsia="zh-CN"/>
              </w:rPr>
              <w:t>中期昼间</w:t>
            </w:r>
          </w:p>
        </w:tc>
        <w:tc>
          <w:tcPr>
            <w:tcW w:w="4643"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纵三北路B段</w:t>
            </w:r>
            <w:r>
              <w:rPr>
                <w:rFonts w:hint="eastAsia" w:ascii="Times New Roman" w:hAnsi="Times New Roman" w:cs="Times New Roman"/>
                <w:color w:val="auto"/>
                <w:sz w:val="21"/>
                <w:szCs w:val="21"/>
                <w:lang w:val="en-US" w:eastAsia="zh-CN"/>
              </w:rPr>
              <w:t>中期夜间</w:t>
            </w:r>
          </w:p>
        </w:tc>
      </w:tr>
    </w:tbl>
    <w:p>
      <w:pPr>
        <w:pStyle w:val="25"/>
        <w:jc w:val="center"/>
        <w:rPr>
          <w:rFonts w:hint="default"/>
          <w:lang w:val="zh-CN"/>
        </w:rPr>
      </w:pPr>
      <w:r>
        <w:rPr>
          <w:b/>
          <w:bCs/>
          <w:color w:val="auto"/>
          <w:sz w:val="24"/>
        </w:rPr>
        <w:t>图4.2-</w:t>
      </w:r>
      <w:r>
        <w:rPr>
          <w:rFonts w:hint="eastAsia"/>
          <w:b/>
          <w:bCs/>
          <w:color w:val="auto"/>
          <w:sz w:val="24"/>
          <w:lang w:val="en-US" w:eastAsia="zh-CN"/>
        </w:rPr>
        <w:t>6</w:t>
      </w:r>
      <w:r>
        <w:rPr>
          <w:b/>
          <w:bCs/>
          <w:color w:val="auto"/>
          <w:sz w:val="24"/>
        </w:rPr>
        <w:t xml:space="preserve">  </w:t>
      </w:r>
      <w:r>
        <w:rPr>
          <w:rFonts w:hint="default" w:ascii="Times New Roman" w:hAnsi="Times New Roman" w:eastAsia="宋体" w:cs="Times New Roman"/>
          <w:b/>
          <w:sz w:val="24"/>
          <w:szCs w:val="28"/>
        </w:rPr>
        <w:t>福泽大道</w:t>
      </w:r>
      <w:r>
        <w:rPr>
          <w:b/>
          <w:bCs/>
          <w:color w:val="auto"/>
          <w:sz w:val="24"/>
        </w:rPr>
        <w:t>中期昼、夜间噪声等值线</w:t>
      </w:r>
    </w:p>
    <w:p>
      <w:pPr>
        <w:pStyle w:val="25"/>
        <w:rPr>
          <w:rFonts w:hint="default"/>
        </w:rPr>
      </w:pPr>
    </w:p>
    <w:p>
      <w:pPr>
        <w:adjustRightInd w:val="0"/>
        <w:snapToGrid w:val="0"/>
        <w:spacing w:line="360" w:lineRule="auto"/>
        <w:ind w:firstLine="482" w:firstLineChars="200"/>
        <w:outlineLvl w:val="0"/>
        <w:rPr>
          <w:rFonts w:hint="default" w:ascii="Times New Roman" w:hAnsi="Times New Roman" w:cs="Times New Roman"/>
          <w:snapToGrid w:val="0"/>
          <w:kern w:val="0"/>
          <w:sz w:val="24"/>
        </w:rPr>
      </w:pPr>
      <w:bookmarkStart w:id="261" w:name="_Toc10822"/>
      <w:bookmarkStart w:id="262" w:name="_Toc32498"/>
      <w:r>
        <w:rPr>
          <w:rFonts w:hint="default" w:ascii="Times New Roman" w:hAnsi="Times New Roman" w:cs="Times New Roman"/>
          <w:b/>
          <w:bCs/>
          <w:snapToGrid w:val="0"/>
          <w:kern w:val="0"/>
          <w:sz w:val="24"/>
        </w:rPr>
        <w:t>2、按运营远期的达标距离控制，建议</w:t>
      </w:r>
      <w:r>
        <w:rPr>
          <w:rFonts w:hint="default" w:ascii="Times New Roman" w:hAnsi="Times New Roman" w:cs="Times New Roman"/>
          <w:snapToGrid w:val="0"/>
          <w:kern w:val="0"/>
          <w:sz w:val="24"/>
        </w:rPr>
        <w:t>：</w:t>
      </w:r>
      <w:bookmarkEnd w:id="261"/>
      <w:bookmarkEnd w:id="262"/>
    </w:p>
    <w:p>
      <w:pPr>
        <w:adjustRightInd w:val="0"/>
        <w:snapToGrid w:val="0"/>
        <w:spacing w:line="360" w:lineRule="auto"/>
        <w:ind w:firstLine="480"/>
        <w:rPr>
          <w:rFonts w:hint="default" w:ascii="Times New Roman" w:hAnsi="Times New Roman" w:cs="Times New Roman"/>
          <w:snapToGrid w:val="0"/>
          <w:kern w:val="0"/>
          <w:sz w:val="24"/>
          <w:szCs w:val="24"/>
        </w:rPr>
      </w:pPr>
      <w:r>
        <w:rPr>
          <w:rFonts w:hint="default" w:ascii="Times New Roman" w:hAnsi="Times New Roman" w:cs="Times New Roman"/>
          <w:sz w:val="24"/>
          <w:szCs w:val="24"/>
        </w:rPr>
        <w:t>福泽大道</w:t>
      </w:r>
      <w:r>
        <w:rPr>
          <w:rFonts w:hint="default" w:ascii="Times New Roman" w:hAnsi="Times New Roman" w:cs="Times New Roman"/>
          <w:snapToGrid w:val="0"/>
          <w:kern w:val="0"/>
          <w:sz w:val="24"/>
          <w:szCs w:val="24"/>
        </w:rPr>
        <w:t>两侧规划用地主要为</w:t>
      </w:r>
      <w:r>
        <w:rPr>
          <w:rFonts w:hint="eastAsia" w:ascii="Times New Roman" w:hAnsi="Times New Roman" w:eastAsia="宋体" w:cs="Times New Roman"/>
          <w:color w:val="auto"/>
          <w:sz w:val="24"/>
          <w:szCs w:val="24"/>
          <w:lang w:val="en-US" w:eastAsia="zh-CN"/>
        </w:rPr>
        <w:t>体育设施用地、教育科研用地、居住用地</w:t>
      </w:r>
      <w:r>
        <w:rPr>
          <w:rFonts w:hint="default" w:ascii="Times New Roman" w:hAnsi="Times New Roman" w:cs="Times New Roman"/>
          <w:snapToGrid w:val="0"/>
          <w:kern w:val="0"/>
          <w:sz w:val="24"/>
          <w:szCs w:val="24"/>
        </w:rPr>
        <w:t>及绿化用地，临道路一侧距离红线35m范围内第一排不宜建设学校、医院、居民集中住宅等敏感建筑，尤其是不宜建设未采取任何噪声防治措施的此类建筑。若营运期存在新建敏感点，</w:t>
      </w:r>
      <w:r>
        <w:rPr>
          <w:rFonts w:hint="default" w:ascii="Times New Roman" w:hAnsi="Times New Roman" w:cs="Times New Roman"/>
          <w:sz w:val="24"/>
          <w:szCs w:val="24"/>
        </w:rPr>
        <w:t>则这些敏感点建筑需采取相应的隔声处理措施，例如强化墙体隔声量、加装隔声窗、栽植绿化降噪林带和设置退让距离等噪声防治措施。</w:t>
      </w:r>
    </w:p>
    <w:p>
      <w:pPr>
        <w:spacing w:line="360" w:lineRule="auto"/>
        <w:outlineLvl w:val="1"/>
        <w:rPr>
          <w:rFonts w:hint="default" w:ascii="Times New Roman" w:hAnsi="Times New Roman" w:cs="Times New Roman"/>
          <w:b/>
          <w:bCs/>
          <w:sz w:val="28"/>
          <w:szCs w:val="28"/>
        </w:rPr>
      </w:pPr>
      <w:bookmarkStart w:id="263" w:name="_Toc20539"/>
      <w:r>
        <w:rPr>
          <w:rFonts w:hint="default" w:ascii="Times New Roman" w:hAnsi="Times New Roman" w:cs="Times New Roman"/>
          <w:b/>
          <w:bCs/>
          <w:sz w:val="28"/>
          <w:szCs w:val="28"/>
        </w:rPr>
        <w:t>4.2.4 小结</w:t>
      </w:r>
      <w:bookmarkEnd w:id="263"/>
    </w:p>
    <w:p>
      <w:pPr>
        <w:adjustRightInd w:val="0"/>
        <w:snapToGrid w:val="0"/>
        <w:spacing w:line="360" w:lineRule="auto"/>
        <w:ind w:firstLine="480"/>
        <w:rPr>
          <w:rFonts w:hint="default" w:ascii="Times New Roman" w:hAnsi="Times New Roman" w:cs="Times New Roman"/>
          <w:snapToGrid w:val="0"/>
          <w:kern w:val="0"/>
          <w:sz w:val="24"/>
          <w:lang w:val="zh-CN"/>
        </w:rPr>
      </w:pPr>
      <w:r>
        <w:rPr>
          <w:rFonts w:hint="default" w:ascii="Times New Roman" w:hAnsi="Times New Roman" w:cs="Times New Roman"/>
          <w:snapToGrid w:val="0"/>
          <w:kern w:val="0"/>
          <w:sz w:val="24"/>
        </w:rPr>
        <w:t>通过预测可知，</w:t>
      </w:r>
      <w:r>
        <w:rPr>
          <w:rFonts w:hint="default" w:ascii="Times New Roman" w:hAnsi="Times New Roman" w:cs="Times New Roman"/>
          <w:snapToGrid w:val="0"/>
          <w:kern w:val="0"/>
          <w:sz w:val="24"/>
          <w:lang w:val="zh-CN"/>
        </w:rPr>
        <w:t>道路通车后应采取必要的声控措施减小交通噪声影响。</w:t>
      </w:r>
      <w:r>
        <w:rPr>
          <w:rFonts w:hint="default" w:ascii="Times New Roman" w:hAnsi="Times New Roman" w:cs="Times New Roman"/>
          <w:snapToGrid w:val="0"/>
          <w:kern w:val="0"/>
          <w:sz w:val="24"/>
        </w:rPr>
        <w:t>由于</w:t>
      </w:r>
      <w:r>
        <w:rPr>
          <w:rFonts w:hint="default" w:ascii="Times New Roman" w:hAnsi="Times New Roman" w:cs="Times New Roman"/>
          <w:snapToGrid w:val="0"/>
          <w:kern w:val="0"/>
          <w:sz w:val="24"/>
          <w:lang w:val="zh-CN"/>
        </w:rPr>
        <w:t>本项目目前处于工程初步施工阶段，因此，本报告中只能根据目前主体工程进展情况及研究结果，对道路两侧将来可能出现的噪声提出建议的防护措施：</w:t>
      </w:r>
    </w:p>
    <w:p>
      <w:pPr>
        <w:adjustRightInd w:val="0"/>
        <w:snapToGrid w:val="0"/>
        <w:spacing w:line="360" w:lineRule="auto"/>
        <w:ind w:firstLine="480"/>
        <w:rPr>
          <w:rFonts w:hint="default" w:ascii="Times New Roman" w:hAnsi="Times New Roman" w:cs="Times New Roman"/>
          <w:snapToGrid w:val="0"/>
          <w:kern w:val="0"/>
          <w:sz w:val="24"/>
          <w:lang w:val="zh-CN"/>
        </w:rPr>
      </w:pPr>
      <w:r>
        <w:rPr>
          <w:rFonts w:hint="default" w:ascii="Times New Roman" w:hAnsi="Times New Roman" w:cs="Times New Roman"/>
          <w:snapToGrid w:val="0"/>
          <w:kern w:val="0"/>
          <w:sz w:val="24"/>
          <w:lang w:val="zh-CN"/>
        </w:rPr>
        <w:t>根据《地面交通噪声污染防治技术政策》（环保部环发【2010】7号），结合本项目的实际情况，提出以下噪声污染防治措施原则：施工期间，以工程降噪为主，重点实施噪声源头削减；远期预测超标的敏感目标则采取跟踪监测、适时上措施的控制对策。</w:t>
      </w:r>
      <w:r>
        <w:rPr>
          <w:rFonts w:hint="default" w:ascii="Times New Roman" w:hAnsi="Times New Roman" w:cs="Times New Roman"/>
          <w:snapToGrid w:val="0"/>
          <w:kern w:val="0"/>
          <w:sz w:val="24"/>
        </w:rPr>
        <w:t>（具体措施详见噪声专章“5.2营运期交通噪声防治措施”中“（1）营运期交通噪声防治措施”）</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对在沿路两侧拟建设的声环境敏感目标，建筑单位应进行必要的隔声设计，隔声降噪设计必须满足《民用建筑隔声设计规范》（GB50118-2010）有关要求；道路两旁的第一排建筑物最好为中高层非声敏感建筑，以便更好的隔阻噪声的传播，从而达到改善后侧区域噪声环境的目的；今后临路第一排不宜新建学校、医院、居民住宅等声敏感建筑，如确需建设上述敏感建筑物时，则建设部门应做好合理规划和总平面布局，并采取安装隔声窗设置退让距离等隔声措施。</w:t>
      </w:r>
    </w:p>
    <w:p>
      <w:pPr>
        <w:adjustRightInd w:val="0"/>
        <w:snapToGrid w:val="0"/>
        <w:spacing w:line="360" w:lineRule="auto"/>
        <w:ind w:firstLine="480"/>
        <w:rPr>
          <w:rFonts w:hint="default" w:ascii="Times New Roman" w:hAnsi="Times New Roman" w:cs="Times New Roman"/>
          <w:snapToGrid w:val="0"/>
          <w:kern w:val="0"/>
          <w:sz w:val="24"/>
        </w:rPr>
      </w:pPr>
      <w:r>
        <w:rPr>
          <w:rFonts w:hint="default" w:ascii="Times New Roman" w:hAnsi="Times New Roman" w:cs="Times New Roman"/>
          <w:snapToGrid w:val="0"/>
          <w:kern w:val="0"/>
          <w:sz w:val="24"/>
        </w:rPr>
        <w:t>通过采取以上措施，项目运营噪声对周边环境的影响在可接受范围内。</w:t>
      </w:r>
      <w:bookmarkStart w:id="264" w:name="_Toc6761"/>
    </w:p>
    <w:p>
      <w:pPr>
        <w:keepNext/>
        <w:keepLines/>
        <w:spacing w:line="360" w:lineRule="auto"/>
        <w:outlineLvl w:val="0"/>
        <w:rPr>
          <w:rFonts w:hint="default" w:ascii="Times New Roman" w:hAnsi="Times New Roman" w:cs="Times New Roman"/>
          <w:b/>
          <w:bCs/>
          <w:kern w:val="44"/>
          <w:sz w:val="32"/>
        </w:rPr>
      </w:pPr>
      <w:bookmarkStart w:id="265" w:name="_Toc3488"/>
      <w:bookmarkStart w:id="266" w:name="_Toc4393"/>
      <w:bookmarkStart w:id="267" w:name="_Toc21010"/>
      <w:r>
        <w:rPr>
          <w:rFonts w:hint="default" w:ascii="Times New Roman" w:hAnsi="Times New Roman" w:cs="Times New Roman"/>
          <w:b/>
          <w:bCs/>
          <w:kern w:val="44"/>
          <w:sz w:val="32"/>
        </w:rPr>
        <w:t>5 噪声影响防治措施</w:t>
      </w:r>
      <w:bookmarkEnd w:id="264"/>
      <w:bookmarkEnd w:id="265"/>
      <w:bookmarkEnd w:id="266"/>
      <w:bookmarkEnd w:id="267"/>
    </w:p>
    <w:p>
      <w:pPr>
        <w:keepNext/>
        <w:keepLines/>
        <w:spacing w:line="360" w:lineRule="auto"/>
        <w:outlineLvl w:val="1"/>
        <w:rPr>
          <w:rFonts w:hint="default" w:ascii="Times New Roman" w:hAnsi="Times New Roman" w:cs="Times New Roman"/>
          <w:b/>
          <w:bCs/>
          <w:sz w:val="30"/>
          <w:szCs w:val="30"/>
        </w:rPr>
      </w:pPr>
      <w:bookmarkStart w:id="268" w:name="_Toc26707"/>
      <w:bookmarkStart w:id="269" w:name="_Toc16407"/>
      <w:bookmarkStart w:id="270" w:name="_Toc20196"/>
      <w:r>
        <w:rPr>
          <w:rFonts w:hint="default" w:ascii="Times New Roman" w:hAnsi="Times New Roman" w:cs="Times New Roman"/>
          <w:b/>
          <w:bCs/>
          <w:sz w:val="30"/>
          <w:szCs w:val="30"/>
        </w:rPr>
        <w:t>5.1 施工期声环境污染防治措施</w:t>
      </w:r>
      <w:bookmarkEnd w:id="268"/>
      <w:bookmarkEnd w:id="269"/>
      <w:bookmarkEnd w:id="270"/>
    </w:p>
    <w:p>
      <w:pPr>
        <w:spacing w:line="360" w:lineRule="auto"/>
        <w:ind w:firstLine="480"/>
        <w:rPr>
          <w:rFonts w:hint="default" w:ascii="Times New Roman" w:hAnsi="Times New Roman" w:cs="Times New Roman"/>
          <w:kern w:val="0"/>
          <w:sz w:val="24"/>
          <w:lang w:val="zh-CN"/>
        </w:rPr>
      </w:pPr>
      <w:r>
        <w:rPr>
          <w:rFonts w:hint="default" w:ascii="Times New Roman" w:hAnsi="Times New Roman" w:cs="Times New Roman"/>
          <w:kern w:val="0"/>
          <w:sz w:val="24"/>
        </w:rPr>
        <w:t>（1）</w:t>
      </w:r>
      <w:r>
        <w:rPr>
          <w:rFonts w:hint="default" w:ascii="Times New Roman" w:hAnsi="Times New Roman" w:cs="Times New Roman"/>
          <w:kern w:val="0"/>
          <w:sz w:val="24"/>
          <w:lang w:val="zh-CN"/>
        </w:rPr>
        <w:t>施工单位必须选用符合国家有关标准的施工机械和运输车辆，尽量选用低噪声的施工机械和工艺，振动较大的固定机械设备应加装减振机座，同时加强各类施工设备的维护和保养，保持其良好的运转，以便从根本上降低噪声源强。</w:t>
      </w:r>
    </w:p>
    <w:p>
      <w:pPr>
        <w:spacing w:line="360" w:lineRule="auto"/>
        <w:ind w:firstLine="480"/>
        <w:rPr>
          <w:rFonts w:hint="default" w:ascii="Times New Roman" w:hAnsi="Times New Roman" w:cs="Times New Roman"/>
          <w:kern w:val="0"/>
          <w:sz w:val="24"/>
          <w:lang w:val="zh-CN"/>
        </w:rPr>
      </w:pPr>
      <w:r>
        <w:rPr>
          <w:rFonts w:hint="default" w:ascii="Times New Roman" w:hAnsi="Times New Roman" w:cs="Times New Roman"/>
          <w:kern w:val="0"/>
          <w:sz w:val="24"/>
        </w:rPr>
        <w:t>（2）</w:t>
      </w:r>
      <w:r>
        <w:rPr>
          <w:rFonts w:hint="default" w:ascii="Times New Roman" w:hAnsi="Times New Roman" w:cs="Times New Roman"/>
          <w:kern w:val="0"/>
          <w:sz w:val="24"/>
          <w:lang w:val="zh-CN"/>
        </w:rPr>
        <w:t>道路机械施工的噪声具有突发、无规则、不连续、高强度等特点。据调查，施工现场噪声有时高达85dB（</w:t>
      </w:r>
      <w:r>
        <w:rPr>
          <w:rFonts w:hint="default" w:ascii="Times New Roman" w:hAnsi="Times New Roman" w:cs="Times New Roman"/>
          <w:kern w:val="0"/>
          <w:sz w:val="24"/>
        </w:rPr>
        <w:t>A</w:t>
      </w:r>
      <w:r>
        <w:rPr>
          <w:rFonts w:hint="default" w:ascii="Times New Roman" w:hAnsi="Times New Roman" w:cs="Times New Roman"/>
          <w:kern w:val="0"/>
          <w:sz w:val="24"/>
          <w:lang w:val="zh-CN"/>
        </w:rPr>
        <w:t>）以上，其他施工阶段的一般施工噪声的达标距离，约为200m，所以施工选用低噪声振动的施工工艺。如噪声源强大的作业可放在昼间（06:00～22:00）进行或对各种施工机械操作时间作适当调整。为减少施工期间的材料运输、敲击、人的喊叫等施工活动声源，要求承包商通过文明施工、加强有效管理加以缓解。</w:t>
      </w:r>
    </w:p>
    <w:p>
      <w:pPr>
        <w:pStyle w:val="26"/>
        <w:spacing w:after="0" w:line="360" w:lineRule="auto"/>
        <w:ind w:left="0" w:leftChars="0" w:firstLine="480"/>
        <w:rPr>
          <w:rFonts w:hint="default" w:ascii="Times New Roman" w:hAnsi="Times New Roman" w:cs="Times New Roman"/>
        </w:rPr>
      </w:pPr>
      <w:r>
        <w:rPr>
          <w:rFonts w:hint="default" w:ascii="Times New Roman" w:hAnsi="Times New Roman" w:cs="Times New Roman"/>
        </w:rPr>
        <w:t>（3）在利用现有道路运输施工物资时，应合理选择运输路线，并尽量在昼间进行运输。此外，在途经村庄</w:t>
      </w:r>
      <w:r>
        <w:rPr>
          <w:rFonts w:hint="eastAsia" w:cs="Times New Roman"/>
          <w:lang w:eastAsia="zh-CN"/>
        </w:rPr>
        <w:t>、</w:t>
      </w:r>
      <w:r>
        <w:rPr>
          <w:rFonts w:hint="eastAsia" w:cs="Times New Roman"/>
          <w:lang w:val="en-US" w:eastAsia="zh-CN"/>
        </w:rPr>
        <w:t>居民点</w:t>
      </w:r>
      <w:r>
        <w:rPr>
          <w:rFonts w:hint="default" w:ascii="Times New Roman" w:hAnsi="Times New Roman" w:cs="Times New Roman"/>
        </w:rPr>
        <w:t>时，应减速慢行禁止鸣笛，需新修筑的便道应尽量远离村镇、学校、医院等。</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建设单位应对施工承包商的运输路线提出要求，要求承包商必须提供建材运输路线，并请环保监理或环保专业人员确认施工路线在减缓噪声影响方面的合理性。建设单位根据确定后的运输路线进行监督，并可联合地方环保部门加强监督力度。</w:t>
      </w:r>
    </w:p>
    <w:p>
      <w:pPr>
        <w:adjustRightInd w:val="0"/>
        <w:snapToGrid w:val="0"/>
        <w:spacing w:line="360" w:lineRule="auto"/>
        <w:ind w:firstLine="480"/>
        <w:rPr>
          <w:rFonts w:hint="default" w:ascii="Times New Roman" w:hAnsi="Times New Roman" w:cs="Times New Roman"/>
          <w:sz w:val="24"/>
        </w:rPr>
      </w:pPr>
      <w:r>
        <w:rPr>
          <w:rFonts w:hint="default" w:ascii="Times New Roman" w:hAnsi="Times New Roman" w:cs="Times New Roman"/>
          <w:sz w:val="24"/>
        </w:rPr>
        <w:t>（5）合理安排施工活动，尽量缩短工期，减少施工噪声影响时间。避免强噪声施工机械在同一区域内同时使用。</w:t>
      </w:r>
    </w:p>
    <w:p>
      <w:pPr>
        <w:adjustRightInd w:val="0"/>
        <w:snapToGrid w:val="0"/>
        <w:spacing w:line="360" w:lineRule="auto"/>
        <w:ind w:firstLine="480"/>
        <w:rPr>
          <w:rFonts w:hint="default" w:ascii="Times New Roman" w:hAnsi="Times New Roman" w:cs="Times New Roman"/>
          <w:sz w:val="24"/>
        </w:rPr>
      </w:pPr>
      <w:r>
        <w:rPr>
          <w:rFonts w:hint="default" w:ascii="Times New Roman" w:hAnsi="Times New Roman" w:cs="Times New Roman"/>
          <w:sz w:val="24"/>
        </w:rPr>
        <w:t>（6）按劳动卫生标准，保护施工人员的身心健康，施工单位应合理安排工作人员，做到轮换操作筑路机械，或穿插安排高噪声和低噪声的工作，给工人以恢复听力的时间。同时，要注意保护机械，合理操作，尽量使筑路机械维持低声量级水平。操作时，工人应戴耳罩和头盔。</w:t>
      </w:r>
    </w:p>
    <w:p>
      <w:pPr>
        <w:adjustRightInd w:val="0"/>
        <w:snapToGrid w:val="0"/>
        <w:spacing w:line="360" w:lineRule="auto"/>
        <w:ind w:firstLine="480"/>
        <w:rPr>
          <w:rFonts w:hint="default" w:ascii="Times New Roman" w:hAnsi="Times New Roman" w:cs="Times New Roman"/>
          <w:sz w:val="24"/>
        </w:rPr>
      </w:pPr>
      <w:r>
        <w:rPr>
          <w:rFonts w:hint="default" w:ascii="Times New Roman" w:hAnsi="Times New Roman" w:cs="Times New Roman"/>
          <w:sz w:val="24"/>
        </w:rPr>
        <w:t>（7）加强环境管理，接受环保部门环境监督。</w:t>
      </w:r>
    </w:p>
    <w:p>
      <w:pPr>
        <w:keepNext/>
        <w:keepLines/>
        <w:spacing w:line="360" w:lineRule="auto"/>
        <w:outlineLvl w:val="1"/>
        <w:rPr>
          <w:rFonts w:hint="default" w:ascii="Times New Roman" w:hAnsi="Times New Roman" w:cs="Times New Roman"/>
          <w:b/>
          <w:bCs/>
          <w:sz w:val="30"/>
          <w:szCs w:val="30"/>
        </w:rPr>
      </w:pPr>
      <w:bookmarkStart w:id="271" w:name="_Toc29017"/>
      <w:bookmarkStart w:id="272" w:name="_Toc16238"/>
      <w:bookmarkStart w:id="273" w:name="_Toc17713"/>
      <w:r>
        <w:rPr>
          <w:rFonts w:hint="default" w:ascii="Times New Roman" w:hAnsi="Times New Roman" w:cs="Times New Roman"/>
          <w:b/>
          <w:bCs/>
          <w:sz w:val="30"/>
          <w:szCs w:val="30"/>
        </w:rPr>
        <w:t>5.2 营运期声环境污染防治措施</w:t>
      </w:r>
      <w:bookmarkEnd w:id="271"/>
      <w:bookmarkEnd w:id="272"/>
      <w:bookmarkEnd w:id="273"/>
    </w:p>
    <w:p>
      <w:pPr>
        <w:keepNext/>
        <w:keepLines/>
        <w:spacing w:line="360" w:lineRule="auto"/>
        <w:outlineLvl w:val="2"/>
        <w:rPr>
          <w:rFonts w:hint="default" w:ascii="Times New Roman" w:hAnsi="Times New Roman" w:cs="Times New Roman"/>
          <w:b/>
          <w:bCs/>
          <w:sz w:val="28"/>
          <w:szCs w:val="28"/>
          <w:lang w:val="zh-CN"/>
        </w:rPr>
      </w:pPr>
      <w:r>
        <w:rPr>
          <w:rFonts w:hint="default" w:ascii="Times New Roman" w:hAnsi="Times New Roman" w:cs="Times New Roman"/>
          <w:b/>
          <w:bCs/>
          <w:sz w:val="28"/>
          <w:szCs w:val="28"/>
        </w:rPr>
        <w:t>5.2.1 环境保护措施配置原则</w:t>
      </w:r>
    </w:p>
    <w:p>
      <w:pPr>
        <w:spacing w:line="360" w:lineRule="auto"/>
        <w:ind w:firstLine="480"/>
        <w:rPr>
          <w:rFonts w:hint="default" w:ascii="Times New Roman" w:hAnsi="Times New Roman" w:cs="Times New Roman"/>
          <w:kern w:val="0"/>
          <w:sz w:val="24"/>
          <w:lang w:val="zh-CN"/>
        </w:rPr>
      </w:pPr>
      <w:r>
        <w:rPr>
          <w:rFonts w:hint="default" w:ascii="Times New Roman" w:hAnsi="Times New Roman" w:cs="Times New Roman"/>
          <w:kern w:val="0"/>
          <w:sz w:val="24"/>
          <w:lang w:val="zh-CN"/>
        </w:rPr>
        <w:t>根据《地面交通噪声污染防治技术政策》（环保部环发</w:t>
      </w:r>
      <w:r>
        <w:rPr>
          <w:rFonts w:hint="default" w:ascii="Times New Roman" w:hAnsi="Times New Roman" w:cs="Times New Roman"/>
          <w:kern w:val="0"/>
          <w:sz w:val="24"/>
        </w:rPr>
        <w:t>[</w:t>
      </w:r>
      <w:r>
        <w:rPr>
          <w:rFonts w:hint="default" w:ascii="Times New Roman" w:hAnsi="Times New Roman" w:cs="Times New Roman"/>
          <w:kern w:val="0"/>
          <w:sz w:val="24"/>
          <w:lang w:val="zh-CN"/>
        </w:rPr>
        <w:t>2010</w:t>
      </w:r>
      <w:r>
        <w:rPr>
          <w:rFonts w:hint="default" w:ascii="Times New Roman" w:hAnsi="Times New Roman" w:cs="Times New Roman"/>
          <w:kern w:val="0"/>
          <w:sz w:val="24"/>
        </w:rPr>
        <w:t>]</w:t>
      </w:r>
      <w:r>
        <w:rPr>
          <w:rFonts w:hint="default" w:ascii="Times New Roman" w:hAnsi="Times New Roman" w:cs="Times New Roman"/>
          <w:kern w:val="0"/>
          <w:sz w:val="24"/>
          <w:lang w:val="zh-CN"/>
        </w:rPr>
        <w:t>7号），防治道路交通噪声可以从以下几个方面着手：合理规划布局；加强噪声源控制；从传声途径噪声削减；对敏感建筑物噪声防护；加强交通噪声管理。结合本项目的实际情况，噪声污染防治措施配置原则如下：</w:t>
      </w:r>
    </w:p>
    <w:p>
      <w:pPr>
        <w:spacing w:line="360" w:lineRule="auto"/>
        <w:ind w:firstLine="480"/>
        <w:rPr>
          <w:rFonts w:hint="default" w:ascii="Times New Roman" w:hAnsi="Times New Roman" w:cs="Times New Roman"/>
          <w:kern w:val="0"/>
          <w:sz w:val="24"/>
          <w:lang w:val="zh-CN"/>
        </w:rPr>
      </w:pPr>
      <w:r>
        <w:rPr>
          <w:rFonts w:hint="default" w:ascii="Times New Roman" w:hAnsi="Times New Roman" w:cs="Times New Roman"/>
          <w:kern w:val="0"/>
          <w:sz w:val="24"/>
          <w:lang w:val="zh-CN"/>
        </w:rPr>
        <w:t>（</w:t>
      </w:r>
      <w:r>
        <w:rPr>
          <w:rFonts w:hint="default" w:ascii="Times New Roman" w:hAnsi="Times New Roman" w:cs="Times New Roman"/>
          <w:kern w:val="0"/>
          <w:sz w:val="24"/>
        </w:rPr>
        <w:t>1</w:t>
      </w:r>
      <w:r>
        <w:rPr>
          <w:rFonts w:hint="default" w:ascii="Times New Roman" w:hAnsi="Times New Roman" w:cs="Times New Roman"/>
          <w:kern w:val="0"/>
          <w:sz w:val="24"/>
          <w:lang w:val="zh-CN"/>
        </w:rPr>
        <w:t>）在技术经济可行条件下，优先考虑对噪声源和传播途径采取工程技术措施，实施噪声主动控制。</w:t>
      </w:r>
    </w:p>
    <w:p>
      <w:pPr>
        <w:spacing w:line="360" w:lineRule="auto"/>
        <w:ind w:firstLine="480"/>
        <w:rPr>
          <w:rFonts w:hint="default" w:ascii="Times New Roman" w:hAnsi="Times New Roman" w:cs="Times New Roman"/>
          <w:kern w:val="0"/>
          <w:sz w:val="24"/>
          <w:lang w:val="zh-CN"/>
        </w:rPr>
      </w:pPr>
      <w:r>
        <w:rPr>
          <w:rFonts w:hint="default" w:ascii="Times New Roman" w:hAnsi="Times New Roman" w:cs="Times New Roman"/>
          <w:kern w:val="0"/>
          <w:sz w:val="24"/>
          <w:lang w:val="zh-CN"/>
        </w:rPr>
        <w:t>（</w:t>
      </w:r>
      <w:r>
        <w:rPr>
          <w:rFonts w:hint="default" w:ascii="Times New Roman" w:hAnsi="Times New Roman" w:cs="Times New Roman"/>
          <w:kern w:val="0"/>
          <w:sz w:val="24"/>
        </w:rPr>
        <w:t>2</w:t>
      </w:r>
      <w:r>
        <w:rPr>
          <w:rFonts w:hint="default" w:ascii="Times New Roman" w:hAnsi="Times New Roman" w:cs="Times New Roman"/>
          <w:kern w:val="0"/>
          <w:sz w:val="24"/>
          <w:lang w:val="zh-CN"/>
        </w:rPr>
        <w:t>）加强交通管理，严格执行限速和禁止超载等交通规则，设置禁鸣标志以减少交通噪声扰民问题。</w:t>
      </w:r>
    </w:p>
    <w:p>
      <w:pPr>
        <w:pStyle w:val="26"/>
        <w:spacing w:after="0" w:line="360" w:lineRule="auto"/>
        <w:ind w:left="0" w:leftChars="0" w:firstLine="480"/>
        <w:rPr>
          <w:rFonts w:hint="default" w:ascii="Times New Roman" w:hAnsi="Times New Roman" w:cs="Times New Roman"/>
        </w:rPr>
      </w:pPr>
      <w:r>
        <w:rPr>
          <w:rFonts w:hint="default" w:ascii="Times New Roman" w:hAnsi="Times New Roman" w:cs="Times New Roman"/>
        </w:rPr>
        <w:t>（3）加强拟建道路沿线的声环境质量的环境监测工作，对可能受到较严重污染的敏感点实行环境噪声定期监测制度，根据因交通量增大引起的声环境污染程度，及时采取相应的减缓措施。</w:t>
      </w:r>
    </w:p>
    <w:p>
      <w:pPr>
        <w:spacing w:line="360" w:lineRule="auto"/>
        <w:ind w:firstLine="480" w:firstLineChars="200"/>
        <w:rPr>
          <w:rFonts w:hint="default" w:ascii="Times New Roman" w:hAnsi="Times New Roman" w:cs="Times New Roman"/>
          <w:kern w:val="0"/>
          <w:sz w:val="24"/>
          <w:lang w:val="zh-CN"/>
        </w:rPr>
      </w:pPr>
      <w:r>
        <w:rPr>
          <w:rFonts w:hint="default" w:ascii="Times New Roman" w:hAnsi="Times New Roman" w:cs="Times New Roman"/>
          <w:sz w:val="24"/>
        </w:rPr>
        <w:t>（4）</w:t>
      </w:r>
      <w:r>
        <w:rPr>
          <w:rFonts w:hint="default" w:ascii="Times New Roman" w:hAnsi="Times New Roman" w:cs="Times New Roman"/>
          <w:kern w:val="0"/>
          <w:sz w:val="24"/>
          <w:lang w:val="zh-CN"/>
        </w:rPr>
        <w:t>经常养护路面，保证道路的良好路况。加强综合管廊管理，加强管廊内噪声设备的维护和日常巡查。</w:t>
      </w:r>
    </w:p>
    <w:p>
      <w:pPr>
        <w:adjustRightInd w:val="0"/>
        <w:snapToGrid w:val="0"/>
        <w:spacing w:line="360" w:lineRule="auto"/>
        <w:ind w:firstLine="480"/>
        <w:rPr>
          <w:rFonts w:hint="default" w:ascii="Times New Roman" w:hAnsi="Times New Roman" w:cs="Times New Roman"/>
          <w:sz w:val="24"/>
        </w:rPr>
      </w:pPr>
      <w:r>
        <w:rPr>
          <w:rFonts w:hint="default" w:ascii="Times New Roman" w:hAnsi="Times New Roman" w:cs="Times New Roman"/>
          <w:kern w:val="0"/>
          <w:sz w:val="24"/>
          <w:lang w:val="zh-CN"/>
        </w:rPr>
        <w:t>（</w:t>
      </w:r>
      <w:r>
        <w:rPr>
          <w:rFonts w:hint="default" w:ascii="Times New Roman" w:hAnsi="Times New Roman" w:cs="Times New Roman"/>
          <w:kern w:val="0"/>
          <w:sz w:val="24"/>
        </w:rPr>
        <w:t>5</w:t>
      </w:r>
      <w:r>
        <w:rPr>
          <w:rFonts w:hint="default" w:ascii="Times New Roman" w:hAnsi="Times New Roman" w:cs="Times New Roman"/>
          <w:kern w:val="0"/>
          <w:sz w:val="24"/>
          <w:lang w:val="zh-CN"/>
        </w:rPr>
        <w:t>）</w:t>
      </w:r>
      <w:r>
        <w:rPr>
          <w:rFonts w:hint="default" w:ascii="Times New Roman" w:hAnsi="Times New Roman" w:cs="Times New Roman"/>
          <w:sz w:val="24"/>
        </w:rPr>
        <w:t>结合当地生态建设规划，加强拟建工程征地范围内可绿化地段的绿化工作。对路堤边坡、排水沟边等进行统一的绿化工程设计，道路居民住宅路段两侧在可能情况下营造多层次结构的绿化林带，使之形成生态屏障，强化对交通噪声的阻隔与吸收作用。</w:t>
      </w:r>
    </w:p>
    <w:p>
      <w:pPr>
        <w:keepNext/>
        <w:keepLines/>
        <w:spacing w:line="360" w:lineRule="auto"/>
        <w:outlineLvl w:val="2"/>
        <w:rPr>
          <w:rFonts w:hint="default" w:ascii="Times New Roman" w:hAnsi="Times New Roman" w:cs="Times New Roman"/>
          <w:b/>
          <w:bCs/>
          <w:sz w:val="28"/>
          <w:szCs w:val="28"/>
        </w:rPr>
      </w:pPr>
      <w:r>
        <w:rPr>
          <w:rFonts w:hint="default" w:ascii="Times New Roman" w:hAnsi="Times New Roman" w:cs="Times New Roman"/>
          <w:b/>
          <w:bCs/>
          <w:sz w:val="28"/>
          <w:szCs w:val="28"/>
        </w:rPr>
        <w:t>5.2.2 噪声措施及其经济、技术论证</w:t>
      </w:r>
    </w:p>
    <w:p>
      <w:pPr>
        <w:spacing w:line="360" w:lineRule="auto"/>
        <w:ind w:firstLine="480"/>
        <w:jc w:val="left"/>
        <w:rPr>
          <w:rFonts w:hint="default" w:ascii="Times New Roman" w:hAnsi="Times New Roman" w:cs="Times New Roman"/>
          <w:sz w:val="24"/>
        </w:rPr>
      </w:pPr>
      <w:r>
        <w:rPr>
          <w:rFonts w:hint="default" w:ascii="Times New Roman" w:hAnsi="Times New Roman" w:cs="Times New Roman"/>
          <w:sz w:val="24"/>
        </w:rPr>
        <w:t>道路工程中采取的声环保措施主要有</w:t>
      </w:r>
      <w:r>
        <w:rPr>
          <w:rFonts w:hint="default" w:ascii="Times New Roman" w:hAnsi="Times New Roman" w:cs="Times New Roman"/>
          <w:kern w:val="0"/>
          <w:sz w:val="24"/>
          <w:lang w:val="zh-CN"/>
        </w:rPr>
        <w:t>低噪声路面</w:t>
      </w:r>
      <w:r>
        <w:rPr>
          <w:rFonts w:hint="default" w:ascii="Times New Roman" w:hAnsi="Times New Roman" w:cs="Times New Roman"/>
          <w:sz w:val="24"/>
        </w:rPr>
        <w:t>、环保拆迁、改变建筑物的使用功能、安装隔声窗和种植防噪林带，各类噪声措施降噪效果见表5.2</w:t>
      </w:r>
      <w:r>
        <w:rPr>
          <w:rFonts w:hint="default" w:ascii="Times New Roman" w:hAnsi="Times New Roman" w:eastAsia="Times New Roman" w:cs="Times New Roman"/>
          <w:sz w:val="24"/>
        </w:rPr>
        <w:t>-1</w:t>
      </w:r>
      <w:r>
        <w:rPr>
          <w:rFonts w:hint="default" w:ascii="Times New Roman" w:hAnsi="Times New Roman" w:cs="Times New Roman"/>
          <w:sz w:val="24"/>
        </w:rPr>
        <w:t>。</w:t>
      </w:r>
    </w:p>
    <w:p>
      <w:pPr>
        <w:spacing w:line="360" w:lineRule="auto"/>
        <w:ind w:firstLine="482"/>
        <w:jc w:val="center"/>
        <w:rPr>
          <w:rFonts w:hint="default" w:ascii="Times New Roman" w:hAnsi="Times New Roman" w:cs="Times New Roman"/>
          <w:b/>
          <w:bCs/>
          <w:kern w:val="0"/>
          <w:sz w:val="24"/>
          <w:lang w:val="zh-CN"/>
        </w:rPr>
      </w:pPr>
      <w:r>
        <w:rPr>
          <w:rFonts w:hint="default" w:ascii="Times New Roman" w:hAnsi="Times New Roman" w:cs="Times New Roman"/>
          <w:b/>
          <w:bCs/>
          <w:kern w:val="0"/>
          <w:sz w:val="24"/>
        </w:rPr>
        <w:t xml:space="preserve">表5.2-1  </w:t>
      </w:r>
      <w:r>
        <w:rPr>
          <w:rFonts w:hint="default" w:ascii="Times New Roman" w:hAnsi="Times New Roman" w:cs="Times New Roman"/>
          <w:b/>
          <w:bCs/>
          <w:kern w:val="0"/>
          <w:sz w:val="24"/>
          <w:lang w:val="zh-CN"/>
        </w:rPr>
        <w:t>噪声环保措施方案比较</w:t>
      </w:r>
    </w:p>
    <w:tbl>
      <w:tblPr>
        <w:tblStyle w:val="2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607"/>
        <w:gridCol w:w="1930"/>
        <w:gridCol w:w="2972"/>
        <w:gridCol w:w="1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06" w:type="pct"/>
            <w:vAlign w:val="center"/>
          </w:tcPr>
          <w:p>
            <w:pPr>
              <w:jc w:val="center"/>
              <w:rPr>
                <w:rFonts w:hint="default" w:ascii="Times New Roman" w:hAnsi="Times New Roman" w:cs="Times New Roman"/>
                <w:b/>
                <w:bCs/>
                <w:kern w:val="0"/>
                <w:sz w:val="18"/>
                <w:szCs w:val="18"/>
                <w:lang w:val="zh-CN"/>
              </w:rPr>
            </w:pPr>
            <w:r>
              <w:rPr>
                <w:rFonts w:hint="default" w:ascii="Times New Roman" w:hAnsi="Times New Roman" w:cs="Times New Roman"/>
                <w:b/>
                <w:bCs/>
                <w:kern w:val="0"/>
                <w:sz w:val="18"/>
                <w:szCs w:val="18"/>
                <w:lang w:val="zh-CN"/>
              </w:rPr>
              <w:t>防治措施</w:t>
            </w:r>
          </w:p>
        </w:tc>
        <w:tc>
          <w:tcPr>
            <w:tcW w:w="865" w:type="pct"/>
            <w:vAlign w:val="center"/>
          </w:tcPr>
          <w:p>
            <w:pPr>
              <w:jc w:val="center"/>
              <w:rPr>
                <w:rFonts w:hint="default" w:ascii="Times New Roman" w:hAnsi="Times New Roman" w:cs="Times New Roman"/>
                <w:b/>
                <w:bCs/>
                <w:kern w:val="0"/>
                <w:sz w:val="18"/>
                <w:szCs w:val="18"/>
                <w:lang w:val="zh-CN"/>
              </w:rPr>
            </w:pPr>
            <w:r>
              <w:rPr>
                <w:rFonts w:hint="default" w:ascii="Times New Roman" w:hAnsi="Times New Roman" w:cs="Times New Roman"/>
                <w:b/>
                <w:bCs/>
                <w:kern w:val="0"/>
                <w:sz w:val="18"/>
                <w:szCs w:val="18"/>
                <w:lang w:val="zh-CN"/>
              </w:rPr>
              <w:t>优点</w:t>
            </w:r>
          </w:p>
        </w:tc>
        <w:tc>
          <w:tcPr>
            <w:tcW w:w="1039" w:type="pct"/>
            <w:vAlign w:val="center"/>
          </w:tcPr>
          <w:p>
            <w:pPr>
              <w:jc w:val="center"/>
              <w:rPr>
                <w:rFonts w:hint="default" w:ascii="Times New Roman" w:hAnsi="Times New Roman" w:cs="Times New Roman"/>
                <w:b/>
                <w:bCs/>
                <w:kern w:val="0"/>
                <w:sz w:val="18"/>
                <w:szCs w:val="18"/>
                <w:lang w:val="zh-CN"/>
              </w:rPr>
            </w:pPr>
            <w:r>
              <w:rPr>
                <w:rFonts w:hint="default" w:ascii="Times New Roman" w:hAnsi="Times New Roman" w:cs="Times New Roman"/>
                <w:b/>
                <w:bCs/>
                <w:kern w:val="0"/>
                <w:sz w:val="18"/>
                <w:szCs w:val="18"/>
                <w:lang w:val="zh-CN"/>
              </w:rPr>
              <w:t>缺点</w:t>
            </w:r>
          </w:p>
        </w:tc>
        <w:tc>
          <w:tcPr>
            <w:tcW w:w="1600" w:type="pct"/>
            <w:vAlign w:val="center"/>
          </w:tcPr>
          <w:p>
            <w:pPr>
              <w:jc w:val="center"/>
              <w:rPr>
                <w:rFonts w:hint="default" w:ascii="Times New Roman" w:hAnsi="Times New Roman" w:cs="Times New Roman"/>
                <w:b/>
                <w:bCs/>
                <w:kern w:val="0"/>
                <w:sz w:val="18"/>
                <w:szCs w:val="18"/>
                <w:lang w:val="zh-CN"/>
              </w:rPr>
            </w:pPr>
            <w:r>
              <w:rPr>
                <w:rFonts w:hint="default" w:ascii="Times New Roman" w:hAnsi="Times New Roman" w:cs="Times New Roman"/>
                <w:b/>
                <w:bCs/>
                <w:kern w:val="0"/>
                <w:sz w:val="18"/>
                <w:szCs w:val="18"/>
                <w:lang w:val="zh-CN"/>
              </w:rPr>
              <w:t>防治效果</w:t>
            </w:r>
          </w:p>
        </w:tc>
        <w:tc>
          <w:tcPr>
            <w:tcW w:w="987" w:type="pct"/>
            <w:vAlign w:val="center"/>
          </w:tcPr>
          <w:p>
            <w:pPr>
              <w:jc w:val="center"/>
              <w:rPr>
                <w:rFonts w:hint="default" w:ascii="Times New Roman" w:hAnsi="Times New Roman" w:cs="Times New Roman"/>
                <w:b/>
                <w:bCs/>
                <w:kern w:val="0"/>
                <w:sz w:val="18"/>
                <w:szCs w:val="18"/>
                <w:lang w:val="zh-CN"/>
              </w:rPr>
            </w:pPr>
            <w:r>
              <w:rPr>
                <w:rFonts w:hint="default" w:ascii="Times New Roman" w:hAnsi="Times New Roman" w:cs="Times New Roman"/>
                <w:b/>
                <w:bCs/>
                <w:kern w:val="0"/>
                <w:sz w:val="18"/>
                <w:szCs w:val="18"/>
                <w:lang w:val="zh-CN"/>
              </w:rPr>
              <w:t>实施费用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声屏障</w:t>
            </w:r>
          </w:p>
        </w:tc>
        <w:tc>
          <w:tcPr>
            <w:tcW w:w="865"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节约土地、简单、实用、可行、有效，易在公路建设中实施</w:t>
            </w:r>
          </w:p>
        </w:tc>
        <w:tc>
          <w:tcPr>
            <w:tcW w:w="1039"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路肩处一般情况下，在路肩声屏障后60m以内的敏感点防噪效果好，造价较高；影响行</w:t>
            </w:r>
          </w:p>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车安全</w:t>
            </w:r>
          </w:p>
        </w:tc>
        <w:tc>
          <w:tcPr>
            <w:tcW w:w="1600"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声屏障设计应由专业环保设计和结构设计单位承担，且首先应做好声屏障声学设计，即合理设计声屏障位置、高度、长度、插入损失值、声学材料。一般可降低噪声5～12dB（</w:t>
            </w:r>
            <w:r>
              <w:rPr>
                <w:rFonts w:hint="default" w:ascii="Times New Roman" w:hAnsi="Times New Roman" w:cs="Times New Roman"/>
                <w:kern w:val="0"/>
                <w:sz w:val="18"/>
                <w:szCs w:val="18"/>
              </w:rPr>
              <w:t>A</w:t>
            </w:r>
            <w:r>
              <w:rPr>
                <w:rFonts w:hint="default" w:ascii="Times New Roman" w:hAnsi="Times New Roman" w:cs="Times New Roman"/>
                <w:kern w:val="0"/>
                <w:sz w:val="18"/>
                <w:szCs w:val="18"/>
                <w:lang w:val="zh-CN"/>
              </w:rPr>
              <w:t>）</w:t>
            </w:r>
          </w:p>
        </w:tc>
        <w:tc>
          <w:tcPr>
            <w:tcW w:w="987"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rPr>
              <w:t>1</w:t>
            </w:r>
            <w:r>
              <w:rPr>
                <w:rFonts w:hint="default" w:ascii="Times New Roman" w:hAnsi="Times New Roman" w:cs="Times New Roman"/>
                <w:kern w:val="0"/>
                <w:sz w:val="18"/>
                <w:szCs w:val="18"/>
                <w:lang w:val="zh-CN"/>
              </w:rPr>
              <w:t>000-5000元/</w:t>
            </w:r>
            <w:r>
              <w:rPr>
                <w:rFonts w:hint="default" w:ascii="Times New Roman" w:hAnsi="Times New Roman" w:cs="Times New Roman"/>
                <w:kern w:val="0"/>
                <w:sz w:val="18"/>
                <w:szCs w:val="18"/>
              </w:rPr>
              <w:t>延</w:t>
            </w:r>
            <w:r>
              <w:rPr>
                <w:rFonts w:hint="default" w:ascii="Times New Roman" w:hAnsi="Times New Roman" w:cs="Times New Roman"/>
                <w:kern w:val="0"/>
                <w:sz w:val="18"/>
                <w:szCs w:val="18"/>
                <w:lang w:val="zh-CN"/>
              </w:rPr>
              <w:t>米左右（根据声学材料区别）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隔声窗</w:t>
            </w:r>
          </w:p>
        </w:tc>
        <w:tc>
          <w:tcPr>
            <w:tcW w:w="865"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多用于公共建筑物，或者噪声污染特别严重，建筑结构较好的建筑物</w:t>
            </w:r>
          </w:p>
        </w:tc>
        <w:tc>
          <w:tcPr>
            <w:tcW w:w="1039"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只能解决室内声环境，不能解决室外声环境，并需解决通风问题</w:t>
            </w:r>
          </w:p>
        </w:tc>
        <w:tc>
          <w:tcPr>
            <w:tcW w:w="1600"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根据实际采用经验，在窗户全关闭的情况下，室内噪声可降低10～25dB（</w:t>
            </w:r>
            <w:r>
              <w:rPr>
                <w:rFonts w:hint="default" w:ascii="Times New Roman" w:hAnsi="Times New Roman" w:cs="Times New Roman"/>
                <w:kern w:val="0"/>
                <w:sz w:val="18"/>
                <w:szCs w:val="18"/>
              </w:rPr>
              <w:t>A</w:t>
            </w:r>
            <w:r>
              <w:rPr>
                <w:rFonts w:hint="default" w:ascii="Times New Roman" w:hAnsi="Times New Roman" w:cs="Times New Roman"/>
                <w:kern w:val="0"/>
                <w:sz w:val="18"/>
                <w:szCs w:val="18"/>
                <w:lang w:val="zh-CN"/>
              </w:rPr>
              <w:t>），双层玻璃窗比单层玻璃窗降低10dB左右，可大大减轻交通噪声对室内的干扰</w:t>
            </w:r>
          </w:p>
        </w:tc>
        <w:tc>
          <w:tcPr>
            <w:tcW w:w="987"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1500-2500</w:t>
            </w:r>
          </w:p>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元/m</w:t>
            </w:r>
            <w:r>
              <w:rPr>
                <w:rFonts w:hint="default" w:ascii="Times New Roman" w:hAnsi="Times New Roman" w:cs="Times New Roman"/>
                <w:kern w:val="0"/>
                <w:sz w:val="18"/>
                <w:szCs w:val="18"/>
                <w:vertAlign w:val="superscript"/>
                <w:lang w:val="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低噪声路面</w:t>
            </w:r>
          </w:p>
        </w:tc>
        <w:tc>
          <w:tcPr>
            <w:tcW w:w="865"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经济合理、保持环境原有风貌、行车安全、行车舒适</w:t>
            </w:r>
          </w:p>
        </w:tc>
        <w:tc>
          <w:tcPr>
            <w:tcW w:w="1039"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耐久性差、空隙易堵塞，造成减噪效果减低</w:t>
            </w:r>
          </w:p>
        </w:tc>
        <w:tc>
          <w:tcPr>
            <w:tcW w:w="1600"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可降低噪声2～5dB（</w:t>
            </w:r>
            <w:r>
              <w:rPr>
                <w:rFonts w:hint="default" w:ascii="Times New Roman" w:hAnsi="Times New Roman" w:cs="Times New Roman"/>
                <w:kern w:val="0"/>
                <w:sz w:val="18"/>
                <w:szCs w:val="18"/>
              </w:rPr>
              <w:t>A</w:t>
            </w:r>
            <w:r>
              <w:rPr>
                <w:rFonts w:hint="default" w:ascii="Times New Roman" w:hAnsi="Times New Roman" w:cs="Times New Roman"/>
                <w:kern w:val="0"/>
                <w:sz w:val="18"/>
                <w:szCs w:val="18"/>
                <w:lang w:val="zh-CN"/>
              </w:rPr>
              <w:t>）</w:t>
            </w:r>
          </w:p>
        </w:tc>
        <w:tc>
          <w:tcPr>
            <w:tcW w:w="987"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约300万元/km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水泥板隔声</w:t>
            </w:r>
          </w:p>
        </w:tc>
        <w:tc>
          <w:tcPr>
            <w:tcW w:w="865"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造价便宜</w:t>
            </w:r>
          </w:p>
        </w:tc>
        <w:tc>
          <w:tcPr>
            <w:tcW w:w="1039"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耐久性差</w:t>
            </w:r>
          </w:p>
        </w:tc>
        <w:tc>
          <w:tcPr>
            <w:tcW w:w="1600"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防噪效果一般，可降低噪声</w:t>
            </w:r>
            <w:r>
              <w:rPr>
                <w:rFonts w:hint="default" w:ascii="Times New Roman" w:hAnsi="Times New Roman" w:cs="Times New Roman"/>
                <w:kern w:val="0"/>
                <w:sz w:val="18"/>
                <w:szCs w:val="18"/>
              </w:rPr>
              <w:t>4</w:t>
            </w:r>
            <w:r>
              <w:rPr>
                <w:rFonts w:hint="default" w:ascii="Times New Roman" w:hAnsi="Times New Roman" w:cs="Times New Roman"/>
                <w:kern w:val="0"/>
                <w:sz w:val="18"/>
                <w:szCs w:val="18"/>
                <w:lang w:val="zh-CN"/>
              </w:rPr>
              <w:t>～</w:t>
            </w:r>
            <w:r>
              <w:rPr>
                <w:rFonts w:hint="default" w:ascii="Times New Roman" w:hAnsi="Times New Roman" w:cs="Times New Roman"/>
                <w:kern w:val="0"/>
                <w:sz w:val="18"/>
                <w:szCs w:val="18"/>
              </w:rPr>
              <w:t>6</w:t>
            </w:r>
            <w:r>
              <w:rPr>
                <w:rFonts w:hint="default" w:ascii="Times New Roman" w:hAnsi="Times New Roman" w:cs="Times New Roman"/>
                <w:kern w:val="0"/>
                <w:sz w:val="18"/>
                <w:szCs w:val="18"/>
                <w:lang w:val="zh-CN"/>
              </w:rPr>
              <w:t>dB（</w:t>
            </w:r>
            <w:r>
              <w:rPr>
                <w:rFonts w:hint="default" w:ascii="Times New Roman" w:hAnsi="Times New Roman" w:cs="Times New Roman"/>
                <w:kern w:val="0"/>
                <w:sz w:val="18"/>
                <w:szCs w:val="18"/>
              </w:rPr>
              <w:t>A</w:t>
            </w:r>
            <w:r>
              <w:rPr>
                <w:rFonts w:hint="default" w:ascii="Times New Roman" w:hAnsi="Times New Roman" w:cs="Times New Roman"/>
                <w:kern w:val="0"/>
                <w:sz w:val="18"/>
                <w:szCs w:val="18"/>
                <w:lang w:val="zh-CN"/>
              </w:rPr>
              <w:t>）</w:t>
            </w:r>
          </w:p>
        </w:tc>
        <w:tc>
          <w:tcPr>
            <w:tcW w:w="987"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500元/延米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6"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栽植</w:t>
            </w:r>
          </w:p>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绿化</w:t>
            </w:r>
          </w:p>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降噪</w:t>
            </w:r>
          </w:p>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林带</w:t>
            </w:r>
          </w:p>
          <w:p>
            <w:pPr>
              <w:jc w:val="center"/>
              <w:rPr>
                <w:rFonts w:hint="default" w:ascii="Times New Roman" w:hAnsi="Times New Roman" w:cs="Times New Roman"/>
                <w:kern w:val="0"/>
                <w:sz w:val="18"/>
                <w:szCs w:val="18"/>
                <w:lang w:val="zh-CN"/>
              </w:rPr>
            </w:pPr>
          </w:p>
        </w:tc>
        <w:tc>
          <w:tcPr>
            <w:tcW w:w="865"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防噪、防尘、水土保持、改善生态环境和美化环境等综合功能，对人的心理作用良好</w:t>
            </w:r>
          </w:p>
        </w:tc>
        <w:tc>
          <w:tcPr>
            <w:tcW w:w="1039"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占地较多，建设方面临购买土地及解决林带结构和宽度问题，一般对绿化林带的降噪功能不可估计过高</w:t>
            </w:r>
          </w:p>
        </w:tc>
        <w:tc>
          <w:tcPr>
            <w:tcW w:w="1600"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与林带的宽度、度、位置、</w:t>
            </w:r>
          </w:p>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配置方式以及植物种类有密切关系，密植林带10m时可降噪1dB（</w:t>
            </w:r>
            <w:r>
              <w:rPr>
                <w:rFonts w:hint="default" w:ascii="Times New Roman" w:hAnsi="Times New Roman" w:cs="Times New Roman"/>
                <w:kern w:val="0"/>
                <w:sz w:val="18"/>
                <w:szCs w:val="18"/>
              </w:rPr>
              <w:t>A</w:t>
            </w:r>
            <w:r>
              <w:rPr>
                <w:rFonts w:hint="default" w:ascii="Times New Roman" w:hAnsi="Times New Roman" w:cs="Times New Roman"/>
                <w:kern w:val="0"/>
                <w:sz w:val="18"/>
                <w:szCs w:val="18"/>
                <w:lang w:val="zh-CN"/>
              </w:rPr>
              <w:t>），加宽林带宽度最多可降低噪声10dB（</w:t>
            </w:r>
            <w:r>
              <w:rPr>
                <w:rFonts w:hint="default" w:ascii="Times New Roman" w:hAnsi="Times New Roman" w:cs="Times New Roman"/>
                <w:kern w:val="0"/>
                <w:sz w:val="18"/>
                <w:szCs w:val="18"/>
              </w:rPr>
              <w:t>A</w:t>
            </w:r>
            <w:r>
              <w:rPr>
                <w:rFonts w:hint="default" w:ascii="Times New Roman" w:hAnsi="Times New Roman" w:cs="Times New Roman"/>
                <w:kern w:val="0"/>
                <w:sz w:val="18"/>
                <w:szCs w:val="18"/>
                <w:lang w:val="zh-CN"/>
              </w:rPr>
              <w:t>）；且绿化未成林之前效果更差。</w:t>
            </w:r>
          </w:p>
        </w:tc>
        <w:tc>
          <w:tcPr>
            <w:tcW w:w="987" w:type="pct"/>
            <w:vAlign w:val="center"/>
          </w:tcPr>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80元/m</w:t>
            </w:r>
            <w:r>
              <w:rPr>
                <w:rFonts w:hint="default" w:ascii="Times New Roman" w:hAnsi="Times New Roman" w:cs="Times New Roman"/>
                <w:kern w:val="0"/>
                <w:sz w:val="18"/>
                <w:szCs w:val="18"/>
                <w:vertAlign w:val="superscript"/>
                <w:lang w:val="zh-CN"/>
              </w:rPr>
              <w:t>2</w:t>
            </w:r>
          </w:p>
          <w:p>
            <w:pPr>
              <w:jc w:val="center"/>
              <w:rPr>
                <w:rFonts w:hint="default" w:ascii="Times New Roman" w:hAnsi="Times New Roman" w:cs="Times New Roman"/>
                <w:kern w:val="0"/>
                <w:sz w:val="18"/>
                <w:szCs w:val="18"/>
                <w:lang w:val="zh-CN"/>
              </w:rPr>
            </w:pPr>
            <w:r>
              <w:rPr>
                <w:rFonts w:hint="default" w:ascii="Times New Roman" w:hAnsi="Times New Roman" w:cs="Times New Roman"/>
                <w:kern w:val="0"/>
                <w:sz w:val="18"/>
                <w:szCs w:val="18"/>
                <w:lang w:val="zh-CN"/>
              </w:rPr>
              <w:t>（包括苗木购置费和养护费用）</w:t>
            </w:r>
          </w:p>
        </w:tc>
      </w:tr>
    </w:tbl>
    <w:p>
      <w:pPr>
        <w:pStyle w:val="26"/>
        <w:ind w:firstLine="480"/>
        <w:rPr>
          <w:rFonts w:hint="default" w:ascii="Times New Roman" w:hAnsi="Times New Roman" w:cs="Times New Roman"/>
          <w:lang w:val="zh-CN"/>
        </w:rPr>
      </w:pPr>
    </w:p>
    <w:p>
      <w:pPr>
        <w:spacing w:line="360" w:lineRule="auto"/>
        <w:ind w:firstLine="480"/>
        <w:jc w:val="left"/>
        <w:rPr>
          <w:rFonts w:hint="default" w:ascii="Times New Roman" w:hAnsi="Times New Roman" w:cs="Times New Roman"/>
          <w:sz w:val="24"/>
        </w:rPr>
      </w:pPr>
      <w:r>
        <w:rPr>
          <w:rFonts w:hint="default" w:ascii="Times New Roman" w:hAnsi="Times New Roman" w:cs="Times New Roman"/>
          <w:sz w:val="24"/>
        </w:rPr>
        <w:t>（3）拟建建筑声环境保护措施</w:t>
      </w:r>
    </w:p>
    <w:p>
      <w:pPr>
        <w:pStyle w:val="12"/>
        <w:spacing w:line="360" w:lineRule="auto"/>
        <w:ind w:firstLine="480" w:firstLineChars="200"/>
        <w:rPr>
          <w:rFonts w:hint="default" w:ascii="Times New Roman" w:hAnsi="Times New Roman" w:eastAsia="Times New Roman" w:cs="Times New Roman"/>
          <w:sz w:val="24"/>
        </w:rPr>
      </w:pPr>
      <w:r>
        <w:rPr>
          <w:rFonts w:hint="default" w:ascii="Times New Roman" w:hAnsi="Times New Roman" w:cs="Times New Roman"/>
          <w:sz w:val="24"/>
        </w:rPr>
        <w:t>根据噪声影响预测结果，结合工程路段的环境特征，建议未来新建的噪声敏感建建筑应采取相应的降噪措施。详见表5.2</w:t>
      </w:r>
      <w:r>
        <w:rPr>
          <w:rFonts w:hint="default" w:ascii="Times New Roman" w:hAnsi="Times New Roman" w:eastAsia="Times New Roman" w:cs="Times New Roman"/>
          <w:sz w:val="24"/>
        </w:rPr>
        <w:t>-2</w:t>
      </w:r>
      <w:r>
        <w:rPr>
          <w:rFonts w:hint="default" w:ascii="Times New Roman" w:hAnsi="Times New Roman" w:cs="Times New Roman"/>
          <w:sz w:val="24"/>
        </w:rPr>
        <w:t>。</w:t>
      </w:r>
    </w:p>
    <w:p>
      <w:pPr>
        <w:spacing w:line="360" w:lineRule="auto"/>
        <w:jc w:val="center"/>
        <w:rPr>
          <w:rFonts w:hint="default" w:ascii="Times New Roman" w:hAnsi="Times New Roman" w:cs="Times New Roman"/>
          <w:b/>
          <w:bCs/>
          <w:kern w:val="0"/>
          <w:sz w:val="24"/>
          <w:lang w:val="zh-CN"/>
        </w:rPr>
      </w:pPr>
      <w:r>
        <w:rPr>
          <w:rFonts w:hint="default" w:ascii="Times New Roman" w:hAnsi="Times New Roman" w:cs="Times New Roman"/>
          <w:b/>
          <w:bCs/>
          <w:kern w:val="0"/>
          <w:sz w:val="24"/>
        </w:rPr>
        <w:t>表5.2-2  拟建建筑相应具体降噪措施</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535"/>
        <w:gridCol w:w="917"/>
        <w:gridCol w:w="724"/>
        <w:gridCol w:w="739"/>
        <w:gridCol w:w="670"/>
        <w:gridCol w:w="2836"/>
        <w:gridCol w:w="19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71"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项目工程</w:t>
            </w:r>
          </w:p>
        </w:tc>
        <w:tc>
          <w:tcPr>
            <w:tcW w:w="288" w:type="pct"/>
            <w:vMerge w:val="restart"/>
            <w:tcBorders>
              <w:tl2br w:val="nil"/>
              <w:tr2bl w:val="nil"/>
            </w:tcBorders>
            <w:vAlign w:val="center"/>
          </w:tcPr>
          <w:p>
            <w:pPr>
              <w:jc w:val="center"/>
              <w:rPr>
                <w:rFonts w:hint="default" w:ascii="Times New Roman" w:hAnsi="Times New Roman" w:cs="Times New Roman"/>
                <w:b/>
                <w:bCs/>
                <w:kern w:val="0"/>
                <w:szCs w:val="21"/>
                <w:lang w:val="zh-CN"/>
              </w:rPr>
            </w:pPr>
            <w:r>
              <w:rPr>
                <w:rFonts w:hint="default" w:ascii="Times New Roman" w:hAnsi="Times New Roman" w:cs="Times New Roman"/>
                <w:b/>
                <w:bCs/>
                <w:kern w:val="0"/>
                <w:szCs w:val="21"/>
                <w:lang w:val="zh-CN"/>
              </w:rPr>
              <w:t>评价</w:t>
            </w:r>
          </w:p>
          <w:p>
            <w:pPr>
              <w:jc w:val="center"/>
              <w:rPr>
                <w:rFonts w:hint="default" w:ascii="Times New Roman" w:hAnsi="Times New Roman" w:cs="Times New Roman"/>
                <w:b/>
                <w:bCs/>
                <w:szCs w:val="21"/>
              </w:rPr>
            </w:pPr>
            <w:r>
              <w:rPr>
                <w:rFonts w:hint="default" w:ascii="Times New Roman" w:hAnsi="Times New Roman" w:cs="Times New Roman"/>
                <w:b/>
                <w:bCs/>
                <w:kern w:val="0"/>
                <w:szCs w:val="21"/>
                <w:lang w:val="zh-CN"/>
              </w:rPr>
              <w:t>类区</w:t>
            </w:r>
          </w:p>
        </w:tc>
        <w:tc>
          <w:tcPr>
            <w:tcW w:w="494"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kern w:val="0"/>
                <w:szCs w:val="21"/>
                <w:lang w:val="zh-CN"/>
              </w:rPr>
              <w:t>与道路中心线的距离（</w:t>
            </w:r>
            <w:r>
              <w:rPr>
                <w:rFonts w:hint="default" w:ascii="Times New Roman" w:hAnsi="Times New Roman" w:eastAsia="Times New Roman" w:cs="Times New Roman"/>
                <w:b/>
                <w:bCs/>
                <w:kern w:val="0"/>
                <w:szCs w:val="21"/>
                <w:lang w:val="zh-CN"/>
              </w:rPr>
              <w:t>m</w:t>
            </w:r>
            <w:r>
              <w:rPr>
                <w:rFonts w:hint="default" w:ascii="Times New Roman" w:hAnsi="Times New Roman" w:cs="Times New Roman"/>
                <w:b/>
                <w:bCs/>
                <w:kern w:val="0"/>
                <w:szCs w:val="21"/>
                <w:lang w:val="zh-CN"/>
              </w:rPr>
              <w:t>）</w:t>
            </w:r>
          </w:p>
        </w:tc>
        <w:tc>
          <w:tcPr>
            <w:tcW w:w="390" w:type="pct"/>
            <w:vMerge w:val="restart"/>
            <w:tcBorders>
              <w:tl2br w:val="nil"/>
              <w:tr2bl w:val="nil"/>
            </w:tcBorders>
            <w:vAlign w:val="center"/>
          </w:tcPr>
          <w:p>
            <w:pPr>
              <w:jc w:val="center"/>
              <w:rPr>
                <w:rFonts w:hint="default" w:ascii="Times New Roman" w:hAnsi="Times New Roman" w:cs="Times New Roman"/>
                <w:b/>
                <w:bCs/>
                <w:kern w:val="0"/>
                <w:szCs w:val="21"/>
                <w:lang w:val="zh-CN"/>
              </w:rPr>
            </w:pPr>
            <w:r>
              <w:rPr>
                <w:rFonts w:hint="default" w:ascii="Times New Roman" w:hAnsi="Times New Roman" w:cs="Times New Roman"/>
                <w:b/>
                <w:bCs/>
                <w:szCs w:val="21"/>
              </w:rPr>
              <w:t>受影响人数</w:t>
            </w:r>
          </w:p>
        </w:tc>
        <w:tc>
          <w:tcPr>
            <w:tcW w:w="759" w:type="pct"/>
            <w:gridSpan w:val="2"/>
            <w:tcBorders>
              <w:tl2br w:val="nil"/>
              <w:tr2bl w:val="nil"/>
            </w:tcBorders>
            <w:vAlign w:val="center"/>
          </w:tcPr>
          <w:p>
            <w:pPr>
              <w:jc w:val="center"/>
              <w:rPr>
                <w:rFonts w:hint="default" w:ascii="Times New Roman" w:hAnsi="Times New Roman" w:cs="Times New Roman"/>
                <w:b/>
                <w:bCs/>
                <w:kern w:val="0"/>
                <w:szCs w:val="21"/>
                <w:lang w:val="zh-CN"/>
              </w:rPr>
            </w:pPr>
            <w:r>
              <w:rPr>
                <w:rFonts w:hint="default" w:ascii="Times New Roman" w:hAnsi="Times New Roman" w:cs="Times New Roman"/>
                <w:b/>
                <w:bCs/>
                <w:kern w:val="0"/>
                <w:szCs w:val="21"/>
                <w:lang w:val="zh-CN"/>
              </w:rPr>
              <w:t>远期最大超标量(dB（</w:t>
            </w:r>
            <w:r>
              <w:rPr>
                <w:rFonts w:hint="default" w:ascii="Times New Roman" w:hAnsi="Times New Roman" w:cs="Times New Roman"/>
                <w:b/>
                <w:bCs/>
                <w:kern w:val="0"/>
                <w:szCs w:val="21"/>
              </w:rPr>
              <w:t>A</w:t>
            </w:r>
            <w:r>
              <w:rPr>
                <w:rFonts w:hint="default" w:ascii="Times New Roman" w:hAnsi="Times New Roman" w:cs="Times New Roman"/>
                <w:b/>
                <w:bCs/>
                <w:kern w:val="0"/>
                <w:szCs w:val="21"/>
                <w:lang w:val="zh-CN"/>
              </w:rPr>
              <w:t>）)</w:t>
            </w:r>
          </w:p>
        </w:tc>
        <w:tc>
          <w:tcPr>
            <w:tcW w:w="1527" w:type="pct"/>
            <w:vMerge w:val="restart"/>
            <w:tcBorders>
              <w:tl2br w:val="nil"/>
              <w:tr2bl w:val="nil"/>
            </w:tcBorders>
            <w:vAlign w:val="center"/>
          </w:tcPr>
          <w:p>
            <w:pPr>
              <w:jc w:val="center"/>
              <w:rPr>
                <w:rFonts w:hint="default" w:ascii="Times New Roman" w:hAnsi="Times New Roman" w:cs="Times New Roman"/>
                <w:b/>
                <w:bCs/>
                <w:kern w:val="0"/>
                <w:szCs w:val="21"/>
                <w:lang w:val="zh-CN"/>
              </w:rPr>
            </w:pPr>
            <w:r>
              <w:rPr>
                <w:rFonts w:hint="default" w:ascii="Times New Roman" w:hAnsi="Times New Roman" w:cs="Times New Roman"/>
                <w:b/>
                <w:bCs/>
                <w:szCs w:val="21"/>
              </w:rPr>
              <w:t>减噪措施及其技术经济论证</w:t>
            </w:r>
          </w:p>
        </w:tc>
        <w:tc>
          <w:tcPr>
            <w:tcW w:w="1070" w:type="pct"/>
            <w:vMerge w:val="restart"/>
            <w:tcBorders>
              <w:tl2br w:val="nil"/>
              <w:tr2bl w:val="nil"/>
            </w:tcBorders>
            <w:vAlign w:val="center"/>
          </w:tcPr>
          <w:p>
            <w:pPr>
              <w:jc w:val="center"/>
              <w:rPr>
                <w:rFonts w:hint="default" w:ascii="Times New Roman" w:hAnsi="Times New Roman" w:cs="Times New Roman"/>
                <w:b/>
                <w:bCs/>
                <w:szCs w:val="21"/>
              </w:rPr>
            </w:pPr>
            <w:r>
              <w:rPr>
                <w:rFonts w:hint="default" w:ascii="Times New Roman" w:hAnsi="Times New Roman" w:cs="Times New Roman"/>
                <w:b/>
                <w:bCs/>
                <w:szCs w:val="21"/>
              </w:rPr>
              <w:t>推荐措施</w:t>
            </w:r>
          </w:p>
          <w:p>
            <w:pPr>
              <w:jc w:val="center"/>
              <w:rPr>
                <w:rFonts w:hint="default" w:ascii="Times New Roman" w:hAnsi="Times New Roman" w:cs="Times New Roman"/>
                <w:b/>
                <w:bCs/>
                <w:kern w:val="0"/>
                <w:szCs w:val="21"/>
                <w:lang w:val="zh-CN"/>
              </w:rPr>
            </w:pPr>
            <w:r>
              <w:rPr>
                <w:rFonts w:hint="default" w:ascii="Times New Roman" w:hAnsi="Times New Roman" w:cs="Times New Roman"/>
                <w:b/>
                <w:bCs/>
                <w:szCs w:val="21"/>
              </w:rPr>
              <w:t>及推荐理由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71" w:type="pct"/>
            <w:vMerge w:val="continue"/>
            <w:tcBorders>
              <w:tl2br w:val="nil"/>
              <w:tr2bl w:val="nil"/>
            </w:tcBorders>
            <w:vAlign w:val="center"/>
          </w:tcPr>
          <w:p>
            <w:pPr>
              <w:jc w:val="center"/>
              <w:rPr>
                <w:rFonts w:hint="default" w:ascii="Times New Roman" w:hAnsi="Times New Roman" w:cs="Times New Roman"/>
                <w:szCs w:val="21"/>
              </w:rPr>
            </w:pPr>
          </w:p>
        </w:tc>
        <w:tc>
          <w:tcPr>
            <w:tcW w:w="288" w:type="pct"/>
            <w:vMerge w:val="continue"/>
            <w:tcBorders>
              <w:tl2br w:val="nil"/>
              <w:tr2bl w:val="nil"/>
            </w:tcBorders>
            <w:vAlign w:val="center"/>
          </w:tcPr>
          <w:p>
            <w:pPr>
              <w:jc w:val="center"/>
              <w:rPr>
                <w:rFonts w:hint="default" w:ascii="Times New Roman" w:hAnsi="Times New Roman" w:cs="Times New Roman"/>
                <w:szCs w:val="21"/>
              </w:rPr>
            </w:pPr>
          </w:p>
        </w:tc>
        <w:tc>
          <w:tcPr>
            <w:tcW w:w="494" w:type="pct"/>
            <w:vMerge w:val="continue"/>
            <w:tcBorders>
              <w:tl2br w:val="nil"/>
              <w:tr2bl w:val="nil"/>
            </w:tcBorders>
            <w:vAlign w:val="center"/>
          </w:tcPr>
          <w:p>
            <w:pPr>
              <w:jc w:val="center"/>
              <w:rPr>
                <w:rFonts w:hint="default" w:ascii="Times New Roman" w:hAnsi="Times New Roman" w:cs="Times New Roman"/>
                <w:szCs w:val="21"/>
              </w:rPr>
            </w:pPr>
          </w:p>
        </w:tc>
        <w:tc>
          <w:tcPr>
            <w:tcW w:w="390" w:type="pct"/>
            <w:vMerge w:val="continue"/>
            <w:tcBorders>
              <w:tl2br w:val="nil"/>
              <w:tr2bl w:val="nil"/>
            </w:tcBorders>
            <w:vAlign w:val="center"/>
          </w:tcPr>
          <w:p>
            <w:pPr>
              <w:jc w:val="center"/>
              <w:rPr>
                <w:rFonts w:hint="default" w:ascii="Times New Roman" w:hAnsi="Times New Roman" w:cs="Times New Roman"/>
                <w:szCs w:val="21"/>
              </w:rPr>
            </w:pPr>
          </w:p>
        </w:tc>
        <w:tc>
          <w:tcPr>
            <w:tcW w:w="398" w:type="pct"/>
            <w:tcBorders>
              <w:tl2br w:val="nil"/>
              <w:tr2bl w:val="nil"/>
            </w:tcBorders>
            <w:vAlign w:val="center"/>
          </w:tcPr>
          <w:p>
            <w:pPr>
              <w:jc w:val="center"/>
              <w:rPr>
                <w:rFonts w:hint="default" w:ascii="Times New Roman" w:hAnsi="Times New Roman" w:cs="Times New Roman"/>
                <w:b/>
                <w:bCs/>
                <w:kern w:val="0"/>
                <w:szCs w:val="21"/>
                <w:lang w:val="zh-CN"/>
              </w:rPr>
            </w:pPr>
            <w:r>
              <w:rPr>
                <w:rFonts w:hint="default" w:ascii="Times New Roman" w:hAnsi="Times New Roman" w:cs="Times New Roman"/>
                <w:b/>
                <w:bCs/>
                <w:kern w:val="0"/>
                <w:szCs w:val="21"/>
                <w:lang w:val="zh-CN"/>
              </w:rPr>
              <w:t>昼间</w:t>
            </w:r>
          </w:p>
        </w:tc>
        <w:tc>
          <w:tcPr>
            <w:tcW w:w="361" w:type="pct"/>
            <w:tcBorders>
              <w:tl2br w:val="nil"/>
              <w:tr2bl w:val="nil"/>
            </w:tcBorders>
            <w:vAlign w:val="center"/>
          </w:tcPr>
          <w:p>
            <w:pPr>
              <w:jc w:val="center"/>
              <w:rPr>
                <w:rFonts w:hint="default" w:ascii="Times New Roman" w:hAnsi="Times New Roman" w:cs="Times New Roman"/>
                <w:b/>
                <w:bCs/>
                <w:kern w:val="0"/>
                <w:szCs w:val="21"/>
                <w:lang w:val="zh-CN"/>
              </w:rPr>
            </w:pPr>
            <w:r>
              <w:rPr>
                <w:rFonts w:hint="default" w:ascii="Times New Roman" w:hAnsi="Times New Roman" w:cs="Times New Roman"/>
                <w:b/>
                <w:bCs/>
                <w:kern w:val="0"/>
                <w:szCs w:val="21"/>
                <w:lang w:val="zh-CN"/>
              </w:rPr>
              <w:t>夜间</w:t>
            </w:r>
          </w:p>
        </w:tc>
        <w:tc>
          <w:tcPr>
            <w:tcW w:w="1527" w:type="pct"/>
            <w:vMerge w:val="continue"/>
            <w:tcBorders>
              <w:tl2br w:val="nil"/>
              <w:tr2bl w:val="nil"/>
            </w:tcBorders>
            <w:vAlign w:val="center"/>
          </w:tcPr>
          <w:p>
            <w:pPr>
              <w:jc w:val="center"/>
              <w:rPr>
                <w:rFonts w:hint="default" w:ascii="Times New Roman" w:hAnsi="Times New Roman" w:cs="Times New Roman"/>
                <w:szCs w:val="21"/>
              </w:rPr>
            </w:pPr>
          </w:p>
        </w:tc>
        <w:tc>
          <w:tcPr>
            <w:tcW w:w="1070" w:type="pct"/>
            <w:vMerge w:val="continue"/>
            <w:tcBorders>
              <w:tl2br w:val="nil"/>
              <w:tr2bl w:val="nil"/>
            </w:tcBorders>
            <w:vAlign w:val="center"/>
          </w:tcPr>
          <w:p>
            <w:pPr>
              <w:jc w:val="center"/>
              <w:rPr>
                <w:rFonts w:hint="default"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1" w:type="pct"/>
            <w:vMerge w:val="restart"/>
            <w:tcBorders>
              <w:tl2br w:val="nil"/>
              <w:tr2bl w:val="nil"/>
            </w:tcBorders>
            <w:vAlign w:val="center"/>
          </w:tcPr>
          <w:p>
            <w:pPr>
              <w:widowControl/>
              <w:snapToGrid w:val="0"/>
              <w:spacing w:before="60" w:after="160"/>
              <w:ind w:right="113"/>
              <w:jc w:val="center"/>
              <w:rPr>
                <w:rFonts w:hint="default" w:ascii="Times New Roman" w:hAnsi="Times New Roman" w:cs="Times New Roman"/>
                <w:kern w:val="0"/>
                <w:szCs w:val="21"/>
                <w:lang w:val="zh-CN"/>
              </w:rPr>
            </w:pPr>
            <w:r>
              <w:rPr>
                <w:rFonts w:hint="eastAsia" w:ascii="Times New Roman" w:hAnsi="Times New Roman" w:eastAsia="宋体" w:cs="Times New Roman"/>
                <w:color w:val="auto"/>
                <w:sz w:val="21"/>
                <w:szCs w:val="21"/>
                <w:lang w:val="en-US" w:eastAsia="zh-CN"/>
              </w:rPr>
              <w:t>教育科研用地、居住用地</w:t>
            </w:r>
            <w:r>
              <w:rPr>
                <w:rFonts w:hint="eastAsia" w:cs="Times New Roman"/>
                <w:color w:val="auto"/>
                <w:sz w:val="21"/>
                <w:szCs w:val="21"/>
                <w:lang w:val="en-US" w:eastAsia="zh-CN"/>
              </w:rPr>
              <w:t>，</w:t>
            </w:r>
          </w:p>
        </w:tc>
        <w:tc>
          <w:tcPr>
            <w:tcW w:w="288" w:type="pct"/>
            <w:tcBorders>
              <w:tl2br w:val="nil"/>
              <w:tr2bl w:val="nil"/>
            </w:tcBorders>
            <w:vAlign w:val="center"/>
          </w:tcPr>
          <w:p>
            <w:pPr>
              <w:jc w:val="center"/>
              <w:rPr>
                <w:rFonts w:hint="default" w:ascii="Times New Roman" w:hAnsi="Times New Roman" w:cs="Times New Roman"/>
                <w:kern w:val="0"/>
                <w:szCs w:val="21"/>
                <w:lang w:val="zh-CN"/>
              </w:rPr>
            </w:pPr>
            <w:r>
              <w:rPr>
                <w:rFonts w:hint="default" w:ascii="Times New Roman" w:hAnsi="Times New Roman" w:eastAsia="Times New Roman" w:cs="Times New Roman"/>
                <w:kern w:val="0"/>
                <w:szCs w:val="21"/>
                <w:lang w:val="zh-CN"/>
              </w:rPr>
              <w:t>4a</w:t>
            </w:r>
            <w:r>
              <w:rPr>
                <w:rFonts w:hint="default" w:ascii="Times New Roman" w:hAnsi="Times New Roman" w:cs="Times New Roman"/>
                <w:kern w:val="0"/>
                <w:szCs w:val="21"/>
                <w:lang w:val="zh-CN"/>
              </w:rPr>
              <w:t>类</w:t>
            </w:r>
          </w:p>
        </w:tc>
        <w:tc>
          <w:tcPr>
            <w:tcW w:w="494"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 w:val="18"/>
                <w:szCs w:val="18"/>
              </w:rPr>
              <w:t>35</w:t>
            </w:r>
          </w:p>
        </w:tc>
        <w:tc>
          <w:tcPr>
            <w:tcW w:w="390"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398" w:type="pct"/>
            <w:tcBorders>
              <w:tl2br w:val="nil"/>
              <w:tr2bl w:val="nil"/>
            </w:tcBorders>
            <w:vAlign w:val="center"/>
          </w:tcPr>
          <w:p>
            <w:pPr>
              <w:tabs>
                <w:tab w:val="center" w:pos="4153"/>
                <w:tab w:val="right" w:pos="8306"/>
              </w:tabs>
              <w:spacing w:before="120"/>
              <w:jc w:val="center"/>
              <w:rPr>
                <w:rFonts w:hint="default" w:ascii="Times New Roman" w:hAnsi="Times New Roman" w:cs="Times New Roman"/>
                <w:szCs w:val="21"/>
              </w:rPr>
            </w:pPr>
            <w:r>
              <w:rPr>
                <w:rFonts w:hint="default" w:ascii="Times New Roman" w:hAnsi="Times New Roman" w:cs="Times New Roman"/>
                <w:szCs w:val="21"/>
              </w:rPr>
              <w:t>/</w:t>
            </w:r>
          </w:p>
        </w:tc>
        <w:tc>
          <w:tcPr>
            <w:tcW w:w="361" w:type="pct"/>
            <w:tcBorders>
              <w:tl2br w:val="nil"/>
              <w:tr2bl w:val="nil"/>
            </w:tcBorders>
            <w:vAlign w:val="center"/>
          </w:tcPr>
          <w:p>
            <w:pPr>
              <w:tabs>
                <w:tab w:val="center" w:pos="4153"/>
                <w:tab w:val="right" w:pos="8306"/>
              </w:tabs>
              <w:spacing w:before="120"/>
              <w:jc w:val="center"/>
              <w:rPr>
                <w:rFonts w:hint="default" w:ascii="Times New Roman" w:hAnsi="Times New Roman" w:cs="Times New Roman"/>
                <w:szCs w:val="21"/>
              </w:rPr>
            </w:pPr>
            <w:r>
              <w:rPr>
                <w:rFonts w:hint="default" w:ascii="Times New Roman" w:hAnsi="Times New Roman" w:cs="Times New Roman"/>
                <w:szCs w:val="21"/>
              </w:rPr>
              <w:t>/</w:t>
            </w:r>
          </w:p>
        </w:tc>
        <w:tc>
          <w:tcPr>
            <w:tcW w:w="1527" w:type="pct"/>
            <w:vMerge w:val="restart"/>
            <w:tcBorders>
              <w:tl2br w:val="nil"/>
              <w:tr2bl w:val="nil"/>
            </w:tcBorders>
            <w:vAlign w:val="center"/>
          </w:tcPr>
          <w:p>
            <w:pPr>
              <w:jc w:val="center"/>
              <w:rPr>
                <w:rFonts w:hint="default" w:ascii="Times New Roman" w:hAnsi="Times New Roman" w:cs="Times New Roman"/>
              </w:rPr>
            </w:pPr>
            <w:r>
              <w:rPr>
                <w:rFonts w:hint="default" w:ascii="Times New Roman" w:hAnsi="Times New Roman" w:cs="Times New Roman"/>
              </w:rPr>
              <w:t>方案一：设置声屏障</w:t>
            </w:r>
          </w:p>
          <w:p>
            <w:pPr>
              <w:jc w:val="center"/>
              <w:rPr>
                <w:rFonts w:hint="default" w:ascii="Times New Roman" w:hAnsi="Times New Roman" w:cs="Times New Roman"/>
                <w:lang w:val="zh-CN"/>
              </w:rPr>
            </w:pPr>
            <w:r>
              <w:rPr>
                <w:rFonts w:hint="default" w:ascii="Times New Roman" w:hAnsi="Times New Roman" w:cs="Times New Roman"/>
              </w:rPr>
              <w:t>方案二：安装隔声窗</w:t>
            </w:r>
          </w:p>
        </w:tc>
        <w:tc>
          <w:tcPr>
            <w:tcW w:w="1070" w:type="pct"/>
            <w:vMerge w:val="restart"/>
            <w:tcBorders>
              <w:tl2br w:val="nil"/>
              <w:tr2bl w:val="nil"/>
            </w:tcBorders>
            <w:vAlign w:val="center"/>
          </w:tcPr>
          <w:p>
            <w:pPr>
              <w:jc w:val="center"/>
              <w:rPr>
                <w:rFonts w:hint="default" w:ascii="Times New Roman" w:hAnsi="Times New Roman" w:cs="Times New Roman"/>
                <w:kern w:val="0"/>
                <w:szCs w:val="21"/>
                <w:lang w:val="zh-CN"/>
              </w:rPr>
            </w:pPr>
            <w:r>
              <w:rPr>
                <w:rFonts w:hint="default" w:ascii="Times New Roman" w:hAnsi="Times New Roman" w:cs="Times New Roman"/>
                <w:szCs w:val="21"/>
              </w:rPr>
              <w:t>声屏障隔声范围有限，且有地面道路影响。道路周围多为文化</w:t>
            </w:r>
            <w:r>
              <w:rPr>
                <w:rFonts w:hint="eastAsia" w:cs="Times New Roman"/>
                <w:szCs w:val="21"/>
                <w:lang w:val="en-US" w:eastAsia="zh-CN"/>
              </w:rPr>
              <w:t>科研</w:t>
            </w:r>
            <w:r>
              <w:rPr>
                <w:rFonts w:hint="default" w:ascii="Times New Roman" w:hAnsi="Times New Roman" w:cs="Times New Roman"/>
                <w:szCs w:val="21"/>
              </w:rPr>
              <w:t>设施，推荐安装隔声窗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71" w:type="pct"/>
            <w:vMerge w:val="continue"/>
            <w:tcBorders>
              <w:tl2br w:val="nil"/>
              <w:tr2bl w:val="nil"/>
            </w:tcBorders>
            <w:vAlign w:val="center"/>
          </w:tcPr>
          <w:p>
            <w:pPr>
              <w:jc w:val="center"/>
              <w:rPr>
                <w:rFonts w:hint="default" w:ascii="Times New Roman" w:hAnsi="Times New Roman" w:cs="Times New Roman"/>
                <w:kern w:val="0"/>
                <w:szCs w:val="21"/>
                <w:lang w:val="zh-CN"/>
              </w:rPr>
            </w:pPr>
          </w:p>
        </w:tc>
        <w:tc>
          <w:tcPr>
            <w:tcW w:w="288" w:type="pct"/>
            <w:tcBorders>
              <w:tl2br w:val="nil"/>
              <w:tr2bl w:val="nil"/>
            </w:tcBorders>
            <w:vAlign w:val="center"/>
          </w:tcPr>
          <w:p>
            <w:pPr>
              <w:jc w:val="center"/>
              <w:rPr>
                <w:rFonts w:hint="default" w:ascii="Times New Roman" w:hAnsi="Times New Roman" w:cs="Times New Roman"/>
                <w:kern w:val="0"/>
                <w:szCs w:val="21"/>
                <w:lang w:val="zh-CN"/>
              </w:rPr>
            </w:pPr>
            <w:r>
              <w:rPr>
                <w:rFonts w:hint="default" w:ascii="Times New Roman" w:hAnsi="Times New Roman" w:eastAsia="Times New Roman" w:cs="Times New Roman"/>
                <w:kern w:val="0"/>
                <w:szCs w:val="21"/>
                <w:lang w:val="zh-CN"/>
              </w:rPr>
              <w:t>2</w:t>
            </w:r>
            <w:r>
              <w:rPr>
                <w:rFonts w:hint="default" w:ascii="Times New Roman" w:hAnsi="Times New Roman" w:cs="Times New Roman"/>
                <w:kern w:val="0"/>
                <w:szCs w:val="21"/>
                <w:lang w:val="zh-CN"/>
              </w:rPr>
              <w:t>类</w:t>
            </w:r>
          </w:p>
        </w:tc>
        <w:tc>
          <w:tcPr>
            <w:tcW w:w="494"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＞35m</w:t>
            </w:r>
          </w:p>
        </w:tc>
        <w:tc>
          <w:tcPr>
            <w:tcW w:w="390" w:type="pct"/>
            <w:tcBorders>
              <w:tl2br w:val="nil"/>
              <w:tr2bl w:val="nil"/>
            </w:tcBorders>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398" w:type="pct"/>
            <w:tcBorders>
              <w:tl2br w:val="nil"/>
              <w:tr2bl w:val="nil"/>
            </w:tcBorders>
            <w:vAlign w:val="center"/>
          </w:tcPr>
          <w:p>
            <w:pPr>
              <w:widowControl/>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w:t>
            </w:r>
          </w:p>
        </w:tc>
        <w:tc>
          <w:tcPr>
            <w:tcW w:w="361" w:type="pct"/>
            <w:tcBorders>
              <w:tl2br w:val="nil"/>
              <w:tr2bl w:val="nil"/>
            </w:tcBorders>
            <w:vAlign w:val="center"/>
          </w:tcPr>
          <w:p>
            <w:pPr>
              <w:widowControl/>
              <w:jc w:val="center"/>
              <w:textAlignment w:val="bottom"/>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527" w:type="pct"/>
            <w:vMerge w:val="continue"/>
            <w:tcBorders>
              <w:tl2br w:val="nil"/>
              <w:tr2bl w:val="nil"/>
            </w:tcBorders>
            <w:vAlign w:val="center"/>
          </w:tcPr>
          <w:p>
            <w:pPr>
              <w:jc w:val="center"/>
              <w:rPr>
                <w:rFonts w:hint="default" w:ascii="Times New Roman" w:hAnsi="Times New Roman" w:cs="Times New Roman"/>
                <w:kern w:val="0"/>
                <w:szCs w:val="21"/>
                <w:lang w:val="zh-CN"/>
              </w:rPr>
            </w:pPr>
          </w:p>
        </w:tc>
        <w:tc>
          <w:tcPr>
            <w:tcW w:w="1070" w:type="pct"/>
            <w:vMerge w:val="continue"/>
            <w:tcBorders>
              <w:tl2br w:val="nil"/>
              <w:tr2bl w:val="nil"/>
            </w:tcBorders>
            <w:vAlign w:val="center"/>
          </w:tcPr>
          <w:p>
            <w:pPr>
              <w:jc w:val="center"/>
              <w:rPr>
                <w:rFonts w:hint="default" w:ascii="Times New Roman" w:hAnsi="Times New Roman" w:cs="Times New Roman"/>
                <w:kern w:val="0"/>
                <w:szCs w:val="21"/>
                <w:lang w:val="zh-CN"/>
              </w:rPr>
            </w:pPr>
          </w:p>
        </w:tc>
      </w:tr>
    </w:tbl>
    <w:p>
      <w:pPr>
        <w:spacing w:before="120" w:beforeLines="50" w:line="360" w:lineRule="auto"/>
        <w:ind w:firstLine="482"/>
        <w:jc w:val="left"/>
        <w:rPr>
          <w:rFonts w:hint="default" w:ascii="Times New Roman" w:hAnsi="Times New Roman" w:cs="Times New Roman"/>
        </w:rPr>
      </w:pPr>
      <w:r>
        <w:rPr>
          <w:rFonts w:hint="default" w:ascii="Times New Roman" w:hAnsi="Times New Roman" w:cs="Times New Roman"/>
          <w:sz w:val="24"/>
        </w:rPr>
        <w:t>通过表5.2-2噪声环保措施方案比较可知，安装隔声窗，既可降低噪声，又可美化环境。</w:t>
      </w:r>
    </w:p>
    <w:p>
      <w:pPr>
        <w:spacing w:before="120" w:beforeLines="50" w:line="360" w:lineRule="auto"/>
        <w:ind w:firstLine="482"/>
        <w:jc w:val="left"/>
        <w:rPr>
          <w:rFonts w:hint="eastAsia" w:ascii="Times New Roman" w:hAnsi="Times New Roman" w:eastAsia="宋体" w:cs="Times New Roman"/>
          <w:sz w:val="24"/>
          <w:lang w:eastAsia="zh-CN"/>
        </w:rPr>
        <w:sectPr>
          <w:pgSz w:w="11906" w:h="16838"/>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bookmarkStart w:id="274" w:name="_Toc7295"/>
      <w:bookmarkStart w:id="275" w:name="_Toc23079"/>
      <w:r>
        <w:rPr>
          <w:rFonts w:hint="eastAsia" w:ascii="Times New Roman" w:hAnsi="Times New Roman" w:eastAsia="宋体" w:cs="Times New Roman"/>
          <w:sz w:val="24"/>
          <w:lang w:val="en-US" w:eastAsia="zh-CN"/>
        </w:rPr>
        <w:t>本项目道路</w:t>
      </w:r>
      <w:r>
        <w:rPr>
          <w:rFonts w:hint="eastAsia" w:ascii="Times New Roman" w:hAnsi="Times New Roman" w:eastAsia="宋体" w:cs="Times New Roman"/>
          <w:sz w:val="24"/>
        </w:rPr>
        <w:t>沿线新建敏感建筑</w:t>
      </w:r>
      <w:r>
        <w:rPr>
          <w:rFonts w:hint="eastAsia" w:ascii="Times New Roman" w:hAnsi="Times New Roman" w:eastAsia="宋体" w:cs="Times New Roman"/>
          <w:sz w:val="24"/>
          <w:lang w:val="en-US" w:eastAsia="zh-CN"/>
        </w:rPr>
        <w:t>时，</w:t>
      </w:r>
      <w:r>
        <w:rPr>
          <w:rFonts w:hint="eastAsia" w:ascii="Times New Roman" w:hAnsi="Times New Roman" w:eastAsia="宋体" w:cs="Times New Roman"/>
          <w:sz w:val="24"/>
        </w:rPr>
        <w:t>应由敏感建筑建设单位对声环境质量进行评估后，</w:t>
      </w:r>
      <w:r>
        <w:rPr>
          <w:rFonts w:hint="eastAsia" w:ascii="Times New Roman" w:hAnsi="Times New Roman" w:eastAsia="宋体" w:cs="Times New Roman"/>
          <w:sz w:val="24"/>
          <w:lang w:val="en-US" w:eastAsia="zh-CN"/>
        </w:rPr>
        <w:t>制定具体的降噪方案，对于</w:t>
      </w:r>
      <w:r>
        <w:rPr>
          <w:rFonts w:hint="eastAsia" w:ascii="Times New Roman" w:hAnsi="Times New Roman" w:eastAsia="宋体" w:cs="Times New Roman"/>
          <w:sz w:val="24"/>
        </w:rPr>
        <w:t>无法达到声环境功能区划的建筑，推荐采用隔声窗降噪措施，并对工程平面布局进行合理的布置</w:t>
      </w:r>
      <w:r>
        <w:rPr>
          <w:rFonts w:hint="eastAsia" w:ascii="Times New Roman" w:hAnsi="Times New Roman" w:eastAsia="宋体" w:cs="Times New Roman"/>
          <w:sz w:val="24"/>
          <w:lang w:eastAsia="zh-CN"/>
        </w:rPr>
        <w:t>。</w:t>
      </w:r>
    </w:p>
    <w:p>
      <w:pPr>
        <w:keepNext/>
        <w:keepLines/>
        <w:spacing w:line="360" w:lineRule="auto"/>
        <w:outlineLvl w:val="0"/>
        <w:rPr>
          <w:b/>
          <w:bCs/>
          <w:color w:val="auto"/>
          <w:kern w:val="44"/>
          <w:sz w:val="32"/>
        </w:rPr>
      </w:pPr>
      <w:bookmarkStart w:id="276" w:name="_Toc14696"/>
      <w:bookmarkStart w:id="277" w:name="_Toc14623"/>
      <w:bookmarkStart w:id="278" w:name="_Toc30814"/>
      <w:bookmarkStart w:id="279" w:name="_Toc32482"/>
      <w:r>
        <w:rPr>
          <w:rFonts w:hint="eastAsia"/>
          <w:b/>
          <w:bCs/>
          <w:color w:val="auto"/>
          <w:kern w:val="44"/>
          <w:sz w:val="32"/>
        </w:rPr>
        <w:t>6环境管理监测计划</w:t>
      </w:r>
      <w:bookmarkEnd w:id="276"/>
      <w:bookmarkEnd w:id="277"/>
      <w:bookmarkEnd w:id="278"/>
      <w:bookmarkEnd w:id="279"/>
    </w:p>
    <w:p>
      <w:pPr>
        <w:spacing w:line="360" w:lineRule="auto"/>
        <w:outlineLvl w:val="1"/>
        <w:rPr>
          <w:rFonts w:hint="eastAsia"/>
          <w:b/>
          <w:bCs/>
          <w:snapToGrid w:val="0"/>
          <w:color w:val="auto"/>
          <w:kern w:val="0"/>
          <w:sz w:val="30"/>
          <w:szCs w:val="30"/>
        </w:rPr>
      </w:pPr>
      <w:bookmarkStart w:id="280" w:name="_Toc28958"/>
      <w:bookmarkStart w:id="281" w:name="_Toc22640"/>
      <w:r>
        <w:rPr>
          <w:rFonts w:hint="eastAsia"/>
          <w:b/>
          <w:bCs/>
          <w:snapToGrid w:val="0"/>
          <w:color w:val="auto"/>
          <w:kern w:val="0"/>
          <w:sz w:val="30"/>
          <w:szCs w:val="30"/>
        </w:rPr>
        <w:t>6.1环境管理体制</w:t>
      </w:r>
      <w:bookmarkEnd w:id="280"/>
      <w:bookmarkEnd w:id="281"/>
    </w:p>
    <w:p>
      <w:pPr>
        <w:spacing w:line="360" w:lineRule="auto"/>
        <w:ind w:firstLine="480" w:firstLineChars="200"/>
        <w:rPr>
          <w:rFonts w:hint="eastAsia"/>
          <w:color w:val="auto"/>
          <w:sz w:val="24"/>
        </w:rPr>
      </w:pPr>
      <w:r>
        <w:rPr>
          <w:rFonts w:hint="eastAsia"/>
          <w:color w:val="auto"/>
          <w:sz w:val="24"/>
        </w:rPr>
        <w:t>环境管理是环境保护的重要组成部分。通过严格的环境管理，可以有效地预防和控制生态破坏和环境污染，保护人们生产和生活健康有序地进行，保障社会经济可持续发展。目前，环境管理已逐渐形成一项制度，任何一个可能造成较大环境影响的建设项目或一个可能造成较大环境影响的单位，都应设置一个环境管理机构，建立一套有效的环境管理办法，负责实施该项目或该单位的环境管理和监督。</w:t>
      </w:r>
    </w:p>
    <w:p>
      <w:pPr>
        <w:spacing w:line="360" w:lineRule="auto"/>
        <w:outlineLvl w:val="1"/>
        <w:rPr>
          <w:rFonts w:hint="eastAsia"/>
          <w:b/>
          <w:bCs/>
          <w:snapToGrid w:val="0"/>
          <w:color w:val="auto"/>
          <w:kern w:val="0"/>
          <w:sz w:val="30"/>
          <w:szCs w:val="30"/>
        </w:rPr>
      </w:pPr>
      <w:bookmarkStart w:id="282" w:name="_Toc12778"/>
      <w:bookmarkStart w:id="283" w:name="_Toc30049"/>
      <w:r>
        <w:rPr>
          <w:rFonts w:hint="eastAsia"/>
          <w:b/>
          <w:bCs/>
          <w:snapToGrid w:val="0"/>
          <w:color w:val="auto"/>
          <w:kern w:val="0"/>
          <w:sz w:val="30"/>
          <w:szCs w:val="30"/>
        </w:rPr>
        <w:t>6.2环境管理机构设置</w:t>
      </w:r>
      <w:bookmarkEnd w:id="282"/>
      <w:bookmarkEnd w:id="283"/>
    </w:p>
    <w:p>
      <w:pPr>
        <w:spacing w:line="360" w:lineRule="auto"/>
        <w:ind w:firstLine="480" w:firstLineChars="200"/>
        <w:rPr>
          <w:rFonts w:hint="eastAsia"/>
          <w:color w:val="auto"/>
          <w:sz w:val="24"/>
        </w:rPr>
      </w:pPr>
      <w:r>
        <w:rPr>
          <w:rFonts w:hint="eastAsia"/>
          <w:color w:val="auto"/>
          <w:sz w:val="24"/>
        </w:rPr>
        <w:t>环境管理应当实行法人代表负责制。常设的环境管理机构为环保科，具体负责全公司/企业日常的环境管理和监督工作。其业务服从单位负责人和当地生态环境主管部门指导。考虑项目实际工作人员较少，因此建议设专员负责此项工作。</w:t>
      </w:r>
    </w:p>
    <w:p>
      <w:pPr>
        <w:spacing w:line="360" w:lineRule="auto"/>
        <w:outlineLvl w:val="1"/>
        <w:rPr>
          <w:rFonts w:hint="eastAsia"/>
          <w:b/>
          <w:bCs/>
          <w:snapToGrid w:val="0"/>
          <w:color w:val="auto"/>
          <w:kern w:val="0"/>
          <w:sz w:val="30"/>
          <w:szCs w:val="30"/>
        </w:rPr>
      </w:pPr>
      <w:bookmarkStart w:id="284" w:name="_Toc20872"/>
      <w:bookmarkStart w:id="285" w:name="_Toc823"/>
      <w:r>
        <w:rPr>
          <w:rFonts w:hint="eastAsia"/>
          <w:b/>
          <w:bCs/>
          <w:snapToGrid w:val="0"/>
          <w:color w:val="auto"/>
          <w:kern w:val="0"/>
          <w:sz w:val="30"/>
          <w:szCs w:val="30"/>
        </w:rPr>
        <w:t>6.3环境管理专员职责</w:t>
      </w:r>
      <w:bookmarkEnd w:id="284"/>
      <w:bookmarkEnd w:id="285"/>
    </w:p>
    <w:p>
      <w:pPr>
        <w:spacing w:line="360" w:lineRule="auto"/>
        <w:ind w:firstLine="480" w:firstLineChars="200"/>
        <w:rPr>
          <w:rFonts w:hint="eastAsia"/>
          <w:color w:val="auto"/>
          <w:sz w:val="24"/>
        </w:rPr>
      </w:pPr>
      <w:r>
        <w:rPr>
          <w:rFonts w:hint="eastAsia"/>
          <w:color w:val="auto"/>
          <w:sz w:val="24"/>
        </w:rPr>
        <w:t>（1）保持与生态环境主管部门的密切联系，及时了解国家、地方对本项目的有关环境保护的法律、法规和其它要求，及时向环境保护主管部门反映与项目有关污染因素、存在的问题、采取的污染控制对策等环境保护方面的内容，听取生态环境主管部门的批示意见。</w:t>
      </w:r>
    </w:p>
    <w:p>
      <w:pPr>
        <w:spacing w:line="360" w:lineRule="auto"/>
        <w:ind w:firstLine="480" w:firstLineChars="200"/>
        <w:rPr>
          <w:rFonts w:hint="eastAsia"/>
          <w:color w:val="auto"/>
          <w:sz w:val="24"/>
        </w:rPr>
      </w:pPr>
      <w:r>
        <w:rPr>
          <w:rFonts w:hint="eastAsia"/>
          <w:color w:val="auto"/>
          <w:sz w:val="24"/>
        </w:rPr>
        <w:t>（2）及时将国家、地方与本项目环境保护有关的法律、法规和其它要求向单位负责人汇报，及时向本单位有关机构、人员进行通报，组织职工进行环境保护方面的教育、培训，提高环保意识。</w:t>
      </w:r>
    </w:p>
    <w:p>
      <w:pPr>
        <w:spacing w:line="360" w:lineRule="auto"/>
        <w:ind w:firstLine="480" w:firstLineChars="200"/>
        <w:rPr>
          <w:rFonts w:hint="eastAsia"/>
          <w:color w:val="auto"/>
          <w:sz w:val="24"/>
        </w:rPr>
      </w:pPr>
      <w:r>
        <w:rPr>
          <w:rFonts w:hint="eastAsia"/>
          <w:color w:val="auto"/>
          <w:sz w:val="24"/>
        </w:rPr>
        <w:t>（3）及时向单位负责人汇报与本项目有关的污染因素、存在问题、采取的污染控制对策、实施情况等，提出改进建议。</w:t>
      </w:r>
    </w:p>
    <w:p>
      <w:pPr>
        <w:spacing w:line="360" w:lineRule="auto"/>
        <w:ind w:firstLine="480" w:firstLineChars="200"/>
        <w:rPr>
          <w:rFonts w:hint="eastAsia"/>
          <w:color w:val="auto"/>
          <w:sz w:val="24"/>
        </w:rPr>
      </w:pPr>
      <w:r>
        <w:rPr>
          <w:rFonts w:hint="eastAsia"/>
          <w:color w:val="auto"/>
          <w:sz w:val="24"/>
        </w:rPr>
        <w:t>（4）负责制定、监督实施本单位的有关环境保护管理规章制度，负责实施污染控制措施、管理污染治理设施，并进行详细的记录，以备检查。</w:t>
      </w:r>
    </w:p>
    <w:p>
      <w:pPr>
        <w:spacing w:line="360" w:lineRule="auto"/>
        <w:ind w:firstLine="480" w:firstLineChars="200"/>
        <w:rPr>
          <w:rFonts w:hint="eastAsia"/>
          <w:color w:val="auto"/>
          <w:sz w:val="24"/>
        </w:rPr>
      </w:pPr>
      <w:r>
        <w:rPr>
          <w:rFonts w:hint="eastAsia"/>
          <w:color w:val="auto"/>
          <w:sz w:val="24"/>
        </w:rPr>
        <w:t>（5）按本报告提出的各项环境保护措施，编制详细的环境保护措施落实计划，明确各污染源位置、环境影响、环境保护措施、落实责任机构（人）等，并将该环境保护计划以书面形式发放给相关人员，以便于各项措施的有效落实。</w:t>
      </w:r>
    </w:p>
    <w:p>
      <w:pPr>
        <w:spacing w:line="360" w:lineRule="auto"/>
        <w:outlineLvl w:val="1"/>
        <w:rPr>
          <w:rFonts w:hint="eastAsia"/>
          <w:b/>
          <w:bCs/>
          <w:snapToGrid w:val="0"/>
          <w:color w:val="auto"/>
          <w:kern w:val="0"/>
          <w:sz w:val="30"/>
          <w:szCs w:val="30"/>
        </w:rPr>
      </w:pPr>
      <w:bookmarkStart w:id="286" w:name="_Toc12750"/>
      <w:bookmarkStart w:id="287" w:name="_Toc31023"/>
      <w:r>
        <w:rPr>
          <w:rFonts w:hint="eastAsia"/>
          <w:b/>
          <w:bCs/>
          <w:snapToGrid w:val="0"/>
          <w:color w:val="auto"/>
          <w:kern w:val="0"/>
          <w:sz w:val="30"/>
          <w:szCs w:val="30"/>
        </w:rPr>
        <w:t>6.4环境管理措施与环保行动计划</w:t>
      </w:r>
      <w:bookmarkEnd w:id="286"/>
      <w:bookmarkEnd w:id="287"/>
    </w:p>
    <w:p>
      <w:pPr>
        <w:spacing w:line="360" w:lineRule="auto"/>
        <w:ind w:firstLine="480" w:firstLineChars="200"/>
        <w:rPr>
          <w:rFonts w:hint="eastAsia"/>
          <w:color w:val="auto"/>
          <w:sz w:val="24"/>
        </w:rPr>
      </w:pPr>
      <w:r>
        <w:rPr>
          <w:rFonts w:hint="eastAsia"/>
          <w:color w:val="auto"/>
          <w:sz w:val="24"/>
        </w:rPr>
        <w:t>本项目环境管理措施及环保行动计划见表6.4-1。</w:t>
      </w:r>
    </w:p>
    <w:p>
      <w:pPr>
        <w:jc w:val="center"/>
        <w:rPr>
          <w:rFonts w:hint="eastAsia"/>
          <w:b/>
          <w:bCs/>
          <w:color w:val="auto"/>
          <w:sz w:val="24"/>
        </w:rPr>
      </w:pPr>
      <w:r>
        <w:rPr>
          <w:rFonts w:hint="eastAsia"/>
          <w:b/>
          <w:bCs/>
          <w:color w:val="auto"/>
          <w:sz w:val="24"/>
        </w:rPr>
        <w:t>表6.4-1 环境管理措施及环保行动计划</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7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noWrap w:val="0"/>
            <w:vAlign w:val="center"/>
          </w:tcPr>
          <w:p>
            <w:pPr>
              <w:jc w:val="center"/>
              <w:rPr>
                <w:color w:val="auto"/>
                <w:szCs w:val="21"/>
              </w:rPr>
            </w:pPr>
            <w:r>
              <w:rPr>
                <w:rFonts w:hint="eastAsia"/>
                <w:color w:val="auto"/>
                <w:szCs w:val="21"/>
              </w:rPr>
              <w:t>环境要素</w:t>
            </w:r>
          </w:p>
        </w:tc>
        <w:tc>
          <w:tcPr>
            <w:tcW w:w="7859" w:type="dxa"/>
            <w:noWrap w:val="0"/>
            <w:vAlign w:val="center"/>
          </w:tcPr>
          <w:p>
            <w:pPr>
              <w:jc w:val="center"/>
              <w:rPr>
                <w:color w:val="auto"/>
                <w:szCs w:val="21"/>
              </w:rPr>
            </w:pPr>
            <w:r>
              <w:rPr>
                <w:rFonts w:hint="eastAsia"/>
                <w:color w:val="auto"/>
                <w:szCs w:val="21"/>
              </w:rPr>
              <w:t>环境保护工作要点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noWrap w:val="0"/>
            <w:vAlign w:val="center"/>
          </w:tcPr>
          <w:p>
            <w:pPr>
              <w:jc w:val="center"/>
              <w:rPr>
                <w:color w:val="auto"/>
                <w:szCs w:val="21"/>
              </w:rPr>
            </w:pPr>
            <w:r>
              <w:rPr>
                <w:rFonts w:hint="eastAsia"/>
                <w:color w:val="auto"/>
                <w:szCs w:val="21"/>
              </w:rPr>
              <w:t>施工噪声</w:t>
            </w:r>
          </w:p>
        </w:tc>
        <w:tc>
          <w:tcPr>
            <w:tcW w:w="7859" w:type="dxa"/>
            <w:noWrap w:val="0"/>
            <w:vAlign w:val="center"/>
          </w:tcPr>
          <w:p>
            <w:pPr>
              <w:jc w:val="left"/>
              <w:rPr>
                <w:rFonts w:hint="eastAsia"/>
                <w:color w:val="auto"/>
                <w:szCs w:val="21"/>
              </w:rPr>
            </w:pPr>
            <w:r>
              <w:rPr>
                <w:rFonts w:hint="eastAsia"/>
                <w:color w:val="auto"/>
                <w:szCs w:val="21"/>
              </w:rPr>
              <w:t>（1）尽量采用低噪声机械。</w:t>
            </w:r>
          </w:p>
          <w:p>
            <w:pPr>
              <w:jc w:val="left"/>
              <w:rPr>
                <w:rFonts w:hint="eastAsia"/>
                <w:color w:val="auto"/>
                <w:szCs w:val="21"/>
              </w:rPr>
            </w:pPr>
            <w:r>
              <w:rPr>
                <w:rFonts w:hint="eastAsia"/>
                <w:color w:val="auto"/>
                <w:szCs w:val="21"/>
              </w:rPr>
              <w:t>（2）合理安排施工时间，强噪声机械夜间（22:00~6:00）应停止施工。</w:t>
            </w:r>
          </w:p>
          <w:p>
            <w:pPr>
              <w:jc w:val="left"/>
              <w:rPr>
                <w:rFonts w:hint="eastAsia"/>
                <w:color w:val="auto"/>
                <w:szCs w:val="21"/>
              </w:rPr>
            </w:pPr>
            <w:r>
              <w:rPr>
                <w:rFonts w:hint="eastAsia"/>
                <w:color w:val="auto"/>
                <w:szCs w:val="21"/>
              </w:rPr>
              <w:t>（3）对施工机械操作工人及现场施工人员按劳动卫生标准控制工作间，亦可采取劳动保护措施如戴隔声耳塞、头盔等。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9" w:type="dxa"/>
            <w:noWrap w:val="0"/>
            <w:vAlign w:val="center"/>
          </w:tcPr>
          <w:p>
            <w:pPr>
              <w:jc w:val="center"/>
              <w:rPr>
                <w:color w:val="auto"/>
                <w:szCs w:val="21"/>
              </w:rPr>
            </w:pPr>
            <w:r>
              <w:rPr>
                <w:rFonts w:hint="eastAsia"/>
                <w:color w:val="auto"/>
                <w:szCs w:val="21"/>
              </w:rPr>
              <w:t>交通噪声</w:t>
            </w:r>
          </w:p>
        </w:tc>
        <w:tc>
          <w:tcPr>
            <w:tcW w:w="7859" w:type="dxa"/>
            <w:noWrap w:val="0"/>
            <w:vAlign w:val="center"/>
          </w:tcPr>
          <w:p>
            <w:pPr>
              <w:widowControl/>
              <w:jc w:val="left"/>
              <w:rPr>
                <w:rFonts w:hint="eastAsia" w:ascii="宋体" w:hAnsi="宋体" w:cs="宋体"/>
                <w:color w:val="auto"/>
                <w:kern w:val="0"/>
                <w:szCs w:val="21"/>
                <w:lang w:bidi="ar"/>
              </w:rPr>
            </w:pPr>
            <w:r>
              <w:rPr>
                <w:rFonts w:hint="eastAsia" w:ascii="宋体" w:hAnsi="宋体" w:cs="宋体"/>
                <w:color w:val="auto"/>
                <w:kern w:val="0"/>
                <w:szCs w:val="21"/>
                <w:lang w:bidi="ar"/>
              </w:rPr>
              <w:t>（</w:t>
            </w:r>
            <w:r>
              <w:rPr>
                <w:color w:val="auto"/>
                <w:kern w:val="0"/>
                <w:szCs w:val="21"/>
                <w:lang w:bidi="ar"/>
              </w:rPr>
              <w:t>1</w:t>
            </w:r>
            <w:r>
              <w:rPr>
                <w:rFonts w:hint="eastAsia" w:ascii="宋体" w:hAnsi="宋体" w:cs="宋体"/>
                <w:color w:val="auto"/>
                <w:kern w:val="0"/>
                <w:szCs w:val="21"/>
                <w:lang w:bidi="ar"/>
              </w:rPr>
              <w:t>）加强道路两侧绿化隔离带建设。</w:t>
            </w:r>
          </w:p>
          <w:p>
            <w:pPr>
              <w:widowControl/>
              <w:jc w:val="left"/>
              <w:rPr>
                <w:rFonts w:hint="eastAsia" w:ascii="宋体" w:hAnsi="宋体" w:eastAsia="宋体" w:cs="宋体"/>
                <w:color w:val="auto"/>
                <w:kern w:val="0"/>
                <w:szCs w:val="21"/>
                <w:lang w:bidi="ar"/>
              </w:rPr>
            </w:pPr>
            <w:r>
              <w:rPr>
                <w:rFonts w:hint="eastAsia" w:ascii="宋体" w:hAnsi="宋体" w:cs="宋体"/>
                <w:color w:val="auto"/>
                <w:kern w:val="0"/>
                <w:szCs w:val="21"/>
                <w:lang w:bidi="ar"/>
              </w:rPr>
              <w:t>（</w:t>
            </w:r>
            <w:r>
              <w:rPr>
                <w:color w:val="auto"/>
                <w:kern w:val="0"/>
                <w:szCs w:val="21"/>
                <w:lang w:bidi="ar"/>
              </w:rPr>
              <w:t>2</w:t>
            </w:r>
            <w:r>
              <w:rPr>
                <w:rFonts w:hint="eastAsia" w:ascii="宋体" w:hAnsi="宋体" w:cs="宋体"/>
                <w:color w:val="auto"/>
                <w:kern w:val="0"/>
                <w:szCs w:val="21"/>
                <w:lang w:bidi="ar"/>
              </w:rPr>
              <w:t>）加强交通管理，严格执行限速和禁止超载等交通规则，设置禁鸣标志，以减少交通噪声扰</w:t>
            </w:r>
            <w:r>
              <w:rPr>
                <w:rFonts w:hint="eastAsia" w:ascii="宋体" w:hAnsi="宋体" w:eastAsia="宋体" w:cs="宋体"/>
                <w:color w:val="auto"/>
                <w:kern w:val="0"/>
                <w:szCs w:val="21"/>
                <w:lang w:bidi="ar"/>
              </w:rPr>
              <w:t>民问题。</w:t>
            </w:r>
          </w:p>
          <w:p>
            <w:pPr>
              <w:widowControl/>
              <w:jc w:val="left"/>
              <w:rPr>
                <w:rFonts w:hint="eastAsia" w:eastAsia="宋体"/>
                <w:color w:val="auto"/>
                <w:szCs w:val="21"/>
                <w:lang w:eastAsia="zh-CN"/>
              </w:rPr>
            </w:pPr>
            <w:r>
              <w:rPr>
                <w:rFonts w:hint="eastAsia" w:ascii="宋体" w:hAnsi="宋体" w:eastAsia="宋体" w:cs="宋体"/>
                <w:color w:val="auto"/>
                <w:kern w:val="0"/>
                <w:szCs w:val="21"/>
                <w:lang w:bidi="ar"/>
              </w:rPr>
              <w:t>（3）</w:t>
            </w:r>
            <w:r>
              <w:rPr>
                <w:rFonts w:hint="eastAsia" w:ascii="宋体" w:hAnsi="宋体" w:eastAsia="宋体" w:cs="宋体"/>
                <w:color w:val="auto"/>
                <w:kern w:val="0"/>
                <w:szCs w:val="21"/>
                <w:lang w:val="en-US" w:eastAsia="zh-CN" w:bidi="ar"/>
              </w:rPr>
              <w:t>道路</w:t>
            </w:r>
            <w:r>
              <w:rPr>
                <w:rFonts w:hint="eastAsia" w:ascii="宋体" w:hAnsi="宋体" w:eastAsia="宋体" w:cs="宋体"/>
                <w:color w:val="auto"/>
                <w:kern w:val="0"/>
                <w:szCs w:val="21"/>
                <w:lang w:bidi="ar"/>
              </w:rPr>
              <w:t>沿线新建敏感建筑</w:t>
            </w:r>
            <w:r>
              <w:rPr>
                <w:rFonts w:hint="eastAsia" w:ascii="宋体" w:hAnsi="宋体" w:eastAsia="宋体" w:cs="宋体"/>
                <w:color w:val="auto"/>
                <w:kern w:val="0"/>
                <w:szCs w:val="21"/>
                <w:lang w:val="en-US" w:eastAsia="zh-CN" w:bidi="ar"/>
              </w:rPr>
              <w:t>时，</w:t>
            </w:r>
            <w:r>
              <w:rPr>
                <w:rFonts w:hint="eastAsia" w:ascii="宋体" w:hAnsi="宋体" w:eastAsia="宋体" w:cs="宋体"/>
                <w:color w:val="auto"/>
                <w:kern w:val="0"/>
                <w:szCs w:val="21"/>
                <w:lang w:bidi="ar"/>
              </w:rPr>
              <w:t>应由敏感建筑建设单位对声环境质量进行评估后，</w:t>
            </w:r>
            <w:r>
              <w:rPr>
                <w:rFonts w:hint="eastAsia" w:ascii="宋体" w:hAnsi="宋体" w:eastAsia="宋体" w:cs="宋体"/>
                <w:color w:val="auto"/>
                <w:kern w:val="0"/>
                <w:szCs w:val="21"/>
                <w:lang w:val="en-US" w:eastAsia="zh-CN" w:bidi="ar"/>
              </w:rPr>
              <w:t>制定具体的降噪方案，对于</w:t>
            </w:r>
            <w:r>
              <w:rPr>
                <w:rFonts w:hint="eastAsia" w:ascii="宋体" w:hAnsi="宋体" w:eastAsia="宋体" w:cs="宋体"/>
                <w:color w:val="auto"/>
                <w:kern w:val="0"/>
                <w:szCs w:val="21"/>
                <w:lang w:bidi="ar"/>
              </w:rPr>
              <w:t>无法达到声环境功能区划的建筑，推荐采用隔声窗降噪措施</w:t>
            </w:r>
            <w:r>
              <w:rPr>
                <w:rFonts w:hint="eastAsia" w:ascii="宋体" w:hAnsi="宋体" w:eastAsia="宋体" w:cs="宋体"/>
                <w:color w:val="auto"/>
                <w:kern w:val="0"/>
                <w:szCs w:val="21"/>
                <w:lang w:eastAsia="zh-CN" w:bidi="ar"/>
              </w:rPr>
              <w:t>。</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1"/>
        <w:rPr>
          <w:rFonts w:hint="eastAsia"/>
          <w:b/>
          <w:bCs/>
          <w:snapToGrid w:val="0"/>
          <w:color w:val="auto"/>
          <w:kern w:val="0"/>
          <w:sz w:val="30"/>
          <w:szCs w:val="30"/>
        </w:rPr>
      </w:pPr>
      <w:bookmarkStart w:id="288" w:name="_Toc19326"/>
      <w:bookmarkStart w:id="289" w:name="_Toc10515"/>
      <w:r>
        <w:rPr>
          <w:rFonts w:hint="eastAsia"/>
          <w:b/>
          <w:bCs/>
          <w:snapToGrid w:val="0"/>
          <w:color w:val="auto"/>
          <w:kern w:val="0"/>
          <w:sz w:val="30"/>
          <w:szCs w:val="30"/>
        </w:rPr>
        <w:t>6.5环境监测计划</w:t>
      </w:r>
      <w:bookmarkEnd w:id="288"/>
      <w:bookmarkEnd w:id="289"/>
    </w:p>
    <w:p>
      <w:pPr>
        <w:adjustRightInd w:val="0"/>
        <w:snapToGrid w:val="0"/>
        <w:spacing w:line="360" w:lineRule="auto"/>
        <w:ind w:firstLine="480" w:firstLineChars="200"/>
        <w:rPr>
          <w:sz w:val="24"/>
          <w:szCs w:val="32"/>
        </w:rPr>
      </w:pPr>
      <w:r>
        <w:rPr>
          <w:bCs/>
          <w:sz w:val="24"/>
          <w:szCs w:val="32"/>
        </w:rPr>
        <w:t>建设单位应当定期委托第三方环境监测服务机构对项目的沿线声环境进行监测，确保周围良好的声环境现状。</w:t>
      </w:r>
      <w:r>
        <w:rPr>
          <w:sz w:val="24"/>
          <w:szCs w:val="32"/>
        </w:rPr>
        <w:t>本项目环境监测计划具体见表5</w:t>
      </w:r>
      <w:r>
        <w:rPr>
          <w:rFonts w:hint="eastAsia"/>
          <w:sz w:val="24"/>
          <w:szCs w:val="32"/>
          <w:lang w:val="en-US" w:eastAsia="zh-CN"/>
        </w:rPr>
        <w:t>.2-1</w:t>
      </w:r>
      <w:r>
        <w:rPr>
          <w:sz w:val="24"/>
          <w:szCs w:val="32"/>
        </w:rPr>
        <w:t>。</w:t>
      </w:r>
    </w:p>
    <w:p>
      <w:pPr>
        <w:adjustRightInd w:val="0"/>
        <w:snapToGrid w:val="0"/>
        <w:spacing w:line="360" w:lineRule="auto"/>
        <w:ind w:firstLine="422"/>
        <w:jc w:val="center"/>
        <w:rPr>
          <w:b/>
          <w:bCs/>
          <w:kern w:val="0"/>
          <w:sz w:val="24"/>
        </w:rPr>
      </w:pPr>
      <w:r>
        <w:rPr>
          <w:b/>
          <w:bCs/>
          <w:kern w:val="0"/>
          <w:sz w:val="24"/>
        </w:rPr>
        <w:t>表5</w:t>
      </w:r>
      <w:r>
        <w:rPr>
          <w:rFonts w:hint="eastAsia"/>
          <w:b/>
          <w:bCs/>
          <w:kern w:val="0"/>
          <w:sz w:val="24"/>
          <w:lang w:val="en-US" w:eastAsia="zh-CN"/>
        </w:rPr>
        <w:t>.2-1</w:t>
      </w:r>
      <w:r>
        <w:rPr>
          <w:b/>
          <w:bCs/>
          <w:kern w:val="0"/>
          <w:sz w:val="24"/>
        </w:rPr>
        <w:t xml:space="preserve"> </w:t>
      </w:r>
      <w:r>
        <w:rPr>
          <w:rFonts w:hint="eastAsia"/>
          <w:b/>
          <w:bCs/>
          <w:kern w:val="0"/>
          <w:sz w:val="24"/>
        </w:rPr>
        <w:t xml:space="preserve"> </w:t>
      </w:r>
      <w:r>
        <w:rPr>
          <w:b/>
          <w:bCs/>
          <w:kern w:val="0"/>
          <w:sz w:val="24"/>
        </w:rPr>
        <w:t>环境监测计划</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003"/>
        <w:gridCol w:w="4109"/>
        <w:gridCol w:w="1303"/>
        <w:gridCol w:w="15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color w:val="auto"/>
              </w:rPr>
              <w:t>时期</w:t>
            </w:r>
          </w:p>
        </w:tc>
        <w:tc>
          <w:tcPr>
            <w:tcW w:w="540"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rFonts w:hint="eastAsia"/>
                <w:color w:val="auto"/>
              </w:rPr>
              <w:t>要素</w:t>
            </w:r>
          </w:p>
        </w:tc>
        <w:tc>
          <w:tcPr>
            <w:tcW w:w="2213"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color w:val="auto"/>
              </w:rPr>
              <w:t>监测内容</w:t>
            </w:r>
          </w:p>
        </w:tc>
        <w:tc>
          <w:tcPr>
            <w:tcW w:w="702"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color w:val="auto"/>
              </w:rPr>
              <w:t>实施机构</w:t>
            </w:r>
          </w:p>
        </w:tc>
        <w:tc>
          <w:tcPr>
            <w:tcW w:w="823" w:type="pct"/>
            <w:shd w:val="clear" w:color="auto" w:fill="auto"/>
            <w:vAlign w:val="center"/>
          </w:tcPr>
          <w:p>
            <w:pPr>
              <w:pStyle w:val="87"/>
              <w:jc w:val="center"/>
              <w:rPr>
                <w:rFonts w:ascii="Times New Roman" w:hAnsi="Times New Roman" w:eastAsia="宋体" w:cs="Times New Roman"/>
                <w:color w:val="auto"/>
                <w:kern w:val="2"/>
                <w:sz w:val="21"/>
                <w:szCs w:val="20"/>
                <w:lang w:val="en-US" w:eastAsia="zh-CN" w:bidi="ar-SA"/>
              </w:rPr>
            </w:pPr>
            <w:r>
              <w:rPr>
                <w:color w:val="auto"/>
              </w:rPr>
              <w:t>负责机构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20" w:type="pct"/>
            <w:shd w:val="clear" w:color="auto" w:fill="auto"/>
            <w:vAlign w:val="center"/>
          </w:tcPr>
          <w:p>
            <w:pPr>
              <w:pStyle w:val="87"/>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施工期</w:t>
            </w:r>
          </w:p>
        </w:tc>
        <w:tc>
          <w:tcPr>
            <w:tcW w:w="540" w:type="pct"/>
            <w:shd w:val="clear" w:color="auto" w:fill="auto"/>
            <w:vAlign w:val="center"/>
          </w:tcPr>
          <w:p>
            <w:pPr>
              <w:pStyle w:val="87"/>
              <w:jc w:val="center"/>
              <w:rPr>
                <w:rFonts w:ascii="Times New Roman" w:hAnsi="Times New Roman" w:eastAsia="宋体" w:cs="Times New Roman"/>
                <w:color w:val="auto"/>
                <w:kern w:val="2"/>
                <w:sz w:val="21"/>
                <w:szCs w:val="21"/>
                <w:lang w:val="en-US" w:eastAsia="zh-CN" w:bidi="ar-SA"/>
              </w:rPr>
            </w:pPr>
            <w:r>
              <w:rPr>
                <w:color w:val="auto"/>
                <w:sz w:val="21"/>
                <w:szCs w:val="21"/>
              </w:rPr>
              <w:t>噪声</w:t>
            </w:r>
          </w:p>
        </w:tc>
        <w:tc>
          <w:tcPr>
            <w:tcW w:w="2213" w:type="pct"/>
            <w:shd w:val="clear" w:color="auto" w:fill="auto"/>
            <w:vAlign w:val="center"/>
          </w:tcPr>
          <w:p>
            <w:pPr>
              <w:pStyle w:val="87"/>
              <w:rPr>
                <w:color w:val="auto"/>
                <w:sz w:val="21"/>
                <w:szCs w:val="21"/>
              </w:rPr>
            </w:pPr>
            <w:r>
              <w:rPr>
                <w:rFonts w:hint="eastAsia" w:ascii="宋体" w:hAnsi="宋体" w:cs="宋体"/>
                <w:color w:val="auto"/>
                <w:sz w:val="21"/>
                <w:szCs w:val="21"/>
              </w:rPr>
              <w:t>⑴</w:t>
            </w:r>
            <w:r>
              <w:rPr>
                <w:color w:val="auto"/>
                <w:sz w:val="21"/>
                <w:szCs w:val="21"/>
              </w:rPr>
              <w:t>监测项目：L</w:t>
            </w:r>
            <w:r>
              <w:rPr>
                <w:color w:val="auto"/>
                <w:sz w:val="21"/>
                <w:szCs w:val="21"/>
                <w:vertAlign w:val="subscript"/>
              </w:rPr>
              <w:t>Aeq</w:t>
            </w:r>
          </w:p>
          <w:p>
            <w:pPr>
              <w:pStyle w:val="87"/>
              <w:rPr>
                <w:color w:val="auto"/>
                <w:sz w:val="21"/>
                <w:szCs w:val="21"/>
              </w:rPr>
            </w:pPr>
            <w:r>
              <w:rPr>
                <w:rFonts w:hint="eastAsia" w:ascii="宋体" w:hAnsi="宋体" w:cs="宋体"/>
                <w:color w:val="auto"/>
                <w:sz w:val="21"/>
                <w:szCs w:val="21"/>
              </w:rPr>
              <w:t>⑵</w:t>
            </w:r>
            <w:r>
              <w:rPr>
                <w:color w:val="auto"/>
                <w:sz w:val="21"/>
                <w:szCs w:val="21"/>
              </w:rPr>
              <w:t>监测频次：1次/</w:t>
            </w:r>
            <w:r>
              <w:rPr>
                <w:rFonts w:hint="eastAsia"/>
                <w:color w:val="auto"/>
                <w:sz w:val="21"/>
                <w:szCs w:val="21"/>
              </w:rPr>
              <w:t>季度</w:t>
            </w:r>
            <w:r>
              <w:rPr>
                <w:color w:val="auto"/>
                <w:sz w:val="21"/>
                <w:szCs w:val="21"/>
              </w:rPr>
              <w:t>，必要时随时监测</w:t>
            </w:r>
          </w:p>
          <w:p>
            <w:pPr>
              <w:pStyle w:val="87"/>
              <w:rPr>
                <w:color w:val="auto"/>
                <w:sz w:val="21"/>
                <w:szCs w:val="21"/>
              </w:rPr>
            </w:pPr>
            <w:r>
              <w:rPr>
                <w:rFonts w:hint="eastAsia" w:ascii="宋体" w:hAnsi="宋体" w:cs="宋体"/>
                <w:color w:val="auto"/>
                <w:sz w:val="21"/>
                <w:szCs w:val="21"/>
              </w:rPr>
              <w:t>⑶</w:t>
            </w:r>
            <w:r>
              <w:rPr>
                <w:color w:val="auto"/>
                <w:sz w:val="21"/>
                <w:szCs w:val="21"/>
              </w:rPr>
              <w:t>监测历时：1天2次（昼、夜各一次）</w:t>
            </w:r>
          </w:p>
          <w:p>
            <w:pPr>
              <w:pStyle w:val="87"/>
              <w:rPr>
                <w:rFonts w:ascii="Times New Roman" w:hAnsi="Times New Roman" w:eastAsia="宋体" w:cs="Times New Roman"/>
                <w:color w:val="auto"/>
                <w:kern w:val="2"/>
                <w:sz w:val="21"/>
                <w:szCs w:val="21"/>
                <w:lang w:val="en-US" w:eastAsia="zh-CN" w:bidi="ar-SA"/>
              </w:rPr>
            </w:pPr>
            <w:r>
              <w:rPr>
                <w:rFonts w:hint="eastAsia" w:ascii="宋体" w:hAnsi="宋体" w:cs="宋体"/>
                <w:color w:val="auto"/>
                <w:sz w:val="21"/>
                <w:szCs w:val="21"/>
              </w:rPr>
              <w:t>⑷</w:t>
            </w:r>
            <w:r>
              <w:rPr>
                <w:color w:val="auto"/>
                <w:sz w:val="21"/>
                <w:szCs w:val="21"/>
              </w:rPr>
              <w:t>监测点位：施工场界</w:t>
            </w:r>
          </w:p>
        </w:tc>
        <w:tc>
          <w:tcPr>
            <w:tcW w:w="702" w:type="pct"/>
            <w:tcBorders>
              <w:bottom w:val="single" w:color="000000" w:sz="4" w:space="0"/>
            </w:tcBorders>
            <w:shd w:val="clear" w:color="auto" w:fill="auto"/>
            <w:vAlign w:val="center"/>
          </w:tcPr>
          <w:p>
            <w:pPr>
              <w:jc w:val="center"/>
              <w:rPr>
                <w:rFonts w:ascii="Times New Roman" w:hAnsi="Times New Roman" w:eastAsia="宋体" w:cs="Times New Roman"/>
                <w:kern w:val="2"/>
                <w:sz w:val="21"/>
                <w:szCs w:val="21"/>
                <w:lang w:val="en-US" w:eastAsia="zh-CN" w:bidi="ar-SA"/>
              </w:rPr>
            </w:pPr>
            <w:r>
              <w:rPr>
                <w:color w:val="auto"/>
                <w:sz w:val="21"/>
                <w:szCs w:val="21"/>
              </w:rPr>
              <w:t>有质资监测单位</w:t>
            </w:r>
          </w:p>
        </w:tc>
        <w:tc>
          <w:tcPr>
            <w:tcW w:w="823" w:type="pct"/>
            <w:tcBorders>
              <w:bottom w:val="single" w:color="000000" w:sz="4" w:space="0"/>
            </w:tcBorders>
            <w:shd w:val="clear" w:color="auto" w:fill="auto"/>
            <w:vAlign w:val="center"/>
          </w:tcPr>
          <w:p>
            <w:pPr>
              <w:pStyle w:val="87"/>
              <w:jc w:val="center"/>
              <w:rPr>
                <w:rFonts w:ascii="Times New Roman" w:hAnsi="Times New Roman" w:eastAsia="宋体" w:cs="Times New Roman"/>
                <w:kern w:val="2"/>
                <w:sz w:val="21"/>
                <w:szCs w:val="21"/>
                <w:lang w:val="en-US" w:eastAsia="zh-CN" w:bidi="ar-SA"/>
              </w:rPr>
            </w:pPr>
            <w:r>
              <w:rPr>
                <w:color w:val="auto"/>
                <w:sz w:val="21"/>
                <w:szCs w:val="21"/>
              </w:rPr>
              <w:t>监理公司或业主</w:t>
            </w:r>
            <w:r>
              <w:rPr>
                <w:rFonts w:hint="eastAsia"/>
                <w:color w:val="auto"/>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720" w:type="pct"/>
            <w:shd w:val="clear" w:color="auto" w:fill="auto"/>
            <w:vAlign w:val="center"/>
          </w:tcPr>
          <w:p>
            <w:pPr>
              <w:pStyle w:val="87"/>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运营期</w:t>
            </w:r>
          </w:p>
        </w:tc>
        <w:tc>
          <w:tcPr>
            <w:tcW w:w="540" w:type="pct"/>
            <w:shd w:val="clear" w:color="auto" w:fill="auto"/>
            <w:vAlign w:val="center"/>
          </w:tcPr>
          <w:p>
            <w:pPr>
              <w:pStyle w:val="87"/>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噪声</w:t>
            </w:r>
          </w:p>
        </w:tc>
        <w:tc>
          <w:tcPr>
            <w:tcW w:w="3739" w:type="pct"/>
            <w:gridSpan w:val="3"/>
            <w:shd w:val="clear" w:color="auto" w:fill="auto"/>
            <w:vAlign w:val="center"/>
          </w:tcPr>
          <w:p>
            <w:pPr>
              <w:pStyle w:val="26"/>
              <w:spacing w:before="120"/>
              <w:ind w:left="0" w:leftChars="0" w:firstLine="0" w:firstLineChars="0"/>
              <w:jc w:val="center"/>
              <w:rPr>
                <w:kern w:val="2"/>
                <w:sz w:val="21"/>
                <w:szCs w:val="21"/>
              </w:rPr>
            </w:pPr>
            <w:r>
              <w:rPr>
                <w:rFonts w:hint="eastAsia"/>
                <w:color w:val="auto"/>
                <w:sz w:val="21"/>
                <w:szCs w:val="21"/>
              </w:rPr>
              <w:t>运营期的环境影响进行监测可由生态环境主管部门结合周边路网进行统一规划布点监测。</w:t>
            </w:r>
          </w:p>
        </w:tc>
      </w:tr>
    </w:tbl>
    <w:p>
      <w:pPr>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本项目道路施工期间，沿线无声环境保护目标，可不制定施工期噪声监测</w:t>
      </w:r>
      <w:r>
        <w:rPr>
          <w:rFonts w:hint="eastAsia"/>
          <w:color w:val="auto"/>
          <w:sz w:val="24"/>
        </w:rPr>
        <w:t>计划</w:t>
      </w:r>
      <w:r>
        <w:rPr>
          <w:rFonts w:hint="eastAsia"/>
          <w:color w:val="auto"/>
          <w:sz w:val="24"/>
          <w:lang w:eastAsia="zh-CN"/>
        </w:rPr>
        <w:t>，</w:t>
      </w:r>
      <w:r>
        <w:rPr>
          <w:rFonts w:hint="eastAsia"/>
          <w:color w:val="auto"/>
          <w:sz w:val="24"/>
          <w:lang w:val="en-US" w:eastAsia="zh-CN"/>
        </w:rPr>
        <w:t>沿线新建</w:t>
      </w:r>
      <w:r>
        <w:rPr>
          <w:rFonts w:hint="eastAsia" w:ascii="宋体" w:hAnsi="宋体" w:eastAsia="宋体" w:cs="宋体"/>
          <w:color w:val="auto"/>
          <w:kern w:val="0"/>
          <w:szCs w:val="21"/>
          <w:lang w:bidi="ar"/>
        </w:rPr>
        <w:t>敏感</w:t>
      </w:r>
      <w:r>
        <w:rPr>
          <w:rFonts w:hint="eastAsia" w:ascii="宋体" w:hAnsi="宋体" w:eastAsia="宋体" w:cs="宋体"/>
          <w:color w:val="auto"/>
          <w:kern w:val="0"/>
          <w:sz w:val="24"/>
          <w:szCs w:val="24"/>
          <w:lang w:bidi="ar"/>
        </w:rPr>
        <w:t>建筑</w:t>
      </w:r>
      <w:r>
        <w:rPr>
          <w:rFonts w:hint="eastAsia" w:ascii="宋体" w:hAnsi="宋体" w:eastAsia="宋体" w:cs="宋体"/>
          <w:color w:val="auto"/>
          <w:kern w:val="0"/>
          <w:sz w:val="24"/>
          <w:szCs w:val="24"/>
          <w:lang w:val="en-US" w:eastAsia="zh-CN" w:bidi="ar"/>
        </w:rPr>
        <w:t>时，</w:t>
      </w:r>
      <w:r>
        <w:rPr>
          <w:rFonts w:hint="eastAsia" w:ascii="宋体" w:hAnsi="宋体" w:eastAsia="宋体" w:cs="宋体"/>
          <w:color w:val="auto"/>
          <w:kern w:val="0"/>
          <w:sz w:val="24"/>
          <w:szCs w:val="24"/>
          <w:lang w:bidi="ar"/>
        </w:rPr>
        <w:t>应由敏感建筑建设单位对声环境质量</w:t>
      </w:r>
      <w:r>
        <w:rPr>
          <w:rFonts w:hint="eastAsia" w:ascii="宋体" w:hAnsi="宋体" w:eastAsia="宋体" w:cs="宋体"/>
          <w:color w:val="auto"/>
          <w:kern w:val="0"/>
          <w:sz w:val="24"/>
          <w:szCs w:val="24"/>
          <w:lang w:val="en-US" w:eastAsia="zh-CN" w:bidi="ar"/>
        </w:rPr>
        <w:t>开展自行监测。</w:t>
      </w:r>
    </w:p>
    <w:p>
      <w:pPr>
        <w:spacing w:line="360" w:lineRule="auto"/>
        <w:outlineLvl w:val="0"/>
        <w:rPr>
          <w:rFonts w:hint="default" w:ascii="Times New Roman" w:hAnsi="Times New Roman" w:cs="Times New Roman"/>
          <w:b/>
          <w:bCs/>
          <w:kern w:val="44"/>
          <w:sz w:val="32"/>
        </w:rPr>
      </w:pPr>
      <w:bookmarkStart w:id="290" w:name="_Toc8099"/>
      <w:bookmarkStart w:id="291" w:name="_Toc21323"/>
      <w:r>
        <w:rPr>
          <w:rFonts w:hint="eastAsia" w:cs="Times New Roman"/>
          <w:b/>
          <w:bCs/>
          <w:kern w:val="44"/>
          <w:sz w:val="32"/>
          <w:lang w:val="en-US" w:eastAsia="zh-CN"/>
        </w:rPr>
        <w:t>7</w:t>
      </w:r>
      <w:r>
        <w:rPr>
          <w:rFonts w:hint="default" w:ascii="Times New Roman" w:hAnsi="Times New Roman" w:cs="Times New Roman"/>
          <w:b/>
          <w:bCs/>
          <w:kern w:val="44"/>
          <w:sz w:val="32"/>
        </w:rPr>
        <w:t xml:space="preserve"> 声环境评价结论</w:t>
      </w:r>
      <w:bookmarkEnd w:id="274"/>
      <w:bookmarkEnd w:id="275"/>
      <w:bookmarkEnd w:id="290"/>
      <w:bookmarkEnd w:id="291"/>
    </w:p>
    <w:p>
      <w:pPr>
        <w:keepNext/>
        <w:keepLines/>
        <w:spacing w:line="360" w:lineRule="auto"/>
        <w:outlineLvl w:val="1"/>
        <w:rPr>
          <w:rFonts w:hint="default" w:ascii="Times New Roman" w:hAnsi="Times New Roman" w:cs="Times New Roman"/>
          <w:b/>
          <w:bCs/>
          <w:sz w:val="30"/>
          <w:szCs w:val="30"/>
        </w:rPr>
      </w:pPr>
      <w:bookmarkStart w:id="292" w:name="_Toc18345"/>
      <w:bookmarkStart w:id="293" w:name="_Toc23459"/>
      <w:bookmarkStart w:id="294" w:name="_Toc17867"/>
      <w:r>
        <w:rPr>
          <w:rFonts w:hint="eastAsia" w:cs="Times New Roman"/>
          <w:b/>
          <w:bCs/>
          <w:sz w:val="30"/>
          <w:szCs w:val="30"/>
          <w:lang w:val="en-US" w:eastAsia="zh-CN"/>
        </w:rPr>
        <w:t>7</w:t>
      </w:r>
      <w:r>
        <w:rPr>
          <w:rFonts w:hint="default" w:ascii="Times New Roman" w:hAnsi="Times New Roman" w:cs="Times New Roman"/>
          <w:b/>
          <w:bCs/>
          <w:sz w:val="30"/>
          <w:szCs w:val="30"/>
        </w:rPr>
        <w:t>.1 声环境质量现状</w:t>
      </w:r>
      <w:bookmarkEnd w:id="292"/>
      <w:bookmarkEnd w:id="293"/>
      <w:bookmarkEnd w:id="294"/>
    </w:p>
    <w:p>
      <w:pPr>
        <w:adjustRightInd w:val="0"/>
        <w:snapToGrid w:val="0"/>
        <w:spacing w:before="120" w:beforeLines="50" w:line="360" w:lineRule="auto"/>
        <w:ind w:firstLine="480"/>
        <w:rPr>
          <w:rFonts w:hint="default" w:ascii="Times New Roman" w:hAnsi="Times New Roman" w:cs="Times New Roman"/>
          <w:sz w:val="24"/>
        </w:rPr>
      </w:pPr>
      <w:r>
        <w:rPr>
          <w:rFonts w:hint="default" w:ascii="Times New Roman" w:hAnsi="Times New Roman" w:cs="Times New Roman"/>
          <w:sz w:val="24"/>
        </w:rPr>
        <w:t>根据监测结果可知，福泽大道</w:t>
      </w:r>
      <w:r>
        <w:rPr>
          <w:rFonts w:hint="eastAsia"/>
          <w:color w:val="auto"/>
          <w:kern w:val="0"/>
          <w:sz w:val="24"/>
          <w:szCs w:val="24"/>
          <w:lang w:val="zh-CN"/>
        </w:rPr>
        <w:t>沿线</w:t>
      </w:r>
      <w:r>
        <w:rPr>
          <w:rFonts w:hint="eastAsia"/>
          <w:color w:val="auto"/>
          <w:sz w:val="24"/>
          <w:szCs w:val="24"/>
        </w:rPr>
        <w:t>昼、夜间声环境可满足</w:t>
      </w:r>
      <w:r>
        <w:rPr>
          <w:color w:val="auto"/>
          <w:sz w:val="24"/>
          <w:szCs w:val="24"/>
        </w:rPr>
        <w:t>《声环境质量标准》（GB3096-2008）</w:t>
      </w:r>
      <w:r>
        <w:rPr>
          <w:rFonts w:hint="eastAsia"/>
          <w:color w:val="auto"/>
          <w:sz w:val="24"/>
          <w:szCs w:val="24"/>
        </w:rPr>
        <w:t>4a类标准</w:t>
      </w:r>
      <w:r>
        <w:rPr>
          <w:rFonts w:hint="eastAsia"/>
          <w:color w:val="auto"/>
          <w:sz w:val="24"/>
          <w:szCs w:val="24"/>
          <w:lang w:eastAsia="zh-CN"/>
        </w:rPr>
        <w:t>，</w:t>
      </w:r>
      <w:r>
        <w:rPr>
          <w:rFonts w:hint="eastAsia" w:ascii="Times New Roman" w:hAnsi="Times New Roman" w:eastAsia="宋体" w:cs="Times New Roman"/>
          <w:kern w:val="0"/>
          <w:sz w:val="24"/>
          <w:lang w:val="en-US" w:eastAsia="zh-CN"/>
        </w:rPr>
        <w:t>规划居住用地、教育科研用地</w:t>
      </w:r>
      <w:r>
        <w:rPr>
          <w:rFonts w:hint="eastAsia"/>
          <w:color w:val="auto"/>
          <w:sz w:val="24"/>
          <w:szCs w:val="24"/>
          <w:lang w:val="en-US" w:eastAsia="zh-CN"/>
        </w:rPr>
        <w:t>现状</w:t>
      </w:r>
      <w:r>
        <w:rPr>
          <w:rFonts w:hint="eastAsia"/>
          <w:color w:val="auto"/>
          <w:sz w:val="24"/>
        </w:rPr>
        <w:t>昼、夜间声环境</w:t>
      </w:r>
      <w:r>
        <w:rPr>
          <w:rFonts w:hint="default" w:ascii="Times New Roman" w:hAnsi="Times New Roman" w:cs="Times New Roman"/>
          <w:kern w:val="0"/>
          <w:sz w:val="24"/>
          <w:lang w:val="zh-CN"/>
        </w:rPr>
        <w:t>符合</w:t>
      </w:r>
      <w:r>
        <w:rPr>
          <w:rFonts w:hint="default" w:ascii="Times New Roman" w:hAnsi="Times New Roman" w:cs="Times New Roman"/>
          <w:sz w:val="24"/>
        </w:rPr>
        <w:t>《声环境质量标准》（GB3096-2008）</w:t>
      </w:r>
      <w:r>
        <w:rPr>
          <w:rFonts w:hint="default" w:ascii="Times New Roman" w:hAnsi="Times New Roman" w:cs="Times New Roman"/>
          <w:kern w:val="0"/>
          <w:sz w:val="24"/>
        </w:rPr>
        <w:t>2类标准</w:t>
      </w:r>
      <w:r>
        <w:rPr>
          <w:rFonts w:hint="default" w:ascii="Times New Roman" w:hAnsi="Times New Roman" w:cs="Times New Roman"/>
          <w:kern w:val="0"/>
          <w:sz w:val="24"/>
          <w:lang w:val="zh-CN"/>
        </w:rPr>
        <w:t>要求。</w:t>
      </w:r>
      <w:r>
        <w:rPr>
          <w:rFonts w:hint="eastAsia"/>
          <w:color w:val="auto"/>
          <w:sz w:val="24"/>
          <w:lang w:val="en-US" w:eastAsia="zh-CN"/>
        </w:rPr>
        <w:t>各监测点位无超标，</w:t>
      </w:r>
      <w:r>
        <w:rPr>
          <w:rFonts w:hint="eastAsia"/>
          <w:color w:val="auto"/>
          <w:kern w:val="0"/>
          <w:sz w:val="24"/>
        </w:rPr>
        <w:t>项目道路沿线总体声环境质量良好</w:t>
      </w:r>
      <w:r>
        <w:rPr>
          <w:rFonts w:hint="default" w:ascii="Times New Roman" w:hAnsi="Times New Roman" w:cs="Times New Roman"/>
          <w:sz w:val="24"/>
        </w:rPr>
        <w:t>。</w:t>
      </w:r>
    </w:p>
    <w:p>
      <w:pPr>
        <w:keepNext/>
        <w:keepLines/>
        <w:spacing w:line="360" w:lineRule="auto"/>
        <w:outlineLvl w:val="1"/>
        <w:rPr>
          <w:rFonts w:hint="default" w:ascii="Times New Roman" w:hAnsi="Times New Roman" w:cs="Times New Roman"/>
          <w:b/>
          <w:bCs/>
          <w:sz w:val="30"/>
          <w:szCs w:val="30"/>
        </w:rPr>
      </w:pPr>
      <w:bookmarkStart w:id="295" w:name="_Toc20364"/>
      <w:bookmarkStart w:id="296" w:name="_Toc15268"/>
      <w:bookmarkStart w:id="297" w:name="_Toc21472"/>
      <w:r>
        <w:rPr>
          <w:rFonts w:hint="eastAsia" w:cs="Times New Roman"/>
          <w:b/>
          <w:bCs/>
          <w:sz w:val="30"/>
          <w:szCs w:val="30"/>
          <w:lang w:val="en-US" w:eastAsia="zh-CN"/>
        </w:rPr>
        <w:t>7</w:t>
      </w:r>
      <w:r>
        <w:rPr>
          <w:rFonts w:hint="default" w:ascii="Times New Roman" w:hAnsi="Times New Roman" w:cs="Times New Roman"/>
          <w:b/>
          <w:bCs/>
          <w:sz w:val="30"/>
          <w:szCs w:val="30"/>
        </w:rPr>
        <w:t>.2 声环境影响分析</w:t>
      </w:r>
      <w:bookmarkEnd w:id="295"/>
      <w:bookmarkEnd w:id="296"/>
      <w:bookmarkEnd w:id="297"/>
    </w:p>
    <w:p>
      <w:pPr>
        <w:spacing w:line="360" w:lineRule="auto"/>
        <w:ind w:firstLine="482"/>
        <w:outlineLvl w:val="0"/>
        <w:rPr>
          <w:rFonts w:hint="default" w:ascii="Times New Roman" w:hAnsi="Times New Roman" w:cs="Times New Roman"/>
          <w:kern w:val="0"/>
          <w:sz w:val="24"/>
          <w:lang w:val="zh-CN"/>
        </w:rPr>
      </w:pPr>
      <w:bookmarkStart w:id="298" w:name="_Toc10032"/>
      <w:bookmarkStart w:id="299" w:name="_Toc12229"/>
      <w:r>
        <w:rPr>
          <w:rFonts w:hint="default" w:ascii="Times New Roman" w:hAnsi="Times New Roman" w:cs="Times New Roman"/>
          <w:kern w:val="0"/>
          <w:sz w:val="24"/>
        </w:rPr>
        <w:t>1、</w:t>
      </w:r>
      <w:r>
        <w:rPr>
          <w:rFonts w:hint="default" w:ascii="Times New Roman" w:hAnsi="Times New Roman" w:cs="Times New Roman"/>
          <w:kern w:val="0"/>
          <w:sz w:val="24"/>
          <w:lang w:val="zh-CN"/>
        </w:rPr>
        <w:t>施工期</w:t>
      </w:r>
      <w:bookmarkEnd w:id="298"/>
      <w:bookmarkEnd w:id="299"/>
    </w:p>
    <w:p>
      <w:pPr>
        <w:spacing w:line="360" w:lineRule="auto"/>
        <w:ind w:firstLine="480"/>
        <w:rPr>
          <w:rFonts w:hint="default" w:ascii="Times New Roman" w:hAnsi="Times New Roman" w:cs="Times New Roman"/>
          <w:kern w:val="0"/>
          <w:sz w:val="24"/>
          <w:lang w:val="zh-CN"/>
        </w:rPr>
      </w:pPr>
      <w:r>
        <w:rPr>
          <w:rFonts w:hint="default" w:ascii="Times New Roman" w:hAnsi="Times New Roman" w:cs="Times New Roman"/>
          <w:kern w:val="0"/>
          <w:sz w:val="24"/>
          <w:lang w:val="zh-CN"/>
        </w:rPr>
        <w:t>（</w:t>
      </w:r>
      <w:r>
        <w:rPr>
          <w:rFonts w:hint="default" w:ascii="Times New Roman" w:hAnsi="Times New Roman" w:cs="Times New Roman"/>
          <w:kern w:val="0"/>
          <w:sz w:val="24"/>
        </w:rPr>
        <w:t>1</w:t>
      </w:r>
      <w:r>
        <w:rPr>
          <w:rFonts w:hint="default" w:ascii="Times New Roman" w:hAnsi="Times New Roman" w:cs="Times New Roman"/>
          <w:kern w:val="0"/>
          <w:sz w:val="24"/>
          <w:lang w:val="zh-CN"/>
        </w:rPr>
        <w:t>）根据《建筑施工场界环境噪声排放标准》(GB12523-2011)的要求，各施工机械在施工过程中噪声影响结果可知，作为施工边界，距道路中心线</w:t>
      </w:r>
      <w:r>
        <w:rPr>
          <w:rFonts w:hint="eastAsia" w:cs="Times New Roman"/>
          <w:kern w:val="0"/>
          <w:sz w:val="24"/>
          <w:lang w:val="en-US" w:eastAsia="zh-CN"/>
        </w:rPr>
        <w:t>20</w:t>
      </w:r>
      <w:r>
        <w:rPr>
          <w:rFonts w:hint="default" w:ascii="Times New Roman" w:hAnsi="Times New Roman" w:cs="Times New Roman"/>
          <w:kern w:val="0"/>
          <w:sz w:val="24"/>
          <w:lang w:val="zh-CN"/>
        </w:rPr>
        <w:t>m（红线）处，其各种机械的施工噪声均超过《建筑施工场界环境噪声放标准》（GB12523-2011）中规定的昼间LAeq值≤70dB（</w:t>
      </w:r>
      <w:r>
        <w:rPr>
          <w:rFonts w:hint="default" w:ascii="Times New Roman" w:hAnsi="Times New Roman" w:cs="Times New Roman"/>
          <w:kern w:val="0"/>
          <w:sz w:val="24"/>
        </w:rPr>
        <w:t>A</w:t>
      </w:r>
      <w:r>
        <w:rPr>
          <w:rFonts w:hint="default" w:ascii="Times New Roman" w:hAnsi="Times New Roman" w:cs="Times New Roman"/>
          <w:kern w:val="0"/>
          <w:sz w:val="24"/>
          <w:lang w:val="zh-CN"/>
        </w:rPr>
        <w:t>），夜间值≤55dB（</w:t>
      </w:r>
      <w:r>
        <w:rPr>
          <w:rFonts w:hint="default" w:ascii="Times New Roman" w:hAnsi="Times New Roman" w:cs="Times New Roman"/>
          <w:kern w:val="0"/>
          <w:sz w:val="24"/>
        </w:rPr>
        <w:t>A</w:t>
      </w:r>
      <w:r>
        <w:rPr>
          <w:rFonts w:hint="default" w:ascii="Times New Roman" w:hAnsi="Times New Roman" w:cs="Times New Roman"/>
          <w:kern w:val="0"/>
          <w:sz w:val="24"/>
          <w:lang w:val="zh-CN"/>
        </w:rPr>
        <w:t>）的要求，由于</w:t>
      </w:r>
      <w:r>
        <w:rPr>
          <w:rFonts w:hint="eastAsia"/>
          <w:snapToGrid w:val="0"/>
          <w:color w:val="auto"/>
          <w:kern w:val="0"/>
          <w:sz w:val="24"/>
          <w:lang w:val="en-US" w:eastAsia="zh-CN"/>
        </w:rPr>
        <w:t>项目施工沿线现状无声环境保护目标，工程</w:t>
      </w:r>
      <w:r>
        <w:rPr>
          <w:rFonts w:hint="eastAsia"/>
          <w:color w:val="auto"/>
          <w:sz w:val="24"/>
          <w:lang w:val="en-US" w:eastAsia="zh-CN"/>
        </w:rPr>
        <w:t>施工噪声对环境的影响在可接受范围内</w:t>
      </w:r>
      <w:r>
        <w:rPr>
          <w:rFonts w:hint="default" w:ascii="Times New Roman" w:hAnsi="Times New Roman" w:cs="Times New Roman"/>
          <w:kern w:val="0"/>
          <w:sz w:val="24"/>
          <w:lang w:val="zh-CN"/>
        </w:rPr>
        <w:t>。</w:t>
      </w:r>
    </w:p>
    <w:p>
      <w:pPr>
        <w:spacing w:line="360" w:lineRule="auto"/>
        <w:ind w:firstLine="480"/>
        <w:rPr>
          <w:rFonts w:hint="default" w:ascii="Times New Roman" w:hAnsi="Times New Roman" w:cs="Times New Roman"/>
          <w:snapToGrid w:val="0"/>
          <w:kern w:val="0"/>
          <w:sz w:val="24"/>
          <w:lang w:val="zh-CN"/>
        </w:rPr>
      </w:pPr>
      <w:r>
        <w:rPr>
          <w:rFonts w:hint="default" w:ascii="Times New Roman" w:hAnsi="Times New Roman" w:cs="Times New Roman"/>
          <w:kern w:val="0"/>
          <w:sz w:val="24"/>
          <w:lang w:val="zh-CN"/>
        </w:rPr>
        <w:t>（</w:t>
      </w:r>
      <w:r>
        <w:rPr>
          <w:rFonts w:hint="default" w:ascii="Times New Roman" w:hAnsi="Times New Roman" w:cs="Times New Roman"/>
          <w:kern w:val="0"/>
          <w:sz w:val="24"/>
        </w:rPr>
        <w:t>2</w:t>
      </w:r>
      <w:r>
        <w:rPr>
          <w:rFonts w:hint="default" w:ascii="Times New Roman" w:hAnsi="Times New Roman" w:cs="Times New Roman"/>
          <w:kern w:val="0"/>
          <w:sz w:val="24"/>
          <w:lang w:val="zh-CN"/>
        </w:rPr>
        <w:t>）拟建道路建设对某一特定路段而言其施工时间较短，且高噪声则主要出现在路基施工阶段，因此整个道路施工过程其实际施工噪声的影响程度从时间上衡量要比推算值低一些。但是作为建设施工单位为维护周边</w:t>
      </w:r>
      <w:r>
        <w:rPr>
          <w:rFonts w:hint="eastAsia" w:cs="Times New Roman"/>
          <w:kern w:val="0"/>
          <w:sz w:val="24"/>
          <w:lang w:val="en-US" w:eastAsia="zh-CN"/>
        </w:rPr>
        <w:t>声环境质量</w:t>
      </w:r>
      <w:r>
        <w:rPr>
          <w:rFonts w:hint="default" w:ascii="Times New Roman" w:hAnsi="Times New Roman" w:cs="Times New Roman"/>
          <w:kern w:val="0"/>
          <w:sz w:val="24"/>
          <w:lang w:val="zh-CN"/>
        </w:rPr>
        <w:t>，应合理地安排施工进度和时间，实行文明施工、环保施工，</w:t>
      </w:r>
      <w:r>
        <w:rPr>
          <w:rFonts w:hint="default" w:ascii="Times New Roman" w:hAnsi="Times New Roman" w:cs="Times New Roman"/>
          <w:snapToGrid w:val="0"/>
          <w:kern w:val="0"/>
          <w:sz w:val="24"/>
          <w:lang w:val="zh-CN"/>
        </w:rPr>
        <w:t>并根据各施工阶段的特点采取必要的噪声控制措施，以降低施工噪声对环境的影响。</w:t>
      </w:r>
    </w:p>
    <w:p>
      <w:pPr>
        <w:spacing w:line="360" w:lineRule="auto"/>
        <w:ind w:firstLine="480"/>
        <w:outlineLvl w:val="0"/>
        <w:rPr>
          <w:rFonts w:hint="default" w:ascii="Times New Roman" w:hAnsi="Times New Roman" w:cs="Times New Roman"/>
          <w:kern w:val="0"/>
          <w:sz w:val="24"/>
          <w:lang w:val="zh-CN"/>
        </w:rPr>
      </w:pPr>
      <w:bookmarkStart w:id="300" w:name="_Toc14236"/>
      <w:bookmarkStart w:id="301" w:name="_Toc12349"/>
      <w:r>
        <w:rPr>
          <w:rFonts w:hint="default" w:ascii="Times New Roman" w:hAnsi="Times New Roman" w:cs="Times New Roman"/>
          <w:bCs/>
          <w:kern w:val="0"/>
          <w:sz w:val="24"/>
        </w:rPr>
        <w:t>2、</w:t>
      </w:r>
      <w:r>
        <w:rPr>
          <w:rFonts w:hint="default" w:ascii="Times New Roman" w:hAnsi="Times New Roman" w:cs="Times New Roman"/>
          <w:kern w:val="0"/>
          <w:sz w:val="24"/>
          <w:lang w:val="zh-CN"/>
        </w:rPr>
        <w:t>营运期</w:t>
      </w:r>
      <w:bookmarkEnd w:id="300"/>
      <w:bookmarkEnd w:id="301"/>
    </w:p>
    <w:p>
      <w:pPr>
        <w:keepNext w:val="0"/>
        <w:keepLines w:val="0"/>
        <w:pageBreakBefore w:val="0"/>
        <w:widowControl w:val="0"/>
        <w:kinsoku/>
        <w:wordWrap/>
        <w:overflowPunct/>
        <w:topLinePunct w:val="0"/>
        <w:autoSpaceDE/>
        <w:autoSpaceDN/>
        <w:bidi w:val="0"/>
        <w:spacing w:line="360" w:lineRule="auto"/>
        <w:ind w:firstLine="482"/>
        <w:textAlignment w:val="auto"/>
        <w:outlineLvl w:val="1"/>
        <w:rPr>
          <w:rFonts w:hint="default" w:ascii="Times New Roman" w:hAnsi="Times New Roman" w:cs="Times New Roman"/>
          <w:kern w:val="0"/>
          <w:sz w:val="24"/>
          <w:lang w:val="zh-CN"/>
        </w:rPr>
      </w:pPr>
      <w:r>
        <w:rPr>
          <w:rFonts w:hint="default" w:ascii="Times New Roman" w:hAnsi="Times New Roman" w:cs="Times New Roman"/>
          <w:kern w:val="0"/>
          <w:sz w:val="24"/>
          <w:lang w:val="zh-CN"/>
        </w:rPr>
        <w:t>道路两侧水平向交通噪声预测结果：</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kern w:val="0"/>
          <w:sz w:val="24"/>
        </w:rPr>
      </w:pPr>
      <w:r>
        <w:rPr>
          <w:rFonts w:hint="default" w:ascii="Times New Roman" w:hAnsi="Times New Roman" w:cs="Times New Roman"/>
          <w:kern w:val="0"/>
          <w:sz w:val="24"/>
        </w:rPr>
        <w:t>4a类标准区域：运营期近、中、远期昼间噪声在红线处均能满足《声环境质量标准》GB3096-2008中4a类标准限值</w:t>
      </w:r>
      <w:r>
        <w:rPr>
          <w:rFonts w:hint="eastAsia" w:cs="Times New Roman"/>
          <w:kern w:val="0"/>
          <w:sz w:val="24"/>
          <w:lang w:eastAsia="zh-CN"/>
        </w:rPr>
        <w:t>，</w:t>
      </w:r>
      <w:r>
        <w:rPr>
          <w:rFonts w:hint="eastAsia" w:cs="Times New Roman"/>
          <w:kern w:val="0"/>
          <w:sz w:val="24"/>
          <w:lang w:val="en-US" w:eastAsia="zh-CN"/>
        </w:rPr>
        <w:t>夜间</w:t>
      </w:r>
      <w:r>
        <w:rPr>
          <w:rFonts w:hint="default" w:ascii="Times New Roman" w:hAnsi="Times New Roman" w:cs="Times New Roman"/>
          <w:kern w:val="0"/>
          <w:sz w:val="24"/>
          <w:lang w:val="zh-CN"/>
        </w:rPr>
        <w:t>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ascii="Times New Roman" w:hAnsi="Times New Roman" w:cs="Times New Roman"/>
          <w:kern w:val="0"/>
          <w:sz w:val="24"/>
          <w:lang w:val="en-US" w:eastAsia="zh-CN"/>
        </w:rPr>
        <w:t>27m、35m、43m达到</w:t>
      </w:r>
      <w:r>
        <w:rPr>
          <w:rFonts w:hint="default" w:ascii="Times New Roman" w:hAnsi="Times New Roman" w:cs="Times New Roman"/>
          <w:kern w:val="0"/>
          <w:sz w:val="24"/>
        </w:rPr>
        <w:t>《声环境质量标准》GB3096-2008中4a类标准限值。</w:t>
      </w:r>
    </w:p>
    <w:p>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kern w:val="0"/>
          <w:sz w:val="24"/>
        </w:rPr>
      </w:pPr>
      <w:r>
        <w:rPr>
          <w:rFonts w:hint="default" w:ascii="Times New Roman" w:hAnsi="Times New Roman" w:cs="Times New Roman"/>
          <w:kern w:val="0"/>
          <w:sz w:val="24"/>
        </w:rPr>
        <w:t>2类标准区域：运营期近、中、远期昼间噪声在道路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default" w:ascii="Times New Roman" w:hAnsi="Times New Roman" w:cs="Times New Roman"/>
          <w:kern w:val="0"/>
          <w:sz w:val="24"/>
        </w:rPr>
        <w:t>外</w:t>
      </w:r>
      <w:r>
        <w:rPr>
          <w:rFonts w:hint="eastAsia" w:ascii="Times New Roman" w:hAnsi="Times New Roman" w:cs="Times New Roman"/>
          <w:kern w:val="0"/>
          <w:sz w:val="24"/>
          <w:lang w:val="en-US" w:eastAsia="zh-CN"/>
        </w:rPr>
        <w:t>23m、31m、39m</w:t>
      </w:r>
      <w:r>
        <w:rPr>
          <w:rFonts w:hint="default" w:ascii="Times New Roman" w:hAnsi="Times New Roman" w:cs="Times New Roman"/>
          <w:kern w:val="0"/>
          <w:sz w:val="24"/>
        </w:rPr>
        <w:t>能满足《声环境质量标准》GB3096-2008中的2类标准限值</w:t>
      </w:r>
      <w:r>
        <w:rPr>
          <w:rFonts w:hint="eastAsia" w:cs="Times New Roman"/>
          <w:kern w:val="0"/>
          <w:sz w:val="24"/>
          <w:lang w:eastAsia="zh-CN"/>
        </w:rPr>
        <w:t>，</w:t>
      </w:r>
      <w:r>
        <w:rPr>
          <w:rFonts w:hint="eastAsia" w:cs="Times New Roman"/>
          <w:kern w:val="0"/>
          <w:sz w:val="24"/>
          <w:lang w:val="en-US" w:eastAsia="zh-CN"/>
        </w:rPr>
        <w:t>夜间</w:t>
      </w:r>
      <w:r>
        <w:rPr>
          <w:rFonts w:hint="default" w:ascii="Times New Roman" w:hAnsi="Times New Roman" w:cs="Times New Roman"/>
          <w:kern w:val="0"/>
          <w:sz w:val="24"/>
          <w:lang w:val="zh-CN"/>
        </w:rPr>
        <w:t>距离道路</w:t>
      </w:r>
      <w:r>
        <w:rPr>
          <w:rFonts w:hint="eastAsia" w:cs="Times New Roman"/>
          <w:kern w:val="0"/>
          <w:sz w:val="24"/>
          <w:lang w:val="en-US" w:eastAsia="zh-CN"/>
        </w:rPr>
        <w:t>红</w:t>
      </w:r>
      <w:r>
        <w:rPr>
          <w:rFonts w:hint="default" w:ascii="Times New Roman" w:hAnsi="Times New Roman" w:cs="Times New Roman"/>
          <w:kern w:val="0"/>
          <w:sz w:val="24"/>
          <w:lang w:val="zh-CN"/>
        </w:rPr>
        <w:t>线</w:t>
      </w:r>
      <w:r>
        <w:rPr>
          <w:rFonts w:hint="eastAsia" w:ascii="Times New Roman" w:hAnsi="Times New Roman" w:cs="Times New Roman"/>
          <w:kern w:val="0"/>
          <w:sz w:val="24"/>
          <w:lang w:val="en-US" w:eastAsia="zh-CN"/>
        </w:rPr>
        <w:t>78m、96m、111m才能达到</w:t>
      </w:r>
      <w:r>
        <w:rPr>
          <w:rFonts w:hint="default" w:ascii="Times New Roman" w:hAnsi="Times New Roman" w:cs="Times New Roman"/>
          <w:kern w:val="0"/>
          <w:sz w:val="24"/>
        </w:rPr>
        <w:t>《声环境质量标准》GB3096-2008中</w:t>
      </w:r>
      <w:r>
        <w:rPr>
          <w:rFonts w:hint="eastAsia" w:ascii="Times New Roman" w:hAnsi="Times New Roman" w:cs="Times New Roman"/>
          <w:kern w:val="0"/>
          <w:sz w:val="24"/>
          <w:lang w:val="en-US" w:eastAsia="zh-CN"/>
        </w:rPr>
        <w:t>2</w:t>
      </w:r>
      <w:r>
        <w:rPr>
          <w:rFonts w:hint="default" w:ascii="Times New Roman" w:hAnsi="Times New Roman" w:cs="Times New Roman"/>
          <w:kern w:val="0"/>
          <w:sz w:val="24"/>
        </w:rPr>
        <w:t>类标准限值。</w:t>
      </w:r>
    </w:p>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kern w:val="0"/>
          <w:sz w:val="24"/>
          <w:lang w:val="zh-CN"/>
        </w:rPr>
      </w:pPr>
      <w:r>
        <w:rPr>
          <w:rFonts w:hint="default" w:ascii="Times New Roman" w:hAnsi="Times New Roman" w:cs="Times New Roman"/>
          <w:kern w:val="0"/>
          <w:sz w:val="24"/>
          <w:lang w:val="zh-CN"/>
        </w:rPr>
        <w:t>若营运期存在新建敏感点建筑，则这些敏感点建筑应采取相应的隔声处理措施，例如强化墙体隔声量、加装通风隔声窗和设置退让距离等噪声防治措施。</w:t>
      </w:r>
    </w:p>
    <w:p>
      <w:pPr>
        <w:keepNext/>
        <w:keepLines/>
        <w:spacing w:line="360" w:lineRule="auto"/>
        <w:outlineLvl w:val="1"/>
        <w:rPr>
          <w:b/>
          <w:bCs/>
          <w:sz w:val="30"/>
          <w:szCs w:val="30"/>
        </w:rPr>
      </w:pPr>
      <w:bookmarkStart w:id="302" w:name="_Toc23232"/>
      <w:r>
        <w:rPr>
          <w:rFonts w:hint="eastAsia"/>
          <w:b/>
          <w:bCs/>
          <w:sz w:val="30"/>
          <w:szCs w:val="30"/>
          <w:lang w:val="en-US" w:eastAsia="zh-CN"/>
        </w:rPr>
        <w:t>7</w:t>
      </w:r>
      <w:r>
        <w:rPr>
          <w:b/>
          <w:bCs/>
          <w:sz w:val="30"/>
          <w:szCs w:val="30"/>
        </w:rPr>
        <w:t>.3声环境保护措施</w:t>
      </w:r>
      <w:bookmarkEnd w:id="302"/>
    </w:p>
    <w:p>
      <w:pPr>
        <w:spacing w:line="360" w:lineRule="auto"/>
        <w:outlineLvl w:val="2"/>
        <w:rPr>
          <w:b/>
          <w:bCs/>
          <w:kern w:val="0"/>
          <w:sz w:val="28"/>
          <w:szCs w:val="28"/>
          <w:lang w:val="zh-CN"/>
        </w:rPr>
      </w:pPr>
      <w:r>
        <w:rPr>
          <w:rFonts w:hint="eastAsia"/>
          <w:b/>
          <w:bCs/>
          <w:kern w:val="0"/>
          <w:sz w:val="28"/>
          <w:szCs w:val="28"/>
          <w:lang w:val="en-US" w:eastAsia="zh-CN"/>
        </w:rPr>
        <w:t>7</w:t>
      </w:r>
      <w:r>
        <w:rPr>
          <w:rFonts w:hint="eastAsia"/>
          <w:b/>
          <w:bCs/>
          <w:kern w:val="0"/>
          <w:sz w:val="28"/>
          <w:szCs w:val="28"/>
        </w:rPr>
        <w:t>.3.1</w:t>
      </w:r>
      <w:r>
        <w:rPr>
          <w:b/>
          <w:bCs/>
          <w:kern w:val="0"/>
          <w:sz w:val="28"/>
          <w:szCs w:val="28"/>
          <w:lang w:val="zh-CN"/>
        </w:rPr>
        <w:t>施工期</w:t>
      </w:r>
    </w:p>
    <w:p>
      <w:pPr>
        <w:spacing w:line="360" w:lineRule="auto"/>
        <w:ind w:firstLine="480"/>
        <w:rPr>
          <w:kern w:val="0"/>
          <w:sz w:val="24"/>
          <w:szCs w:val="24"/>
          <w:lang w:val="zh-CN"/>
        </w:rPr>
      </w:pPr>
      <w:r>
        <w:rPr>
          <w:rFonts w:hint="eastAsia"/>
          <w:kern w:val="0"/>
          <w:sz w:val="24"/>
          <w:szCs w:val="24"/>
        </w:rPr>
        <w:t>（1）</w:t>
      </w:r>
      <w:r>
        <w:rPr>
          <w:kern w:val="0"/>
          <w:sz w:val="24"/>
          <w:szCs w:val="24"/>
          <w:lang w:val="zh-CN"/>
        </w:rPr>
        <w:t>施工</w:t>
      </w:r>
      <w:r>
        <w:rPr>
          <w:rFonts w:hint="eastAsia"/>
          <w:kern w:val="0"/>
          <w:sz w:val="24"/>
          <w:szCs w:val="24"/>
          <w:lang w:val="zh-CN"/>
        </w:rPr>
        <w:t>单位</w:t>
      </w:r>
      <w:r>
        <w:rPr>
          <w:kern w:val="0"/>
          <w:sz w:val="24"/>
          <w:szCs w:val="24"/>
          <w:lang w:val="zh-CN"/>
        </w:rPr>
        <w:t>必须选用符合国家有关标准的施工机械和运输车辆，尽量选用低噪声的施工机械和工艺，振动较大的固定机械设备应加装减振机座，同时加强各类施工设备的维护和保养，保持其良好的运转，以便从根本上降低噪声源强。</w:t>
      </w:r>
    </w:p>
    <w:p>
      <w:pPr>
        <w:adjustRightInd w:val="0"/>
        <w:snapToGrid w:val="0"/>
        <w:spacing w:line="360" w:lineRule="auto"/>
        <w:ind w:firstLine="480" w:firstLineChars="200"/>
        <w:rPr>
          <w:kern w:val="0"/>
          <w:sz w:val="24"/>
          <w:szCs w:val="24"/>
          <w:lang w:val="zh-CN"/>
        </w:rPr>
      </w:pPr>
      <w:r>
        <w:rPr>
          <w:rFonts w:hint="eastAsia"/>
          <w:kern w:val="0"/>
          <w:sz w:val="24"/>
          <w:szCs w:val="24"/>
        </w:rPr>
        <w:t>（2）</w:t>
      </w:r>
      <w:r>
        <w:rPr>
          <w:kern w:val="0"/>
          <w:sz w:val="24"/>
          <w:szCs w:val="24"/>
          <w:lang w:val="zh-CN"/>
        </w:rPr>
        <w:t>道路机械施工的噪声具有突发、无规则、不连续、高强度等特点。据调查，</w:t>
      </w:r>
      <w:r>
        <w:rPr>
          <w:rFonts w:hint="eastAsia"/>
          <w:kern w:val="0"/>
          <w:sz w:val="24"/>
          <w:szCs w:val="24"/>
          <w:lang w:val="zh-CN"/>
        </w:rPr>
        <w:t>一般</w:t>
      </w:r>
      <w:r>
        <w:rPr>
          <w:kern w:val="0"/>
          <w:sz w:val="24"/>
          <w:szCs w:val="24"/>
          <w:lang w:val="zh-CN"/>
        </w:rPr>
        <w:t>施工现场噪声有时高达85dB（</w:t>
      </w:r>
      <w:r>
        <w:rPr>
          <w:kern w:val="0"/>
          <w:sz w:val="24"/>
          <w:szCs w:val="24"/>
        </w:rPr>
        <w:t>A</w:t>
      </w:r>
      <w:r>
        <w:rPr>
          <w:kern w:val="0"/>
          <w:sz w:val="24"/>
          <w:szCs w:val="24"/>
          <w:lang w:val="zh-CN"/>
        </w:rPr>
        <w:t>）以上，其他施工阶段的一般施工噪声的达标距离约为200m，所以施工选用低噪声振动的施工工艺。如噪声源强大的作业可放在昼间（06:00～22:00）进行或对各种施工机械操作时间作适当调整</w:t>
      </w:r>
      <w:r>
        <w:rPr>
          <w:rFonts w:hint="eastAsia"/>
          <w:sz w:val="24"/>
          <w:szCs w:val="24"/>
        </w:rPr>
        <w:t>。</w:t>
      </w:r>
      <w:r>
        <w:rPr>
          <w:kern w:val="0"/>
          <w:sz w:val="24"/>
          <w:szCs w:val="24"/>
          <w:lang w:val="zh-CN"/>
        </w:rPr>
        <w:t>为减少施工期间的材料运输、敲击、人的喊叫等施工活动声源，要求承包商通过文明施工、加强有效管理加以缓解。</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eastAsia"/>
          <w:color w:val="000000"/>
        </w:rPr>
      </w:pPr>
      <w:r>
        <w:rPr>
          <w:color w:val="000000"/>
          <w:sz w:val="24"/>
          <w:szCs w:val="24"/>
        </w:rPr>
        <w:t>（3）</w:t>
      </w:r>
      <w:r>
        <w:rPr>
          <w:color w:val="000000"/>
        </w:rPr>
        <w:t>在利用现有道路运输施工物资时，应合理选择运输路线，并尽量在昼间进行运输。此外，在途经村庄</w:t>
      </w:r>
      <w:r>
        <w:rPr>
          <w:rFonts w:hint="eastAsia"/>
          <w:color w:val="000000"/>
          <w:lang w:eastAsia="zh-CN"/>
        </w:rPr>
        <w:t>、</w:t>
      </w:r>
      <w:r>
        <w:rPr>
          <w:rFonts w:hint="eastAsia"/>
          <w:color w:val="000000"/>
          <w:lang w:val="en-US" w:eastAsia="zh-CN"/>
        </w:rPr>
        <w:t>居民区</w:t>
      </w:r>
      <w:r>
        <w:rPr>
          <w:color w:val="000000"/>
        </w:rPr>
        <w:t>时，应减速慢行禁止鸣笛</w:t>
      </w:r>
      <w:r>
        <w:rPr>
          <w:rFonts w:hint="eastAsia"/>
          <w:color w:val="000000"/>
        </w:rPr>
        <w:t>。</w:t>
      </w:r>
    </w:p>
    <w:p>
      <w:pPr>
        <w:spacing w:line="360" w:lineRule="auto"/>
        <w:ind w:firstLine="480" w:firstLineChars="200"/>
        <w:rPr>
          <w:color w:val="000000"/>
          <w:sz w:val="24"/>
          <w:szCs w:val="24"/>
        </w:rPr>
      </w:pPr>
      <w:r>
        <w:rPr>
          <w:rFonts w:hint="eastAsia"/>
          <w:color w:val="000000"/>
          <w:sz w:val="24"/>
          <w:szCs w:val="24"/>
        </w:rPr>
        <w:t>（</w:t>
      </w:r>
      <w:r>
        <w:rPr>
          <w:rFonts w:hint="eastAsia"/>
          <w:color w:val="000000"/>
          <w:sz w:val="24"/>
          <w:szCs w:val="24"/>
          <w:lang w:val="en-US" w:eastAsia="zh-CN"/>
        </w:rPr>
        <w:t>4</w:t>
      </w:r>
      <w:r>
        <w:rPr>
          <w:rFonts w:hint="eastAsia"/>
          <w:color w:val="000000"/>
          <w:sz w:val="24"/>
          <w:szCs w:val="24"/>
        </w:rPr>
        <w:t>）</w:t>
      </w:r>
      <w:r>
        <w:rPr>
          <w:color w:val="000000"/>
          <w:sz w:val="24"/>
          <w:szCs w:val="24"/>
        </w:rPr>
        <w:t>建设</w:t>
      </w:r>
      <w:r>
        <w:rPr>
          <w:rFonts w:hint="eastAsia"/>
          <w:color w:val="000000"/>
          <w:sz w:val="24"/>
          <w:szCs w:val="24"/>
        </w:rPr>
        <w:t>单位</w:t>
      </w:r>
      <w:r>
        <w:rPr>
          <w:color w:val="000000"/>
          <w:sz w:val="24"/>
          <w:szCs w:val="24"/>
        </w:rPr>
        <w:t>应对施工承包商的运输路线提出要求，要求承包商必须提供建材运输路线，并请环保监理或环保专业人员确认施工路线在减缓噪声影响方面的合理性。建设</w:t>
      </w:r>
      <w:r>
        <w:rPr>
          <w:rFonts w:hint="eastAsia"/>
          <w:color w:val="000000"/>
          <w:sz w:val="24"/>
          <w:szCs w:val="24"/>
        </w:rPr>
        <w:t>单位</w:t>
      </w:r>
      <w:r>
        <w:rPr>
          <w:color w:val="000000"/>
          <w:sz w:val="24"/>
          <w:szCs w:val="24"/>
        </w:rPr>
        <w:t>根据确定后的运输路线进行监督，并可联合地方环保部门加强监督力度。</w:t>
      </w:r>
    </w:p>
    <w:p>
      <w:pPr>
        <w:adjustRightInd w:val="0"/>
        <w:snapToGrid w:val="0"/>
        <w:spacing w:line="360" w:lineRule="auto"/>
        <w:ind w:firstLine="480"/>
        <w:rPr>
          <w:rFonts w:hint="eastAsia"/>
          <w:sz w:val="24"/>
          <w:szCs w:val="24"/>
        </w:rPr>
      </w:pPr>
      <w:r>
        <w:rPr>
          <w:rFonts w:hint="eastAsia"/>
          <w:color w:val="000000"/>
          <w:sz w:val="24"/>
          <w:szCs w:val="24"/>
        </w:rPr>
        <w:t>（6）</w:t>
      </w:r>
      <w:r>
        <w:rPr>
          <w:color w:val="000000"/>
          <w:sz w:val="24"/>
          <w:szCs w:val="24"/>
        </w:rPr>
        <w:t>合理安排施工活动，尽量缩短工期，减少施工噪声影响时间。避免强噪声施工机械在同一区域内同时使用。</w:t>
      </w:r>
      <w:r>
        <w:rPr>
          <w:rFonts w:hint="eastAsia"/>
          <w:sz w:val="24"/>
          <w:szCs w:val="24"/>
        </w:rPr>
        <w:t>夜间（22：00～6：00）和午间（12:00～14:00）禁止施工</w:t>
      </w:r>
      <w:r>
        <w:rPr>
          <w:kern w:val="0"/>
          <w:sz w:val="24"/>
          <w:szCs w:val="24"/>
          <w:lang w:val="zh-CN"/>
        </w:rPr>
        <w:t>。</w:t>
      </w:r>
    </w:p>
    <w:p>
      <w:pPr>
        <w:adjustRightInd w:val="0"/>
        <w:snapToGrid w:val="0"/>
        <w:spacing w:line="360" w:lineRule="auto"/>
        <w:ind w:firstLine="480"/>
        <w:rPr>
          <w:color w:val="000000"/>
          <w:sz w:val="24"/>
          <w:szCs w:val="24"/>
        </w:rPr>
      </w:pPr>
      <w:r>
        <w:rPr>
          <w:rFonts w:hint="eastAsia"/>
          <w:color w:val="000000"/>
          <w:sz w:val="24"/>
          <w:szCs w:val="24"/>
        </w:rPr>
        <w:t>（7）</w:t>
      </w:r>
      <w:r>
        <w:rPr>
          <w:color w:val="000000"/>
          <w:sz w:val="24"/>
          <w:szCs w:val="24"/>
        </w:rPr>
        <w:t>按劳动卫生标准，保护施工人员的身心健康，施工</w:t>
      </w:r>
      <w:r>
        <w:rPr>
          <w:rFonts w:hint="eastAsia"/>
          <w:color w:val="000000"/>
          <w:sz w:val="24"/>
          <w:szCs w:val="24"/>
        </w:rPr>
        <w:t>单位</w:t>
      </w:r>
      <w:r>
        <w:rPr>
          <w:color w:val="000000"/>
          <w:sz w:val="24"/>
          <w:szCs w:val="24"/>
        </w:rPr>
        <w:t>应合理安排工作人员，做到轮换操作筑路机械，或穿插安排高噪声和低噪声的工作，给工人以恢复听力的时间。同时，要注意保护机械，合理操作，尽量使筑路机械维持低声量级水平。操作时，工人应戴耳罩和头盔。</w:t>
      </w:r>
    </w:p>
    <w:p>
      <w:pPr>
        <w:adjustRightInd w:val="0"/>
        <w:snapToGrid w:val="0"/>
        <w:spacing w:line="360" w:lineRule="auto"/>
        <w:ind w:firstLine="480"/>
        <w:outlineLvl w:val="1"/>
        <w:rPr>
          <w:color w:val="000000"/>
          <w:sz w:val="24"/>
          <w:szCs w:val="24"/>
        </w:rPr>
      </w:pPr>
      <w:r>
        <w:rPr>
          <w:rFonts w:hint="eastAsia"/>
          <w:color w:val="000000"/>
          <w:sz w:val="24"/>
          <w:szCs w:val="24"/>
        </w:rPr>
        <w:t>（8）</w:t>
      </w:r>
      <w:r>
        <w:rPr>
          <w:color w:val="000000"/>
          <w:sz w:val="24"/>
          <w:szCs w:val="24"/>
        </w:rPr>
        <w:t>加强环境管理，接受环保部门环境监督。</w:t>
      </w:r>
    </w:p>
    <w:p>
      <w:pPr>
        <w:spacing w:line="360" w:lineRule="auto"/>
        <w:outlineLvl w:val="2"/>
        <w:rPr>
          <w:b/>
          <w:bCs/>
          <w:color w:val="000000"/>
          <w:sz w:val="28"/>
          <w:szCs w:val="28"/>
        </w:rPr>
      </w:pPr>
      <w:r>
        <w:rPr>
          <w:rFonts w:hint="eastAsia"/>
          <w:b/>
          <w:bCs/>
          <w:color w:val="000000"/>
          <w:sz w:val="28"/>
          <w:szCs w:val="28"/>
          <w:lang w:val="en-US" w:eastAsia="zh-CN"/>
        </w:rPr>
        <w:t>7</w:t>
      </w:r>
      <w:r>
        <w:rPr>
          <w:b/>
          <w:bCs/>
          <w:color w:val="000000"/>
          <w:sz w:val="28"/>
          <w:szCs w:val="28"/>
        </w:rPr>
        <w:t>.3.2运营期</w:t>
      </w:r>
    </w:p>
    <w:p>
      <w:pPr>
        <w:adjustRightInd w:val="0"/>
        <w:snapToGrid w:val="0"/>
        <w:spacing w:line="360" w:lineRule="auto"/>
        <w:ind w:firstLine="480" w:firstLineChars="200"/>
        <w:rPr>
          <w:color w:val="auto"/>
          <w:sz w:val="24"/>
          <w:szCs w:val="24"/>
          <w:highlight w:val="none"/>
        </w:rPr>
      </w:pPr>
      <w:r>
        <w:rPr>
          <w:color w:val="auto"/>
          <w:sz w:val="24"/>
          <w:szCs w:val="24"/>
          <w:highlight w:val="none"/>
        </w:rPr>
        <w:t>（1）加强交通管理，严格执行限速和禁止超载等交通管制，在通过人口密度较大的路段，以及居民住宅等附近设置禁鸣标志，以减少交通噪声扰民问题。</w:t>
      </w:r>
    </w:p>
    <w:p>
      <w:pPr>
        <w:adjustRightInd w:val="0"/>
        <w:snapToGrid w:val="0"/>
        <w:spacing w:line="360" w:lineRule="auto"/>
        <w:ind w:firstLine="480" w:firstLineChars="200"/>
        <w:outlineLvl w:val="1"/>
        <w:rPr>
          <w:color w:val="auto"/>
          <w:sz w:val="24"/>
          <w:szCs w:val="24"/>
          <w:highlight w:val="none"/>
        </w:rPr>
      </w:pPr>
      <w:r>
        <w:rPr>
          <w:color w:val="auto"/>
          <w:sz w:val="24"/>
          <w:szCs w:val="24"/>
          <w:highlight w:val="none"/>
        </w:rPr>
        <w:t>（</w:t>
      </w:r>
      <w:r>
        <w:rPr>
          <w:rFonts w:hint="eastAsia"/>
          <w:color w:val="auto"/>
          <w:sz w:val="24"/>
          <w:szCs w:val="24"/>
          <w:highlight w:val="none"/>
        </w:rPr>
        <w:t>2</w:t>
      </w:r>
      <w:r>
        <w:rPr>
          <w:color w:val="auto"/>
          <w:sz w:val="24"/>
          <w:szCs w:val="24"/>
          <w:highlight w:val="none"/>
        </w:rPr>
        <w:t>）加强路面养护，保证拟建道路未来路面处于良好状态。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szCs w:val="24"/>
          <w:highlight w:val="none"/>
          <w:lang w:val="zh-CN"/>
        </w:rPr>
      </w:pPr>
      <w:r>
        <w:rPr>
          <w:rFonts w:hint="eastAsia"/>
          <w:color w:val="auto"/>
          <w:sz w:val="24"/>
          <w:szCs w:val="24"/>
          <w:highlight w:val="none"/>
        </w:rPr>
        <w:t>（3）</w:t>
      </w:r>
      <w:r>
        <w:rPr>
          <w:color w:val="auto"/>
          <w:kern w:val="0"/>
          <w:sz w:val="24"/>
          <w:szCs w:val="24"/>
          <w:highlight w:val="none"/>
          <w:lang w:val="zh-CN"/>
        </w:rPr>
        <w:t>道路两侧新建建筑中，若对声环境较为敏感的，</w:t>
      </w:r>
      <w:r>
        <w:rPr>
          <w:rFonts w:hint="eastAsia"/>
          <w:color w:val="auto"/>
          <w:sz w:val="24"/>
          <w:szCs w:val="24"/>
          <w:highlight w:val="none"/>
          <w:lang w:val="en-US" w:eastAsia="zh-CN"/>
        </w:rPr>
        <w:t>应由相应建设单位对声环境进行评估，制定具体的降噪方案。</w:t>
      </w:r>
      <w:r>
        <w:rPr>
          <w:color w:val="auto"/>
          <w:kern w:val="0"/>
          <w:sz w:val="24"/>
          <w:szCs w:val="24"/>
          <w:highlight w:val="none"/>
          <w:lang w:val="zh-CN"/>
        </w:rPr>
        <w:t>建议开发商或业主在房屋的构筑和装修过程中采用对建筑物本身的隔声处理措施，例如强化墙体隔声量和加装通风隔声窗等，以避免受本项目交通噪声的负面影响。</w:t>
      </w:r>
    </w:p>
    <w:p>
      <w:pPr>
        <w:pStyle w:val="26"/>
        <w:spacing w:after="0" w:line="360" w:lineRule="auto"/>
        <w:ind w:left="0" w:leftChars="0" w:firstLine="480"/>
        <w:rPr>
          <w:rFonts w:hint="eastAsia"/>
          <w:color w:val="auto"/>
          <w:sz w:val="24"/>
          <w:szCs w:val="24"/>
          <w:highlight w:val="none"/>
          <w:lang w:val="zh-CN"/>
        </w:rPr>
      </w:pPr>
      <w:r>
        <w:rPr>
          <w:rFonts w:hint="eastAsia"/>
          <w:color w:val="auto"/>
          <w:sz w:val="24"/>
          <w:szCs w:val="24"/>
          <w:highlight w:val="none"/>
          <w:lang w:val="zh-CN"/>
        </w:rPr>
        <w:t>（</w:t>
      </w:r>
      <w:r>
        <w:rPr>
          <w:rFonts w:hint="eastAsia"/>
          <w:color w:val="auto"/>
          <w:sz w:val="24"/>
          <w:szCs w:val="24"/>
          <w:highlight w:val="none"/>
        </w:rPr>
        <w:t>4</w:t>
      </w:r>
      <w:r>
        <w:rPr>
          <w:rFonts w:hint="eastAsia"/>
          <w:color w:val="auto"/>
          <w:sz w:val="24"/>
          <w:szCs w:val="24"/>
          <w:highlight w:val="none"/>
          <w:lang w:val="zh-CN"/>
        </w:rPr>
        <w:t>）</w:t>
      </w:r>
      <w:r>
        <w:rPr>
          <w:color w:val="auto"/>
          <w:sz w:val="24"/>
          <w:szCs w:val="24"/>
          <w:highlight w:val="none"/>
          <w:lang w:val="zh-CN"/>
        </w:rPr>
        <w:t>结合当地生态建设规划，加强拟建工程征地范围内的绿化工作</w:t>
      </w:r>
      <w:r>
        <w:rPr>
          <w:rFonts w:hint="eastAsia"/>
          <w:color w:val="auto"/>
          <w:sz w:val="24"/>
          <w:szCs w:val="24"/>
          <w:highlight w:val="none"/>
          <w:lang w:val="zh-CN"/>
        </w:rPr>
        <w:t>。</w:t>
      </w:r>
    </w:p>
    <w:p>
      <w:pPr>
        <w:adjustRightInd w:val="0"/>
        <w:snapToGrid w:val="0"/>
        <w:spacing w:line="360" w:lineRule="auto"/>
        <w:ind w:firstLine="480"/>
        <w:rPr>
          <w:color w:val="auto"/>
          <w:sz w:val="24"/>
          <w:szCs w:val="24"/>
          <w:highlight w:val="none"/>
        </w:rPr>
      </w:pPr>
      <w:r>
        <w:rPr>
          <w:color w:val="auto"/>
          <w:sz w:val="24"/>
          <w:szCs w:val="24"/>
          <w:highlight w:val="none"/>
        </w:rPr>
        <w:t>通过采取上述措施，可使得营运期噪声达标排放，有效减轻营运期噪声对周围环境的影响。同时上述措施环境合理，经济可行，从环保、技术、经济角度是可行的。</w:t>
      </w:r>
    </w:p>
    <w:p>
      <w:pPr>
        <w:keepNext/>
        <w:keepLines/>
        <w:spacing w:line="360" w:lineRule="auto"/>
        <w:outlineLvl w:val="1"/>
        <w:rPr>
          <w:b/>
          <w:bCs/>
          <w:sz w:val="30"/>
          <w:szCs w:val="30"/>
        </w:rPr>
      </w:pPr>
      <w:bookmarkStart w:id="303" w:name="_Toc6354"/>
      <w:bookmarkStart w:id="304" w:name="_Toc16721"/>
      <w:bookmarkStart w:id="305" w:name="_Toc6093"/>
      <w:r>
        <w:rPr>
          <w:rFonts w:hint="eastAsia"/>
          <w:b/>
          <w:bCs/>
          <w:sz w:val="30"/>
          <w:szCs w:val="30"/>
          <w:lang w:val="en-US" w:eastAsia="zh-CN"/>
        </w:rPr>
        <w:t>7</w:t>
      </w:r>
      <w:r>
        <w:rPr>
          <w:rFonts w:hint="eastAsia"/>
          <w:b/>
          <w:bCs/>
          <w:sz w:val="30"/>
          <w:szCs w:val="30"/>
        </w:rPr>
        <w:t>.4声环境影响结论</w:t>
      </w:r>
      <w:bookmarkEnd w:id="303"/>
      <w:bookmarkEnd w:id="304"/>
      <w:bookmarkEnd w:id="305"/>
    </w:p>
    <w:p>
      <w:pPr>
        <w:adjustRightInd w:val="0"/>
        <w:snapToGrid w:val="0"/>
        <w:spacing w:line="360" w:lineRule="auto"/>
        <w:ind w:firstLine="480"/>
        <w:rPr>
          <w:color w:val="000000"/>
          <w:sz w:val="24"/>
          <w:szCs w:val="24"/>
        </w:rPr>
      </w:pPr>
      <w:r>
        <w:rPr>
          <w:color w:val="000000"/>
          <w:sz w:val="24"/>
          <w:szCs w:val="24"/>
        </w:rPr>
        <w:t>本项目在施工、营运过程中会产生噪声</w:t>
      </w:r>
      <w:r>
        <w:rPr>
          <w:rFonts w:hint="eastAsia"/>
          <w:color w:val="000000"/>
          <w:sz w:val="24"/>
          <w:szCs w:val="24"/>
        </w:rPr>
        <w:t>，</w:t>
      </w:r>
      <w:r>
        <w:rPr>
          <w:color w:val="000000"/>
          <w:sz w:val="24"/>
          <w:szCs w:val="24"/>
        </w:rPr>
        <w:t>在采取切实有效的隔声、降噪措施后，可将噪声影响降至可接受程度。且项目的建设，将完善区域道路网。从声环境影响角度分析，本项目建设对周边环境影响不大，在环境可接受的范围内。</w:t>
      </w:r>
    </w:p>
    <w:p>
      <w:pPr>
        <w:rPr>
          <w:rFonts w:hint="eastAsia" w:ascii="Times New Roman" w:hAnsi="Times New Roman"/>
          <w:b/>
          <w:bCs/>
          <w:snapToGrid w:val="0"/>
          <w:color w:val="auto"/>
          <w:lang w:val="en-US" w:eastAsia="zh-CN"/>
        </w:rPr>
      </w:pPr>
      <w:bookmarkStart w:id="306" w:name="_Toc26074"/>
      <w:bookmarkStart w:id="307" w:name="_Toc10964"/>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left"/>
        <w:textAlignment w:val="auto"/>
        <w:outlineLvl w:val="0"/>
        <w:rPr>
          <w:rFonts w:hint="eastAsia" w:ascii="Times New Roman" w:hAnsi="Times New Roman"/>
          <w:b/>
          <w:bCs/>
          <w:snapToGrid w:val="0"/>
          <w:color w:val="auto"/>
          <w:lang w:val="en-US" w:eastAsia="zh-CN"/>
        </w:rPr>
      </w:pPr>
      <w:bookmarkStart w:id="308" w:name="_Toc3489"/>
      <w:bookmarkStart w:id="309" w:name="_Toc5165"/>
      <w:r>
        <w:rPr>
          <w:rFonts w:hint="eastAsia" w:ascii="Times New Roman" w:hAnsi="Times New Roman"/>
          <w:b/>
          <w:bCs/>
          <w:snapToGrid w:val="0"/>
          <w:color w:val="auto"/>
          <w:lang w:val="en-US" w:eastAsia="zh-CN"/>
        </w:rPr>
        <w:t>附表1：声环境影响评价自查表</w:t>
      </w:r>
      <w:bookmarkEnd w:id="306"/>
      <w:bookmarkEnd w:id="307"/>
      <w:bookmarkEnd w:id="308"/>
      <w:bookmarkEnd w:id="309"/>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500"/>
        <w:gridCol w:w="1102"/>
        <w:gridCol w:w="552"/>
        <w:gridCol w:w="550"/>
        <w:gridCol w:w="1102"/>
        <w:gridCol w:w="2"/>
        <w:gridCol w:w="1057"/>
        <w:gridCol w:w="43"/>
        <w:gridCol w:w="554"/>
        <w:gridCol w:w="548"/>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72" w:type="dxa"/>
            <w:gridSpan w:val="2"/>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工作内容</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restart"/>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评价等级与范围</w:t>
            </w: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评价等级</w:t>
            </w:r>
          </w:p>
        </w:tc>
        <w:tc>
          <w:tcPr>
            <w:tcW w:w="1654" w:type="dxa"/>
            <w:gridSpan w:val="2"/>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一级</w:t>
            </w:r>
            <w:r>
              <w:rPr>
                <w:rFonts w:hint="eastAsia" w:ascii="Times New Roman" w:hAnsi="Times New Roman"/>
                <w:b w:val="0"/>
                <w:bCs w:val="0"/>
                <w:snapToGrid w:val="0"/>
                <w:color w:val="auto"/>
                <w:sz w:val="21"/>
                <w:szCs w:val="21"/>
                <w:vertAlign w:val="baseline"/>
                <w:lang w:val="en-US" w:eastAsia="zh-CN"/>
              </w:rPr>
              <w:sym w:font="Wingdings" w:char="00A8"/>
            </w:r>
          </w:p>
        </w:tc>
        <w:tc>
          <w:tcPr>
            <w:tcW w:w="2711" w:type="dxa"/>
            <w:gridSpan w:val="4"/>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二级</w:t>
            </w:r>
            <w:r>
              <w:rPr>
                <w:rFonts w:hint="eastAsia" w:ascii="Times New Roman" w:hAnsi="Times New Roman"/>
                <w:b w:val="0"/>
                <w:bCs w:val="0"/>
                <w:snapToGrid w:val="0"/>
                <w:color w:val="auto"/>
                <w:sz w:val="21"/>
                <w:szCs w:val="21"/>
                <w:vertAlign w:val="baseline"/>
                <w:lang w:val="en-US" w:eastAsia="zh-CN"/>
              </w:rPr>
              <w:sym w:font="Wingdings" w:char="00FE"/>
            </w:r>
          </w:p>
        </w:tc>
        <w:tc>
          <w:tcPr>
            <w:tcW w:w="2251" w:type="dxa"/>
            <w:gridSpan w:val="4"/>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三级</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continue"/>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评价范围</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200m</w:t>
            </w:r>
            <w:r>
              <w:rPr>
                <w:rFonts w:hint="eastAsia" w:ascii="Times New Roman" w:hAnsi="Times New Roman"/>
                <w:b w:val="0"/>
                <w:bCs w:val="0"/>
                <w:snapToGrid w:val="0"/>
                <w:color w:val="auto"/>
                <w:sz w:val="21"/>
                <w:szCs w:val="21"/>
                <w:vertAlign w:val="baseline"/>
                <w:lang w:val="en-US" w:eastAsia="zh-CN"/>
              </w:rPr>
              <w:sym w:font="Wingdings" w:char="00FE"/>
            </w:r>
            <w:r>
              <w:rPr>
                <w:rFonts w:hint="eastAsia" w:ascii="Times New Roman" w:hAnsi="Times New Roman"/>
                <w:b w:val="0"/>
                <w:bCs w:val="0"/>
                <w:snapToGrid w:val="0"/>
                <w:color w:val="auto"/>
                <w:sz w:val="21"/>
                <w:szCs w:val="21"/>
                <w:vertAlign w:val="baseline"/>
                <w:lang w:val="en-US" w:eastAsia="zh-CN"/>
              </w:rPr>
              <w:t xml:space="preserve">        大于200m</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小于200m</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评价因子</w:t>
            </w: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评价因子</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等效连续A声级</w:t>
            </w:r>
            <w:r>
              <w:rPr>
                <w:rFonts w:hint="eastAsia" w:ascii="Times New Roman" w:hAnsi="Times New Roman"/>
                <w:b w:val="0"/>
                <w:bCs w:val="0"/>
                <w:snapToGrid w:val="0"/>
                <w:color w:val="auto"/>
                <w:sz w:val="21"/>
                <w:szCs w:val="21"/>
                <w:vertAlign w:val="baseline"/>
                <w:lang w:val="en-US" w:eastAsia="zh-CN"/>
              </w:rPr>
              <w:sym w:font="Wingdings" w:char="00FE"/>
            </w:r>
            <w:r>
              <w:rPr>
                <w:rFonts w:hint="eastAsia" w:ascii="Times New Roman" w:hAnsi="Times New Roman"/>
                <w:b w:val="0"/>
                <w:bCs w:val="0"/>
                <w:snapToGrid w:val="0"/>
                <w:color w:val="auto"/>
                <w:sz w:val="21"/>
                <w:szCs w:val="21"/>
                <w:vertAlign w:val="baseline"/>
                <w:lang w:val="en-US" w:eastAsia="zh-CN"/>
              </w:rPr>
              <w:t xml:space="preserve">   最大A声级</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计权等效连续连续感觉噪声级</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评价标准</w:t>
            </w: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评价标准</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国家标准</w:t>
            </w:r>
            <w:r>
              <w:rPr>
                <w:rFonts w:hint="eastAsia" w:ascii="Times New Roman" w:hAnsi="Times New Roman"/>
                <w:b w:val="0"/>
                <w:bCs w:val="0"/>
                <w:snapToGrid w:val="0"/>
                <w:color w:val="auto"/>
                <w:sz w:val="21"/>
                <w:szCs w:val="21"/>
                <w:vertAlign w:val="baseline"/>
                <w:lang w:val="en-US" w:eastAsia="zh-CN"/>
              </w:rPr>
              <w:sym w:font="Wingdings" w:char="00FE"/>
            </w:r>
            <w:r>
              <w:rPr>
                <w:rFonts w:hint="eastAsia" w:ascii="Times New Roman" w:hAnsi="Times New Roman"/>
                <w:b w:val="0"/>
                <w:bCs w:val="0"/>
                <w:snapToGrid w:val="0"/>
                <w:color w:val="auto"/>
                <w:sz w:val="21"/>
                <w:szCs w:val="21"/>
                <w:vertAlign w:val="baseline"/>
                <w:lang w:val="en-US" w:eastAsia="zh-CN"/>
              </w:rPr>
              <w:t xml:space="preserve">         地方标准</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国外标准</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restart"/>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现状评价</w:t>
            </w: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环境功能区</w:t>
            </w:r>
          </w:p>
        </w:tc>
        <w:tc>
          <w:tcPr>
            <w:tcW w:w="1102"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0类区</w:t>
            </w:r>
            <w:r>
              <w:rPr>
                <w:rFonts w:hint="eastAsia" w:ascii="Times New Roman" w:hAnsi="Times New Roman"/>
                <w:b w:val="0"/>
                <w:bCs w:val="0"/>
                <w:snapToGrid w:val="0"/>
                <w:color w:val="auto"/>
                <w:sz w:val="21"/>
                <w:szCs w:val="21"/>
                <w:vertAlign w:val="baseline"/>
                <w:lang w:val="en-US" w:eastAsia="zh-CN"/>
              </w:rPr>
              <w:sym w:font="Wingdings" w:char="00A8"/>
            </w:r>
          </w:p>
        </w:tc>
        <w:tc>
          <w:tcPr>
            <w:tcW w:w="1102" w:type="dxa"/>
            <w:gridSpan w:val="2"/>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1类区</w:t>
            </w:r>
            <w:r>
              <w:rPr>
                <w:rFonts w:hint="eastAsia" w:ascii="Times New Roman" w:hAnsi="Times New Roman"/>
                <w:b w:val="0"/>
                <w:bCs w:val="0"/>
                <w:snapToGrid w:val="0"/>
                <w:color w:val="auto"/>
                <w:sz w:val="21"/>
                <w:szCs w:val="21"/>
                <w:vertAlign w:val="baseline"/>
                <w:lang w:val="en-US" w:eastAsia="zh-CN"/>
              </w:rPr>
              <w:sym w:font="Wingdings" w:char="00A8"/>
            </w:r>
          </w:p>
        </w:tc>
        <w:tc>
          <w:tcPr>
            <w:tcW w:w="1102"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2类区</w:t>
            </w:r>
            <w:r>
              <w:rPr>
                <w:rFonts w:hint="eastAsia" w:ascii="Times New Roman" w:hAnsi="Times New Roman"/>
                <w:b w:val="0"/>
                <w:bCs w:val="0"/>
                <w:snapToGrid w:val="0"/>
                <w:color w:val="auto"/>
                <w:sz w:val="21"/>
                <w:szCs w:val="21"/>
                <w:vertAlign w:val="baseline"/>
                <w:lang w:val="en-US" w:eastAsia="zh-CN"/>
              </w:rPr>
              <w:sym w:font="Wingdings" w:char="00FE"/>
            </w:r>
          </w:p>
        </w:tc>
        <w:tc>
          <w:tcPr>
            <w:tcW w:w="1102" w:type="dxa"/>
            <w:gridSpan w:val="3"/>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3类区</w:t>
            </w:r>
            <w:r>
              <w:rPr>
                <w:rFonts w:hint="eastAsia" w:ascii="Times New Roman" w:hAnsi="Times New Roman"/>
                <w:b w:val="0"/>
                <w:bCs w:val="0"/>
                <w:snapToGrid w:val="0"/>
                <w:color w:val="auto"/>
                <w:sz w:val="21"/>
                <w:szCs w:val="21"/>
                <w:vertAlign w:val="baseline"/>
                <w:lang w:val="en-US" w:eastAsia="zh-CN"/>
              </w:rPr>
              <w:sym w:font="Wingdings" w:char="00A8"/>
            </w:r>
          </w:p>
        </w:tc>
        <w:tc>
          <w:tcPr>
            <w:tcW w:w="1102" w:type="dxa"/>
            <w:gridSpan w:val="2"/>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4a类区</w:t>
            </w:r>
            <w:r>
              <w:rPr>
                <w:rFonts w:hint="eastAsia" w:ascii="Times New Roman" w:hAnsi="Times New Roman"/>
                <w:b w:val="0"/>
                <w:bCs w:val="0"/>
                <w:snapToGrid w:val="0"/>
                <w:color w:val="auto"/>
                <w:sz w:val="21"/>
                <w:szCs w:val="21"/>
                <w:vertAlign w:val="baseline"/>
                <w:lang w:val="en-US" w:eastAsia="zh-CN"/>
              </w:rPr>
              <w:sym w:font="Wingdings" w:char="00FE"/>
            </w:r>
          </w:p>
        </w:tc>
        <w:tc>
          <w:tcPr>
            <w:tcW w:w="1106"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4b类区</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continue"/>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评价年度</w:t>
            </w:r>
          </w:p>
        </w:tc>
        <w:tc>
          <w:tcPr>
            <w:tcW w:w="1654" w:type="dxa"/>
            <w:gridSpan w:val="2"/>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初期</w:t>
            </w:r>
            <w:r>
              <w:rPr>
                <w:rFonts w:hint="eastAsia" w:ascii="Times New Roman" w:hAnsi="Times New Roman"/>
                <w:b w:val="0"/>
                <w:bCs w:val="0"/>
                <w:snapToGrid w:val="0"/>
                <w:color w:val="auto"/>
                <w:sz w:val="21"/>
                <w:szCs w:val="21"/>
                <w:vertAlign w:val="baseline"/>
                <w:lang w:val="en-US" w:eastAsia="zh-CN"/>
              </w:rPr>
              <w:sym w:font="Wingdings" w:char="00A8"/>
            </w:r>
          </w:p>
        </w:tc>
        <w:tc>
          <w:tcPr>
            <w:tcW w:w="1654" w:type="dxa"/>
            <w:gridSpan w:val="3"/>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近期</w:t>
            </w:r>
            <w:r>
              <w:rPr>
                <w:rFonts w:hint="eastAsia" w:ascii="Times New Roman" w:hAnsi="Times New Roman"/>
                <w:b w:val="0"/>
                <w:bCs w:val="0"/>
                <w:snapToGrid w:val="0"/>
                <w:color w:val="auto"/>
                <w:sz w:val="21"/>
                <w:szCs w:val="21"/>
                <w:vertAlign w:val="baseline"/>
                <w:lang w:val="en-US" w:eastAsia="zh-CN"/>
              </w:rPr>
              <w:sym w:font="Wingdings" w:char="00FE"/>
            </w:r>
          </w:p>
        </w:tc>
        <w:tc>
          <w:tcPr>
            <w:tcW w:w="1654" w:type="dxa"/>
            <w:gridSpan w:val="3"/>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中期</w:t>
            </w:r>
            <w:r>
              <w:rPr>
                <w:rFonts w:hint="eastAsia" w:ascii="Times New Roman" w:hAnsi="Times New Roman"/>
                <w:b w:val="0"/>
                <w:bCs w:val="0"/>
                <w:snapToGrid w:val="0"/>
                <w:color w:val="auto"/>
                <w:sz w:val="21"/>
                <w:szCs w:val="21"/>
                <w:vertAlign w:val="baseline"/>
                <w:lang w:val="en-US" w:eastAsia="zh-CN"/>
              </w:rPr>
              <w:sym w:font="Wingdings" w:char="00FE"/>
            </w:r>
          </w:p>
        </w:tc>
        <w:tc>
          <w:tcPr>
            <w:tcW w:w="1654" w:type="dxa"/>
            <w:gridSpan w:val="2"/>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远期</w:t>
            </w:r>
            <w:r>
              <w:rPr>
                <w:rFonts w:hint="eastAsia" w:ascii="Times New Roman" w:hAnsi="Times New Roman"/>
                <w:b w:val="0"/>
                <w:bCs w:val="0"/>
                <w:snapToGrid w:val="0"/>
                <w:color w:val="auto"/>
                <w:sz w:val="21"/>
                <w:szCs w:val="21"/>
                <w:vertAlign w:val="baseline"/>
                <w:lang w:val="en-US" w:eastAsia="zh-CN"/>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continue"/>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现状调查方法</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现场实测法</w:t>
            </w:r>
            <w:r>
              <w:rPr>
                <w:rFonts w:hint="eastAsia" w:ascii="Times New Roman" w:hAnsi="Times New Roman"/>
                <w:b w:val="0"/>
                <w:bCs w:val="0"/>
                <w:snapToGrid w:val="0"/>
                <w:color w:val="auto"/>
                <w:sz w:val="21"/>
                <w:szCs w:val="21"/>
                <w:vertAlign w:val="baseline"/>
                <w:lang w:val="en-US" w:eastAsia="zh-CN"/>
              </w:rPr>
              <w:sym w:font="Wingdings" w:char="00FE"/>
            </w:r>
            <w:r>
              <w:rPr>
                <w:rFonts w:hint="eastAsia" w:ascii="Times New Roman" w:hAnsi="Times New Roman"/>
                <w:b w:val="0"/>
                <w:bCs w:val="0"/>
                <w:snapToGrid w:val="0"/>
                <w:color w:val="auto"/>
                <w:sz w:val="21"/>
                <w:szCs w:val="21"/>
                <w:vertAlign w:val="baseline"/>
                <w:lang w:val="en-US" w:eastAsia="zh-CN"/>
              </w:rPr>
              <w:t xml:space="preserve">    已有资料</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研究成果</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continue"/>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现状评价</w:t>
            </w:r>
          </w:p>
        </w:tc>
        <w:tc>
          <w:tcPr>
            <w:tcW w:w="1654" w:type="dxa"/>
            <w:gridSpan w:val="2"/>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达标百分比</w:t>
            </w:r>
          </w:p>
        </w:tc>
        <w:tc>
          <w:tcPr>
            <w:tcW w:w="4962" w:type="dxa"/>
            <w:gridSpan w:val="8"/>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噪声源调查</w:t>
            </w: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噪声源调查方法</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现场实测法</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已有资料</w:t>
            </w:r>
            <w:r>
              <w:rPr>
                <w:rFonts w:hint="eastAsia" w:ascii="Times New Roman" w:hAnsi="Times New Roman"/>
                <w:b w:val="0"/>
                <w:bCs w:val="0"/>
                <w:snapToGrid w:val="0"/>
                <w:color w:val="auto"/>
                <w:sz w:val="21"/>
                <w:szCs w:val="21"/>
                <w:vertAlign w:val="baseline"/>
                <w:lang w:val="en-US" w:eastAsia="zh-CN"/>
              </w:rPr>
              <w:sym w:font="Wingdings" w:char="00FE"/>
            </w:r>
            <w:r>
              <w:rPr>
                <w:rFonts w:hint="eastAsia" w:ascii="Times New Roman" w:hAnsi="Times New Roman"/>
                <w:b w:val="0"/>
                <w:bCs w:val="0"/>
                <w:snapToGrid w:val="0"/>
                <w:color w:val="auto"/>
                <w:sz w:val="21"/>
                <w:szCs w:val="21"/>
                <w:vertAlign w:val="baseline"/>
                <w:lang w:val="en-US" w:eastAsia="zh-CN"/>
              </w:rPr>
              <w:t xml:space="preserve">    研究成果</w:t>
            </w:r>
            <w:r>
              <w:rPr>
                <w:rFonts w:hint="eastAsia" w:ascii="Times New Roman" w:hAnsi="Times New Roman"/>
                <w:b w:val="0"/>
                <w:bCs w:val="0"/>
                <w:snapToGrid w:val="0"/>
                <w:color w:val="auto"/>
                <w:sz w:val="21"/>
                <w:szCs w:val="21"/>
                <w:vertAlign w:val="baseline"/>
                <w:lang w:val="en-US" w:eastAsia="zh-CN"/>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restart"/>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声环境影响预测与评价</w:t>
            </w: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预测模型</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导则推荐模型</w:t>
            </w:r>
            <w:r>
              <w:rPr>
                <w:rFonts w:hint="eastAsia" w:ascii="Times New Roman" w:hAnsi="Times New Roman"/>
                <w:b w:val="0"/>
                <w:bCs w:val="0"/>
                <w:snapToGrid w:val="0"/>
                <w:color w:val="auto"/>
                <w:sz w:val="21"/>
                <w:szCs w:val="21"/>
                <w:vertAlign w:val="baseline"/>
                <w:lang w:val="en-US" w:eastAsia="zh-CN"/>
              </w:rPr>
              <w:sym w:font="Wingdings" w:char="00FE"/>
            </w:r>
            <w:r>
              <w:rPr>
                <w:rFonts w:hint="eastAsia" w:ascii="Times New Roman" w:hAnsi="Times New Roman"/>
                <w:b w:val="0"/>
                <w:bCs w:val="0"/>
                <w:snapToGrid w:val="0"/>
                <w:color w:val="auto"/>
                <w:sz w:val="21"/>
                <w:szCs w:val="21"/>
                <w:vertAlign w:val="baseline"/>
                <w:lang w:val="en-US" w:eastAsia="zh-CN"/>
              </w:rPr>
              <w:t xml:space="preserve">          其他</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continue"/>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预测范围</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kern w:val="0"/>
                <w:sz w:val="21"/>
                <w:szCs w:val="21"/>
                <w:vertAlign w:val="baseline"/>
                <w:lang w:val="en-US" w:eastAsia="zh-CN" w:bidi="ar-SA"/>
              </w:rPr>
            </w:pPr>
            <w:r>
              <w:rPr>
                <w:rFonts w:hint="eastAsia" w:ascii="Times New Roman" w:hAnsi="Times New Roman"/>
                <w:b w:val="0"/>
                <w:bCs w:val="0"/>
                <w:snapToGrid w:val="0"/>
                <w:color w:val="auto"/>
                <w:sz w:val="21"/>
                <w:szCs w:val="21"/>
                <w:vertAlign w:val="baseline"/>
                <w:lang w:val="en-US" w:eastAsia="zh-CN"/>
              </w:rPr>
              <w:t>200m</w:t>
            </w:r>
            <w:r>
              <w:rPr>
                <w:rFonts w:hint="eastAsia" w:ascii="Times New Roman" w:hAnsi="Times New Roman"/>
                <w:b w:val="0"/>
                <w:bCs w:val="0"/>
                <w:snapToGrid w:val="0"/>
                <w:color w:val="auto"/>
                <w:sz w:val="21"/>
                <w:szCs w:val="21"/>
                <w:vertAlign w:val="baseline"/>
                <w:lang w:val="en-US" w:eastAsia="zh-CN"/>
              </w:rPr>
              <w:sym w:font="Wingdings" w:char="00FE"/>
            </w:r>
            <w:r>
              <w:rPr>
                <w:rFonts w:hint="eastAsia" w:ascii="Times New Roman" w:hAnsi="Times New Roman"/>
                <w:b w:val="0"/>
                <w:bCs w:val="0"/>
                <w:snapToGrid w:val="0"/>
                <w:color w:val="auto"/>
                <w:sz w:val="21"/>
                <w:szCs w:val="21"/>
                <w:vertAlign w:val="baseline"/>
                <w:lang w:val="en-US" w:eastAsia="zh-CN"/>
              </w:rPr>
              <w:t xml:space="preserve">        大于200m</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小于200m</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continue"/>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预测因子</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outlineLvl w:val="9"/>
              <w:rPr>
                <w:rFonts w:hint="eastAsia" w:ascii="Times New Roman" w:hAnsi="Times New Roman"/>
                <w:b w:val="0"/>
                <w:bCs w:val="0"/>
                <w:snapToGrid w:val="0"/>
                <w:color w:val="auto"/>
                <w:kern w:val="0"/>
                <w:sz w:val="21"/>
                <w:szCs w:val="21"/>
                <w:vertAlign w:val="baseline"/>
                <w:lang w:val="en-US" w:eastAsia="zh-CN" w:bidi="ar-SA"/>
              </w:rPr>
            </w:pPr>
            <w:r>
              <w:rPr>
                <w:rFonts w:hint="eastAsia" w:ascii="Times New Roman" w:hAnsi="Times New Roman"/>
                <w:b w:val="0"/>
                <w:bCs w:val="0"/>
                <w:snapToGrid w:val="0"/>
                <w:color w:val="auto"/>
                <w:sz w:val="21"/>
                <w:szCs w:val="21"/>
                <w:vertAlign w:val="baseline"/>
                <w:lang w:val="en-US" w:eastAsia="zh-CN"/>
              </w:rPr>
              <w:t>等效连续A声级</w:t>
            </w:r>
            <w:r>
              <w:rPr>
                <w:rFonts w:hint="eastAsia" w:ascii="Times New Roman" w:hAnsi="Times New Roman"/>
                <w:b w:val="0"/>
                <w:bCs w:val="0"/>
                <w:snapToGrid w:val="0"/>
                <w:color w:val="auto"/>
                <w:sz w:val="21"/>
                <w:szCs w:val="21"/>
                <w:vertAlign w:val="baseline"/>
                <w:lang w:val="en-US" w:eastAsia="zh-CN"/>
              </w:rPr>
              <w:sym w:font="Wingdings" w:char="00FE"/>
            </w:r>
            <w:r>
              <w:rPr>
                <w:rFonts w:hint="eastAsia" w:ascii="Times New Roman" w:hAnsi="Times New Roman"/>
                <w:b w:val="0"/>
                <w:bCs w:val="0"/>
                <w:snapToGrid w:val="0"/>
                <w:color w:val="auto"/>
                <w:sz w:val="21"/>
                <w:szCs w:val="21"/>
                <w:vertAlign w:val="baseline"/>
                <w:lang w:val="en-US" w:eastAsia="zh-CN"/>
              </w:rPr>
              <w:t xml:space="preserve">   最大A声级</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计权等效连续连续感觉噪声级</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continue"/>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厂界噪声贡献值</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达标</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不达标</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continue"/>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声环境保护目标处噪声值</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达标</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不达标</w:t>
            </w:r>
            <w:r>
              <w:rPr>
                <w:rFonts w:hint="eastAsia" w:ascii="Times New Roman" w:hAnsi="Times New Roman"/>
                <w:b w:val="0"/>
                <w:bCs w:val="0"/>
                <w:snapToGrid w:val="0"/>
                <w:color w:val="auto"/>
                <w:sz w:val="21"/>
                <w:szCs w:val="21"/>
                <w:vertAlign w:val="baselin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restart"/>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环境监测计划</w:t>
            </w: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排放监测</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厂界监测</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固定位置监测</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自动监测</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手动监测</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无监测</w:t>
            </w:r>
            <w:r>
              <w:rPr>
                <w:rFonts w:hint="eastAsia" w:ascii="Times New Roman" w:hAnsi="Times New Roman"/>
                <w:b w:val="0"/>
                <w:bCs w:val="0"/>
                <w:snapToGrid w:val="0"/>
                <w:color w:val="auto"/>
                <w:sz w:val="21"/>
                <w:szCs w:val="21"/>
                <w:vertAlign w:val="baseline"/>
                <w:lang w:val="en-US" w:eastAsia="zh-CN"/>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vMerge w:val="continue"/>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eastAsia" w:ascii="Times New Roman" w:hAnsi="Times New Roman"/>
                <w:b w:val="0"/>
                <w:bCs w:val="0"/>
                <w:snapToGrid w:val="0"/>
                <w:color w:val="auto"/>
                <w:sz w:val="21"/>
                <w:szCs w:val="21"/>
                <w:vertAlign w:val="baseline"/>
                <w:lang w:val="en-US" w:eastAsia="zh-CN"/>
              </w:rPr>
            </w:pP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highlight w:val="none"/>
                <w:vertAlign w:val="baseline"/>
                <w:lang w:val="en-US" w:eastAsia="zh-CN"/>
              </w:rPr>
            </w:pPr>
            <w:r>
              <w:rPr>
                <w:rFonts w:hint="eastAsia" w:ascii="Times New Roman" w:hAnsi="Times New Roman"/>
                <w:b w:val="0"/>
                <w:bCs w:val="0"/>
                <w:snapToGrid w:val="0"/>
                <w:color w:val="auto"/>
                <w:sz w:val="21"/>
                <w:szCs w:val="21"/>
                <w:highlight w:val="none"/>
                <w:vertAlign w:val="baseline"/>
                <w:lang w:val="en-US" w:eastAsia="zh-CN"/>
              </w:rPr>
              <w:t>声环境保护目标处噪声监测</w:t>
            </w:r>
          </w:p>
        </w:tc>
        <w:tc>
          <w:tcPr>
            <w:tcW w:w="1654" w:type="dxa"/>
            <w:gridSpan w:val="2"/>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highlight w:val="none"/>
                <w:vertAlign w:val="baseline"/>
                <w:lang w:val="en-US" w:eastAsia="zh-CN"/>
              </w:rPr>
            </w:pPr>
            <w:r>
              <w:rPr>
                <w:rFonts w:hint="eastAsia" w:ascii="Times New Roman" w:hAnsi="Times New Roman"/>
                <w:b w:val="0"/>
                <w:bCs w:val="0"/>
                <w:snapToGrid w:val="0"/>
                <w:color w:val="auto"/>
                <w:sz w:val="21"/>
                <w:szCs w:val="21"/>
                <w:highlight w:val="none"/>
                <w:vertAlign w:val="baseline"/>
                <w:lang w:val="en-US" w:eastAsia="zh-CN"/>
              </w:rPr>
              <w:t>监测因子：（）</w:t>
            </w:r>
          </w:p>
        </w:tc>
        <w:tc>
          <w:tcPr>
            <w:tcW w:w="2711" w:type="dxa"/>
            <w:gridSpan w:val="4"/>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highlight w:val="none"/>
                <w:vertAlign w:val="baseline"/>
                <w:lang w:val="en-US" w:eastAsia="zh-CN"/>
              </w:rPr>
            </w:pPr>
            <w:r>
              <w:rPr>
                <w:rFonts w:hint="eastAsia" w:ascii="Times New Roman" w:hAnsi="Times New Roman"/>
                <w:b w:val="0"/>
                <w:bCs w:val="0"/>
                <w:snapToGrid w:val="0"/>
                <w:color w:val="auto"/>
                <w:sz w:val="21"/>
                <w:szCs w:val="21"/>
                <w:highlight w:val="none"/>
                <w:vertAlign w:val="baseline"/>
                <w:lang w:val="en-US" w:eastAsia="zh-CN"/>
              </w:rPr>
              <w:t>监测点位数：（）</w:t>
            </w:r>
          </w:p>
        </w:tc>
        <w:tc>
          <w:tcPr>
            <w:tcW w:w="2251" w:type="dxa"/>
            <w:gridSpan w:val="4"/>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highlight w:val="none"/>
                <w:vertAlign w:val="baseline"/>
                <w:lang w:val="en-US" w:eastAsia="zh-CN"/>
              </w:rPr>
            </w:pPr>
            <w:r>
              <w:rPr>
                <w:rFonts w:hint="eastAsia" w:ascii="Times New Roman" w:hAnsi="Times New Roman"/>
                <w:b w:val="0"/>
                <w:bCs w:val="0"/>
                <w:snapToGrid w:val="0"/>
                <w:color w:val="auto"/>
                <w:sz w:val="21"/>
                <w:szCs w:val="21"/>
                <w:highlight w:val="none"/>
                <w:vertAlign w:val="baseline"/>
                <w:lang w:val="en-US" w:eastAsia="zh-CN"/>
              </w:rPr>
              <w:t>无监测</w:t>
            </w:r>
            <w:r>
              <w:rPr>
                <w:rFonts w:hint="eastAsia" w:ascii="Times New Roman" w:hAnsi="Times New Roman"/>
                <w:b w:val="0"/>
                <w:bCs w:val="0"/>
                <w:snapToGrid w:val="0"/>
                <w:color w:val="auto"/>
                <w:sz w:val="21"/>
                <w:szCs w:val="21"/>
                <w:highlight w:val="none"/>
                <w:vertAlign w:val="baseline"/>
                <w:lang w:val="en-US" w:eastAsia="zh-CN"/>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2"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评价结论</w:t>
            </w:r>
          </w:p>
        </w:tc>
        <w:tc>
          <w:tcPr>
            <w:tcW w:w="1500" w:type="dxa"/>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环境影响</w:t>
            </w:r>
          </w:p>
        </w:tc>
        <w:tc>
          <w:tcPr>
            <w:tcW w:w="6616" w:type="dxa"/>
            <w:gridSpan w:val="10"/>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可行</w:t>
            </w:r>
            <w:r>
              <w:rPr>
                <w:rFonts w:hint="eastAsia" w:ascii="Times New Roman" w:hAnsi="Times New Roman"/>
                <w:b w:val="0"/>
                <w:bCs w:val="0"/>
                <w:snapToGrid w:val="0"/>
                <w:color w:val="auto"/>
                <w:sz w:val="21"/>
                <w:szCs w:val="21"/>
                <w:vertAlign w:val="baseline"/>
                <w:lang w:val="en-US" w:eastAsia="zh-CN"/>
              </w:rPr>
              <w:sym w:font="Wingdings" w:char="00FE"/>
            </w:r>
            <w:r>
              <w:rPr>
                <w:rFonts w:hint="eastAsia" w:ascii="Times New Roman" w:hAnsi="Times New Roman"/>
                <w:b w:val="0"/>
                <w:bCs w:val="0"/>
                <w:snapToGrid w:val="0"/>
                <w:color w:val="auto"/>
                <w:sz w:val="21"/>
                <w:szCs w:val="21"/>
                <w:vertAlign w:val="baseline"/>
                <w:lang w:val="en-US" w:eastAsia="zh-CN"/>
              </w:rPr>
              <w:t xml:space="preserve">          不可行</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8" w:type="dxa"/>
            <w:gridSpan w:val="12"/>
            <w:noWrap w:val="0"/>
            <w:vAlign w:val="center"/>
          </w:tcPr>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default" w:ascii="Times New Roman" w:hAnsi="Times New Roman"/>
                <w:b w:val="0"/>
                <w:bCs w:val="0"/>
                <w:snapToGrid w:val="0"/>
                <w:color w:val="auto"/>
                <w:sz w:val="21"/>
                <w:szCs w:val="21"/>
                <w:vertAlign w:val="baseline"/>
                <w:lang w:val="en-US" w:eastAsia="zh-CN"/>
              </w:rPr>
            </w:pPr>
            <w:r>
              <w:rPr>
                <w:rFonts w:hint="eastAsia" w:ascii="Times New Roman" w:hAnsi="Times New Roman"/>
                <w:b w:val="0"/>
                <w:bCs w:val="0"/>
                <w:snapToGrid w:val="0"/>
                <w:color w:val="auto"/>
                <w:sz w:val="21"/>
                <w:szCs w:val="21"/>
                <w:vertAlign w:val="baseline"/>
                <w:lang w:val="en-US" w:eastAsia="zh-CN"/>
              </w:rPr>
              <w:t>注：“</w:t>
            </w:r>
            <w:r>
              <w:rPr>
                <w:rFonts w:hint="eastAsia" w:ascii="Times New Roman" w:hAnsi="Times New Roman"/>
                <w:b w:val="0"/>
                <w:bCs w:val="0"/>
                <w:snapToGrid w:val="0"/>
                <w:color w:val="auto"/>
                <w:sz w:val="21"/>
                <w:szCs w:val="21"/>
                <w:vertAlign w:val="baseline"/>
                <w:lang w:val="en-US" w:eastAsia="zh-CN"/>
              </w:rPr>
              <w:sym w:font="Wingdings" w:char="00A8"/>
            </w:r>
            <w:r>
              <w:rPr>
                <w:rFonts w:hint="eastAsia" w:ascii="Times New Roman" w:hAnsi="Times New Roman"/>
                <w:b w:val="0"/>
                <w:bCs w:val="0"/>
                <w:snapToGrid w:val="0"/>
                <w:color w:val="auto"/>
                <w:sz w:val="21"/>
                <w:szCs w:val="21"/>
                <w:vertAlign w:val="baseline"/>
                <w:lang w:val="en-US" w:eastAsia="zh-CN"/>
              </w:rPr>
              <w:t>”为勾选项，可√；“（   ）”为内容填写项。</w:t>
            </w:r>
          </w:p>
        </w:tc>
      </w:tr>
    </w:tbl>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left"/>
        <w:textAlignment w:val="auto"/>
        <w:outlineLvl w:val="9"/>
        <w:rPr>
          <w:rFonts w:hint="eastAsia" w:ascii="Times New Roman" w:hAnsi="Times New Roman"/>
          <w:b/>
          <w:bCs/>
          <w:snapToGrid w:val="0"/>
          <w:color w:val="auto"/>
          <w:lang w:val="en-US" w:eastAsia="zh-CN"/>
        </w:rPr>
      </w:pPr>
    </w:p>
    <w:p>
      <w:pPr>
        <w:adjustRightInd w:val="0"/>
        <w:snapToGrid w:val="0"/>
        <w:spacing w:line="360" w:lineRule="auto"/>
        <w:ind w:firstLine="480"/>
        <w:rPr>
          <w:rFonts w:hint="default" w:ascii="Times New Roman" w:hAnsi="Times New Roman" w:eastAsia="宋体" w:cs="Times New Roman"/>
          <w:kern w:val="0"/>
          <w:sz w:val="24"/>
          <w:lang w:val="zh-CN"/>
        </w:rPr>
      </w:pPr>
    </w:p>
    <w:p>
      <w:pPr>
        <w:pStyle w:val="54"/>
        <w:ind w:left="0" w:leftChars="0" w:firstLine="0" w:firstLineChars="0"/>
        <w:rPr>
          <w:rFonts w:hint="eastAsia" w:ascii="宋体" w:hAnsi="宋体" w:cs="宋体"/>
          <w:b/>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54"/>
        <w:ind w:left="0" w:leftChars="0" w:firstLine="0" w:firstLineChars="0"/>
        <w:outlineLvl w:val="0"/>
        <w:rPr>
          <w:rFonts w:hint="default" w:ascii="Times New Roman" w:hAnsi="Times New Roman" w:cs="Times New Roman"/>
          <w:b/>
        </w:rPr>
      </w:pPr>
      <w:bookmarkStart w:id="310" w:name="_Toc17890"/>
      <w:r>
        <w:rPr>
          <w:rFonts w:hint="default" w:ascii="Times New Roman" w:hAnsi="Times New Roman" w:cs="Times New Roman"/>
          <w:b/>
        </w:rPr>
        <w:t>附件</w:t>
      </w:r>
      <w:r>
        <w:rPr>
          <w:rFonts w:hint="eastAsia" w:cs="Times New Roman"/>
          <w:b/>
          <w:lang w:val="en-US" w:eastAsia="zh-CN"/>
        </w:rPr>
        <w:t>11</w:t>
      </w:r>
      <w:r>
        <w:rPr>
          <w:rFonts w:hint="default" w:ascii="Times New Roman" w:hAnsi="Times New Roman" w:cs="Times New Roman"/>
          <w:b/>
        </w:rPr>
        <w:t>关于公开建设项目环评文件等信息情况的说明</w:t>
      </w:r>
      <w:bookmarkEnd w:id="310"/>
    </w:p>
    <w:p>
      <w:pPr>
        <w:pStyle w:val="54"/>
        <w:spacing w:after="0" w:line="240" w:lineRule="auto"/>
        <w:ind w:left="0" w:leftChars="0" w:firstLine="0" w:firstLineChars="0"/>
        <w:jc w:val="center"/>
      </w:pPr>
      <w:r>
        <w:drawing>
          <wp:inline distT="0" distB="0" distL="114300" distR="114300">
            <wp:extent cx="5525770" cy="7813675"/>
            <wp:effectExtent l="0" t="0" r="11430" b="9525"/>
            <wp:docPr id="15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
                    <pic:cNvPicPr>
                      <a:picLocks noChangeAspect="1"/>
                    </pic:cNvPicPr>
                  </pic:nvPicPr>
                  <pic:blipFill>
                    <a:blip r:embed="rId106"/>
                    <a:stretch>
                      <a:fillRect/>
                    </a:stretch>
                  </pic:blipFill>
                  <pic:spPr>
                    <a:xfrm>
                      <a:off x="0" y="0"/>
                      <a:ext cx="5525770" cy="7813675"/>
                    </a:xfrm>
                    <a:prstGeom prst="rect">
                      <a:avLst/>
                    </a:prstGeom>
                    <a:noFill/>
                    <a:ln>
                      <a:noFill/>
                    </a:ln>
                  </pic:spPr>
                </pic:pic>
              </a:graphicData>
            </a:graphic>
          </wp:inline>
        </w:drawing>
      </w:r>
    </w:p>
    <w:p>
      <w:pPr>
        <w:pStyle w:val="54"/>
        <w:spacing w:after="0" w:line="240" w:lineRule="auto"/>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760085" cy="8145780"/>
            <wp:effectExtent l="0" t="0" r="5715" b="7620"/>
            <wp:docPr id="185" name="图片 185" descr="SKM_C368241217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SKM_C36824121710460"/>
                    <pic:cNvPicPr>
                      <a:picLocks noChangeAspect="1"/>
                    </pic:cNvPicPr>
                  </pic:nvPicPr>
                  <pic:blipFill>
                    <a:blip r:embed="rId107"/>
                    <a:stretch>
                      <a:fillRect/>
                    </a:stretch>
                  </pic:blipFill>
                  <pic:spPr>
                    <a:xfrm>
                      <a:off x="0" y="0"/>
                      <a:ext cx="5760085" cy="8145780"/>
                    </a:xfrm>
                    <a:prstGeom prst="rect">
                      <a:avLst/>
                    </a:prstGeom>
                  </pic:spPr>
                </pic:pic>
              </a:graphicData>
            </a:graphic>
          </wp:inline>
        </w:drawing>
      </w:r>
    </w:p>
    <w:p>
      <w:pPr>
        <w:pStyle w:val="54"/>
        <w:spacing w:after="0" w:line="240" w:lineRule="auto"/>
        <w:ind w:left="0" w:leftChars="0" w:firstLine="0" w:firstLineChars="0"/>
        <w:jc w:val="center"/>
        <w:rPr>
          <w:rFonts w:hint="default"/>
        </w:rPr>
      </w:pPr>
    </w:p>
    <w:p>
      <w:pPr>
        <w:pStyle w:val="54"/>
        <w:spacing w:after="0" w:line="240" w:lineRule="auto"/>
        <w:ind w:left="0" w:leftChars="0" w:firstLine="0" w:firstLineChars="0"/>
        <w:jc w:val="center"/>
        <w:rPr>
          <w:rFonts w:hint="default" w:ascii="Times New Roman" w:hAnsi="Times New Roman" w:eastAsia="黑体" w:cs="Times New Roman"/>
          <w:b/>
        </w:rPr>
      </w:pPr>
    </w:p>
    <w:p>
      <w:pPr>
        <w:pStyle w:val="54"/>
        <w:ind w:left="0" w:leftChars="0" w:firstLine="0" w:firstLineChars="0"/>
        <w:outlineLvl w:val="0"/>
        <w:rPr>
          <w:rFonts w:hint="default" w:ascii="Times New Roman" w:hAnsi="Times New Roman" w:cs="Times New Roman"/>
          <w:b/>
        </w:rPr>
      </w:pPr>
      <w:bookmarkStart w:id="311" w:name="_Toc13634"/>
      <w:r>
        <w:rPr>
          <w:rFonts w:hint="default" w:ascii="Times New Roman" w:hAnsi="Times New Roman" w:cs="Times New Roman"/>
          <w:b/>
        </w:rPr>
        <w:t>附件</w:t>
      </w:r>
      <w:r>
        <w:rPr>
          <w:rFonts w:hint="eastAsia" w:cs="Times New Roman"/>
          <w:b/>
          <w:lang w:val="en-US" w:eastAsia="zh-CN"/>
        </w:rPr>
        <w:t>12</w:t>
      </w:r>
      <w:r>
        <w:rPr>
          <w:rFonts w:hint="default" w:ascii="Times New Roman" w:hAnsi="Times New Roman" w:cs="Times New Roman"/>
          <w:b/>
        </w:rPr>
        <w:t>申请环评批复的函</w:t>
      </w:r>
      <w:bookmarkEnd w:id="311"/>
    </w:p>
    <w:p>
      <w:pPr>
        <w:pStyle w:val="54"/>
        <w:spacing w:after="0" w:line="240" w:lineRule="auto"/>
        <w:ind w:left="0" w:leftChars="0" w:firstLine="0" w:firstLineChars="0"/>
        <w:jc w:val="left"/>
        <w:rPr>
          <w:rFonts w:hint="default" w:ascii="Times New Roman" w:hAnsi="Times New Roman" w:eastAsia="黑体" w:cs="Times New Roman"/>
          <w:b/>
        </w:rPr>
      </w:pPr>
      <w:r>
        <w:drawing>
          <wp:inline distT="0" distB="0" distL="114300" distR="114300">
            <wp:extent cx="5532755" cy="7824470"/>
            <wp:effectExtent l="0" t="0" r="4445" b="11430"/>
            <wp:docPr id="1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0"/>
                    <pic:cNvPicPr>
                      <a:picLocks noChangeAspect="1"/>
                    </pic:cNvPicPr>
                  </pic:nvPicPr>
                  <pic:blipFill>
                    <a:blip r:embed="rId108"/>
                    <a:stretch>
                      <a:fillRect/>
                    </a:stretch>
                  </pic:blipFill>
                  <pic:spPr>
                    <a:xfrm>
                      <a:off x="0" y="0"/>
                      <a:ext cx="5532755" cy="7824470"/>
                    </a:xfrm>
                    <a:prstGeom prst="rect">
                      <a:avLst/>
                    </a:prstGeom>
                    <a:noFill/>
                    <a:ln>
                      <a:noFill/>
                    </a:ln>
                  </pic:spPr>
                </pic:pic>
              </a:graphicData>
            </a:graphic>
          </wp:inline>
        </w:drawing>
      </w:r>
    </w:p>
    <w:p>
      <w:pPr>
        <w:pStyle w:val="54"/>
        <w:spacing w:after="0" w:line="240" w:lineRule="auto"/>
        <w:ind w:left="0" w:leftChars="0" w:firstLine="0" w:firstLineChars="0"/>
        <w:jc w:val="left"/>
        <w:rPr>
          <w:rFonts w:hint="default" w:ascii="Times New Roman" w:hAnsi="Times New Roman" w:eastAsia="黑体" w:cs="Times New Roman"/>
          <w:b/>
        </w:rPr>
      </w:pPr>
    </w:p>
    <w:p>
      <w:pPr>
        <w:pStyle w:val="54"/>
        <w:spacing w:after="0" w:line="240" w:lineRule="auto"/>
        <w:ind w:left="0" w:leftChars="0" w:firstLine="0" w:firstLineChars="0"/>
        <w:jc w:val="left"/>
        <w:rPr>
          <w:rFonts w:hint="default" w:ascii="Times New Roman" w:hAnsi="Times New Roman" w:eastAsia="黑体" w:cs="Times New Roman"/>
          <w:b/>
        </w:rPr>
      </w:pPr>
    </w:p>
    <w:p>
      <w:pPr>
        <w:pStyle w:val="54"/>
        <w:ind w:left="0" w:leftChars="0" w:firstLine="0" w:firstLineChars="0"/>
        <w:outlineLvl w:val="0"/>
        <w:rPr>
          <w:rFonts w:hint="default" w:ascii="Times New Roman" w:hAnsi="Times New Roman" w:cs="Times New Roman"/>
          <w:b/>
        </w:rPr>
      </w:pPr>
      <w:bookmarkStart w:id="312" w:name="_Toc16649"/>
      <w:r>
        <w:rPr>
          <w:rFonts w:hint="default" w:ascii="Times New Roman" w:hAnsi="Times New Roman" w:cs="Times New Roman"/>
          <w:b/>
        </w:rPr>
        <w:t>附件</w:t>
      </w:r>
      <w:r>
        <w:rPr>
          <w:rFonts w:hint="eastAsia" w:cs="Times New Roman"/>
          <w:b/>
          <w:lang w:val="en-US" w:eastAsia="zh-CN"/>
        </w:rPr>
        <w:t>13</w:t>
      </w:r>
      <w:r>
        <w:rPr>
          <w:rFonts w:hint="default" w:ascii="Times New Roman" w:hAnsi="Times New Roman" w:cs="Times New Roman"/>
          <w:b/>
        </w:rPr>
        <w:t>关于《福泽大道北延伸段项目环境影响报告表》公开文本删除内容、删除依据的说明</w:t>
      </w:r>
      <w:bookmarkEnd w:id="312"/>
    </w:p>
    <w:p>
      <w:pPr>
        <w:pStyle w:val="54"/>
        <w:spacing w:after="0" w:line="240" w:lineRule="auto"/>
        <w:ind w:left="0" w:leftChars="0" w:firstLine="0" w:firstLineChars="0"/>
        <w:jc w:val="left"/>
        <w:rPr>
          <w:rFonts w:hint="default" w:ascii="Times New Roman" w:hAnsi="Times New Roman" w:eastAsia="黑体" w:cs="Times New Roman"/>
          <w:b/>
        </w:rPr>
      </w:pPr>
      <w:r>
        <w:drawing>
          <wp:inline distT="0" distB="0" distL="114300" distR="114300">
            <wp:extent cx="5432425" cy="7682230"/>
            <wp:effectExtent l="0" t="0" r="3175" b="1270"/>
            <wp:docPr id="161" name="图片 161" descr="doc11944420241213175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doc11944420241213175432-2"/>
                    <pic:cNvPicPr>
                      <a:picLocks noChangeAspect="1"/>
                    </pic:cNvPicPr>
                  </pic:nvPicPr>
                  <pic:blipFill>
                    <a:blip r:embed="rId109"/>
                    <a:stretch>
                      <a:fillRect/>
                    </a:stretch>
                  </pic:blipFill>
                  <pic:spPr>
                    <a:xfrm>
                      <a:off x="0" y="0"/>
                      <a:ext cx="5432425" cy="7682230"/>
                    </a:xfrm>
                    <a:prstGeom prst="rect">
                      <a:avLst/>
                    </a:prstGeom>
                  </pic:spPr>
                </pic:pic>
              </a:graphicData>
            </a:graphic>
          </wp:inline>
        </w:drawing>
      </w:r>
      <w:r>
        <w:drawing>
          <wp:inline distT="0" distB="0" distL="114300" distR="114300">
            <wp:extent cx="5720080" cy="8087995"/>
            <wp:effectExtent l="0" t="0" r="7620" b="1905"/>
            <wp:docPr id="1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
                    <pic:cNvPicPr>
                      <a:picLocks noChangeAspect="1"/>
                    </pic:cNvPicPr>
                  </pic:nvPicPr>
                  <pic:blipFill>
                    <a:blip r:embed="rId110"/>
                    <a:stretch>
                      <a:fillRect/>
                    </a:stretch>
                  </pic:blipFill>
                  <pic:spPr>
                    <a:xfrm>
                      <a:off x="0" y="0"/>
                      <a:ext cx="5720080" cy="8087995"/>
                    </a:xfrm>
                    <a:prstGeom prst="rect">
                      <a:avLst/>
                    </a:prstGeom>
                    <a:noFill/>
                    <a:ln>
                      <a:noFill/>
                    </a:ln>
                  </pic:spPr>
                </pic:pic>
              </a:graphicData>
            </a:graphic>
          </wp:inline>
        </w:drawing>
      </w:r>
    </w:p>
    <w:p>
      <w:pPr>
        <w:pStyle w:val="54"/>
        <w:spacing w:after="0" w:line="240" w:lineRule="auto"/>
        <w:ind w:left="0" w:leftChars="0" w:firstLine="0" w:firstLineChars="0"/>
        <w:jc w:val="left"/>
        <w:rPr>
          <w:rFonts w:hint="default" w:ascii="Times New Roman" w:hAnsi="Times New Roman" w:eastAsia="黑体" w:cs="Times New Roman"/>
          <w:b/>
        </w:rPr>
      </w:pPr>
    </w:p>
    <w:p>
      <w:pPr>
        <w:pStyle w:val="54"/>
        <w:spacing w:after="0" w:line="240" w:lineRule="auto"/>
        <w:ind w:left="0" w:leftChars="0" w:firstLine="0" w:firstLineChars="0"/>
        <w:jc w:val="left"/>
        <w:rPr>
          <w:rFonts w:hint="default" w:ascii="Times New Roman" w:hAnsi="Times New Roman" w:eastAsia="黑体" w:cs="Times New Roman"/>
          <w:b/>
        </w:rPr>
      </w:pPr>
    </w:p>
    <w:p>
      <w:pPr>
        <w:pStyle w:val="54"/>
        <w:spacing w:after="0" w:line="240" w:lineRule="auto"/>
        <w:ind w:left="0" w:leftChars="0" w:firstLine="0" w:firstLineChars="0"/>
        <w:jc w:val="left"/>
        <w:rPr>
          <w:rFonts w:hint="eastAsia" w:ascii="Times New Roman" w:hAnsi="Times New Roman" w:eastAsia="黑体" w:cs="Times New Roman"/>
          <w:b/>
        </w:rPr>
      </w:pPr>
    </w:p>
    <w:sectPr>
      <w:footerReference r:id="rId12"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TimesNewRomanPS-BoldMT">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TimesNewRomanPS-ItalicMT">
    <w:altName w:val="微软雅黑"/>
    <w:panose1 w:val="00000000000000000000"/>
    <w:charset w:val="00"/>
    <w:family w:val="auto"/>
    <w:pitch w:val="default"/>
    <w:sig w:usb0="00000000" w:usb1="00000000" w:usb2="00000000" w:usb3="00000000" w:csb0="00040001" w:csb1="00000000"/>
  </w:font>
  <w:font w:name="SymbolMT">
    <w:altName w:val="Angsana New"/>
    <w:panose1 w:val="00000000000000000000"/>
    <w:charset w:val="00"/>
    <w:family w:val="auto"/>
    <w:pitch w:val="default"/>
    <w:sig w:usb0="00000000" w:usb1="00000000" w:usb2="00000000" w:usb3="00000000" w:csb0="00040001" w:csb1="00000000"/>
  </w:font>
  <w:font w:name="Angsana New">
    <w:panose1 w:val="02020603050405020304"/>
    <w:charset w:val="00"/>
    <w:family w:val="auto"/>
    <w:pitch w:val="default"/>
    <w:sig w:usb0="81000003" w:usb1="00000000" w:usb2="00000000" w:usb3="00000000" w:csb0="0001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30"/>
        <w:sz w:val="26"/>
        <w:szCs w:val="26"/>
      </w:rPr>
    </w:pPr>
    <w:r>
      <w:rPr>
        <w:rStyle w:val="30"/>
        <w:sz w:val="26"/>
        <w:szCs w:val="26"/>
      </w:rPr>
      <w:fldChar w:fldCharType="begin"/>
    </w:r>
    <w:r>
      <w:rPr>
        <w:rStyle w:val="30"/>
        <w:sz w:val="26"/>
        <w:szCs w:val="26"/>
      </w:rPr>
      <w:instrText xml:space="preserve">PAGE  </w:instrText>
    </w:r>
    <w:r>
      <w:rPr>
        <w:rStyle w:val="30"/>
        <w:sz w:val="26"/>
        <w:szCs w:val="26"/>
      </w:rPr>
      <w:fldChar w:fldCharType="separate"/>
    </w:r>
    <w:r>
      <w:rPr>
        <w:rStyle w:val="30"/>
        <w:sz w:val="26"/>
        <w:szCs w:val="26"/>
      </w:rPr>
      <w:t>2</w:t>
    </w:r>
    <w:r>
      <w:rPr>
        <w:rStyle w:val="30"/>
        <w:sz w:val="26"/>
        <w:szCs w:val="26"/>
      </w:rPr>
      <w:fldChar w:fldCharType="end"/>
    </w:r>
  </w:p>
  <w:p>
    <w:pPr>
      <w:pStyle w:val="18"/>
      <w:ind w:right="360" w:firstLine="360"/>
      <w:rPr>
        <w:sz w:val="26"/>
        <w:szCs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30"/>
      </w:rPr>
    </w:pPr>
    <w:r>
      <w:rPr>
        <w:rStyle w:val="30"/>
      </w:rPr>
      <w:fldChar w:fldCharType="begin"/>
    </w:r>
    <w:r>
      <w:rPr>
        <w:rStyle w:val="30"/>
      </w:rPr>
      <w:instrText xml:space="preserve">PAGE  </w:instrText>
    </w:r>
    <w:r>
      <w:rPr>
        <w:rStyle w:val="30"/>
      </w:rPr>
      <w:fldChar w:fldCharType="end"/>
    </w:r>
  </w:p>
  <w:p>
    <w:pPr>
      <w:pStyle w:val="18"/>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outside" w:y="1"/>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szCs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w:t>
    </w:r>
    <w:r>
      <w:rPr>
        <w:rStyle w:val="30"/>
        <w:rFonts w:ascii="宋体" w:hAnsi="宋体"/>
        <w:sz w:val="26"/>
        <w:szCs w:val="26"/>
      </w:rPr>
      <w:fldChar w:fldCharType="end"/>
    </w:r>
    <w:r>
      <w:rPr>
        <w:rStyle w:val="30"/>
        <w:rFonts w:hint="eastAsia" w:ascii="宋体" w:hAnsi="宋体"/>
        <w:sz w:val="20"/>
        <w:szCs w:val="20"/>
      </w:rPr>
      <w:t xml:space="preserve">  </w:t>
    </w:r>
    <w:r>
      <w:rPr>
        <w:rStyle w:val="30"/>
        <w:rFonts w:hint="eastAsia" w:ascii="宋体" w:hAnsi="宋体"/>
        <w:sz w:val="28"/>
        <w:szCs w:val="28"/>
      </w:rPr>
      <w:t>—</w:t>
    </w:r>
  </w:p>
  <w:p>
    <w:pPr>
      <w:pStyle w:val="18"/>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6"/>
        <w:szCs w:val="26"/>
      </w:rPr>
      <w:id w:val="147479036"/>
      <w:docPartObj>
        <w:docPartGallery w:val="autotext"/>
      </w:docPartObj>
    </w:sdtPr>
    <w:sdtEndPr>
      <w:rPr>
        <w:sz w:val="26"/>
        <w:szCs w:val="26"/>
      </w:rPr>
    </w:sdtEndPr>
    <w:sdtContent>
      <w:p>
        <w:pPr>
          <w:pStyle w:val="18"/>
          <w:jc w:val="right"/>
          <w:rPr>
            <w:sz w:val="26"/>
            <w:szCs w:val="26"/>
          </w:rPr>
        </w:pPr>
      </w:p>
    </w:sdtContent>
  </w:sdt>
  <w:p>
    <w:pPr>
      <w:pStyle w:val="18"/>
      <w:ind w:right="360" w:firstLine="360"/>
      <w:rPr>
        <w:sz w:val="26"/>
        <w:szCs w:val="2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7782"/>
        <w:tab w:val="clear" w:pos="4153"/>
        <w:tab w:val="clear" w:pos="8306"/>
      </w:tabs>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1vSAyOgIAAHIEAAAOAAAAAAAAAAEAIAAAAB8BAABkcnMvZTJvRG9j&#10;LnhtbFBLBQYAAAAABgAGAFkBAADL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26</w:t>
                    </w:r>
                    <w:r>
                      <w:fldChar w:fldCharType="end"/>
                    </w:r>
                  </w:p>
                </w:txbxContent>
              </v:textbox>
            </v:shape>
          </w:pict>
        </mc:Fallback>
      </mc:AlternateContent>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BBC5EC"/>
    <w:multiLevelType w:val="singleLevel"/>
    <w:tmpl w:val="D2BBC5EC"/>
    <w:lvl w:ilvl="0" w:tentative="0">
      <w:start w:val="1"/>
      <w:numFmt w:val="decimal"/>
      <w:suff w:val="nothing"/>
      <w:lvlText w:val="（%1）"/>
      <w:lvlJc w:val="left"/>
    </w:lvl>
  </w:abstractNum>
  <w:abstractNum w:abstractNumId="1">
    <w:nsid w:val="17E813D4"/>
    <w:multiLevelType w:val="singleLevel"/>
    <w:tmpl w:val="17E813D4"/>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hOGM4ZWE5YTNjZDU3ZDlmZjkxZmRhYTUxZTJiMjcifQ=="/>
  </w:docVars>
  <w:rsids>
    <w:rsidRoot w:val="00A14947"/>
    <w:rsid w:val="00001CED"/>
    <w:rsid w:val="00001E67"/>
    <w:rsid w:val="00002F88"/>
    <w:rsid w:val="00003CD8"/>
    <w:rsid w:val="00014965"/>
    <w:rsid w:val="0001523A"/>
    <w:rsid w:val="00016ECB"/>
    <w:rsid w:val="000269F6"/>
    <w:rsid w:val="0003183A"/>
    <w:rsid w:val="00031939"/>
    <w:rsid w:val="00032D25"/>
    <w:rsid w:val="00050972"/>
    <w:rsid w:val="0005219D"/>
    <w:rsid w:val="00053F76"/>
    <w:rsid w:val="0005568F"/>
    <w:rsid w:val="0006052A"/>
    <w:rsid w:val="0006153D"/>
    <w:rsid w:val="00061B1F"/>
    <w:rsid w:val="000664DB"/>
    <w:rsid w:val="0007127D"/>
    <w:rsid w:val="00071AE5"/>
    <w:rsid w:val="0007279F"/>
    <w:rsid w:val="00074783"/>
    <w:rsid w:val="000801E0"/>
    <w:rsid w:val="00082A29"/>
    <w:rsid w:val="0008331D"/>
    <w:rsid w:val="00083C18"/>
    <w:rsid w:val="00085D15"/>
    <w:rsid w:val="00092899"/>
    <w:rsid w:val="00097C98"/>
    <w:rsid w:val="000A178E"/>
    <w:rsid w:val="000A557E"/>
    <w:rsid w:val="000B058F"/>
    <w:rsid w:val="000B3C6B"/>
    <w:rsid w:val="000B693F"/>
    <w:rsid w:val="000C09AC"/>
    <w:rsid w:val="000C0A63"/>
    <w:rsid w:val="000C252C"/>
    <w:rsid w:val="000C35B0"/>
    <w:rsid w:val="000C437E"/>
    <w:rsid w:val="000C7E6D"/>
    <w:rsid w:val="000D0EAC"/>
    <w:rsid w:val="000D3416"/>
    <w:rsid w:val="000D6064"/>
    <w:rsid w:val="000E0E0D"/>
    <w:rsid w:val="000E0E63"/>
    <w:rsid w:val="000E2451"/>
    <w:rsid w:val="000E2ABF"/>
    <w:rsid w:val="000E5709"/>
    <w:rsid w:val="000E5F16"/>
    <w:rsid w:val="000E7E4E"/>
    <w:rsid w:val="000F4452"/>
    <w:rsid w:val="000F6DA1"/>
    <w:rsid w:val="000F701B"/>
    <w:rsid w:val="00101FA6"/>
    <w:rsid w:val="001056A0"/>
    <w:rsid w:val="00115279"/>
    <w:rsid w:val="00117459"/>
    <w:rsid w:val="0011749A"/>
    <w:rsid w:val="00121477"/>
    <w:rsid w:val="00127A68"/>
    <w:rsid w:val="00132DE3"/>
    <w:rsid w:val="001341D1"/>
    <w:rsid w:val="00140B13"/>
    <w:rsid w:val="00141B68"/>
    <w:rsid w:val="00144AE2"/>
    <w:rsid w:val="001466DA"/>
    <w:rsid w:val="0014743D"/>
    <w:rsid w:val="00154DE1"/>
    <w:rsid w:val="00155B40"/>
    <w:rsid w:val="00156653"/>
    <w:rsid w:val="00157435"/>
    <w:rsid w:val="00163EEA"/>
    <w:rsid w:val="00164937"/>
    <w:rsid w:val="00166F86"/>
    <w:rsid w:val="00167A07"/>
    <w:rsid w:val="0017046A"/>
    <w:rsid w:val="001704A3"/>
    <w:rsid w:val="00173871"/>
    <w:rsid w:val="0017504D"/>
    <w:rsid w:val="00177422"/>
    <w:rsid w:val="00184F10"/>
    <w:rsid w:val="0018517E"/>
    <w:rsid w:val="00185546"/>
    <w:rsid w:val="001911A8"/>
    <w:rsid w:val="0019146B"/>
    <w:rsid w:val="00194398"/>
    <w:rsid w:val="00195E48"/>
    <w:rsid w:val="001A7D2A"/>
    <w:rsid w:val="001B49FB"/>
    <w:rsid w:val="001B574C"/>
    <w:rsid w:val="001C0AF9"/>
    <w:rsid w:val="001C155A"/>
    <w:rsid w:val="001C48C0"/>
    <w:rsid w:val="001D23BB"/>
    <w:rsid w:val="001D6726"/>
    <w:rsid w:val="001E1895"/>
    <w:rsid w:val="001E2348"/>
    <w:rsid w:val="001E2FA6"/>
    <w:rsid w:val="001E3DF6"/>
    <w:rsid w:val="001F1B69"/>
    <w:rsid w:val="001F3347"/>
    <w:rsid w:val="001F4440"/>
    <w:rsid w:val="001F555C"/>
    <w:rsid w:val="001F6811"/>
    <w:rsid w:val="001F69E4"/>
    <w:rsid w:val="00205BC8"/>
    <w:rsid w:val="00206A65"/>
    <w:rsid w:val="0021217E"/>
    <w:rsid w:val="002129C7"/>
    <w:rsid w:val="00212D31"/>
    <w:rsid w:val="002130C7"/>
    <w:rsid w:val="002154AB"/>
    <w:rsid w:val="0021581B"/>
    <w:rsid w:val="00216227"/>
    <w:rsid w:val="00220848"/>
    <w:rsid w:val="002218A8"/>
    <w:rsid w:val="0022306D"/>
    <w:rsid w:val="00224C6F"/>
    <w:rsid w:val="00226574"/>
    <w:rsid w:val="00226EA4"/>
    <w:rsid w:val="002278EC"/>
    <w:rsid w:val="002357C7"/>
    <w:rsid w:val="002367C4"/>
    <w:rsid w:val="00243390"/>
    <w:rsid w:val="00245FE8"/>
    <w:rsid w:val="00251CB1"/>
    <w:rsid w:val="0025349A"/>
    <w:rsid w:val="0025679E"/>
    <w:rsid w:val="00260C68"/>
    <w:rsid w:val="00260D65"/>
    <w:rsid w:val="00261D90"/>
    <w:rsid w:val="00262C56"/>
    <w:rsid w:val="00264668"/>
    <w:rsid w:val="002648B0"/>
    <w:rsid w:val="0027296B"/>
    <w:rsid w:val="00275271"/>
    <w:rsid w:val="0027535E"/>
    <w:rsid w:val="00275AA6"/>
    <w:rsid w:val="002807D5"/>
    <w:rsid w:val="00282CCD"/>
    <w:rsid w:val="00282CE5"/>
    <w:rsid w:val="00284FA4"/>
    <w:rsid w:val="00285509"/>
    <w:rsid w:val="0028564A"/>
    <w:rsid w:val="00285741"/>
    <w:rsid w:val="002A0F19"/>
    <w:rsid w:val="002A168C"/>
    <w:rsid w:val="002A2C48"/>
    <w:rsid w:val="002A3EED"/>
    <w:rsid w:val="002A4A39"/>
    <w:rsid w:val="002A5A17"/>
    <w:rsid w:val="002A6425"/>
    <w:rsid w:val="002B49E2"/>
    <w:rsid w:val="002B7B00"/>
    <w:rsid w:val="002B7C44"/>
    <w:rsid w:val="002C1388"/>
    <w:rsid w:val="002C3C6A"/>
    <w:rsid w:val="002D1D5B"/>
    <w:rsid w:val="002D42DB"/>
    <w:rsid w:val="002E1F3A"/>
    <w:rsid w:val="002E298A"/>
    <w:rsid w:val="002E60CC"/>
    <w:rsid w:val="002E7A4E"/>
    <w:rsid w:val="002F02A4"/>
    <w:rsid w:val="002F15F4"/>
    <w:rsid w:val="002F272B"/>
    <w:rsid w:val="002F4229"/>
    <w:rsid w:val="002F523B"/>
    <w:rsid w:val="002F7C6D"/>
    <w:rsid w:val="00301AB5"/>
    <w:rsid w:val="003027E4"/>
    <w:rsid w:val="0030332C"/>
    <w:rsid w:val="00312177"/>
    <w:rsid w:val="00312296"/>
    <w:rsid w:val="0031340E"/>
    <w:rsid w:val="00316464"/>
    <w:rsid w:val="0032073A"/>
    <w:rsid w:val="00321D8E"/>
    <w:rsid w:val="00322CDB"/>
    <w:rsid w:val="003339CA"/>
    <w:rsid w:val="003348E0"/>
    <w:rsid w:val="00334996"/>
    <w:rsid w:val="00334D7C"/>
    <w:rsid w:val="00335EEF"/>
    <w:rsid w:val="00336969"/>
    <w:rsid w:val="00336C52"/>
    <w:rsid w:val="00337AF7"/>
    <w:rsid w:val="00341B3E"/>
    <w:rsid w:val="00341B42"/>
    <w:rsid w:val="00341FE2"/>
    <w:rsid w:val="00343152"/>
    <w:rsid w:val="00345154"/>
    <w:rsid w:val="0034560E"/>
    <w:rsid w:val="00345DF5"/>
    <w:rsid w:val="00350523"/>
    <w:rsid w:val="003510A4"/>
    <w:rsid w:val="00352975"/>
    <w:rsid w:val="00354AD0"/>
    <w:rsid w:val="0035520F"/>
    <w:rsid w:val="0035614B"/>
    <w:rsid w:val="00356868"/>
    <w:rsid w:val="003636BB"/>
    <w:rsid w:val="0036485B"/>
    <w:rsid w:val="0036606A"/>
    <w:rsid w:val="00373B0D"/>
    <w:rsid w:val="00376308"/>
    <w:rsid w:val="00376988"/>
    <w:rsid w:val="00381A72"/>
    <w:rsid w:val="0038439B"/>
    <w:rsid w:val="00386095"/>
    <w:rsid w:val="00390B1A"/>
    <w:rsid w:val="003A1948"/>
    <w:rsid w:val="003B152A"/>
    <w:rsid w:val="003B5266"/>
    <w:rsid w:val="003B545B"/>
    <w:rsid w:val="003B7AC5"/>
    <w:rsid w:val="003C5966"/>
    <w:rsid w:val="003C7A4C"/>
    <w:rsid w:val="003D328C"/>
    <w:rsid w:val="003D3EE9"/>
    <w:rsid w:val="003D6368"/>
    <w:rsid w:val="003E15F3"/>
    <w:rsid w:val="003E425A"/>
    <w:rsid w:val="003E5295"/>
    <w:rsid w:val="003E7681"/>
    <w:rsid w:val="003F0809"/>
    <w:rsid w:val="003F611C"/>
    <w:rsid w:val="003F755C"/>
    <w:rsid w:val="00401A0A"/>
    <w:rsid w:val="00402522"/>
    <w:rsid w:val="00404A43"/>
    <w:rsid w:val="00406B5F"/>
    <w:rsid w:val="00406F01"/>
    <w:rsid w:val="00407C6F"/>
    <w:rsid w:val="00411B36"/>
    <w:rsid w:val="00411FD7"/>
    <w:rsid w:val="004121D7"/>
    <w:rsid w:val="0041430B"/>
    <w:rsid w:val="004146DB"/>
    <w:rsid w:val="00416D50"/>
    <w:rsid w:val="00417772"/>
    <w:rsid w:val="00420E6A"/>
    <w:rsid w:val="00421E0E"/>
    <w:rsid w:val="0042383E"/>
    <w:rsid w:val="00433CA9"/>
    <w:rsid w:val="00433D01"/>
    <w:rsid w:val="0043521D"/>
    <w:rsid w:val="00441E58"/>
    <w:rsid w:val="00442024"/>
    <w:rsid w:val="0044254C"/>
    <w:rsid w:val="00443F6A"/>
    <w:rsid w:val="00444434"/>
    <w:rsid w:val="00444774"/>
    <w:rsid w:val="00447591"/>
    <w:rsid w:val="00450A17"/>
    <w:rsid w:val="00451494"/>
    <w:rsid w:val="00454B96"/>
    <w:rsid w:val="00460AF5"/>
    <w:rsid w:val="00462BF0"/>
    <w:rsid w:val="0046531A"/>
    <w:rsid w:val="00466321"/>
    <w:rsid w:val="004672AF"/>
    <w:rsid w:val="004716F0"/>
    <w:rsid w:val="004727B0"/>
    <w:rsid w:val="00480247"/>
    <w:rsid w:val="0048081D"/>
    <w:rsid w:val="0048117E"/>
    <w:rsid w:val="004855F6"/>
    <w:rsid w:val="00486F0C"/>
    <w:rsid w:val="00487CE9"/>
    <w:rsid w:val="00490769"/>
    <w:rsid w:val="0049111D"/>
    <w:rsid w:val="0049374F"/>
    <w:rsid w:val="004943BC"/>
    <w:rsid w:val="00494670"/>
    <w:rsid w:val="00497C66"/>
    <w:rsid w:val="004A0EB4"/>
    <w:rsid w:val="004A3823"/>
    <w:rsid w:val="004A59BB"/>
    <w:rsid w:val="004A79E7"/>
    <w:rsid w:val="004B05D1"/>
    <w:rsid w:val="004B43A3"/>
    <w:rsid w:val="004B4C49"/>
    <w:rsid w:val="004B58A5"/>
    <w:rsid w:val="004B63D9"/>
    <w:rsid w:val="004C0882"/>
    <w:rsid w:val="004C15D5"/>
    <w:rsid w:val="004C2706"/>
    <w:rsid w:val="004C3E92"/>
    <w:rsid w:val="004C55BE"/>
    <w:rsid w:val="004C5F40"/>
    <w:rsid w:val="004D6B24"/>
    <w:rsid w:val="004E323E"/>
    <w:rsid w:val="004E5B30"/>
    <w:rsid w:val="004E6193"/>
    <w:rsid w:val="004F0779"/>
    <w:rsid w:val="004F1230"/>
    <w:rsid w:val="004F1410"/>
    <w:rsid w:val="004F173F"/>
    <w:rsid w:val="004F177C"/>
    <w:rsid w:val="004F1C31"/>
    <w:rsid w:val="004F2AEB"/>
    <w:rsid w:val="004F2DCE"/>
    <w:rsid w:val="004F5B48"/>
    <w:rsid w:val="005039CB"/>
    <w:rsid w:val="0050558F"/>
    <w:rsid w:val="005057E0"/>
    <w:rsid w:val="00506286"/>
    <w:rsid w:val="00510813"/>
    <w:rsid w:val="00511DE0"/>
    <w:rsid w:val="00513EFD"/>
    <w:rsid w:val="005175B8"/>
    <w:rsid w:val="00517F02"/>
    <w:rsid w:val="00520678"/>
    <w:rsid w:val="00522BC5"/>
    <w:rsid w:val="00524547"/>
    <w:rsid w:val="005258A2"/>
    <w:rsid w:val="00530F7C"/>
    <w:rsid w:val="00531782"/>
    <w:rsid w:val="00534567"/>
    <w:rsid w:val="00534F43"/>
    <w:rsid w:val="00535A84"/>
    <w:rsid w:val="005363C6"/>
    <w:rsid w:val="005365A1"/>
    <w:rsid w:val="00536889"/>
    <w:rsid w:val="00542E07"/>
    <w:rsid w:val="00554A7B"/>
    <w:rsid w:val="0055572C"/>
    <w:rsid w:val="0056064F"/>
    <w:rsid w:val="00561B84"/>
    <w:rsid w:val="00571D98"/>
    <w:rsid w:val="00571FBE"/>
    <w:rsid w:val="005720AE"/>
    <w:rsid w:val="00572BC8"/>
    <w:rsid w:val="00574FDD"/>
    <w:rsid w:val="00576A49"/>
    <w:rsid w:val="0058030D"/>
    <w:rsid w:val="00582045"/>
    <w:rsid w:val="00585E14"/>
    <w:rsid w:val="005875CC"/>
    <w:rsid w:val="00590AE3"/>
    <w:rsid w:val="00591890"/>
    <w:rsid w:val="005918F1"/>
    <w:rsid w:val="005974F6"/>
    <w:rsid w:val="005A06B7"/>
    <w:rsid w:val="005A1759"/>
    <w:rsid w:val="005A4CE9"/>
    <w:rsid w:val="005A72C9"/>
    <w:rsid w:val="005B0167"/>
    <w:rsid w:val="005B3E04"/>
    <w:rsid w:val="005B5D14"/>
    <w:rsid w:val="005C0C4D"/>
    <w:rsid w:val="005D0369"/>
    <w:rsid w:val="005D1085"/>
    <w:rsid w:val="005D53FE"/>
    <w:rsid w:val="005D6900"/>
    <w:rsid w:val="005D7A0F"/>
    <w:rsid w:val="005E0438"/>
    <w:rsid w:val="005E1791"/>
    <w:rsid w:val="005E1B66"/>
    <w:rsid w:val="005E2CE6"/>
    <w:rsid w:val="005E560E"/>
    <w:rsid w:val="005E6324"/>
    <w:rsid w:val="005F228B"/>
    <w:rsid w:val="005F29CD"/>
    <w:rsid w:val="005F4DFB"/>
    <w:rsid w:val="005F5033"/>
    <w:rsid w:val="005F64B1"/>
    <w:rsid w:val="005F6CC0"/>
    <w:rsid w:val="0060220F"/>
    <w:rsid w:val="0060231C"/>
    <w:rsid w:val="0060323B"/>
    <w:rsid w:val="006034F6"/>
    <w:rsid w:val="00603E5B"/>
    <w:rsid w:val="00604020"/>
    <w:rsid w:val="00604BC8"/>
    <w:rsid w:val="00615B4C"/>
    <w:rsid w:val="00615B5D"/>
    <w:rsid w:val="0062146F"/>
    <w:rsid w:val="0062267D"/>
    <w:rsid w:val="00624B9B"/>
    <w:rsid w:val="00633A16"/>
    <w:rsid w:val="00633B45"/>
    <w:rsid w:val="006343AF"/>
    <w:rsid w:val="00635393"/>
    <w:rsid w:val="00635CC5"/>
    <w:rsid w:val="0063634A"/>
    <w:rsid w:val="0064250D"/>
    <w:rsid w:val="006478E3"/>
    <w:rsid w:val="00650237"/>
    <w:rsid w:val="00650431"/>
    <w:rsid w:val="00652545"/>
    <w:rsid w:val="006535EB"/>
    <w:rsid w:val="00656269"/>
    <w:rsid w:val="00657076"/>
    <w:rsid w:val="006607AC"/>
    <w:rsid w:val="00663016"/>
    <w:rsid w:val="00667C40"/>
    <w:rsid w:val="00674605"/>
    <w:rsid w:val="006748B8"/>
    <w:rsid w:val="0068535B"/>
    <w:rsid w:val="0068736E"/>
    <w:rsid w:val="006912A5"/>
    <w:rsid w:val="0069290A"/>
    <w:rsid w:val="00693484"/>
    <w:rsid w:val="00696A30"/>
    <w:rsid w:val="00697032"/>
    <w:rsid w:val="006975AC"/>
    <w:rsid w:val="006A15FB"/>
    <w:rsid w:val="006A5C01"/>
    <w:rsid w:val="006A72BF"/>
    <w:rsid w:val="006B12F9"/>
    <w:rsid w:val="006B332A"/>
    <w:rsid w:val="006B33BD"/>
    <w:rsid w:val="006C3F75"/>
    <w:rsid w:val="006C50A2"/>
    <w:rsid w:val="006C6B42"/>
    <w:rsid w:val="006D0743"/>
    <w:rsid w:val="006D170E"/>
    <w:rsid w:val="006D59C1"/>
    <w:rsid w:val="006E06AF"/>
    <w:rsid w:val="006E1620"/>
    <w:rsid w:val="006F1789"/>
    <w:rsid w:val="006F6E28"/>
    <w:rsid w:val="00703FA2"/>
    <w:rsid w:val="00706C5D"/>
    <w:rsid w:val="00707BA4"/>
    <w:rsid w:val="007118E6"/>
    <w:rsid w:val="00722404"/>
    <w:rsid w:val="007225C9"/>
    <w:rsid w:val="00732779"/>
    <w:rsid w:val="00733B40"/>
    <w:rsid w:val="00735CD7"/>
    <w:rsid w:val="007413F8"/>
    <w:rsid w:val="007471F6"/>
    <w:rsid w:val="0074766B"/>
    <w:rsid w:val="00751B81"/>
    <w:rsid w:val="007520BD"/>
    <w:rsid w:val="00753262"/>
    <w:rsid w:val="00754034"/>
    <w:rsid w:val="00754288"/>
    <w:rsid w:val="00754495"/>
    <w:rsid w:val="00754BF1"/>
    <w:rsid w:val="00755A30"/>
    <w:rsid w:val="00755E1C"/>
    <w:rsid w:val="00756556"/>
    <w:rsid w:val="0076132B"/>
    <w:rsid w:val="007623AE"/>
    <w:rsid w:val="00764584"/>
    <w:rsid w:val="00770B19"/>
    <w:rsid w:val="00773407"/>
    <w:rsid w:val="00774FA0"/>
    <w:rsid w:val="00775CCC"/>
    <w:rsid w:val="00776620"/>
    <w:rsid w:val="00777B6D"/>
    <w:rsid w:val="00784855"/>
    <w:rsid w:val="00784F39"/>
    <w:rsid w:val="0078545C"/>
    <w:rsid w:val="007906C4"/>
    <w:rsid w:val="007940EA"/>
    <w:rsid w:val="007967E8"/>
    <w:rsid w:val="007973C9"/>
    <w:rsid w:val="007A4CB0"/>
    <w:rsid w:val="007A4F52"/>
    <w:rsid w:val="007A63F2"/>
    <w:rsid w:val="007A6543"/>
    <w:rsid w:val="007A6B00"/>
    <w:rsid w:val="007B68DE"/>
    <w:rsid w:val="007C122D"/>
    <w:rsid w:val="007C1857"/>
    <w:rsid w:val="007C39E5"/>
    <w:rsid w:val="007C514F"/>
    <w:rsid w:val="007D0F95"/>
    <w:rsid w:val="007D68D4"/>
    <w:rsid w:val="007D6BF0"/>
    <w:rsid w:val="007D7ECB"/>
    <w:rsid w:val="007E25A1"/>
    <w:rsid w:val="007E4BD2"/>
    <w:rsid w:val="007E562B"/>
    <w:rsid w:val="007E7145"/>
    <w:rsid w:val="007E75A5"/>
    <w:rsid w:val="007E7C12"/>
    <w:rsid w:val="007F2197"/>
    <w:rsid w:val="007F3916"/>
    <w:rsid w:val="007F7463"/>
    <w:rsid w:val="007F7FB2"/>
    <w:rsid w:val="00801179"/>
    <w:rsid w:val="00802479"/>
    <w:rsid w:val="00805372"/>
    <w:rsid w:val="00805B7B"/>
    <w:rsid w:val="008069EA"/>
    <w:rsid w:val="008102C6"/>
    <w:rsid w:val="0081293E"/>
    <w:rsid w:val="00814FFB"/>
    <w:rsid w:val="00817E68"/>
    <w:rsid w:val="00820568"/>
    <w:rsid w:val="008241D1"/>
    <w:rsid w:val="00824281"/>
    <w:rsid w:val="00831A80"/>
    <w:rsid w:val="008332C8"/>
    <w:rsid w:val="00833743"/>
    <w:rsid w:val="008340A4"/>
    <w:rsid w:val="00835EF5"/>
    <w:rsid w:val="00836799"/>
    <w:rsid w:val="00837028"/>
    <w:rsid w:val="00837131"/>
    <w:rsid w:val="008420E6"/>
    <w:rsid w:val="00843D06"/>
    <w:rsid w:val="00845F57"/>
    <w:rsid w:val="008521E0"/>
    <w:rsid w:val="008525B0"/>
    <w:rsid w:val="00856AE0"/>
    <w:rsid w:val="00860ACC"/>
    <w:rsid w:val="00861FD6"/>
    <w:rsid w:val="00865A63"/>
    <w:rsid w:val="00865CB6"/>
    <w:rsid w:val="00867CBC"/>
    <w:rsid w:val="00872694"/>
    <w:rsid w:val="00876C30"/>
    <w:rsid w:val="00877017"/>
    <w:rsid w:val="008773C0"/>
    <w:rsid w:val="00880364"/>
    <w:rsid w:val="00881BFA"/>
    <w:rsid w:val="00886C4C"/>
    <w:rsid w:val="0088711C"/>
    <w:rsid w:val="00887662"/>
    <w:rsid w:val="00887C2A"/>
    <w:rsid w:val="00892ECF"/>
    <w:rsid w:val="00892F06"/>
    <w:rsid w:val="00894285"/>
    <w:rsid w:val="00895A7E"/>
    <w:rsid w:val="008A1707"/>
    <w:rsid w:val="008A40AE"/>
    <w:rsid w:val="008A4E19"/>
    <w:rsid w:val="008A67C5"/>
    <w:rsid w:val="008B061A"/>
    <w:rsid w:val="008B22E1"/>
    <w:rsid w:val="008B3C78"/>
    <w:rsid w:val="008B4AE9"/>
    <w:rsid w:val="008B5490"/>
    <w:rsid w:val="008C30AD"/>
    <w:rsid w:val="008C30CD"/>
    <w:rsid w:val="008C6A9C"/>
    <w:rsid w:val="008C78C3"/>
    <w:rsid w:val="008D068E"/>
    <w:rsid w:val="008D0F7A"/>
    <w:rsid w:val="008D63BE"/>
    <w:rsid w:val="008D6950"/>
    <w:rsid w:val="008E0CFF"/>
    <w:rsid w:val="008E13E4"/>
    <w:rsid w:val="008E4258"/>
    <w:rsid w:val="008E5D6B"/>
    <w:rsid w:val="008E62FF"/>
    <w:rsid w:val="008E689B"/>
    <w:rsid w:val="008E76F0"/>
    <w:rsid w:val="008F13E9"/>
    <w:rsid w:val="008F15FE"/>
    <w:rsid w:val="008F2A94"/>
    <w:rsid w:val="008F5187"/>
    <w:rsid w:val="008F709C"/>
    <w:rsid w:val="0090312B"/>
    <w:rsid w:val="0090407D"/>
    <w:rsid w:val="00904961"/>
    <w:rsid w:val="00905CCD"/>
    <w:rsid w:val="0090663F"/>
    <w:rsid w:val="0091014C"/>
    <w:rsid w:val="00910F4D"/>
    <w:rsid w:val="00912576"/>
    <w:rsid w:val="009131EE"/>
    <w:rsid w:val="0091736D"/>
    <w:rsid w:val="009229C7"/>
    <w:rsid w:val="009240AC"/>
    <w:rsid w:val="00926621"/>
    <w:rsid w:val="00931001"/>
    <w:rsid w:val="00931863"/>
    <w:rsid w:val="00932558"/>
    <w:rsid w:val="00933524"/>
    <w:rsid w:val="009341E3"/>
    <w:rsid w:val="00937D4C"/>
    <w:rsid w:val="0094278D"/>
    <w:rsid w:val="00944F52"/>
    <w:rsid w:val="00945566"/>
    <w:rsid w:val="00951836"/>
    <w:rsid w:val="0095308A"/>
    <w:rsid w:val="00953885"/>
    <w:rsid w:val="00955AEE"/>
    <w:rsid w:val="00956F14"/>
    <w:rsid w:val="009620FD"/>
    <w:rsid w:val="0096247A"/>
    <w:rsid w:val="00963185"/>
    <w:rsid w:val="00965F4B"/>
    <w:rsid w:val="00966A98"/>
    <w:rsid w:val="00970F8A"/>
    <w:rsid w:val="00971564"/>
    <w:rsid w:val="00971FB5"/>
    <w:rsid w:val="00972D2A"/>
    <w:rsid w:val="00974B3C"/>
    <w:rsid w:val="00975229"/>
    <w:rsid w:val="00975CC5"/>
    <w:rsid w:val="00976328"/>
    <w:rsid w:val="00976B4E"/>
    <w:rsid w:val="009834FC"/>
    <w:rsid w:val="00984458"/>
    <w:rsid w:val="00985283"/>
    <w:rsid w:val="00987322"/>
    <w:rsid w:val="00992F18"/>
    <w:rsid w:val="009A0F3B"/>
    <w:rsid w:val="009A1C44"/>
    <w:rsid w:val="009A72C7"/>
    <w:rsid w:val="009B0360"/>
    <w:rsid w:val="009B0897"/>
    <w:rsid w:val="009B135A"/>
    <w:rsid w:val="009B52A3"/>
    <w:rsid w:val="009C0FC1"/>
    <w:rsid w:val="009C5330"/>
    <w:rsid w:val="009C5DAF"/>
    <w:rsid w:val="009D0852"/>
    <w:rsid w:val="009D1FBF"/>
    <w:rsid w:val="009E399C"/>
    <w:rsid w:val="009E43C1"/>
    <w:rsid w:val="009E7E95"/>
    <w:rsid w:val="009F116F"/>
    <w:rsid w:val="009F329E"/>
    <w:rsid w:val="009F3463"/>
    <w:rsid w:val="009F5A1B"/>
    <w:rsid w:val="009F6269"/>
    <w:rsid w:val="009F7ED3"/>
    <w:rsid w:val="00A0205B"/>
    <w:rsid w:val="00A03607"/>
    <w:rsid w:val="00A047FF"/>
    <w:rsid w:val="00A04FEF"/>
    <w:rsid w:val="00A06072"/>
    <w:rsid w:val="00A0788F"/>
    <w:rsid w:val="00A122CD"/>
    <w:rsid w:val="00A12458"/>
    <w:rsid w:val="00A12A32"/>
    <w:rsid w:val="00A14248"/>
    <w:rsid w:val="00A14947"/>
    <w:rsid w:val="00A22B43"/>
    <w:rsid w:val="00A23DC5"/>
    <w:rsid w:val="00A24279"/>
    <w:rsid w:val="00A26773"/>
    <w:rsid w:val="00A34028"/>
    <w:rsid w:val="00A35568"/>
    <w:rsid w:val="00A37056"/>
    <w:rsid w:val="00A40299"/>
    <w:rsid w:val="00A4358F"/>
    <w:rsid w:val="00A46F67"/>
    <w:rsid w:val="00A47EC2"/>
    <w:rsid w:val="00A51DF7"/>
    <w:rsid w:val="00A54AA1"/>
    <w:rsid w:val="00A568FF"/>
    <w:rsid w:val="00A61496"/>
    <w:rsid w:val="00A61833"/>
    <w:rsid w:val="00A61AEC"/>
    <w:rsid w:val="00A624C6"/>
    <w:rsid w:val="00A63CEC"/>
    <w:rsid w:val="00A67680"/>
    <w:rsid w:val="00A7031E"/>
    <w:rsid w:val="00A728B1"/>
    <w:rsid w:val="00A74DBE"/>
    <w:rsid w:val="00A763DE"/>
    <w:rsid w:val="00A803D6"/>
    <w:rsid w:val="00A81282"/>
    <w:rsid w:val="00A83558"/>
    <w:rsid w:val="00A8713F"/>
    <w:rsid w:val="00A90C48"/>
    <w:rsid w:val="00A91167"/>
    <w:rsid w:val="00A9171C"/>
    <w:rsid w:val="00A92FFD"/>
    <w:rsid w:val="00A939E6"/>
    <w:rsid w:val="00A95975"/>
    <w:rsid w:val="00A9708D"/>
    <w:rsid w:val="00AA2C17"/>
    <w:rsid w:val="00AA4172"/>
    <w:rsid w:val="00AA775C"/>
    <w:rsid w:val="00AB1914"/>
    <w:rsid w:val="00AB5330"/>
    <w:rsid w:val="00AB7747"/>
    <w:rsid w:val="00AB7AFF"/>
    <w:rsid w:val="00AC2532"/>
    <w:rsid w:val="00AC3033"/>
    <w:rsid w:val="00AD1507"/>
    <w:rsid w:val="00AD51FA"/>
    <w:rsid w:val="00AD5A70"/>
    <w:rsid w:val="00AD738B"/>
    <w:rsid w:val="00AD7BD3"/>
    <w:rsid w:val="00AE1BF4"/>
    <w:rsid w:val="00AE1D92"/>
    <w:rsid w:val="00AE5D97"/>
    <w:rsid w:val="00AE6794"/>
    <w:rsid w:val="00AF189D"/>
    <w:rsid w:val="00AF5D3A"/>
    <w:rsid w:val="00B01110"/>
    <w:rsid w:val="00B02262"/>
    <w:rsid w:val="00B03CEC"/>
    <w:rsid w:val="00B0764B"/>
    <w:rsid w:val="00B1209F"/>
    <w:rsid w:val="00B12AD0"/>
    <w:rsid w:val="00B1611B"/>
    <w:rsid w:val="00B24F30"/>
    <w:rsid w:val="00B26B2F"/>
    <w:rsid w:val="00B31ABF"/>
    <w:rsid w:val="00B335AE"/>
    <w:rsid w:val="00B37CE1"/>
    <w:rsid w:val="00B40ACF"/>
    <w:rsid w:val="00B43BBD"/>
    <w:rsid w:val="00B46BAA"/>
    <w:rsid w:val="00B50B5F"/>
    <w:rsid w:val="00B54128"/>
    <w:rsid w:val="00B55826"/>
    <w:rsid w:val="00B57EFA"/>
    <w:rsid w:val="00B60426"/>
    <w:rsid w:val="00B622DD"/>
    <w:rsid w:val="00B63522"/>
    <w:rsid w:val="00B65758"/>
    <w:rsid w:val="00B65F83"/>
    <w:rsid w:val="00B714CE"/>
    <w:rsid w:val="00B76F1D"/>
    <w:rsid w:val="00B92A19"/>
    <w:rsid w:val="00B93C2B"/>
    <w:rsid w:val="00B9544C"/>
    <w:rsid w:val="00BA27FF"/>
    <w:rsid w:val="00BA2935"/>
    <w:rsid w:val="00BA29E9"/>
    <w:rsid w:val="00BA41F3"/>
    <w:rsid w:val="00BB2285"/>
    <w:rsid w:val="00BB3618"/>
    <w:rsid w:val="00BC0C9E"/>
    <w:rsid w:val="00BC32DC"/>
    <w:rsid w:val="00BC4B06"/>
    <w:rsid w:val="00BD1B51"/>
    <w:rsid w:val="00BD2DD2"/>
    <w:rsid w:val="00BD47F6"/>
    <w:rsid w:val="00BE10EA"/>
    <w:rsid w:val="00BE312D"/>
    <w:rsid w:val="00BE3FCA"/>
    <w:rsid w:val="00BE42B2"/>
    <w:rsid w:val="00BE7459"/>
    <w:rsid w:val="00BF3D66"/>
    <w:rsid w:val="00BF5537"/>
    <w:rsid w:val="00C03E86"/>
    <w:rsid w:val="00C05719"/>
    <w:rsid w:val="00C10578"/>
    <w:rsid w:val="00C12D4C"/>
    <w:rsid w:val="00C17D62"/>
    <w:rsid w:val="00C21FDC"/>
    <w:rsid w:val="00C22FE5"/>
    <w:rsid w:val="00C24EE7"/>
    <w:rsid w:val="00C2596A"/>
    <w:rsid w:val="00C271BE"/>
    <w:rsid w:val="00C27425"/>
    <w:rsid w:val="00C328FE"/>
    <w:rsid w:val="00C33A05"/>
    <w:rsid w:val="00C33B5C"/>
    <w:rsid w:val="00C42500"/>
    <w:rsid w:val="00C43E3F"/>
    <w:rsid w:val="00C4409D"/>
    <w:rsid w:val="00C455BE"/>
    <w:rsid w:val="00C51E5F"/>
    <w:rsid w:val="00C61E4B"/>
    <w:rsid w:val="00C62E3A"/>
    <w:rsid w:val="00C64503"/>
    <w:rsid w:val="00C64726"/>
    <w:rsid w:val="00C64A1F"/>
    <w:rsid w:val="00C64BFF"/>
    <w:rsid w:val="00C64E4F"/>
    <w:rsid w:val="00C65B81"/>
    <w:rsid w:val="00C74108"/>
    <w:rsid w:val="00C74D53"/>
    <w:rsid w:val="00C763C9"/>
    <w:rsid w:val="00C80057"/>
    <w:rsid w:val="00C82C79"/>
    <w:rsid w:val="00C84753"/>
    <w:rsid w:val="00C86E82"/>
    <w:rsid w:val="00C9028F"/>
    <w:rsid w:val="00C91611"/>
    <w:rsid w:val="00CA1646"/>
    <w:rsid w:val="00CA3585"/>
    <w:rsid w:val="00CA3D5A"/>
    <w:rsid w:val="00CA4C7C"/>
    <w:rsid w:val="00CB0183"/>
    <w:rsid w:val="00CB1EA3"/>
    <w:rsid w:val="00CB552C"/>
    <w:rsid w:val="00CB6A9E"/>
    <w:rsid w:val="00CC6181"/>
    <w:rsid w:val="00CC6F61"/>
    <w:rsid w:val="00CD02BD"/>
    <w:rsid w:val="00CD2BCD"/>
    <w:rsid w:val="00CD36AA"/>
    <w:rsid w:val="00CD3791"/>
    <w:rsid w:val="00CD65B0"/>
    <w:rsid w:val="00CE02CD"/>
    <w:rsid w:val="00CE10E9"/>
    <w:rsid w:val="00CE1721"/>
    <w:rsid w:val="00CF3874"/>
    <w:rsid w:val="00CF5D85"/>
    <w:rsid w:val="00D0072E"/>
    <w:rsid w:val="00D01CE7"/>
    <w:rsid w:val="00D07163"/>
    <w:rsid w:val="00D15727"/>
    <w:rsid w:val="00D16332"/>
    <w:rsid w:val="00D24972"/>
    <w:rsid w:val="00D2515E"/>
    <w:rsid w:val="00D308ED"/>
    <w:rsid w:val="00D32E3E"/>
    <w:rsid w:val="00D35DE8"/>
    <w:rsid w:val="00D41719"/>
    <w:rsid w:val="00D42F43"/>
    <w:rsid w:val="00D44BD2"/>
    <w:rsid w:val="00D478EC"/>
    <w:rsid w:val="00D5086F"/>
    <w:rsid w:val="00D5366F"/>
    <w:rsid w:val="00D5544E"/>
    <w:rsid w:val="00D56178"/>
    <w:rsid w:val="00D56CF0"/>
    <w:rsid w:val="00D56F5C"/>
    <w:rsid w:val="00D5729A"/>
    <w:rsid w:val="00D60B89"/>
    <w:rsid w:val="00D61952"/>
    <w:rsid w:val="00D67682"/>
    <w:rsid w:val="00D704B1"/>
    <w:rsid w:val="00D70B63"/>
    <w:rsid w:val="00D71FFD"/>
    <w:rsid w:val="00D72B92"/>
    <w:rsid w:val="00D72ED4"/>
    <w:rsid w:val="00D72F3C"/>
    <w:rsid w:val="00D73F61"/>
    <w:rsid w:val="00D754C0"/>
    <w:rsid w:val="00D776A2"/>
    <w:rsid w:val="00D777B9"/>
    <w:rsid w:val="00D801C4"/>
    <w:rsid w:val="00D90836"/>
    <w:rsid w:val="00D9216F"/>
    <w:rsid w:val="00D95896"/>
    <w:rsid w:val="00D95CC6"/>
    <w:rsid w:val="00D976E5"/>
    <w:rsid w:val="00DA0436"/>
    <w:rsid w:val="00DA2DA3"/>
    <w:rsid w:val="00DA6615"/>
    <w:rsid w:val="00DA69EB"/>
    <w:rsid w:val="00DA76AE"/>
    <w:rsid w:val="00DB181E"/>
    <w:rsid w:val="00DB1C7A"/>
    <w:rsid w:val="00DB2983"/>
    <w:rsid w:val="00DB343D"/>
    <w:rsid w:val="00DB5579"/>
    <w:rsid w:val="00DB5CFE"/>
    <w:rsid w:val="00DC2540"/>
    <w:rsid w:val="00DC2C8D"/>
    <w:rsid w:val="00DC5377"/>
    <w:rsid w:val="00DC65A2"/>
    <w:rsid w:val="00DC72A6"/>
    <w:rsid w:val="00DD2113"/>
    <w:rsid w:val="00DD265E"/>
    <w:rsid w:val="00DD266A"/>
    <w:rsid w:val="00DE7F06"/>
    <w:rsid w:val="00DF1930"/>
    <w:rsid w:val="00DF32F3"/>
    <w:rsid w:val="00DF4ADB"/>
    <w:rsid w:val="00DF514A"/>
    <w:rsid w:val="00DF58E1"/>
    <w:rsid w:val="00E007D0"/>
    <w:rsid w:val="00E02852"/>
    <w:rsid w:val="00E0358D"/>
    <w:rsid w:val="00E05D04"/>
    <w:rsid w:val="00E06327"/>
    <w:rsid w:val="00E111D6"/>
    <w:rsid w:val="00E12A60"/>
    <w:rsid w:val="00E163F5"/>
    <w:rsid w:val="00E2064B"/>
    <w:rsid w:val="00E25239"/>
    <w:rsid w:val="00E265B1"/>
    <w:rsid w:val="00E275B0"/>
    <w:rsid w:val="00E27AAD"/>
    <w:rsid w:val="00E33068"/>
    <w:rsid w:val="00E34F49"/>
    <w:rsid w:val="00E35839"/>
    <w:rsid w:val="00E37583"/>
    <w:rsid w:val="00E412D0"/>
    <w:rsid w:val="00E42E73"/>
    <w:rsid w:val="00E468A8"/>
    <w:rsid w:val="00E47CDB"/>
    <w:rsid w:val="00E5439D"/>
    <w:rsid w:val="00E566BC"/>
    <w:rsid w:val="00E60982"/>
    <w:rsid w:val="00E60C8D"/>
    <w:rsid w:val="00E6162F"/>
    <w:rsid w:val="00E6176F"/>
    <w:rsid w:val="00E624A8"/>
    <w:rsid w:val="00E6311B"/>
    <w:rsid w:val="00E65D97"/>
    <w:rsid w:val="00E66E5E"/>
    <w:rsid w:val="00E674AA"/>
    <w:rsid w:val="00E67EFD"/>
    <w:rsid w:val="00E702DC"/>
    <w:rsid w:val="00E71FFB"/>
    <w:rsid w:val="00E76D1D"/>
    <w:rsid w:val="00E806F8"/>
    <w:rsid w:val="00E85BD9"/>
    <w:rsid w:val="00E87323"/>
    <w:rsid w:val="00E87752"/>
    <w:rsid w:val="00E8793B"/>
    <w:rsid w:val="00E90F81"/>
    <w:rsid w:val="00E91A6D"/>
    <w:rsid w:val="00E9242D"/>
    <w:rsid w:val="00E96C95"/>
    <w:rsid w:val="00EA1DB8"/>
    <w:rsid w:val="00EA213C"/>
    <w:rsid w:val="00EA78DA"/>
    <w:rsid w:val="00EB041C"/>
    <w:rsid w:val="00EB1712"/>
    <w:rsid w:val="00EB68E6"/>
    <w:rsid w:val="00EC1771"/>
    <w:rsid w:val="00EC36DE"/>
    <w:rsid w:val="00EC482C"/>
    <w:rsid w:val="00EC5874"/>
    <w:rsid w:val="00ED192D"/>
    <w:rsid w:val="00ED30B4"/>
    <w:rsid w:val="00ED31F5"/>
    <w:rsid w:val="00ED5DB3"/>
    <w:rsid w:val="00EE09FD"/>
    <w:rsid w:val="00EE38AA"/>
    <w:rsid w:val="00EE58F2"/>
    <w:rsid w:val="00EE7973"/>
    <w:rsid w:val="00EF0524"/>
    <w:rsid w:val="00EF2759"/>
    <w:rsid w:val="00EF45EB"/>
    <w:rsid w:val="00EF49A7"/>
    <w:rsid w:val="00EF5099"/>
    <w:rsid w:val="00EF5E33"/>
    <w:rsid w:val="00F00075"/>
    <w:rsid w:val="00F059FC"/>
    <w:rsid w:val="00F07822"/>
    <w:rsid w:val="00F07B1B"/>
    <w:rsid w:val="00F111AA"/>
    <w:rsid w:val="00F12A1A"/>
    <w:rsid w:val="00F15C95"/>
    <w:rsid w:val="00F179FF"/>
    <w:rsid w:val="00F20D69"/>
    <w:rsid w:val="00F21CB4"/>
    <w:rsid w:val="00F22985"/>
    <w:rsid w:val="00F241AB"/>
    <w:rsid w:val="00F249AA"/>
    <w:rsid w:val="00F26616"/>
    <w:rsid w:val="00F30BCD"/>
    <w:rsid w:val="00F31382"/>
    <w:rsid w:val="00F35829"/>
    <w:rsid w:val="00F37C54"/>
    <w:rsid w:val="00F42868"/>
    <w:rsid w:val="00F465A7"/>
    <w:rsid w:val="00F50B7C"/>
    <w:rsid w:val="00F50B9C"/>
    <w:rsid w:val="00F5202D"/>
    <w:rsid w:val="00F5291F"/>
    <w:rsid w:val="00F52CF6"/>
    <w:rsid w:val="00F54496"/>
    <w:rsid w:val="00F54DA1"/>
    <w:rsid w:val="00F55EA7"/>
    <w:rsid w:val="00F5798D"/>
    <w:rsid w:val="00F61097"/>
    <w:rsid w:val="00F63667"/>
    <w:rsid w:val="00F71DD1"/>
    <w:rsid w:val="00F73462"/>
    <w:rsid w:val="00F74345"/>
    <w:rsid w:val="00F74441"/>
    <w:rsid w:val="00F75622"/>
    <w:rsid w:val="00F77F30"/>
    <w:rsid w:val="00F82589"/>
    <w:rsid w:val="00F82B19"/>
    <w:rsid w:val="00F8382C"/>
    <w:rsid w:val="00F857B7"/>
    <w:rsid w:val="00F903D5"/>
    <w:rsid w:val="00F90AA7"/>
    <w:rsid w:val="00F91700"/>
    <w:rsid w:val="00F9212D"/>
    <w:rsid w:val="00F94783"/>
    <w:rsid w:val="00FA301A"/>
    <w:rsid w:val="00FA406A"/>
    <w:rsid w:val="00FA5CB6"/>
    <w:rsid w:val="00FC66AC"/>
    <w:rsid w:val="00FD18F4"/>
    <w:rsid w:val="00FD58D9"/>
    <w:rsid w:val="00FD74B4"/>
    <w:rsid w:val="00FE70B1"/>
    <w:rsid w:val="00FF3BC3"/>
    <w:rsid w:val="00FF6FCE"/>
    <w:rsid w:val="00FF7518"/>
    <w:rsid w:val="00FF7FD8"/>
    <w:rsid w:val="010D009D"/>
    <w:rsid w:val="01982D9A"/>
    <w:rsid w:val="022D0B7C"/>
    <w:rsid w:val="031E6339"/>
    <w:rsid w:val="032E305A"/>
    <w:rsid w:val="03A9532C"/>
    <w:rsid w:val="04177CE5"/>
    <w:rsid w:val="041A1DAA"/>
    <w:rsid w:val="04881865"/>
    <w:rsid w:val="04BD6459"/>
    <w:rsid w:val="05350BA1"/>
    <w:rsid w:val="05742AC8"/>
    <w:rsid w:val="05A916E7"/>
    <w:rsid w:val="05EF58A6"/>
    <w:rsid w:val="062F39E5"/>
    <w:rsid w:val="06352F05"/>
    <w:rsid w:val="063E7D85"/>
    <w:rsid w:val="070875E0"/>
    <w:rsid w:val="07293586"/>
    <w:rsid w:val="07295285"/>
    <w:rsid w:val="07770C56"/>
    <w:rsid w:val="0820205E"/>
    <w:rsid w:val="092217DD"/>
    <w:rsid w:val="093A7294"/>
    <w:rsid w:val="09706A8B"/>
    <w:rsid w:val="0A5116F4"/>
    <w:rsid w:val="0ADE6427"/>
    <w:rsid w:val="0BD27BF6"/>
    <w:rsid w:val="0C1D4CCC"/>
    <w:rsid w:val="0C5B02DB"/>
    <w:rsid w:val="0CFA3905"/>
    <w:rsid w:val="0D841CA4"/>
    <w:rsid w:val="0E110D06"/>
    <w:rsid w:val="0E2322C1"/>
    <w:rsid w:val="0E3C41F0"/>
    <w:rsid w:val="0EB13FFB"/>
    <w:rsid w:val="0F13775A"/>
    <w:rsid w:val="0F9A112B"/>
    <w:rsid w:val="106D2F64"/>
    <w:rsid w:val="109F0F00"/>
    <w:rsid w:val="10B63710"/>
    <w:rsid w:val="10F126BF"/>
    <w:rsid w:val="111C2F7A"/>
    <w:rsid w:val="113013DE"/>
    <w:rsid w:val="11EF13FA"/>
    <w:rsid w:val="11FA5F24"/>
    <w:rsid w:val="122B06C2"/>
    <w:rsid w:val="12EF17F2"/>
    <w:rsid w:val="13503331"/>
    <w:rsid w:val="13951726"/>
    <w:rsid w:val="14396509"/>
    <w:rsid w:val="1447165C"/>
    <w:rsid w:val="14922F01"/>
    <w:rsid w:val="14E33B46"/>
    <w:rsid w:val="152645C0"/>
    <w:rsid w:val="15567787"/>
    <w:rsid w:val="15A27B5E"/>
    <w:rsid w:val="169F2468"/>
    <w:rsid w:val="17735226"/>
    <w:rsid w:val="177F5844"/>
    <w:rsid w:val="17E7121B"/>
    <w:rsid w:val="18060B1C"/>
    <w:rsid w:val="188F7558"/>
    <w:rsid w:val="1900791E"/>
    <w:rsid w:val="192B3D73"/>
    <w:rsid w:val="195B33FB"/>
    <w:rsid w:val="19C122CF"/>
    <w:rsid w:val="1A1B7374"/>
    <w:rsid w:val="1A1C66C0"/>
    <w:rsid w:val="1A42393B"/>
    <w:rsid w:val="1B046F80"/>
    <w:rsid w:val="1B3267B5"/>
    <w:rsid w:val="1BB27AF4"/>
    <w:rsid w:val="1BC25DC8"/>
    <w:rsid w:val="1C0B2E97"/>
    <w:rsid w:val="1C174926"/>
    <w:rsid w:val="1C5E7925"/>
    <w:rsid w:val="1C887FC8"/>
    <w:rsid w:val="1D5F6196"/>
    <w:rsid w:val="1D6132A5"/>
    <w:rsid w:val="1D7B761E"/>
    <w:rsid w:val="1D8E56D5"/>
    <w:rsid w:val="1E7A43DA"/>
    <w:rsid w:val="1EB277FE"/>
    <w:rsid w:val="1FE7539E"/>
    <w:rsid w:val="20094951"/>
    <w:rsid w:val="203E0C23"/>
    <w:rsid w:val="20963CB8"/>
    <w:rsid w:val="20B07FB6"/>
    <w:rsid w:val="213B74B1"/>
    <w:rsid w:val="215A2310"/>
    <w:rsid w:val="21DE318A"/>
    <w:rsid w:val="21EF5B80"/>
    <w:rsid w:val="22576990"/>
    <w:rsid w:val="229C4EAB"/>
    <w:rsid w:val="231804F0"/>
    <w:rsid w:val="23722113"/>
    <w:rsid w:val="24717701"/>
    <w:rsid w:val="247C1EDA"/>
    <w:rsid w:val="24DD1120"/>
    <w:rsid w:val="250A7C4A"/>
    <w:rsid w:val="252D53FE"/>
    <w:rsid w:val="253908EB"/>
    <w:rsid w:val="25D67AF9"/>
    <w:rsid w:val="25EC2D81"/>
    <w:rsid w:val="264528BD"/>
    <w:rsid w:val="277D7FDB"/>
    <w:rsid w:val="27D15DD1"/>
    <w:rsid w:val="280A6FA1"/>
    <w:rsid w:val="28361336"/>
    <w:rsid w:val="28A76295"/>
    <w:rsid w:val="290C14B1"/>
    <w:rsid w:val="29206EB8"/>
    <w:rsid w:val="29E325E0"/>
    <w:rsid w:val="2A452503"/>
    <w:rsid w:val="2A673E21"/>
    <w:rsid w:val="2ADC3DE9"/>
    <w:rsid w:val="2BA936A8"/>
    <w:rsid w:val="2BF33AAF"/>
    <w:rsid w:val="2C315A5A"/>
    <w:rsid w:val="2C3960E1"/>
    <w:rsid w:val="2C841719"/>
    <w:rsid w:val="2C870255"/>
    <w:rsid w:val="2D33712D"/>
    <w:rsid w:val="2D847B6B"/>
    <w:rsid w:val="2D9E56F5"/>
    <w:rsid w:val="2E012995"/>
    <w:rsid w:val="2E667F96"/>
    <w:rsid w:val="2E8226AB"/>
    <w:rsid w:val="2EAE4A85"/>
    <w:rsid w:val="2F832C79"/>
    <w:rsid w:val="2FD632A3"/>
    <w:rsid w:val="2FEF2D58"/>
    <w:rsid w:val="303F681C"/>
    <w:rsid w:val="30580BC9"/>
    <w:rsid w:val="311E2ED7"/>
    <w:rsid w:val="315C449C"/>
    <w:rsid w:val="3184073A"/>
    <w:rsid w:val="31873939"/>
    <w:rsid w:val="31B82709"/>
    <w:rsid w:val="32400B34"/>
    <w:rsid w:val="326911AF"/>
    <w:rsid w:val="327B2719"/>
    <w:rsid w:val="329E6876"/>
    <w:rsid w:val="33D934D4"/>
    <w:rsid w:val="33E1707A"/>
    <w:rsid w:val="33FE2F6A"/>
    <w:rsid w:val="34117041"/>
    <w:rsid w:val="34844B3B"/>
    <w:rsid w:val="35FA09F7"/>
    <w:rsid w:val="36074A7F"/>
    <w:rsid w:val="36923549"/>
    <w:rsid w:val="36A10D65"/>
    <w:rsid w:val="36A31332"/>
    <w:rsid w:val="36B75FBF"/>
    <w:rsid w:val="36FB4891"/>
    <w:rsid w:val="376E13D8"/>
    <w:rsid w:val="38F12CD3"/>
    <w:rsid w:val="38F94775"/>
    <w:rsid w:val="390B5B9A"/>
    <w:rsid w:val="392971ED"/>
    <w:rsid w:val="39390772"/>
    <w:rsid w:val="394A4C3B"/>
    <w:rsid w:val="397463A5"/>
    <w:rsid w:val="39D61E1D"/>
    <w:rsid w:val="3A6247C1"/>
    <w:rsid w:val="3AA805A9"/>
    <w:rsid w:val="3B3763D1"/>
    <w:rsid w:val="3BB76D33"/>
    <w:rsid w:val="3CDA245A"/>
    <w:rsid w:val="3CEE0A37"/>
    <w:rsid w:val="3F660E74"/>
    <w:rsid w:val="407A6407"/>
    <w:rsid w:val="41651060"/>
    <w:rsid w:val="418D1C6A"/>
    <w:rsid w:val="42177F86"/>
    <w:rsid w:val="423A3BCC"/>
    <w:rsid w:val="42CB12C3"/>
    <w:rsid w:val="433A6FE6"/>
    <w:rsid w:val="4350713C"/>
    <w:rsid w:val="436653E0"/>
    <w:rsid w:val="43BB06A9"/>
    <w:rsid w:val="44C55D7E"/>
    <w:rsid w:val="44CD14E0"/>
    <w:rsid w:val="458946E9"/>
    <w:rsid w:val="46D955A7"/>
    <w:rsid w:val="47133957"/>
    <w:rsid w:val="4779329E"/>
    <w:rsid w:val="47A07E0C"/>
    <w:rsid w:val="47D13A59"/>
    <w:rsid w:val="4870272E"/>
    <w:rsid w:val="49DC7715"/>
    <w:rsid w:val="4A023139"/>
    <w:rsid w:val="4A3261E2"/>
    <w:rsid w:val="4A436FD5"/>
    <w:rsid w:val="4A551B88"/>
    <w:rsid w:val="4A7B576F"/>
    <w:rsid w:val="4A951C51"/>
    <w:rsid w:val="4AAB6B83"/>
    <w:rsid w:val="4AE921E1"/>
    <w:rsid w:val="4C4A0649"/>
    <w:rsid w:val="4CAC1CBD"/>
    <w:rsid w:val="4CE470D3"/>
    <w:rsid w:val="4D10112C"/>
    <w:rsid w:val="4D830B3C"/>
    <w:rsid w:val="4DCC573A"/>
    <w:rsid w:val="4DEC4FB0"/>
    <w:rsid w:val="4E075D8A"/>
    <w:rsid w:val="4E206EA8"/>
    <w:rsid w:val="4EA82E88"/>
    <w:rsid w:val="4EC45DFD"/>
    <w:rsid w:val="4FC62A8C"/>
    <w:rsid w:val="4FDE07D4"/>
    <w:rsid w:val="4FE20F0D"/>
    <w:rsid w:val="50504C4B"/>
    <w:rsid w:val="509C6E7C"/>
    <w:rsid w:val="509F65F0"/>
    <w:rsid w:val="5162104E"/>
    <w:rsid w:val="519E139D"/>
    <w:rsid w:val="52A66106"/>
    <w:rsid w:val="52C7494D"/>
    <w:rsid w:val="53A039CC"/>
    <w:rsid w:val="53A1505A"/>
    <w:rsid w:val="54063E08"/>
    <w:rsid w:val="541D6ADE"/>
    <w:rsid w:val="543437E8"/>
    <w:rsid w:val="54A90151"/>
    <w:rsid w:val="559B174B"/>
    <w:rsid w:val="55A57AC4"/>
    <w:rsid w:val="55B72723"/>
    <w:rsid w:val="55CE0CF4"/>
    <w:rsid w:val="55ED07F9"/>
    <w:rsid w:val="55F04688"/>
    <w:rsid w:val="56B22A9C"/>
    <w:rsid w:val="573C2706"/>
    <w:rsid w:val="57B72A76"/>
    <w:rsid w:val="58096E06"/>
    <w:rsid w:val="5A232CFA"/>
    <w:rsid w:val="5A3C747D"/>
    <w:rsid w:val="5A952487"/>
    <w:rsid w:val="5A9C78F9"/>
    <w:rsid w:val="5ABE2233"/>
    <w:rsid w:val="5B276D18"/>
    <w:rsid w:val="5B4D71D8"/>
    <w:rsid w:val="5B7121B7"/>
    <w:rsid w:val="5BDF5D95"/>
    <w:rsid w:val="5CE77D45"/>
    <w:rsid w:val="5DB87E68"/>
    <w:rsid w:val="5DF87A0F"/>
    <w:rsid w:val="5F1A2B43"/>
    <w:rsid w:val="5FAE6755"/>
    <w:rsid w:val="5FB837BB"/>
    <w:rsid w:val="60157846"/>
    <w:rsid w:val="602F2D30"/>
    <w:rsid w:val="60425263"/>
    <w:rsid w:val="60B77FA4"/>
    <w:rsid w:val="615F0803"/>
    <w:rsid w:val="61852301"/>
    <w:rsid w:val="621E19C6"/>
    <w:rsid w:val="62364782"/>
    <w:rsid w:val="62A21BBA"/>
    <w:rsid w:val="62DC0F53"/>
    <w:rsid w:val="63D40BE9"/>
    <w:rsid w:val="63E0211F"/>
    <w:rsid w:val="63E703DA"/>
    <w:rsid w:val="643221A6"/>
    <w:rsid w:val="651428CC"/>
    <w:rsid w:val="65373578"/>
    <w:rsid w:val="65F514CD"/>
    <w:rsid w:val="66711E8D"/>
    <w:rsid w:val="673F2C7A"/>
    <w:rsid w:val="681F6961"/>
    <w:rsid w:val="68610A2F"/>
    <w:rsid w:val="68805514"/>
    <w:rsid w:val="692E3358"/>
    <w:rsid w:val="694E2071"/>
    <w:rsid w:val="697A3B33"/>
    <w:rsid w:val="699E2456"/>
    <w:rsid w:val="6ADA1156"/>
    <w:rsid w:val="6B322639"/>
    <w:rsid w:val="6B56052F"/>
    <w:rsid w:val="6C636C38"/>
    <w:rsid w:val="6D82752C"/>
    <w:rsid w:val="6DB34098"/>
    <w:rsid w:val="6DB545B6"/>
    <w:rsid w:val="6E4375A0"/>
    <w:rsid w:val="6E514CED"/>
    <w:rsid w:val="6E79491A"/>
    <w:rsid w:val="6EB563D5"/>
    <w:rsid w:val="6EF66179"/>
    <w:rsid w:val="6F225983"/>
    <w:rsid w:val="6F2D765F"/>
    <w:rsid w:val="6FE80199"/>
    <w:rsid w:val="6FFC5590"/>
    <w:rsid w:val="70301DA3"/>
    <w:rsid w:val="706D1DD0"/>
    <w:rsid w:val="70856B87"/>
    <w:rsid w:val="70BB4E10"/>
    <w:rsid w:val="70D527EE"/>
    <w:rsid w:val="715B5300"/>
    <w:rsid w:val="715F4BD7"/>
    <w:rsid w:val="71D27F8A"/>
    <w:rsid w:val="71F744C6"/>
    <w:rsid w:val="71F960CF"/>
    <w:rsid w:val="731F5D5E"/>
    <w:rsid w:val="741E793C"/>
    <w:rsid w:val="748C76F8"/>
    <w:rsid w:val="74C52B62"/>
    <w:rsid w:val="751F2062"/>
    <w:rsid w:val="758D75E2"/>
    <w:rsid w:val="77762421"/>
    <w:rsid w:val="780F09F4"/>
    <w:rsid w:val="788256B0"/>
    <w:rsid w:val="789C4F47"/>
    <w:rsid w:val="78A90480"/>
    <w:rsid w:val="78E011D0"/>
    <w:rsid w:val="79811327"/>
    <w:rsid w:val="79952E11"/>
    <w:rsid w:val="799B1B7F"/>
    <w:rsid w:val="7A173ECC"/>
    <w:rsid w:val="7A364017"/>
    <w:rsid w:val="7A8265E1"/>
    <w:rsid w:val="7B5B2589"/>
    <w:rsid w:val="7B5F4C5D"/>
    <w:rsid w:val="7B686D42"/>
    <w:rsid w:val="7B751DF6"/>
    <w:rsid w:val="7B841746"/>
    <w:rsid w:val="7C791DC6"/>
    <w:rsid w:val="7CE63D7B"/>
    <w:rsid w:val="7D0239FF"/>
    <w:rsid w:val="7D5E40CD"/>
    <w:rsid w:val="7D693BED"/>
    <w:rsid w:val="7D7E2552"/>
    <w:rsid w:val="7E1D290C"/>
    <w:rsid w:val="7E386470"/>
    <w:rsid w:val="7F5B22A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qFormat="1" w:unhideWhenUsed="0" w:uiPriority="39"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6" w:lineRule="auto"/>
      <w:outlineLvl w:val="1"/>
    </w:pPr>
    <w:rPr>
      <w:rFonts w:ascii="Cambria" w:hAnsi="Cambria"/>
      <w:b/>
      <w:bCs/>
      <w:sz w:val="32"/>
      <w:szCs w:val="32"/>
    </w:rPr>
  </w:style>
  <w:style w:type="paragraph" w:styleId="4">
    <w:name w:val="heading 3"/>
    <w:next w:val="1"/>
    <w:qFormat/>
    <w:locked/>
    <w:uiPriority w:val="0"/>
    <w:pPr>
      <w:keepNext/>
      <w:keepLines/>
      <w:spacing w:line="360" w:lineRule="auto"/>
      <w:ind w:firstLine="200" w:firstLineChars="200"/>
      <w:outlineLvl w:val="2"/>
    </w:pPr>
    <w:rPr>
      <w:rFonts w:ascii="Times New Roman" w:hAnsi="Times New Roman" w:eastAsia="黑体" w:cs="Times New Roman"/>
      <w:b/>
      <w:bCs/>
      <w:kern w:val="2"/>
      <w:sz w:val="24"/>
      <w:szCs w:val="32"/>
      <w:lang w:val="en-US" w:eastAsia="zh-CN" w:bidi="ar-SA"/>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locked/>
    <w:uiPriority w:val="39"/>
    <w:pPr>
      <w:ind w:left="1260"/>
      <w:jc w:val="left"/>
    </w:pPr>
    <w:rPr>
      <w:sz w:val="18"/>
      <w:szCs w:val="18"/>
    </w:rPr>
  </w:style>
  <w:style w:type="paragraph" w:styleId="6">
    <w:name w:val="Note Heading"/>
    <w:basedOn w:val="1"/>
    <w:next w:val="1"/>
    <w:qFormat/>
    <w:uiPriority w:val="0"/>
    <w:pPr>
      <w:spacing w:line="360" w:lineRule="auto"/>
      <w:ind w:firstLine="200" w:firstLineChars="200"/>
      <w:jc w:val="center"/>
    </w:pPr>
    <w:rPr>
      <w:rFonts w:ascii="Calibri" w:hAnsi="Calibri"/>
      <w:bCs/>
      <w:snapToGrid w:val="0"/>
      <w:sz w:val="24"/>
      <w:lang w:val="en-GB"/>
    </w:rPr>
  </w:style>
  <w:style w:type="paragraph" w:styleId="7">
    <w:name w:val="Normal Indent"/>
    <w:basedOn w:val="1"/>
    <w:next w:val="8"/>
    <w:qFormat/>
    <w:uiPriority w:val="0"/>
    <w:pPr>
      <w:ind w:firstLine="420"/>
    </w:pPr>
  </w:style>
  <w:style w:type="paragraph" w:styleId="8">
    <w:name w:val="envelope return"/>
    <w:basedOn w:val="1"/>
    <w:qFormat/>
    <w:uiPriority w:val="0"/>
    <w:pPr>
      <w:widowControl/>
      <w:snapToGrid w:val="0"/>
      <w:jc w:val="left"/>
    </w:pPr>
    <w:rPr>
      <w:rFonts w:ascii="Arial" w:hAnsi="Arial" w:cs="Arial"/>
      <w:kern w:val="0"/>
      <w:sz w:val="18"/>
      <w:szCs w:val="20"/>
    </w:rPr>
  </w:style>
  <w:style w:type="paragraph" w:styleId="9">
    <w:name w:val="caption"/>
    <w:basedOn w:val="1"/>
    <w:next w:val="1"/>
    <w:qFormat/>
    <w:locked/>
    <w:uiPriority w:val="0"/>
    <w:rPr>
      <w:rFonts w:ascii="Arial" w:hAnsi="Arial" w:eastAsia="黑体" w:cs="Arial"/>
      <w:sz w:val="20"/>
      <w:szCs w:val="20"/>
    </w:rPr>
  </w:style>
  <w:style w:type="paragraph" w:styleId="10">
    <w:name w:val="Document Map"/>
    <w:basedOn w:val="1"/>
    <w:link w:val="67"/>
    <w:qFormat/>
    <w:uiPriority w:val="0"/>
    <w:rPr>
      <w:rFonts w:ascii="宋体"/>
      <w:sz w:val="18"/>
      <w:szCs w:val="18"/>
    </w:rPr>
  </w:style>
  <w:style w:type="paragraph" w:styleId="11">
    <w:name w:val="annotation text"/>
    <w:basedOn w:val="1"/>
    <w:link w:val="33"/>
    <w:semiHidden/>
    <w:qFormat/>
    <w:uiPriority w:val="0"/>
    <w:pPr>
      <w:jc w:val="left"/>
    </w:pPr>
    <w:rPr>
      <w:kern w:val="0"/>
      <w:sz w:val="24"/>
      <w:szCs w:val="20"/>
    </w:rPr>
  </w:style>
  <w:style w:type="paragraph" w:styleId="12">
    <w:name w:val="Body Text"/>
    <w:basedOn w:val="1"/>
    <w:next w:val="6"/>
    <w:link w:val="34"/>
    <w:qFormat/>
    <w:uiPriority w:val="0"/>
    <w:pPr>
      <w:widowControl/>
      <w:snapToGrid w:val="0"/>
      <w:spacing w:before="60" w:after="160" w:line="259" w:lineRule="auto"/>
      <w:ind w:right="113"/>
    </w:pPr>
    <w:rPr>
      <w:kern w:val="0"/>
      <w:sz w:val="18"/>
      <w:szCs w:val="20"/>
    </w:rPr>
  </w:style>
  <w:style w:type="paragraph" w:styleId="13">
    <w:name w:val="Body Text Indent"/>
    <w:basedOn w:val="1"/>
    <w:link w:val="32"/>
    <w:semiHidden/>
    <w:qFormat/>
    <w:uiPriority w:val="0"/>
    <w:pPr>
      <w:spacing w:after="120"/>
      <w:ind w:left="420" w:leftChars="200"/>
    </w:pPr>
    <w:rPr>
      <w:kern w:val="0"/>
      <w:sz w:val="24"/>
    </w:rPr>
  </w:style>
  <w:style w:type="paragraph" w:styleId="14">
    <w:name w:val="Plain Text"/>
    <w:basedOn w:val="1"/>
    <w:qFormat/>
    <w:uiPriority w:val="0"/>
    <w:rPr>
      <w:rFonts w:ascii="宋体" w:hAnsi="Courier New" w:cs="Courier New"/>
      <w:szCs w:val="21"/>
    </w:rPr>
  </w:style>
  <w:style w:type="paragraph" w:styleId="15">
    <w:name w:val="Date"/>
    <w:basedOn w:val="1"/>
    <w:next w:val="1"/>
    <w:link w:val="35"/>
    <w:qFormat/>
    <w:uiPriority w:val="0"/>
    <w:pPr>
      <w:ind w:left="100" w:leftChars="2500"/>
    </w:pPr>
    <w:rPr>
      <w:kern w:val="0"/>
      <w:sz w:val="24"/>
      <w:szCs w:val="20"/>
    </w:rPr>
  </w:style>
  <w:style w:type="paragraph" w:styleId="16">
    <w:name w:val="Body Text Indent 2"/>
    <w:basedOn w:val="1"/>
    <w:link w:val="70"/>
    <w:qFormat/>
    <w:uiPriority w:val="0"/>
    <w:pPr>
      <w:spacing w:after="120" w:line="480" w:lineRule="auto"/>
      <w:ind w:left="420" w:leftChars="200"/>
    </w:pPr>
  </w:style>
  <w:style w:type="paragraph" w:styleId="17">
    <w:name w:val="Balloon Text"/>
    <w:basedOn w:val="1"/>
    <w:next w:val="1"/>
    <w:link w:val="36"/>
    <w:semiHidden/>
    <w:qFormat/>
    <w:uiPriority w:val="0"/>
    <w:rPr>
      <w:kern w:val="0"/>
      <w:sz w:val="18"/>
      <w:szCs w:val="18"/>
    </w:rPr>
  </w:style>
  <w:style w:type="paragraph" w:styleId="18">
    <w:name w:val="footer"/>
    <w:basedOn w:val="1"/>
    <w:link w:val="37"/>
    <w:qFormat/>
    <w:uiPriority w:val="0"/>
    <w:pPr>
      <w:tabs>
        <w:tab w:val="center" w:pos="4153"/>
        <w:tab w:val="right" w:pos="8306"/>
      </w:tabs>
      <w:snapToGrid w:val="0"/>
      <w:jc w:val="left"/>
    </w:pPr>
    <w:rPr>
      <w:kern w:val="0"/>
      <w:sz w:val="18"/>
      <w:szCs w:val="18"/>
    </w:rPr>
  </w:style>
  <w:style w:type="paragraph" w:styleId="19">
    <w:name w:val="header"/>
    <w:basedOn w:val="1"/>
    <w:link w:val="38"/>
    <w:qFormat/>
    <w:uiPriority w:val="99"/>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qFormat/>
    <w:locked/>
    <w:uiPriority w:val="0"/>
  </w:style>
  <w:style w:type="paragraph" w:styleId="21">
    <w:name w:val="toc 2"/>
    <w:basedOn w:val="1"/>
    <w:next w:val="1"/>
    <w:qFormat/>
    <w:locked/>
    <w:uiPriority w:val="0"/>
    <w:pPr>
      <w:ind w:left="420" w:leftChars="200"/>
    </w:pPr>
  </w:style>
  <w:style w:type="paragraph" w:styleId="22">
    <w:name w:val="Normal (Web)"/>
    <w:basedOn w:val="1"/>
    <w:link w:val="39"/>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next w:val="1"/>
    <w:qFormat/>
    <w:locked/>
    <w:uiPriority w:val="0"/>
    <w:pPr>
      <w:spacing w:before="240" w:after="60"/>
      <w:jc w:val="center"/>
      <w:outlineLvl w:val="0"/>
    </w:pPr>
    <w:rPr>
      <w:rFonts w:ascii="Cambria" w:hAnsi="Cambria" w:eastAsia="方正小标宋简体"/>
      <w:bCs/>
      <w:kern w:val="0"/>
      <w:sz w:val="36"/>
      <w:szCs w:val="32"/>
    </w:rPr>
  </w:style>
  <w:style w:type="paragraph" w:styleId="24">
    <w:name w:val="annotation subject"/>
    <w:basedOn w:val="11"/>
    <w:next w:val="11"/>
    <w:link w:val="40"/>
    <w:semiHidden/>
    <w:qFormat/>
    <w:uiPriority w:val="0"/>
    <w:rPr>
      <w:b/>
      <w:bCs/>
      <w:kern w:val="2"/>
      <w:sz w:val="20"/>
      <w:szCs w:val="24"/>
    </w:rPr>
  </w:style>
  <w:style w:type="paragraph" w:styleId="25">
    <w:name w:val="Body Text First Indent"/>
    <w:basedOn w:val="12"/>
    <w:next w:val="1"/>
    <w:qFormat/>
    <w:uiPriority w:val="0"/>
    <w:pPr>
      <w:ind w:firstLine="720" w:firstLineChars="200"/>
    </w:pPr>
    <w:rPr>
      <w:kern w:val="0"/>
      <w:sz w:val="24"/>
      <w:szCs w:val="20"/>
    </w:rPr>
  </w:style>
  <w:style w:type="paragraph" w:styleId="26">
    <w:name w:val="Body Text First Indent 2"/>
    <w:basedOn w:val="13"/>
    <w:next w:val="1"/>
    <w:link w:val="69"/>
    <w:qFormat/>
    <w:uiPriority w:val="0"/>
    <w:pPr>
      <w:ind w:firstLine="420" w:firstLineChars="20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uiPriority w:val="0"/>
  </w:style>
  <w:style w:type="character" w:styleId="31">
    <w:name w:val="annotation reference"/>
    <w:semiHidden/>
    <w:qFormat/>
    <w:uiPriority w:val="0"/>
    <w:rPr>
      <w:sz w:val="21"/>
    </w:rPr>
  </w:style>
  <w:style w:type="character" w:customStyle="1" w:styleId="32">
    <w:name w:val="正文文本缩进 字符"/>
    <w:link w:val="13"/>
    <w:semiHidden/>
    <w:qFormat/>
    <w:locked/>
    <w:uiPriority w:val="0"/>
    <w:rPr>
      <w:rFonts w:ascii="Times New Roman" w:hAnsi="Times New Roman" w:eastAsia="宋体" w:cs="Times New Roman"/>
      <w:sz w:val="24"/>
      <w:szCs w:val="24"/>
    </w:rPr>
  </w:style>
  <w:style w:type="character" w:customStyle="1" w:styleId="33">
    <w:name w:val="批注文字 字符"/>
    <w:link w:val="11"/>
    <w:qFormat/>
    <w:locked/>
    <w:uiPriority w:val="0"/>
    <w:rPr>
      <w:rFonts w:ascii="Times New Roman" w:hAnsi="Times New Roman" w:eastAsia="宋体"/>
      <w:sz w:val="24"/>
    </w:rPr>
  </w:style>
  <w:style w:type="character" w:customStyle="1" w:styleId="34">
    <w:name w:val="正文文本 字符"/>
    <w:link w:val="12"/>
    <w:qFormat/>
    <w:locked/>
    <w:uiPriority w:val="0"/>
    <w:rPr>
      <w:sz w:val="18"/>
    </w:rPr>
  </w:style>
  <w:style w:type="character" w:customStyle="1" w:styleId="35">
    <w:name w:val="日期 字符1"/>
    <w:link w:val="15"/>
    <w:qFormat/>
    <w:locked/>
    <w:uiPriority w:val="0"/>
    <w:rPr>
      <w:rFonts w:ascii="Times New Roman" w:hAnsi="Times New Roman" w:eastAsia="宋体"/>
      <w:sz w:val="24"/>
    </w:rPr>
  </w:style>
  <w:style w:type="character" w:customStyle="1" w:styleId="36">
    <w:name w:val="批注框文本 字符"/>
    <w:link w:val="17"/>
    <w:semiHidden/>
    <w:qFormat/>
    <w:locked/>
    <w:uiPriority w:val="0"/>
    <w:rPr>
      <w:rFonts w:ascii="Times New Roman" w:hAnsi="Times New Roman" w:eastAsia="宋体" w:cs="Times New Roman"/>
      <w:sz w:val="18"/>
      <w:szCs w:val="18"/>
    </w:rPr>
  </w:style>
  <w:style w:type="character" w:customStyle="1" w:styleId="37">
    <w:name w:val="页脚 字符"/>
    <w:link w:val="18"/>
    <w:qFormat/>
    <w:locked/>
    <w:uiPriority w:val="99"/>
    <w:rPr>
      <w:rFonts w:cs="Times New Roman"/>
      <w:sz w:val="18"/>
      <w:szCs w:val="18"/>
    </w:rPr>
  </w:style>
  <w:style w:type="character" w:customStyle="1" w:styleId="38">
    <w:name w:val="页眉 字符"/>
    <w:link w:val="19"/>
    <w:qFormat/>
    <w:locked/>
    <w:uiPriority w:val="99"/>
    <w:rPr>
      <w:rFonts w:cs="Times New Roman"/>
      <w:sz w:val="18"/>
      <w:szCs w:val="18"/>
    </w:rPr>
  </w:style>
  <w:style w:type="character" w:customStyle="1" w:styleId="39">
    <w:name w:val="普通(网站) 字符"/>
    <w:link w:val="22"/>
    <w:qFormat/>
    <w:locked/>
    <w:uiPriority w:val="0"/>
    <w:rPr>
      <w:rFonts w:ascii="宋体" w:hAnsi="宋体" w:eastAsia="宋体"/>
      <w:sz w:val="24"/>
    </w:rPr>
  </w:style>
  <w:style w:type="character" w:customStyle="1" w:styleId="40">
    <w:name w:val="批注主题 字符"/>
    <w:link w:val="24"/>
    <w:semiHidden/>
    <w:qFormat/>
    <w:locked/>
    <w:uiPriority w:val="0"/>
    <w:rPr>
      <w:rFonts w:cs="Times New Roman"/>
      <w:b/>
      <w:bCs/>
      <w:kern w:val="2"/>
      <w:szCs w:val="24"/>
    </w:rPr>
  </w:style>
  <w:style w:type="paragraph" w:customStyle="1" w:styleId="41">
    <w:name w:val="Default"/>
    <w:next w:val="5"/>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42">
    <w:name w:val="日期 字符"/>
    <w:semiHidden/>
    <w:qFormat/>
    <w:uiPriority w:val="0"/>
    <w:rPr>
      <w:rFonts w:ascii="Times New Roman" w:hAnsi="Times New Roman" w:eastAsia="宋体" w:cs="Times New Roman"/>
      <w:sz w:val="24"/>
      <w:szCs w:val="24"/>
    </w:rPr>
  </w:style>
  <w:style w:type="character" w:customStyle="1" w:styleId="43">
    <w:name w:val="正文文本 字符1"/>
    <w:semiHidden/>
    <w:qFormat/>
    <w:uiPriority w:val="0"/>
    <w:rPr>
      <w:rFonts w:ascii="Times New Roman" w:hAnsi="Times New Roman" w:eastAsia="宋体" w:cs="Times New Roman"/>
      <w:sz w:val="24"/>
      <w:szCs w:val="24"/>
    </w:rPr>
  </w:style>
  <w:style w:type="paragraph" w:customStyle="1" w:styleId="44">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5">
    <w:name w:val="表格 Char"/>
    <w:link w:val="46"/>
    <w:qFormat/>
    <w:locked/>
    <w:uiPriority w:val="0"/>
    <w:rPr>
      <w:rFonts w:ascii="宋体"/>
      <w:sz w:val="21"/>
    </w:rPr>
  </w:style>
  <w:style w:type="paragraph" w:customStyle="1" w:styleId="46">
    <w:name w:val="表格"/>
    <w:basedOn w:val="9"/>
    <w:next w:val="1"/>
    <w:link w:val="45"/>
    <w:qFormat/>
    <w:uiPriority w:val="0"/>
    <w:pPr>
      <w:adjustRightInd w:val="0"/>
      <w:snapToGrid w:val="0"/>
      <w:spacing w:beforeLines="10" w:afterLines="10" w:line="259" w:lineRule="auto"/>
      <w:jc w:val="center"/>
    </w:pPr>
    <w:rPr>
      <w:rFonts w:ascii="宋体"/>
      <w:kern w:val="0"/>
      <w:szCs w:val="20"/>
    </w:rPr>
  </w:style>
  <w:style w:type="character" w:customStyle="1" w:styleId="47">
    <w:name w:val="批注文字 字符1"/>
    <w:semiHidden/>
    <w:qFormat/>
    <w:uiPriority w:val="0"/>
    <w:rPr>
      <w:rFonts w:ascii="Times New Roman" w:hAnsi="Times New Roman" w:eastAsia="宋体" w:cs="Times New Roman"/>
      <w:sz w:val="24"/>
      <w:szCs w:val="24"/>
    </w:rPr>
  </w:style>
  <w:style w:type="character" w:customStyle="1" w:styleId="48">
    <w:name w:val="普通(网站) Char"/>
    <w:qFormat/>
    <w:locked/>
    <w:uiPriority w:val="0"/>
    <w:rPr>
      <w:rFonts w:ascii="宋体" w:hAnsi="宋体" w:eastAsia="宋体"/>
      <w:sz w:val="24"/>
    </w:rPr>
  </w:style>
  <w:style w:type="paragraph" w:customStyle="1" w:styleId="49">
    <w:name w:val="表格的格式"/>
    <w:basedOn w:val="50"/>
    <w:qFormat/>
    <w:uiPriority w:val="0"/>
    <w:pPr>
      <w:tabs>
        <w:tab w:val="center" w:pos="4153"/>
        <w:tab w:val="right" w:pos="8306"/>
      </w:tabs>
      <w:spacing w:line="240" w:lineRule="auto"/>
    </w:pPr>
    <w:rPr>
      <w:sz w:val="21"/>
    </w:rPr>
  </w:style>
  <w:style w:type="paragraph" w:customStyle="1" w:styleId="50">
    <w:name w:val="表格格式2"/>
    <w:basedOn w:val="1"/>
    <w:qFormat/>
    <w:uiPriority w:val="0"/>
    <w:pPr>
      <w:tabs>
        <w:tab w:val="center" w:pos="4153"/>
        <w:tab w:val="right" w:pos="8306"/>
      </w:tabs>
      <w:spacing w:line="24" w:lineRule="auto"/>
      <w:jc w:val="center"/>
    </w:pPr>
    <w:rPr>
      <w:rFonts w:ascii="Calibri" w:hAnsi="Calibri"/>
      <w:color w:val="000000"/>
      <w:kern w:val="0"/>
      <w:sz w:val="20"/>
      <w:szCs w:val="21"/>
    </w:rPr>
  </w:style>
  <w:style w:type="paragraph" w:customStyle="1" w:styleId="51">
    <w:name w:val="H标题2"/>
    <w:basedOn w:val="3"/>
    <w:qFormat/>
    <w:uiPriority w:val="0"/>
    <w:pPr>
      <w:keepNext w:val="0"/>
      <w:keepLines w:val="0"/>
      <w:tabs>
        <w:tab w:val="left" w:pos="5400"/>
      </w:tabs>
      <w:spacing w:beforeLines="50" w:afterLines="50" w:line="360" w:lineRule="auto"/>
      <w:jc w:val="left"/>
    </w:pPr>
    <w:rPr>
      <w:rFonts w:ascii="Times New Roman" w:hAnsi="Times New Roman"/>
      <w:kern w:val="0"/>
      <w:sz w:val="30"/>
    </w:rPr>
  </w:style>
  <w:style w:type="paragraph" w:customStyle="1" w:styleId="52">
    <w:name w:val="表格正文"/>
    <w:basedOn w:val="1"/>
    <w:qFormat/>
    <w:uiPriority w:val="0"/>
    <w:pPr>
      <w:spacing w:line="400" w:lineRule="exact"/>
      <w:jc w:val="center"/>
    </w:pPr>
  </w:style>
  <w:style w:type="paragraph" w:customStyle="1" w:styleId="53">
    <w:name w:val="111表格的格式"/>
    <w:basedOn w:val="1"/>
    <w:qFormat/>
    <w:uiPriority w:val="0"/>
    <w:pPr>
      <w:adjustRightInd w:val="0"/>
      <w:snapToGrid w:val="0"/>
      <w:jc w:val="center"/>
    </w:pPr>
  </w:style>
  <w:style w:type="paragraph" w:customStyle="1" w:styleId="54">
    <w:name w:val="0正文"/>
    <w:basedOn w:val="13"/>
    <w:unhideWhenUsed/>
    <w:qFormat/>
    <w:uiPriority w:val="0"/>
    <w:pPr>
      <w:spacing w:line="360" w:lineRule="auto"/>
      <w:ind w:firstLine="720" w:firstLineChars="200"/>
    </w:pPr>
    <w:rPr>
      <w:szCs w:val="22"/>
    </w:rPr>
  </w:style>
  <w:style w:type="paragraph" w:customStyle="1" w:styleId="55">
    <w:name w:val="xry表格文字"/>
    <w:basedOn w:val="56"/>
    <w:qFormat/>
    <w:uiPriority w:val="99"/>
    <w:pPr>
      <w:ind w:firstLine="0" w:firstLineChars="0"/>
      <w:jc w:val="center"/>
    </w:pPr>
    <w:rPr>
      <w:sz w:val="21"/>
    </w:rPr>
  </w:style>
  <w:style w:type="paragraph" w:customStyle="1" w:styleId="56">
    <w:name w:val="无间隔1"/>
    <w:qFormat/>
    <w:uiPriority w:val="1"/>
    <w:pPr>
      <w:widowControl w:val="0"/>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57">
    <w:name w:val="表格内文字"/>
    <w:basedOn w:val="1"/>
    <w:qFormat/>
    <w:uiPriority w:val="0"/>
    <w:pPr>
      <w:tabs>
        <w:tab w:val="left" w:pos="0"/>
      </w:tabs>
      <w:adjustRightInd w:val="0"/>
      <w:snapToGrid w:val="0"/>
      <w:jc w:val="center"/>
    </w:pPr>
    <w:rPr>
      <w:rFonts w:hAnsi="宋体"/>
      <w:snapToGrid w:val="0"/>
      <w:kern w:val="0"/>
      <w:szCs w:val="21"/>
      <w:lang w:val="de-DE"/>
    </w:rPr>
  </w:style>
  <w:style w:type="paragraph" w:customStyle="1" w:styleId="58">
    <w:name w:val="样式 小四 行距: 1.5 倍行距1"/>
    <w:basedOn w:val="1"/>
    <w:qFormat/>
    <w:uiPriority w:val="0"/>
    <w:pPr>
      <w:spacing w:line="360" w:lineRule="auto"/>
      <w:ind w:firstLine="200" w:firstLineChars="200"/>
    </w:pPr>
    <w:rPr>
      <w:rFonts w:cs="宋体"/>
      <w:sz w:val="24"/>
      <w:szCs w:val="20"/>
    </w:rPr>
  </w:style>
  <w:style w:type="paragraph" w:customStyle="1" w:styleId="59">
    <w:name w:val="什么4"/>
    <w:basedOn w:val="1"/>
    <w:qFormat/>
    <w:uiPriority w:val="0"/>
    <w:pPr>
      <w:tabs>
        <w:tab w:val="left" w:pos="851"/>
      </w:tabs>
      <w:spacing w:line="360" w:lineRule="auto"/>
      <w:ind w:left="851" w:hanging="851"/>
      <w:jc w:val="left"/>
      <w:outlineLvl w:val="3"/>
    </w:pPr>
    <w:rPr>
      <w:b/>
    </w:rPr>
  </w:style>
  <w:style w:type="paragraph" w:customStyle="1" w:styleId="60">
    <w:name w:val="4级标题"/>
    <w:basedOn w:val="1"/>
    <w:next w:val="61"/>
    <w:qFormat/>
    <w:uiPriority w:val="0"/>
    <w:pPr>
      <w:tabs>
        <w:tab w:val="left" w:pos="1369"/>
      </w:tabs>
      <w:spacing w:before="120" w:after="120" w:line="360" w:lineRule="auto"/>
      <w:outlineLvl w:val="3"/>
    </w:pPr>
    <w:rPr>
      <w:b/>
      <w:sz w:val="24"/>
    </w:rPr>
  </w:style>
  <w:style w:type="paragraph" w:customStyle="1" w:styleId="61">
    <w:name w:val="5段落"/>
    <w:basedOn w:val="1"/>
    <w:link w:val="68"/>
    <w:qFormat/>
    <w:uiPriority w:val="0"/>
    <w:pPr>
      <w:spacing w:line="360" w:lineRule="auto"/>
      <w:ind w:firstLine="200" w:firstLineChars="200"/>
    </w:pPr>
    <w:rPr>
      <w:color w:val="000000"/>
      <w:sz w:val="24"/>
    </w:rPr>
  </w:style>
  <w:style w:type="paragraph" w:customStyle="1" w:styleId="62">
    <w:name w:val="表标题"/>
    <w:basedOn w:val="1"/>
    <w:qFormat/>
    <w:uiPriority w:val="0"/>
    <w:pPr>
      <w:jc w:val="center"/>
    </w:pPr>
    <w:rPr>
      <w:b/>
    </w:rPr>
  </w:style>
  <w:style w:type="paragraph" w:customStyle="1" w:styleId="63">
    <w:name w:val="表格内文字 + 两端对齐"/>
    <w:basedOn w:val="57"/>
    <w:qFormat/>
    <w:uiPriority w:val="0"/>
    <w:pPr>
      <w:tabs>
        <w:tab w:val="left" w:pos="1260"/>
        <w:tab w:val="left" w:pos="1449"/>
        <w:tab w:val="left" w:pos="3825"/>
        <w:tab w:val="clear" w:pos="0"/>
      </w:tabs>
      <w:adjustRightInd/>
      <w:snapToGrid/>
    </w:pPr>
    <w:rPr>
      <w:rFonts w:hAnsi="Times New Roman"/>
      <w:color w:val="000000"/>
      <w:szCs w:val="20"/>
    </w:rPr>
  </w:style>
  <w:style w:type="paragraph" w:customStyle="1" w:styleId="64">
    <w:name w:val="WPSOffice手动目录 1"/>
    <w:qFormat/>
    <w:uiPriority w:val="0"/>
    <w:rPr>
      <w:rFonts w:ascii="Times New Roman" w:hAnsi="Times New Roman" w:eastAsia="宋体" w:cs="Times New Roman"/>
      <w:lang w:val="en-US" w:eastAsia="zh-CN" w:bidi="ar-SA"/>
    </w:rPr>
  </w:style>
  <w:style w:type="paragraph" w:customStyle="1" w:styleId="65">
    <w:name w:val="A表格标题"/>
    <w:basedOn w:val="66"/>
    <w:qFormat/>
    <w:uiPriority w:val="0"/>
    <w:pPr>
      <w:spacing w:beforeLines="0" w:line="240" w:lineRule="auto"/>
    </w:pPr>
    <w:rPr>
      <w:sz w:val="24"/>
    </w:rPr>
  </w:style>
  <w:style w:type="paragraph" w:customStyle="1" w:styleId="66">
    <w:name w:val="表格标题"/>
    <w:basedOn w:val="1"/>
    <w:qFormat/>
    <w:uiPriority w:val="0"/>
    <w:pPr>
      <w:spacing w:beforeLines="50" w:line="360" w:lineRule="auto"/>
      <w:jc w:val="center"/>
    </w:pPr>
    <w:rPr>
      <w:rFonts w:eastAsia="黑体"/>
      <w:kern w:val="0"/>
      <w:sz w:val="20"/>
      <w:szCs w:val="20"/>
    </w:rPr>
  </w:style>
  <w:style w:type="character" w:customStyle="1" w:styleId="67">
    <w:name w:val="文档结构图 字符"/>
    <w:basedOn w:val="29"/>
    <w:link w:val="10"/>
    <w:qFormat/>
    <w:uiPriority w:val="0"/>
    <w:rPr>
      <w:rFonts w:ascii="宋体"/>
      <w:kern w:val="2"/>
      <w:sz w:val="18"/>
      <w:szCs w:val="18"/>
    </w:rPr>
  </w:style>
  <w:style w:type="character" w:customStyle="1" w:styleId="68">
    <w:name w:val="5段落 字符"/>
    <w:link w:val="61"/>
    <w:qFormat/>
    <w:uiPriority w:val="0"/>
    <w:rPr>
      <w:color w:val="000000"/>
      <w:kern w:val="2"/>
      <w:sz w:val="24"/>
      <w:szCs w:val="24"/>
    </w:rPr>
  </w:style>
  <w:style w:type="character" w:customStyle="1" w:styleId="69">
    <w:name w:val="正文文本首行缩进 2 字符"/>
    <w:basedOn w:val="32"/>
    <w:link w:val="26"/>
    <w:qFormat/>
    <w:uiPriority w:val="0"/>
    <w:rPr>
      <w:rFonts w:ascii="Times New Roman" w:hAnsi="Times New Roman" w:eastAsia="宋体" w:cs="Times New Roman"/>
      <w:sz w:val="24"/>
      <w:szCs w:val="24"/>
    </w:rPr>
  </w:style>
  <w:style w:type="character" w:customStyle="1" w:styleId="70">
    <w:name w:val="正文文本缩进 2 字符"/>
    <w:basedOn w:val="29"/>
    <w:link w:val="16"/>
    <w:qFormat/>
    <w:uiPriority w:val="0"/>
    <w:rPr>
      <w:kern w:val="2"/>
      <w:sz w:val="21"/>
      <w:szCs w:val="24"/>
    </w:rPr>
  </w:style>
  <w:style w:type="character" w:customStyle="1" w:styleId="71">
    <w:name w:val="fontstyle01"/>
    <w:basedOn w:val="29"/>
    <w:qFormat/>
    <w:uiPriority w:val="0"/>
    <w:rPr>
      <w:rFonts w:ascii="宋体" w:hAnsi="宋体" w:eastAsia="宋体" w:cs="宋体"/>
      <w:color w:val="FFFFFF"/>
      <w:sz w:val="24"/>
      <w:szCs w:val="24"/>
    </w:rPr>
  </w:style>
  <w:style w:type="character" w:customStyle="1" w:styleId="72">
    <w:name w:val="fontstyle21"/>
    <w:basedOn w:val="29"/>
    <w:qFormat/>
    <w:uiPriority w:val="0"/>
    <w:rPr>
      <w:rFonts w:ascii="TimesNewRomanPSMT" w:hAnsi="TimesNewRomanPSMT" w:eastAsia="TimesNewRomanPSMT" w:cs="TimesNewRomanPSMT"/>
      <w:color w:val="000000"/>
      <w:sz w:val="24"/>
      <w:szCs w:val="24"/>
    </w:rPr>
  </w:style>
  <w:style w:type="character" w:customStyle="1" w:styleId="73">
    <w:name w:val="页脚 Char"/>
    <w:qFormat/>
    <w:locked/>
    <w:uiPriority w:val="0"/>
    <w:rPr>
      <w:rFonts w:cs="Times New Roman"/>
      <w:sz w:val="18"/>
      <w:szCs w:val="18"/>
    </w:rPr>
  </w:style>
  <w:style w:type="paragraph" w:customStyle="1" w:styleId="74">
    <w:name w:val="正文缩进2字符"/>
    <w:basedOn w:val="1"/>
    <w:qFormat/>
    <w:uiPriority w:val="0"/>
    <w:pPr>
      <w:spacing w:line="360" w:lineRule="auto"/>
      <w:ind w:firstLine="1300" w:firstLineChars="200"/>
    </w:pPr>
    <w:rPr>
      <w:rFonts w:hint="eastAsia"/>
      <w:sz w:val="24"/>
    </w:rPr>
  </w:style>
  <w:style w:type="table" w:customStyle="1" w:styleId="75">
    <w:name w:val="Table Normal"/>
    <w:unhideWhenUsed/>
    <w:qFormat/>
    <w:uiPriority w:val="0"/>
    <w:tblPr>
      <w:tblCellMar>
        <w:top w:w="0" w:type="dxa"/>
        <w:left w:w="0" w:type="dxa"/>
        <w:bottom w:w="0" w:type="dxa"/>
        <w:right w:w="0" w:type="dxa"/>
      </w:tblCellMar>
    </w:tblPr>
  </w:style>
  <w:style w:type="character" w:customStyle="1" w:styleId="76">
    <w:name w:val="123正文 Char"/>
    <w:link w:val="77"/>
    <w:qFormat/>
    <w:locked/>
    <w:uiPriority w:val="0"/>
    <w:rPr>
      <w:kern w:val="2"/>
      <w:sz w:val="21"/>
      <w:szCs w:val="24"/>
      <w:lang w:val="zh-CN"/>
    </w:rPr>
  </w:style>
  <w:style w:type="paragraph" w:customStyle="1" w:styleId="77">
    <w:name w:val="123正文"/>
    <w:basedOn w:val="1"/>
    <w:link w:val="76"/>
    <w:qFormat/>
    <w:uiPriority w:val="0"/>
    <w:pPr>
      <w:snapToGrid w:val="0"/>
      <w:spacing w:line="360" w:lineRule="auto"/>
      <w:ind w:firstLine="200" w:firstLineChars="200"/>
    </w:pPr>
    <w:rPr>
      <w:lang w:val="zh-CN"/>
    </w:rPr>
  </w:style>
  <w:style w:type="character" w:customStyle="1" w:styleId="78">
    <w:name w:val="正文(修改)-wd Char"/>
    <w:link w:val="79"/>
    <w:qFormat/>
    <w:uiPriority w:val="0"/>
    <w:rPr>
      <w:kern w:val="2"/>
      <w:sz w:val="24"/>
      <w:szCs w:val="24"/>
    </w:rPr>
  </w:style>
  <w:style w:type="paragraph" w:customStyle="1" w:styleId="79">
    <w:name w:val="正文(修改)-wd"/>
    <w:basedOn w:val="1"/>
    <w:link w:val="78"/>
    <w:qFormat/>
    <w:uiPriority w:val="0"/>
    <w:pPr>
      <w:spacing w:line="360" w:lineRule="auto"/>
      <w:ind w:firstLine="480" w:firstLineChars="200"/>
    </w:pPr>
    <w:rPr>
      <w:sz w:val="24"/>
    </w:rPr>
  </w:style>
  <w:style w:type="paragraph" w:customStyle="1" w:styleId="80">
    <w:name w:val="报告正文"/>
    <w:basedOn w:val="1"/>
    <w:qFormat/>
    <w:uiPriority w:val="0"/>
    <w:pPr>
      <w:autoSpaceDE w:val="0"/>
      <w:autoSpaceDN w:val="0"/>
      <w:spacing w:line="360" w:lineRule="auto"/>
      <w:ind w:firstLine="200" w:firstLineChars="200"/>
    </w:pPr>
    <w:rPr>
      <w:rFonts w:ascii="Times New Roman" w:hAnsi="Times New Roman" w:eastAsia="宋体" w:cs="宋体"/>
      <w:kern w:val="0"/>
      <w:sz w:val="24"/>
      <w:szCs w:val="21"/>
    </w:rPr>
  </w:style>
  <w:style w:type="paragraph" w:customStyle="1" w:styleId="81">
    <w:name w:val="表格题目"/>
    <w:next w:val="46"/>
    <w:qFormat/>
    <w:uiPriority w:val="99"/>
    <w:pPr>
      <w:widowControl w:val="0"/>
      <w:jc w:val="center"/>
    </w:pPr>
    <w:rPr>
      <w:rFonts w:ascii="Times New Roman" w:hAnsi="Times New Roman" w:eastAsia="宋体" w:cs="Times New Roman"/>
      <w:b/>
      <w:bCs/>
      <w:kern w:val="2"/>
      <w:sz w:val="24"/>
      <w:szCs w:val="32"/>
      <w:lang w:val="en-US" w:eastAsia="zh-CN" w:bidi="ar-SA"/>
    </w:rPr>
  </w:style>
  <w:style w:type="paragraph" w:customStyle="1" w:styleId="82">
    <w:name w:val="规范表格文"/>
    <w:basedOn w:val="12"/>
    <w:qFormat/>
    <w:uiPriority w:val="0"/>
    <w:pPr>
      <w:spacing w:after="0" w:line="240" w:lineRule="auto"/>
      <w:ind w:right="0"/>
      <w:jc w:val="center"/>
    </w:pPr>
    <w:rPr>
      <w:rFonts w:ascii="Times New Roman" w:hAnsi="Times New Roman" w:eastAsia="宋体" w:cs="Times New Roman"/>
      <w:sz w:val="21"/>
      <w:szCs w:val="24"/>
    </w:rPr>
  </w:style>
  <w:style w:type="paragraph" w:customStyle="1" w:styleId="83">
    <w:name w:val="表格的字"/>
    <w:basedOn w:val="1"/>
    <w:qFormat/>
    <w:uiPriority w:val="0"/>
    <w:pPr>
      <w:jc w:val="center"/>
    </w:pPr>
    <w:rPr>
      <w:rFonts w:ascii="Times New Roman" w:hAnsi="Times New Roman" w:eastAsia="宋体"/>
      <w:szCs w:val="24"/>
    </w:rPr>
  </w:style>
  <w:style w:type="paragraph" w:customStyle="1" w:styleId="84">
    <w:name w:val="Table Paragraph"/>
    <w:basedOn w:val="1"/>
    <w:qFormat/>
    <w:uiPriority w:val="1"/>
    <w:pPr>
      <w:jc w:val="center"/>
    </w:pPr>
    <w:rPr>
      <w:rFonts w:ascii="宋体" w:hAnsi="宋体" w:eastAsia="宋体" w:cs="宋体"/>
      <w:lang w:val="en-US" w:eastAsia="zh-CN" w:bidi="ar-SA"/>
    </w:rPr>
  </w:style>
  <w:style w:type="paragraph" w:customStyle="1" w:styleId="85">
    <w:name w:val="表格内容"/>
    <w:next w:val="1"/>
    <w:qFormat/>
    <w:uiPriority w:val="0"/>
    <w:pPr>
      <w:jc w:val="center"/>
    </w:pPr>
    <w:rPr>
      <w:rFonts w:ascii="Times New Roman" w:hAnsi="Times New Roman" w:eastAsia="宋体" w:cs="Times New Roman"/>
      <w:sz w:val="21"/>
      <w:lang w:val="en-US" w:eastAsia="zh-CN" w:bidi="ar-SA"/>
    </w:rPr>
  </w:style>
  <w:style w:type="paragraph" w:customStyle="1" w:styleId="86">
    <w:name w:val="yang正文"/>
    <w:basedOn w:val="1"/>
    <w:qFormat/>
    <w:uiPriority w:val="0"/>
    <w:pPr>
      <w:adjustRightInd w:val="0"/>
      <w:snapToGrid w:val="0"/>
      <w:spacing w:line="360" w:lineRule="auto"/>
      <w:ind w:firstLine="480" w:firstLineChars="200"/>
    </w:pPr>
    <w:rPr>
      <w:kern w:val="0"/>
      <w:sz w:val="24"/>
    </w:rPr>
  </w:style>
  <w:style w:type="paragraph" w:customStyle="1" w:styleId="87">
    <w:name w:val="表格正文 Char Char Char Char"/>
    <w:basedOn w:val="1"/>
    <w:qFormat/>
    <w:uiPriority w:val="0"/>
    <w:rPr>
      <w:szCs w:val="20"/>
    </w:rPr>
  </w:style>
  <w:style w:type="paragraph" w:customStyle="1" w:styleId="88">
    <w:name w:val="WPSOffice手动目录 2"/>
    <w:qFormat/>
    <w:uiPriority w:val="0"/>
    <w:pPr>
      <w:ind w:leftChars="200"/>
    </w:pPr>
    <w:rPr>
      <w:rFonts w:ascii="Times New Roman" w:hAnsi="Times New Roman" w:eastAsia="宋体" w:cs="Times New Roman"/>
      <w:sz w:val="20"/>
      <w:szCs w:val="20"/>
    </w:rPr>
  </w:style>
  <w:style w:type="character" w:customStyle="1" w:styleId="89">
    <w:name w:val="fontstyle31"/>
    <w:basedOn w:val="29"/>
    <w:qFormat/>
    <w:uiPriority w:val="0"/>
    <w:rPr>
      <w:rFonts w:ascii="TimesNewRomanPSMT" w:hAnsi="TimesNewRomanPSMT" w:eastAsia="TimesNewRomanPSMT" w:cs="TimesNewRomanPSMT"/>
      <w:color w:val="000000"/>
      <w:sz w:val="18"/>
      <w:szCs w:val="18"/>
    </w:rPr>
  </w:style>
  <w:style w:type="paragraph" w:customStyle="1" w:styleId="90">
    <w:name w:val="7表格(治)"/>
    <w:qFormat/>
    <w:uiPriority w:val="0"/>
    <w:pPr>
      <w:jc w:val="center"/>
    </w:pPr>
    <w:rPr>
      <w:rFonts w:ascii="Times New Roman" w:hAnsi="Times New Roman" w:eastAsia="宋体" w:cs="Times New Roman"/>
      <w:sz w:val="21"/>
      <w:lang w:val="en-US" w:eastAsia="zh-CN" w:bidi="ar-SA"/>
    </w:rPr>
  </w:style>
  <w:style w:type="paragraph" w:customStyle="1" w:styleId="91">
    <w:name w:val="表格文字"/>
    <w:basedOn w:val="1"/>
    <w:qFormat/>
    <w:uiPriority w:val="0"/>
    <w:pPr>
      <w:adjustRightInd w:val="0"/>
      <w:snapToGrid w:val="0"/>
      <w:spacing w:line="260" w:lineRule="exact"/>
      <w:jc w:val="center"/>
    </w:pPr>
    <w:rPr>
      <w:szCs w:val="20"/>
    </w:rPr>
  </w:style>
  <w:style w:type="paragraph" w:customStyle="1" w:styleId="92">
    <w:name w:val="5文章(治)"/>
    <w:basedOn w:val="1"/>
    <w:qFormat/>
    <w:uiPriority w:val="0"/>
    <w:pPr>
      <w:spacing w:line="360" w:lineRule="auto"/>
      <w:ind w:firstLine="605" w:firstLineChars="200"/>
    </w:pPr>
    <w:rPr>
      <w:rFonts w:eastAsia="楷体_GB2312" w:cs="Times New Roman"/>
      <w:sz w:val="28"/>
      <w:szCs w:val="24"/>
    </w:rPr>
  </w:style>
  <w:style w:type="character" w:customStyle="1" w:styleId="93">
    <w:name w:val="font01"/>
    <w:basedOn w:val="29"/>
    <w:qFormat/>
    <w:uiPriority w:val="0"/>
    <w:rPr>
      <w:rFonts w:hint="default" w:ascii="Times New Roman" w:hAnsi="Times New Roman" w:cs="Times New Roman"/>
      <w:b/>
      <w:bCs/>
      <w:color w:val="000000"/>
      <w:sz w:val="21"/>
      <w:szCs w:val="21"/>
      <w:u w:val="none"/>
    </w:rPr>
  </w:style>
  <w:style w:type="character" w:customStyle="1" w:styleId="94">
    <w:name w:val="font11"/>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5.wmf"/><Relationship Id="rId98" Type="http://schemas.openxmlformats.org/officeDocument/2006/relationships/image" Target="media/image74.wmf"/><Relationship Id="rId97" Type="http://schemas.openxmlformats.org/officeDocument/2006/relationships/image" Target="media/image73.jpeg"/><Relationship Id="rId96" Type="http://schemas.openxmlformats.org/officeDocument/2006/relationships/image" Target="media/image72.wmf"/><Relationship Id="rId95" Type="http://schemas.openxmlformats.org/officeDocument/2006/relationships/image" Target="media/image71.wmf"/><Relationship Id="rId94" Type="http://schemas.openxmlformats.org/officeDocument/2006/relationships/oleObject" Target="embeddings/oleObject11.bin"/><Relationship Id="rId93" Type="http://schemas.openxmlformats.org/officeDocument/2006/relationships/image" Target="media/image70.wmf"/><Relationship Id="rId92" Type="http://schemas.openxmlformats.org/officeDocument/2006/relationships/oleObject" Target="embeddings/oleObject10.bin"/><Relationship Id="rId91" Type="http://schemas.openxmlformats.org/officeDocument/2006/relationships/image" Target="media/image69.wmf"/><Relationship Id="rId90" Type="http://schemas.openxmlformats.org/officeDocument/2006/relationships/image" Target="media/image68.jpeg"/><Relationship Id="rId9" Type="http://schemas.openxmlformats.org/officeDocument/2006/relationships/footer" Target="footer6.xml"/><Relationship Id="rId89" Type="http://schemas.openxmlformats.org/officeDocument/2006/relationships/image" Target="media/image67.wmf"/><Relationship Id="rId88" Type="http://schemas.openxmlformats.org/officeDocument/2006/relationships/image" Target="media/image66.wmf"/><Relationship Id="rId87" Type="http://schemas.openxmlformats.org/officeDocument/2006/relationships/image" Target="media/image65.wmf"/><Relationship Id="rId86" Type="http://schemas.openxmlformats.org/officeDocument/2006/relationships/image" Target="media/image64.wmf"/><Relationship Id="rId85" Type="http://schemas.openxmlformats.org/officeDocument/2006/relationships/image" Target="media/image63.wmf"/><Relationship Id="rId84" Type="http://schemas.openxmlformats.org/officeDocument/2006/relationships/oleObject" Target="embeddings/oleObject9.bin"/><Relationship Id="rId83" Type="http://schemas.openxmlformats.org/officeDocument/2006/relationships/image" Target="media/image62.wmf"/><Relationship Id="rId82" Type="http://schemas.openxmlformats.org/officeDocument/2006/relationships/image" Target="media/image61.wmf"/><Relationship Id="rId81" Type="http://schemas.openxmlformats.org/officeDocument/2006/relationships/image" Target="media/image60.wmf"/><Relationship Id="rId80" Type="http://schemas.openxmlformats.org/officeDocument/2006/relationships/image" Target="media/image59.wmf"/><Relationship Id="rId8" Type="http://schemas.openxmlformats.org/officeDocument/2006/relationships/header" Target="header1.xml"/><Relationship Id="rId79" Type="http://schemas.openxmlformats.org/officeDocument/2006/relationships/image" Target="media/image58.wmf"/><Relationship Id="rId78" Type="http://schemas.openxmlformats.org/officeDocument/2006/relationships/image" Target="media/image57.wmf"/><Relationship Id="rId77" Type="http://schemas.openxmlformats.org/officeDocument/2006/relationships/image" Target="media/image56.wmf"/><Relationship Id="rId76" Type="http://schemas.openxmlformats.org/officeDocument/2006/relationships/image" Target="media/image55.wmf"/><Relationship Id="rId75" Type="http://schemas.openxmlformats.org/officeDocument/2006/relationships/image" Target="media/image54.wmf"/><Relationship Id="rId74" Type="http://schemas.openxmlformats.org/officeDocument/2006/relationships/image" Target="media/image53.jpeg"/><Relationship Id="rId73" Type="http://schemas.openxmlformats.org/officeDocument/2006/relationships/image" Target="media/image52.wmf"/><Relationship Id="rId72" Type="http://schemas.openxmlformats.org/officeDocument/2006/relationships/image" Target="media/image51.wmf"/><Relationship Id="rId71" Type="http://schemas.openxmlformats.org/officeDocument/2006/relationships/image" Target="media/image50.wmf"/><Relationship Id="rId70" Type="http://schemas.openxmlformats.org/officeDocument/2006/relationships/image" Target="media/image49.wmf"/><Relationship Id="rId7" Type="http://schemas.openxmlformats.org/officeDocument/2006/relationships/footer" Target="footer5.xml"/><Relationship Id="rId69" Type="http://schemas.openxmlformats.org/officeDocument/2006/relationships/image" Target="media/image48.wmf"/><Relationship Id="rId68" Type="http://schemas.openxmlformats.org/officeDocument/2006/relationships/image" Target="media/image47.wmf"/><Relationship Id="rId67" Type="http://schemas.openxmlformats.org/officeDocument/2006/relationships/image" Target="media/image46.wmf"/><Relationship Id="rId66" Type="http://schemas.openxmlformats.org/officeDocument/2006/relationships/oleObject" Target="embeddings/oleObject8.bin"/><Relationship Id="rId65" Type="http://schemas.openxmlformats.org/officeDocument/2006/relationships/image" Target="media/image45.wmf"/><Relationship Id="rId64" Type="http://schemas.openxmlformats.org/officeDocument/2006/relationships/image" Target="media/image44.wmf"/><Relationship Id="rId63" Type="http://schemas.openxmlformats.org/officeDocument/2006/relationships/image" Target="media/image43.wmf"/><Relationship Id="rId62" Type="http://schemas.openxmlformats.org/officeDocument/2006/relationships/image" Target="media/image42.wmf"/><Relationship Id="rId61" Type="http://schemas.openxmlformats.org/officeDocument/2006/relationships/image" Target="media/image41.wmf"/><Relationship Id="rId60" Type="http://schemas.openxmlformats.org/officeDocument/2006/relationships/image" Target="media/image40.wmf"/><Relationship Id="rId6" Type="http://schemas.openxmlformats.org/officeDocument/2006/relationships/footer" Target="footer4.xml"/><Relationship Id="rId59" Type="http://schemas.openxmlformats.org/officeDocument/2006/relationships/oleObject" Target="embeddings/oleObject7.bin"/><Relationship Id="rId58" Type="http://schemas.openxmlformats.org/officeDocument/2006/relationships/image" Target="media/image39.wmf"/><Relationship Id="rId57" Type="http://schemas.openxmlformats.org/officeDocument/2006/relationships/image" Target="media/image38.wmf"/><Relationship Id="rId56" Type="http://schemas.openxmlformats.org/officeDocument/2006/relationships/image" Target="media/image37.wmf"/><Relationship Id="rId55" Type="http://schemas.openxmlformats.org/officeDocument/2006/relationships/image" Target="media/image36.wmf"/><Relationship Id="rId54" Type="http://schemas.openxmlformats.org/officeDocument/2006/relationships/image" Target="media/image35.wmf"/><Relationship Id="rId53" Type="http://schemas.openxmlformats.org/officeDocument/2006/relationships/oleObject" Target="embeddings/oleObject6.bin"/><Relationship Id="rId52" Type="http://schemas.openxmlformats.org/officeDocument/2006/relationships/image" Target="media/image34.wmf"/><Relationship Id="rId51" Type="http://schemas.openxmlformats.org/officeDocument/2006/relationships/image" Target="media/image33.wmf"/><Relationship Id="rId50" Type="http://schemas.openxmlformats.org/officeDocument/2006/relationships/image" Target="media/image32.wmf"/><Relationship Id="rId5" Type="http://schemas.openxmlformats.org/officeDocument/2006/relationships/footer" Target="footer3.xml"/><Relationship Id="rId49" Type="http://schemas.openxmlformats.org/officeDocument/2006/relationships/image" Target="media/image31.wmf"/><Relationship Id="rId48" Type="http://schemas.openxmlformats.org/officeDocument/2006/relationships/image" Target="media/image30.wmf"/><Relationship Id="rId47" Type="http://schemas.openxmlformats.org/officeDocument/2006/relationships/oleObject" Target="embeddings/oleObject5.bin"/><Relationship Id="rId46" Type="http://schemas.openxmlformats.org/officeDocument/2006/relationships/image" Target="media/image29.wmf"/><Relationship Id="rId45" Type="http://schemas.openxmlformats.org/officeDocument/2006/relationships/oleObject" Target="embeddings/oleObject4.bin"/><Relationship Id="rId44" Type="http://schemas.openxmlformats.org/officeDocument/2006/relationships/image" Target="media/image28.wmf"/><Relationship Id="rId43" Type="http://schemas.openxmlformats.org/officeDocument/2006/relationships/oleObject" Target="embeddings/oleObject3.bin"/><Relationship Id="rId42" Type="http://schemas.openxmlformats.org/officeDocument/2006/relationships/image" Target="media/image27.wmf"/><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wmf"/><Relationship Id="rId31" Type="http://schemas.openxmlformats.org/officeDocument/2006/relationships/oleObject" Target="embeddings/oleObject2.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85.png"/><Relationship Id="rId11" Type="http://schemas.openxmlformats.org/officeDocument/2006/relationships/footer" Target="footer8.xml"/><Relationship Id="rId109" Type="http://schemas.openxmlformats.org/officeDocument/2006/relationships/image" Target="media/image84.jpeg"/><Relationship Id="rId108" Type="http://schemas.openxmlformats.org/officeDocument/2006/relationships/image" Target="media/image83.png"/><Relationship Id="rId107" Type="http://schemas.openxmlformats.org/officeDocument/2006/relationships/image" Target="media/image82.jpeg"/><Relationship Id="rId106" Type="http://schemas.openxmlformats.org/officeDocument/2006/relationships/image" Target="media/image81.png"/><Relationship Id="rId105" Type="http://schemas.openxmlformats.org/officeDocument/2006/relationships/image" Target="media/image80.png"/><Relationship Id="rId104" Type="http://schemas.openxmlformats.org/officeDocument/2006/relationships/image" Target="media/image79.png"/><Relationship Id="rId103" Type="http://schemas.openxmlformats.org/officeDocument/2006/relationships/chart" Target="charts/chart1.xml"/><Relationship Id="rId102" Type="http://schemas.openxmlformats.org/officeDocument/2006/relationships/image" Target="media/image78.wmf"/><Relationship Id="rId101" Type="http://schemas.openxmlformats.org/officeDocument/2006/relationships/image" Target="media/image77.wmf"/><Relationship Id="rId100" Type="http://schemas.openxmlformats.org/officeDocument/2006/relationships/image" Target="media/image76.wmf"/><Relationship Id="rId10" Type="http://schemas.openxmlformats.org/officeDocument/2006/relationships/footer" Target="footer7.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400" b="0" i="0" u="none" strike="noStrike" kern="1200" spc="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福泽大道</a:t>
            </a:r>
          </a:p>
        </c:rich>
      </c:tx>
      <c:layout/>
      <c:overlay val="0"/>
      <c:spPr>
        <a:noFill/>
        <a:ln>
          <a:noFill/>
        </a:ln>
        <a:effectLst/>
      </c:spPr>
    </c:title>
    <c:autoTitleDeleted val="0"/>
    <c:plotArea>
      <c:layout>
        <c:manualLayout>
          <c:layoutTarget val="inner"/>
          <c:xMode val="edge"/>
          <c:yMode val="edge"/>
          <c:x val="0.083350114416476"/>
          <c:y val="0.201657458563536"/>
          <c:w val="0.896512585812357"/>
          <c:h val="0.645336366590835"/>
        </c:manualLayout>
      </c:layout>
      <c:lineChart>
        <c:grouping val="standard"/>
        <c:varyColors val="0"/>
        <c:ser>
          <c:idx val="0"/>
          <c:order val="0"/>
          <c:tx>
            <c:strRef>
              <c:f>"近期昼间"</c:f>
              <c:strCache>
                <c:ptCount val="1"/>
                <c:pt idx="0">
                  <c:v>近期昼间</c:v>
                </c:pt>
              </c:strCache>
            </c:strRef>
          </c:tx>
          <c:spPr>
            <a:ln w="34925" cap="rnd">
              <a:solidFill>
                <a:schemeClr val="accent1"/>
              </a:solidFill>
              <a:round/>
            </a:ln>
            <a:effectLst>
              <a:outerShdw blurRad="25400" dist="101600" dir="4200000" algn="t" rotWithShape="0">
                <a:schemeClr val="accent1">
                  <a:alpha val="20000"/>
                </a:schemeClr>
              </a:outerShdw>
            </a:effectLst>
          </c:spPr>
          <c:marker>
            <c:symbol val="circle"/>
            <c:size val="7"/>
            <c:spPr>
              <a:solidFill>
                <a:schemeClr val="accent1"/>
              </a:solidFill>
              <a:ln w="19050">
                <a:solidFill>
                  <a:schemeClr val="bg1"/>
                </a:solidFill>
              </a:ln>
              <a:effectLst>
                <a:outerShdw blurRad="25400" dist="101600" dir="4200000" algn="t" rotWithShape="0">
                  <a:schemeClr val="accent1">
                    <a:alpha val="20000"/>
                  </a:schemeClr>
                </a:outerShdw>
              </a:effectLst>
            </c:spPr>
          </c:marker>
          <c:dLbls>
            <c:delete val="1"/>
          </c:dLbls>
          <c:cat>
            <c:numRef>
              <c:f>[工作簿1]Sheet2!$G$41:$P$41</c:f>
              <c:numCache>
                <c:formatCode>General</c:formatCode>
                <c:ptCount val="10"/>
                <c:pt idx="0">
                  <c:v>20</c:v>
                </c:pt>
                <c:pt idx="1">
                  <c:v>40</c:v>
                </c:pt>
                <c:pt idx="2">
                  <c:v>60</c:v>
                </c:pt>
                <c:pt idx="3">
                  <c:v>80</c:v>
                </c:pt>
                <c:pt idx="4">
                  <c:v>100</c:v>
                </c:pt>
                <c:pt idx="5">
                  <c:v>120</c:v>
                </c:pt>
                <c:pt idx="6">
                  <c:v>140</c:v>
                </c:pt>
                <c:pt idx="7">
                  <c:v>160</c:v>
                </c:pt>
                <c:pt idx="8">
                  <c:v>180</c:v>
                </c:pt>
                <c:pt idx="9">
                  <c:v>200</c:v>
                </c:pt>
              </c:numCache>
            </c:numRef>
          </c:cat>
          <c:val>
            <c:numRef>
              <c:f>[工作簿1]Sheet2!$G$42:$P$42</c:f>
              <c:numCache>
                <c:formatCode>General</c:formatCode>
                <c:ptCount val="10"/>
                <c:pt idx="0">
                  <c:v>65.1</c:v>
                </c:pt>
                <c:pt idx="1">
                  <c:v>60.6</c:v>
                </c:pt>
                <c:pt idx="2">
                  <c:v>57.9</c:v>
                </c:pt>
                <c:pt idx="3">
                  <c:v>55.9</c:v>
                </c:pt>
                <c:pt idx="4">
                  <c:v>54.4</c:v>
                </c:pt>
                <c:pt idx="5">
                  <c:v>53.2</c:v>
                </c:pt>
                <c:pt idx="6">
                  <c:v>52.1</c:v>
                </c:pt>
                <c:pt idx="7">
                  <c:v>51.2</c:v>
                </c:pt>
                <c:pt idx="8">
                  <c:v>50.4</c:v>
                </c:pt>
                <c:pt idx="9">
                  <c:v>49.6</c:v>
                </c:pt>
              </c:numCache>
            </c:numRef>
          </c:val>
          <c:smooth val="1"/>
        </c:ser>
        <c:ser>
          <c:idx val="2"/>
          <c:order val="1"/>
          <c:tx>
            <c:strRef>
              <c:f>"中期昼间"</c:f>
              <c:strCache>
                <c:ptCount val="1"/>
                <c:pt idx="0">
                  <c:v>中期昼间</c:v>
                </c:pt>
              </c:strCache>
            </c:strRef>
          </c:tx>
          <c:spPr>
            <a:ln w="34925" cap="rnd">
              <a:solidFill>
                <a:schemeClr val="accent3"/>
              </a:solidFill>
              <a:round/>
            </a:ln>
            <a:effectLst>
              <a:outerShdw blurRad="25400" dist="101600" dir="4200000" algn="t" rotWithShape="0">
                <a:schemeClr val="accent3">
                  <a:alpha val="20000"/>
                </a:schemeClr>
              </a:outerShdw>
            </a:effectLst>
          </c:spPr>
          <c:marker>
            <c:symbol val="circle"/>
            <c:size val="7"/>
            <c:spPr>
              <a:solidFill>
                <a:schemeClr val="accent3"/>
              </a:solidFill>
              <a:ln w="19050">
                <a:solidFill>
                  <a:schemeClr val="bg1"/>
                </a:solidFill>
              </a:ln>
              <a:effectLst>
                <a:outerShdw blurRad="25400" dist="101600" dir="4200000" algn="t" rotWithShape="0">
                  <a:schemeClr val="accent3">
                    <a:alpha val="20000"/>
                  </a:schemeClr>
                </a:outerShdw>
              </a:effectLst>
            </c:spPr>
          </c:marker>
          <c:dLbls>
            <c:delete val="1"/>
          </c:dLbls>
          <c:cat>
            <c:numRef>
              <c:f>[工作簿1]Sheet2!$G$41:$P$41</c:f>
              <c:numCache>
                <c:formatCode>General</c:formatCode>
                <c:ptCount val="10"/>
                <c:pt idx="0">
                  <c:v>20</c:v>
                </c:pt>
                <c:pt idx="1">
                  <c:v>40</c:v>
                </c:pt>
                <c:pt idx="2">
                  <c:v>60</c:v>
                </c:pt>
                <c:pt idx="3">
                  <c:v>80</c:v>
                </c:pt>
                <c:pt idx="4">
                  <c:v>100</c:v>
                </c:pt>
                <c:pt idx="5">
                  <c:v>120</c:v>
                </c:pt>
                <c:pt idx="6">
                  <c:v>140</c:v>
                </c:pt>
                <c:pt idx="7">
                  <c:v>160</c:v>
                </c:pt>
                <c:pt idx="8">
                  <c:v>180</c:v>
                </c:pt>
                <c:pt idx="9">
                  <c:v>200</c:v>
                </c:pt>
              </c:numCache>
            </c:numRef>
          </c:cat>
          <c:val>
            <c:numRef>
              <c:f>[工作簿1]Sheet2!$G$44:$P$44</c:f>
              <c:numCache>
                <c:formatCode>General</c:formatCode>
                <c:ptCount val="10"/>
                <c:pt idx="0">
                  <c:v>66.2</c:v>
                </c:pt>
                <c:pt idx="1">
                  <c:v>61.6</c:v>
                </c:pt>
                <c:pt idx="2">
                  <c:v>58.9</c:v>
                </c:pt>
                <c:pt idx="3">
                  <c:v>57</c:v>
                </c:pt>
                <c:pt idx="4">
                  <c:v>55.5</c:v>
                </c:pt>
                <c:pt idx="5">
                  <c:v>54.3</c:v>
                </c:pt>
                <c:pt idx="6">
                  <c:v>53.2</c:v>
                </c:pt>
                <c:pt idx="7">
                  <c:v>52.3</c:v>
                </c:pt>
                <c:pt idx="8">
                  <c:v>51.4</c:v>
                </c:pt>
                <c:pt idx="9">
                  <c:v>50.7</c:v>
                </c:pt>
              </c:numCache>
            </c:numRef>
          </c:val>
          <c:smooth val="1"/>
        </c:ser>
        <c:ser>
          <c:idx val="4"/>
          <c:order val="2"/>
          <c:tx>
            <c:strRef>
              <c:f>"远期昼间"</c:f>
              <c:strCache>
                <c:ptCount val="1"/>
                <c:pt idx="0">
                  <c:v>远期昼间</c:v>
                </c:pt>
              </c:strCache>
            </c:strRef>
          </c:tx>
          <c:spPr>
            <a:ln w="34925" cap="rnd">
              <a:solidFill>
                <a:schemeClr val="accent5"/>
              </a:solidFill>
              <a:round/>
            </a:ln>
            <a:effectLst>
              <a:outerShdw blurRad="25400" dist="101600" dir="4200000" algn="t" rotWithShape="0">
                <a:schemeClr val="accent5">
                  <a:alpha val="20000"/>
                </a:schemeClr>
              </a:outerShdw>
            </a:effectLst>
          </c:spPr>
          <c:marker>
            <c:symbol val="circle"/>
            <c:size val="7"/>
            <c:spPr>
              <a:solidFill>
                <a:schemeClr val="accent5"/>
              </a:solidFill>
              <a:ln w="19050">
                <a:solidFill>
                  <a:schemeClr val="bg1"/>
                </a:solidFill>
              </a:ln>
              <a:effectLst>
                <a:outerShdw blurRad="25400" dist="101600" dir="4200000" algn="t" rotWithShape="0">
                  <a:schemeClr val="accent5">
                    <a:alpha val="20000"/>
                  </a:schemeClr>
                </a:outerShdw>
              </a:effectLst>
            </c:spPr>
          </c:marker>
          <c:dLbls>
            <c:delete val="1"/>
          </c:dLbls>
          <c:cat>
            <c:numRef>
              <c:f>[工作簿1]Sheet2!$G$41:$P$41</c:f>
              <c:numCache>
                <c:formatCode>General</c:formatCode>
                <c:ptCount val="10"/>
                <c:pt idx="0">
                  <c:v>20</c:v>
                </c:pt>
                <c:pt idx="1">
                  <c:v>40</c:v>
                </c:pt>
                <c:pt idx="2">
                  <c:v>60</c:v>
                </c:pt>
                <c:pt idx="3">
                  <c:v>80</c:v>
                </c:pt>
                <c:pt idx="4">
                  <c:v>100</c:v>
                </c:pt>
                <c:pt idx="5">
                  <c:v>120</c:v>
                </c:pt>
                <c:pt idx="6">
                  <c:v>140</c:v>
                </c:pt>
                <c:pt idx="7">
                  <c:v>160</c:v>
                </c:pt>
                <c:pt idx="8">
                  <c:v>180</c:v>
                </c:pt>
                <c:pt idx="9">
                  <c:v>200</c:v>
                </c:pt>
              </c:numCache>
            </c:numRef>
          </c:cat>
          <c:val>
            <c:numRef>
              <c:f>[工作簿1]Sheet2!$G$46:$P$46</c:f>
              <c:numCache>
                <c:formatCode>General</c:formatCode>
                <c:ptCount val="10"/>
                <c:pt idx="0">
                  <c:v>67.1</c:v>
                </c:pt>
                <c:pt idx="1">
                  <c:v>62.5</c:v>
                </c:pt>
                <c:pt idx="2">
                  <c:v>59.8</c:v>
                </c:pt>
                <c:pt idx="3">
                  <c:v>57.9</c:v>
                </c:pt>
                <c:pt idx="4">
                  <c:v>56.4</c:v>
                </c:pt>
                <c:pt idx="5">
                  <c:v>55.2</c:v>
                </c:pt>
                <c:pt idx="6">
                  <c:v>54.1</c:v>
                </c:pt>
                <c:pt idx="7">
                  <c:v>53.2</c:v>
                </c:pt>
                <c:pt idx="8">
                  <c:v>52.3</c:v>
                </c:pt>
                <c:pt idx="9">
                  <c:v>51.6</c:v>
                </c:pt>
              </c:numCache>
            </c:numRef>
          </c:val>
          <c:smooth val="1"/>
        </c:ser>
        <c:ser>
          <c:idx val="1"/>
          <c:order val="3"/>
          <c:tx>
            <c:strRef>
              <c:f>"近期夜间"</c:f>
              <c:strCache>
                <c:ptCount val="1"/>
                <c:pt idx="0">
                  <c:v>近期夜间</c:v>
                </c:pt>
              </c:strCache>
            </c:strRef>
          </c:tx>
          <c:spPr>
            <a:ln w="34925" cap="rnd">
              <a:solidFill>
                <a:schemeClr val="accent2"/>
              </a:solidFill>
              <a:round/>
            </a:ln>
            <a:effectLst>
              <a:outerShdw blurRad="25400" dist="101600" dir="4200000" algn="t" rotWithShape="0">
                <a:schemeClr val="accent2">
                  <a:alpha val="20000"/>
                </a:schemeClr>
              </a:outerShdw>
            </a:effectLst>
          </c:spPr>
          <c:marker>
            <c:symbol val="circle"/>
            <c:size val="7"/>
            <c:spPr>
              <a:solidFill>
                <a:schemeClr val="accent2"/>
              </a:solidFill>
              <a:ln w="19050">
                <a:solidFill>
                  <a:schemeClr val="bg1"/>
                </a:solidFill>
              </a:ln>
              <a:effectLst>
                <a:outerShdw blurRad="25400" dist="101600" dir="4200000" algn="t" rotWithShape="0">
                  <a:schemeClr val="accent2">
                    <a:alpha val="20000"/>
                  </a:schemeClr>
                </a:outerShdw>
              </a:effectLst>
            </c:spPr>
          </c:marker>
          <c:dLbls>
            <c:delete val="1"/>
          </c:dLbls>
          <c:cat>
            <c:numRef>
              <c:f>[工作簿1]Sheet2!$G$41:$P$41</c:f>
              <c:numCache>
                <c:formatCode>General</c:formatCode>
                <c:ptCount val="10"/>
                <c:pt idx="0">
                  <c:v>20</c:v>
                </c:pt>
                <c:pt idx="1">
                  <c:v>40</c:v>
                </c:pt>
                <c:pt idx="2">
                  <c:v>60</c:v>
                </c:pt>
                <c:pt idx="3">
                  <c:v>80</c:v>
                </c:pt>
                <c:pt idx="4">
                  <c:v>100</c:v>
                </c:pt>
                <c:pt idx="5">
                  <c:v>120</c:v>
                </c:pt>
                <c:pt idx="6">
                  <c:v>140</c:v>
                </c:pt>
                <c:pt idx="7">
                  <c:v>160</c:v>
                </c:pt>
                <c:pt idx="8">
                  <c:v>180</c:v>
                </c:pt>
                <c:pt idx="9">
                  <c:v>200</c:v>
                </c:pt>
              </c:numCache>
            </c:numRef>
          </c:cat>
          <c:val>
            <c:numRef>
              <c:f>[工作簿1]Sheet2!$G$43:$P$43</c:f>
              <c:numCache>
                <c:formatCode>General</c:formatCode>
                <c:ptCount val="10"/>
                <c:pt idx="0">
                  <c:v>60.6</c:v>
                </c:pt>
                <c:pt idx="1">
                  <c:v>56</c:v>
                </c:pt>
                <c:pt idx="2">
                  <c:v>53.3</c:v>
                </c:pt>
                <c:pt idx="3">
                  <c:v>51.4</c:v>
                </c:pt>
                <c:pt idx="4">
                  <c:v>49.9</c:v>
                </c:pt>
                <c:pt idx="5">
                  <c:v>48.7</c:v>
                </c:pt>
                <c:pt idx="6">
                  <c:v>47.6</c:v>
                </c:pt>
                <c:pt idx="7">
                  <c:v>46.7</c:v>
                </c:pt>
                <c:pt idx="8">
                  <c:v>45.8</c:v>
                </c:pt>
                <c:pt idx="9">
                  <c:v>45.1</c:v>
                </c:pt>
              </c:numCache>
            </c:numRef>
          </c:val>
          <c:smooth val="1"/>
        </c:ser>
        <c:ser>
          <c:idx val="3"/>
          <c:order val="4"/>
          <c:tx>
            <c:strRef>
              <c:f>"中期夜间"</c:f>
              <c:strCache>
                <c:ptCount val="1"/>
                <c:pt idx="0">
                  <c:v>中期夜间</c:v>
                </c:pt>
              </c:strCache>
            </c:strRef>
          </c:tx>
          <c:spPr>
            <a:ln w="34925" cap="rnd">
              <a:solidFill>
                <a:schemeClr val="accent4"/>
              </a:solidFill>
              <a:round/>
            </a:ln>
            <a:effectLst>
              <a:outerShdw blurRad="25400" dist="101600" dir="4200000" algn="t" rotWithShape="0">
                <a:schemeClr val="accent4">
                  <a:alpha val="20000"/>
                </a:schemeClr>
              </a:outerShdw>
            </a:effectLst>
          </c:spPr>
          <c:marker>
            <c:symbol val="circle"/>
            <c:size val="7"/>
            <c:spPr>
              <a:solidFill>
                <a:schemeClr val="accent4"/>
              </a:solidFill>
              <a:ln w="19050">
                <a:solidFill>
                  <a:schemeClr val="bg1"/>
                </a:solidFill>
              </a:ln>
              <a:effectLst>
                <a:outerShdw blurRad="25400" dist="101600" dir="4200000" algn="t" rotWithShape="0">
                  <a:schemeClr val="accent4">
                    <a:alpha val="20000"/>
                  </a:schemeClr>
                </a:outerShdw>
              </a:effectLst>
            </c:spPr>
          </c:marker>
          <c:dLbls>
            <c:delete val="1"/>
          </c:dLbls>
          <c:cat>
            <c:numRef>
              <c:f>[工作簿1]Sheet2!$G$41:$P$41</c:f>
              <c:numCache>
                <c:formatCode>General</c:formatCode>
                <c:ptCount val="10"/>
                <c:pt idx="0">
                  <c:v>20</c:v>
                </c:pt>
                <c:pt idx="1">
                  <c:v>40</c:v>
                </c:pt>
                <c:pt idx="2">
                  <c:v>60</c:v>
                </c:pt>
                <c:pt idx="3">
                  <c:v>80</c:v>
                </c:pt>
                <c:pt idx="4">
                  <c:v>100</c:v>
                </c:pt>
                <c:pt idx="5">
                  <c:v>120</c:v>
                </c:pt>
                <c:pt idx="6">
                  <c:v>140</c:v>
                </c:pt>
                <c:pt idx="7">
                  <c:v>160</c:v>
                </c:pt>
                <c:pt idx="8">
                  <c:v>180</c:v>
                </c:pt>
                <c:pt idx="9">
                  <c:v>200</c:v>
                </c:pt>
              </c:numCache>
            </c:numRef>
          </c:cat>
          <c:val>
            <c:numRef>
              <c:f>[工作簿1]Sheet2!$G$45:$P$45</c:f>
              <c:numCache>
                <c:formatCode>General</c:formatCode>
                <c:ptCount val="10"/>
                <c:pt idx="0">
                  <c:v>61.7</c:v>
                </c:pt>
                <c:pt idx="1">
                  <c:v>57.1</c:v>
                </c:pt>
                <c:pt idx="2">
                  <c:v>54.4</c:v>
                </c:pt>
                <c:pt idx="3">
                  <c:v>52.5</c:v>
                </c:pt>
                <c:pt idx="4">
                  <c:v>51</c:v>
                </c:pt>
                <c:pt idx="5">
                  <c:v>49.7</c:v>
                </c:pt>
                <c:pt idx="6">
                  <c:v>48.7</c:v>
                </c:pt>
                <c:pt idx="7">
                  <c:v>47.7</c:v>
                </c:pt>
                <c:pt idx="8">
                  <c:v>46.9</c:v>
                </c:pt>
                <c:pt idx="9">
                  <c:v>46.2</c:v>
                </c:pt>
              </c:numCache>
            </c:numRef>
          </c:val>
          <c:smooth val="1"/>
        </c:ser>
        <c:ser>
          <c:idx val="5"/>
          <c:order val="5"/>
          <c:tx>
            <c:strRef>
              <c:f>"远期夜间"</c:f>
              <c:strCache>
                <c:ptCount val="1"/>
                <c:pt idx="0">
                  <c:v>远期夜间</c:v>
                </c:pt>
              </c:strCache>
            </c:strRef>
          </c:tx>
          <c:spPr>
            <a:ln w="34925" cap="rnd">
              <a:solidFill>
                <a:schemeClr val="accent6"/>
              </a:solidFill>
              <a:round/>
            </a:ln>
            <a:effectLst>
              <a:outerShdw blurRad="25400" dist="101600" dir="4200000" algn="t" rotWithShape="0">
                <a:schemeClr val="accent6">
                  <a:alpha val="20000"/>
                </a:schemeClr>
              </a:outerShdw>
            </a:effectLst>
          </c:spPr>
          <c:marker>
            <c:symbol val="circle"/>
            <c:size val="7"/>
            <c:spPr>
              <a:solidFill>
                <a:schemeClr val="accent6"/>
              </a:solidFill>
              <a:ln w="19050">
                <a:solidFill>
                  <a:schemeClr val="bg1"/>
                </a:solidFill>
              </a:ln>
              <a:effectLst>
                <a:outerShdw blurRad="25400" dist="101600" dir="4200000" algn="t" rotWithShape="0">
                  <a:schemeClr val="accent6">
                    <a:alpha val="20000"/>
                  </a:schemeClr>
                </a:outerShdw>
              </a:effectLst>
            </c:spPr>
          </c:marker>
          <c:dLbls>
            <c:delete val="1"/>
          </c:dLbls>
          <c:cat>
            <c:numRef>
              <c:f>[工作簿1]Sheet2!$G$41:$P$41</c:f>
              <c:numCache>
                <c:formatCode>General</c:formatCode>
                <c:ptCount val="10"/>
                <c:pt idx="0">
                  <c:v>20</c:v>
                </c:pt>
                <c:pt idx="1">
                  <c:v>40</c:v>
                </c:pt>
                <c:pt idx="2">
                  <c:v>60</c:v>
                </c:pt>
                <c:pt idx="3">
                  <c:v>80</c:v>
                </c:pt>
                <c:pt idx="4">
                  <c:v>100</c:v>
                </c:pt>
                <c:pt idx="5">
                  <c:v>120</c:v>
                </c:pt>
                <c:pt idx="6">
                  <c:v>140</c:v>
                </c:pt>
                <c:pt idx="7">
                  <c:v>160</c:v>
                </c:pt>
                <c:pt idx="8">
                  <c:v>180</c:v>
                </c:pt>
                <c:pt idx="9">
                  <c:v>200</c:v>
                </c:pt>
              </c:numCache>
            </c:numRef>
          </c:cat>
          <c:val>
            <c:numRef>
              <c:f>[工作簿1]Sheet2!$G$47:$P$47</c:f>
              <c:numCache>
                <c:formatCode>General</c:formatCode>
                <c:ptCount val="10"/>
                <c:pt idx="0">
                  <c:v>62.6</c:v>
                </c:pt>
                <c:pt idx="1">
                  <c:v>58</c:v>
                </c:pt>
                <c:pt idx="2">
                  <c:v>55.3</c:v>
                </c:pt>
                <c:pt idx="3">
                  <c:v>53.4</c:v>
                </c:pt>
                <c:pt idx="4">
                  <c:v>51.9</c:v>
                </c:pt>
                <c:pt idx="5">
                  <c:v>50.6</c:v>
                </c:pt>
                <c:pt idx="6">
                  <c:v>49.6</c:v>
                </c:pt>
                <c:pt idx="7">
                  <c:v>48.7</c:v>
                </c:pt>
                <c:pt idx="8">
                  <c:v>47.8</c:v>
                </c:pt>
                <c:pt idx="9">
                  <c:v>47.1</c:v>
                </c:pt>
              </c:numCache>
            </c:numRef>
          </c:val>
          <c:smooth val="1"/>
        </c:ser>
        <c:dLbls>
          <c:showLegendKey val="0"/>
          <c:showVal val="0"/>
          <c:showCatName val="0"/>
          <c:showSerName val="0"/>
          <c:showPercent val="0"/>
          <c:showBubbleSize val="0"/>
        </c:dLbls>
        <c:marker val="1"/>
        <c:smooth val="1"/>
        <c:axId val="301730748"/>
        <c:axId val="553190452"/>
      </c:lineChart>
      <c:catAx>
        <c:axId val="301730748"/>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预测点距离道路中心线距离</a:t>
                </a:r>
              </a:p>
            </c:rich>
          </c:tx>
          <c:layout/>
          <c:overlay val="0"/>
          <c:spPr>
            <a:noFill/>
            <a:ln>
              <a:noFill/>
            </a:ln>
            <a:effectLst/>
          </c:spPr>
        </c:title>
        <c:numFmt formatCode="General" sourceLinked="1"/>
        <c:majorTickMark val="none"/>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553190452"/>
        <c:crosses val="autoZero"/>
        <c:auto val="0"/>
        <c:lblAlgn val="ctr"/>
        <c:lblOffset val="100"/>
        <c:noMultiLvlLbl val="0"/>
      </c:catAx>
      <c:valAx>
        <c:axId val="553190452"/>
        <c:scaling>
          <c:orientation val="minMax"/>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交通噪声预测值</a:t>
                </a:r>
                <a:r>
                  <a:rPr lang="en-US" altLang="zh-CN"/>
                  <a:t>dB(A)</a:t>
                </a:r>
                <a:endParaRPr lang="en-US" altLang="zh-CN"/>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301730748"/>
        <c:crosses val="autoZero"/>
        <c:crossBetween val="between"/>
      </c:valAx>
      <c:spPr>
        <a:solidFill>
          <a:schemeClr val="accent3">
            <a:lumMod val="20000"/>
            <a:lumOff val="80000"/>
            <a:alpha val="10000"/>
          </a:schemeClr>
        </a:solidFill>
        <a:ln>
          <a:noFill/>
        </a:ln>
        <a:effectLst/>
      </c:spPr>
    </c:plotArea>
    <c:legend>
      <c:legendPos val="t"/>
      <c:layout>
        <c:manualLayout>
          <c:xMode val="edge"/>
          <c:yMode val="edge"/>
          <c:x val="0.252849469409144"/>
          <c:y val="0.134699365933334"/>
          <c:w val="0.552076509891262"/>
          <c:h val="0.158567191421401"/>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6350" cap="flat" cmpd="sng" algn="ctr">
      <a:solidFill>
        <a:schemeClr val="tx1">
          <a:lumMod val="50000"/>
          <a:lumOff val="50000"/>
          <a:alpha val="25000"/>
        </a:schemeClr>
      </a:solidFill>
      <a:round/>
    </a:ln>
    <a:effectLst/>
  </c:spPr>
  <c:txPr>
    <a:bodyPr/>
    <a:lstStyle/>
    <a:p>
      <a:pPr>
        <a:defRPr lang="zh-CN">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自定义 7">
    <a:dk1>
      <a:srgbClr val="000000"/>
    </a:dk1>
    <a:lt1>
      <a:srgbClr val="FFFFFF"/>
    </a:lt1>
    <a:dk2>
      <a:srgbClr val="000000"/>
    </a:dk2>
    <a:lt2>
      <a:srgbClr val="FEFFFF"/>
    </a:lt2>
    <a:accent1>
      <a:srgbClr val="F11313"/>
    </a:accent1>
    <a:accent2>
      <a:srgbClr val="00B050"/>
    </a:accent2>
    <a:accent3>
      <a:srgbClr val="4367FF"/>
    </a:accent3>
    <a:accent4>
      <a:srgbClr val="FF683F"/>
    </a:accent4>
    <a:accent5>
      <a:srgbClr val="FFC000"/>
    </a:accent5>
    <a:accent6>
      <a:srgbClr val="873AC0"/>
    </a:accent6>
    <a:hlink>
      <a:srgbClr val="304FFE"/>
    </a:hlink>
    <a:folHlink>
      <a:srgbClr val="00A3F4"/>
    </a:folHlink>
  </a:clrScheme>
  <a:fontScheme name="MiSans">
    <a:majorFont>
      <a:latin typeface="MiSans Heavy"/>
      <a:ea typeface="MiSans Heavy"/>
      <a:cs typeface=""/>
    </a:majorFont>
    <a:minorFont>
      <a:latin typeface="MiSans Normal"/>
      <a:ea typeface="MiSans Norma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54793</Words>
  <Characters>61629</Characters>
  <Lines>482</Lines>
  <Paragraphs>135</Paragraphs>
  <TotalTime>2</TotalTime>
  <ScaleCrop>false</ScaleCrop>
  <LinksUpToDate>false</LinksUpToDate>
  <CharactersWithSpaces>62477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2023-05-06T00:52:00Z</dcterms:created>
  <dc:creator>lhj</dc:creator>
  <cp:lastModifiedBy>NTKO</cp:lastModifiedBy>
  <cp:lastPrinted>2024-12-18T01:58:00Z</cp:lastPrinted>
  <dcterms:modified xsi:type="dcterms:W3CDTF">2024-12-19T09:11:40Z</dcterms:modified>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91756BF5FAB7492E8A720B5556DD188C_13</vt:lpwstr>
  </property>
</Properties>
</file>